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ascii="方正小标宋简体" w:hAnsi="方正小标宋简体" w:eastAsia="方正小标宋简体" w:cs="方正小标宋简体"/>
          <w:sz w:val="32"/>
          <w:szCs w:val="32"/>
          <w:lang w:val="en-US" w:eastAsia="zh-CN"/>
        </w:rPr>
        <w:t>唐山市曹妃甸区文化广电和旅游局重大行政执法决定法制审核目录清单</w:t>
      </w:r>
    </w:p>
    <w:tbl>
      <w:tblPr>
        <w:tblStyle w:val="2"/>
        <w:tblpPr w:leftFromText="180" w:rightFromText="180" w:vertAnchor="text" w:horzAnchor="page" w:tblpX="1326" w:tblpY="358"/>
        <w:tblOverlap w:val="never"/>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35"/>
        <w:gridCol w:w="1037"/>
        <w:gridCol w:w="1501"/>
        <w:gridCol w:w="3273"/>
        <w:gridCol w:w="1942"/>
        <w:gridCol w:w="2336"/>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9" w:hRule="atLeast"/>
        </w:trPr>
        <w:tc>
          <w:tcPr>
            <w:tcW w:w="635" w:type="dxa"/>
            <w:vAlign w:val="center"/>
          </w:tcPr>
          <w:p>
            <w:pPr>
              <w:spacing w:line="420" w:lineRule="exact"/>
              <w:ind w:firstLine="0"/>
              <w:jc w:val="center"/>
              <w:rPr>
                <w:sz w:val="24"/>
                <w:szCs w:val="24"/>
              </w:rPr>
            </w:pPr>
            <w:r>
              <w:rPr>
                <w:rFonts w:hint="eastAsia" w:ascii="宋体" w:hAnsi="宋体" w:eastAsia="宋体"/>
                <w:color w:val="000000"/>
                <w:sz w:val="24"/>
                <w:szCs w:val="24"/>
              </w:rPr>
              <w:t>序号</w:t>
            </w:r>
          </w:p>
        </w:tc>
        <w:tc>
          <w:tcPr>
            <w:tcW w:w="1037" w:type="dxa"/>
            <w:vAlign w:val="center"/>
          </w:tcPr>
          <w:p>
            <w:pPr>
              <w:spacing w:line="630" w:lineRule="exact"/>
              <w:ind w:firstLine="0"/>
              <w:jc w:val="center"/>
              <w:rPr>
                <w:sz w:val="24"/>
                <w:szCs w:val="24"/>
              </w:rPr>
            </w:pPr>
            <w:r>
              <w:rPr>
                <w:rFonts w:hint="eastAsia" w:ascii="宋体" w:hAnsi="宋体" w:eastAsia="宋体"/>
                <w:color w:val="000000"/>
                <w:sz w:val="24"/>
                <w:szCs w:val="24"/>
              </w:rPr>
              <w:t>执法大类</w:t>
            </w:r>
          </w:p>
        </w:tc>
        <w:tc>
          <w:tcPr>
            <w:tcW w:w="1501" w:type="dxa"/>
            <w:vAlign w:val="center"/>
          </w:tcPr>
          <w:p>
            <w:pPr>
              <w:spacing w:line="630" w:lineRule="exact"/>
              <w:ind w:firstLine="0"/>
              <w:jc w:val="center"/>
              <w:rPr>
                <w:sz w:val="24"/>
                <w:szCs w:val="24"/>
              </w:rPr>
            </w:pPr>
            <w:r>
              <w:rPr>
                <w:rFonts w:hint="eastAsia" w:ascii="宋体" w:hAnsi="宋体" w:eastAsia="宋体"/>
                <w:color w:val="000000"/>
                <w:sz w:val="24"/>
                <w:szCs w:val="24"/>
              </w:rPr>
              <w:t>执法项目</w:t>
            </w:r>
          </w:p>
        </w:tc>
        <w:tc>
          <w:tcPr>
            <w:tcW w:w="3273" w:type="dxa"/>
            <w:vAlign w:val="center"/>
          </w:tcPr>
          <w:p>
            <w:pPr>
              <w:spacing w:line="630" w:lineRule="exact"/>
              <w:jc w:val="center"/>
              <w:rPr>
                <w:sz w:val="24"/>
                <w:szCs w:val="24"/>
              </w:rPr>
            </w:pPr>
            <w:r>
              <w:rPr>
                <w:rFonts w:hint="eastAsia" w:ascii="宋体" w:hAnsi="宋体" w:eastAsia="宋体"/>
                <w:color w:val="000000"/>
                <w:sz w:val="24"/>
                <w:szCs w:val="24"/>
              </w:rPr>
              <w:t>执法依据</w:t>
            </w:r>
          </w:p>
        </w:tc>
        <w:tc>
          <w:tcPr>
            <w:tcW w:w="1942" w:type="dxa"/>
            <w:vAlign w:val="center"/>
          </w:tcPr>
          <w:p>
            <w:pPr>
              <w:spacing w:line="625" w:lineRule="exact"/>
              <w:ind w:firstLine="0"/>
              <w:jc w:val="center"/>
              <w:rPr>
                <w:sz w:val="24"/>
                <w:szCs w:val="24"/>
              </w:rPr>
            </w:pPr>
            <w:r>
              <w:rPr>
                <w:rFonts w:hint="eastAsia" w:ascii="宋体" w:hAnsi="宋体" w:eastAsia="宋体"/>
                <w:color w:val="000000"/>
                <w:sz w:val="24"/>
                <w:szCs w:val="24"/>
              </w:rPr>
              <w:t>执法部门</w:t>
            </w:r>
          </w:p>
        </w:tc>
        <w:tc>
          <w:tcPr>
            <w:tcW w:w="2336" w:type="dxa"/>
            <w:vAlign w:val="center"/>
          </w:tcPr>
          <w:p>
            <w:pPr>
              <w:spacing w:line="435" w:lineRule="exact"/>
              <w:ind w:firstLine="0"/>
              <w:jc w:val="center"/>
              <w:rPr>
                <w:sz w:val="24"/>
                <w:szCs w:val="24"/>
              </w:rPr>
            </w:pPr>
            <w:r>
              <w:rPr>
                <w:rFonts w:hint="eastAsia" w:ascii="宋体" w:hAnsi="宋体" w:eastAsia="宋体"/>
                <w:color w:val="000000"/>
                <w:sz w:val="24"/>
                <w:szCs w:val="24"/>
              </w:rPr>
              <w:t>应提交的审核材料</w:t>
            </w:r>
          </w:p>
        </w:tc>
        <w:tc>
          <w:tcPr>
            <w:tcW w:w="3273" w:type="dxa"/>
            <w:vAlign w:val="center"/>
          </w:tcPr>
          <w:p>
            <w:pPr>
              <w:spacing w:line="630" w:lineRule="exact"/>
              <w:jc w:val="center"/>
              <w:rPr>
                <w:sz w:val="24"/>
                <w:szCs w:val="24"/>
              </w:rPr>
            </w:pPr>
            <w:r>
              <w:rPr>
                <w:rFonts w:hint="eastAsia" w:ascii="宋体" w:hAnsi="宋体" w:eastAsia="宋体"/>
                <w:color w:val="000000"/>
                <w:sz w:val="24"/>
                <w:szCs w:val="24"/>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39" w:hRule="atLeast"/>
        </w:trPr>
        <w:tc>
          <w:tcPr>
            <w:tcW w:w="635" w:type="dxa"/>
            <w:vAlign w:val="center"/>
          </w:tcPr>
          <w:p>
            <w:pPr>
              <w:spacing w:before="3082" w:line="640" w:lineRule="exact"/>
              <w:ind w:left="80" w:firstLine="0"/>
              <w:jc w:val="both"/>
              <w:rPr>
                <w:sz w:val="24"/>
                <w:szCs w:val="24"/>
              </w:rPr>
            </w:pPr>
            <w:r>
              <w:rPr>
                <w:rFonts w:hint="eastAsia" w:ascii="Arial" w:hAnsi="Arial" w:eastAsia="Arial"/>
                <w:color w:val="000000"/>
                <w:sz w:val="24"/>
                <w:szCs w:val="24"/>
              </w:rPr>
              <w:t>1</w:t>
            </w:r>
          </w:p>
        </w:tc>
        <w:tc>
          <w:tcPr>
            <w:tcW w:w="1037" w:type="dxa"/>
            <w:vAlign w:val="center"/>
          </w:tcPr>
          <w:p>
            <w:pPr>
              <w:spacing w:before="3059" w:line="405" w:lineRule="exact"/>
              <w:ind w:left="120" w:firstLine="0"/>
              <w:jc w:val="both"/>
              <w:rPr>
                <w:sz w:val="24"/>
                <w:szCs w:val="24"/>
              </w:rPr>
            </w:pPr>
            <w:r>
              <w:rPr>
                <w:rFonts w:hint="eastAsia" w:ascii="宋体" w:hAnsi="宋体" w:eastAsia="宋体"/>
                <w:color w:val="000000"/>
                <w:sz w:val="24"/>
                <w:szCs w:val="24"/>
              </w:rPr>
              <w:t>行政处罚</w:t>
            </w:r>
          </w:p>
        </w:tc>
        <w:tc>
          <w:tcPr>
            <w:tcW w:w="1501" w:type="dxa"/>
            <w:vAlign w:val="top"/>
          </w:tcPr>
          <w:p>
            <w:pPr>
              <w:spacing w:before="1395" w:line="740" w:lineRule="exact"/>
              <w:ind w:left="80" w:firstLine="0"/>
              <w:jc w:val="both"/>
              <w:rPr>
                <w:sz w:val="24"/>
                <w:szCs w:val="24"/>
              </w:rPr>
            </w:pPr>
            <w:r>
              <w:rPr>
                <w:rFonts w:hint="eastAsia" w:ascii="宋体" w:hAnsi="宋体" w:eastAsia="宋体"/>
                <w:color w:val="000000"/>
                <w:sz w:val="24"/>
                <w:szCs w:val="24"/>
              </w:rPr>
              <w:t>责令旅行社停业整顿或者吊销旅行社业务经营许可证</w:t>
            </w:r>
          </w:p>
        </w:tc>
        <w:tc>
          <w:tcPr>
            <w:tcW w:w="3273" w:type="dxa"/>
            <w:vAlign w:val="top"/>
          </w:tcPr>
          <w:p>
            <w:pPr>
              <w:spacing w:before="254" w:line="740" w:lineRule="exact"/>
              <w:jc w:val="both"/>
              <w:rPr>
                <w:sz w:val="24"/>
                <w:szCs w:val="24"/>
              </w:rPr>
            </w:pPr>
            <w:r>
              <w:rPr>
                <w:rFonts w:hint="eastAsia" w:ascii="宋体" w:hAnsi="宋体" w:eastAsia="宋体"/>
                <w:color w:val="000000"/>
                <w:sz w:val="24"/>
                <w:szCs w:val="24"/>
              </w:rPr>
              <w:t>《中华人民共和国旅游法》第九十五至一百零一条，第一百零四条</w:t>
            </w:r>
          </w:p>
          <w:p>
            <w:pPr>
              <w:spacing w:line="700" w:lineRule="exact"/>
              <w:ind w:left="100" w:firstLine="0"/>
              <w:jc w:val="both"/>
              <w:rPr>
                <w:sz w:val="24"/>
                <w:szCs w:val="24"/>
              </w:rPr>
            </w:pPr>
            <w:r>
              <w:rPr>
                <w:rFonts w:hint="eastAsia" w:ascii="宋体" w:hAnsi="宋体" w:eastAsia="宋体"/>
                <w:color w:val="000000"/>
                <w:sz w:val="24"/>
                <w:szCs w:val="24"/>
              </w:rPr>
              <w:t>《旅行社条例》第四十七、四十八、四十九、五十一、五十二、五十五、五十九、六十一、六十二、六十三条：</w:t>
            </w:r>
          </w:p>
          <w:p>
            <w:pPr>
              <w:spacing w:line="740" w:lineRule="exact"/>
              <w:ind w:left="100" w:firstLine="0"/>
              <w:jc w:val="both"/>
              <w:rPr>
                <w:sz w:val="24"/>
                <w:szCs w:val="24"/>
              </w:rPr>
            </w:pPr>
            <w:r>
              <w:rPr>
                <w:rFonts w:hint="eastAsia" w:ascii="宋体" w:hAnsi="宋体" w:eastAsia="宋体"/>
                <w:color w:val="000000"/>
                <w:sz w:val="24"/>
                <w:szCs w:val="24"/>
              </w:rPr>
              <w:t>《导游人员管理条例》第二十、二十三、二十四条等。</w:t>
            </w:r>
          </w:p>
        </w:tc>
        <w:tc>
          <w:tcPr>
            <w:tcW w:w="1942" w:type="dxa"/>
            <w:vAlign w:val="center"/>
          </w:tcPr>
          <w:p>
            <w:pPr>
              <w:spacing w:before="3059" w:line="487" w:lineRule="exact"/>
              <w:ind w:left="60" w:firstLine="0"/>
              <w:jc w:val="center"/>
              <w:rPr>
                <w:rFonts w:hint="eastAsia" w:eastAsia="宋体"/>
                <w:sz w:val="24"/>
                <w:szCs w:val="24"/>
                <w:lang w:eastAsia="zh-CN"/>
              </w:rPr>
            </w:pPr>
            <w:r>
              <w:rPr>
                <w:rFonts w:hint="eastAsia" w:ascii="宋体" w:hAnsi="宋体" w:eastAsia="宋体"/>
                <w:color w:val="000000"/>
                <w:sz w:val="24"/>
                <w:szCs w:val="24"/>
              </w:rPr>
              <w:t>执法</w:t>
            </w:r>
            <w:r>
              <w:rPr>
                <w:rFonts w:hint="eastAsia" w:ascii="宋体" w:hAnsi="宋体" w:eastAsia="宋体"/>
                <w:color w:val="000000"/>
                <w:sz w:val="24"/>
                <w:szCs w:val="24"/>
                <w:lang w:val="en-US" w:eastAsia="zh-CN"/>
              </w:rPr>
              <w:t>局</w:t>
            </w:r>
          </w:p>
        </w:tc>
        <w:tc>
          <w:tcPr>
            <w:tcW w:w="2336" w:type="dxa"/>
            <w:vAlign w:val="top"/>
          </w:tcPr>
          <w:p>
            <w:pPr>
              <w:spacing w:before="1395" w:line="740" w:lineRule="exact"/>
              <w:ind w:left="100" w:firstLine="0"/>
              <w:jc w:val="both"/>
              <w:rPr>
                <w:sz w:val="24"/>
                <w:szCs w:val="24"/>
              </w:rPr>
            </w:pPr>
            <w:r>
              <w:rPr>
                <w:rFonts w:hint="eastAsia" w:ascii="宋体" w:hAnsi="宋体" w:eastAsia="宋体"/>
                <w:color w:val="000000"/>
                <w:sz w:val="24"/>
                <w:szCs w:val="24"/>
              </w:rPr>
              <w:t>调查报告、重大行政执法决定建议意见及情况说明、执法决定书代拟稿、承办机构集体讨论记录等。</w:t>
            </w:r>
          </w:p>
        </w:tc>
        <w:tc>
          <w:tcPr>
            <w:tcW w:w="3273" w:type="dxa"/>
            <w:vAlign w:val="center"/>
          </w:tcPr>
          <w:p>
            <w:pPr>
              <w:spacing w:line="700" w:lineRule="exact"/>
              <w:ind w:left="100" w:firstLine="207"/>
              <w:jc w:val="both"/>
              <w:rPr>
                <w:sz w:val="24"/>
                <w:szCs w:val="24"/>
              </w:rPr>
            </w:pPr>
            <w:r>
              <w:rPr>
                <w:rFonts w:hint="eastAsia" w:ascii="宋体" w:hAnsi="宋体" w:eastAsia="宋体"/>
                <w:color w:val="000000"/>
                <w:sz w:val="24"/>
                <w:szCs w:val="24"/>
              </w:rPr>
              <w:t>（一）执法主体是否合法，执法人员是否具备执法资格（二）主要事实是否清楚，证据是否确凿、充分：</w:t>
            </w:r>
          </w:p>
          <w:p>
            <w:pPr>
              <w:spacing w:line="740" w:lineRule="exact"/>
              <w:ind w:left="100" w:firstLine="207"/>
              <w:jc w:val="both"/>
              <w:rPr>
                <w:sz w:val="24"/>
                <w:szCs w:val="24"/>
              </w:rPr>
            </w:pPr>
            <w:r>
              <w:rPr>
                <w:rFonts w:hint="eastAsia" w:ascii="宋体" w:hAnsi="宋体" w:eastAsia="宋体"/>
                <w:color w:val="000000"/>
                <w:sz w:val="24"/>
                <w:szCs w:val="24"/>
              </w:rPr>
              <w:t>（三）适用法律、法规、规章是否准确，罚执行裁量基准是否适当；</w:t>
            </w:r>
          </w:p>
          <w:p>
            <w:pPr>
              <w:spacing w:line="700" w:lineRule="exact"/>
              <w:ind w:left="100" w:firstLine="207"/>
              <w:jc w:val="both"/>
              <w:rPr>
                <w:sz w:val="24"/>
                <w:szCs w:val="24"/>
              </w:rPr>
            </w:pPr>
            <w:r>
              <w:rPr>
                <w:rFonts w:hint="eastAsia" w:ascii="宋体" w:hAnsi="宋体" w:eastAsia="宋体"/>
                <w:color w:val="000000"/>
                <w:sz w:val="24"/>
                <w:szCs w:val="24"/>
              </w:rPr>
              <w:t>（四）程序是否合法，是否充分保障行政相对人权利。</w:t>
            </w:r>
          </w:p>
        </w:tc>
      </w:tr>
    </w:tbl>
    <w:p/>
    <w:tbl>
      <w:tblPr>
        <w:tblStyle w:val="2"/>
        <w:tblpPr w:leftFromText="180" w:rightFromText="180" w:vertAnchor="text" w:horzAnchor="page" w:tblpX="1108" w:tblpY="1533"/>
        <w:tblOverlap w:val="never"/>
        <w:tblW w:w="14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55"/>
        <w:gridCol w:w="1305"/>
        <w:gridCol w:w="1575"/>
        <w:gridCol w:w="3450"/>
        <w:gridCol w:w="2085"/>
        <w:gridCol w:w="2415"/>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2" w:hRule="atLeast"/>
        </w:trPr>
        <w:tc>
          <w:tcPr>
            <w:tcW w:w="555" w:type="dxa"/>
            <w:vAlign w:val="center"/>
          </w:tcPr>
          <w:p>
            <w:pPr>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序号</w:t>
            </w:r>
          </w:p>
        </w:tc>
        <w:tc>
          <w:tcPr>
            <w:tcW w:w="1305" w:type="dxa"/>
            <w:vAlign w:val="center"/>
          </w:tcPr>
          <w:p>
            <w:pPr>
              <w:spacing w:line="450" w:lineRule="exact"/>
              <w:ind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执法大类</w:t>
            </w:r>
          </w:p>
        </w:tc>
        <w:tc>
          <w:tcPr>
            <w:tcW w:w="1575" w:type="dxa"/>
            <w:vAlign w:val="center"/>
          </w:tcPr>
          <w:p>
            <w:pPr>
              <w:spacing w:line="450" w:lineRule="exact"/>
              <w:ind w:firstLine="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执法项目</w:t>
            </w:r>
          </w:p>
          <w:p>
            <w:pPr>
              <w:spacing w:line="450" w:lineRule="exact"/>
              <w:ind w:firstLine="0"/>
              <w:jc w:val="both"/>
              <w:rPr>
                <w:rFonts w:hint="eastAsia" w:asciiTheme="minorEastAsia" w:hAnsiTheme="minorEastAsia" w:eastAsiaTheme="minorEastAsia" w:cstheme="minorEastAsia"/>
                <w:color w:val="000000"/>
                <w:sz w:val="24"/>
                <w:szCs w:val="24"/>
              </w:rPr>
            </w:pPr>
          </w:p>
        </w:tc>
        <w:tc>
          <w:tcPr>
            <w:tcW w:w="3450" w:type="dxa"/>
            <w:vAlign w:val="center"/>
          </w:tcPr>
          <w:p>
            <w:pPr>
              <w:spacing w:line="450" w:lineRule="exact"/>
              <w:ind w:left="138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执法依据</w:t>
            </w:r>
          </w:p>
        </w:tc>
        <w:tc>
          <w:tcPr>
            <w:tcW w:w="2085" w:type="dxa"/>
            <w:vAlign w:val="center"/>
          </w:tcPr>
          <w:p>
            <w:pPr>
              <w:spacing w:line="450" w:lineRule="exact"/>
              <w:ind w:left="54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执法部门</w:t>
            </w:r>
          </w:p>
        </w:tc>
        <w:tc>
          <w:tcPr>
            <w:tcW w:w="2415" w:type="dxa"/>
            <w:vAlign w:val="center"/>
          </w:tcPr>
          <w:p>
            <w:pPr>
              <w:spacing w:line="315" w:lineRule="exact"/>
              <w:ind w:left="20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应提交的审核材料.</w:t>
            </w:r>
          </w:p>
        </w:tc>
        <w:tc>
          <w:tcPr>
            <w:tcW w:w="3247" w:type="dxa"/>
            <w:vAlign w:val="center"/>
          </w:tcPr>
          <w:p>
            <w:pPr>
              <w:spacing w:line="450" w:lineRule="exact"/>
              <w:ind w:left="138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47" w:hRule="atLeast"/>
        </w:trPr>
        <w:tc>
          <w:tcPr>
            <w:tcW w:w="555" w:type="dxa"/>
            <w:vAlign w:val="center"/>
          </w:tcPr>
          <w:p>
            <w:pPr>
              <w:spacing w:before="2229" w:line="476" w:lineRule="exact"/>
              <w:ind w:left="12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p>
        </w:tc>
        <w:tc>
          <w:tcPr>
            <w:tcW w:w="1305" w:type="dxa"/>
            <w:vAlign w:val="center"/>
          </w:tcPr>
          <w:p>
            <w:pPr>
              <w:spacing w:before="2185" w:line="525" w:lineRule="exact"/>
              <w:ind w:left="8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1575" w:type="dxa"/>
            <w:vAlign w:val="top"/>
          </w:tcPr>
          <w:p>
            <w:pPr>
              <w:spacing w:before="1606" w:line="520" w:lineRule="exact"/>
              <w:ind w:left="2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对导游人员处以吊销导游证等处罚</w:t>
            </w:r>
          </w:p>
        </w:tc>
        <w:tc>
          <w:tcPr>
            <w:tcW w:w="3450" w:type="dxa"/>
            <w:vAlign w:val="top"/>
          </w:tcPr>
          <w:p>
            <w:pPr>
              <w:spacing w:before="214" w:line="520" w:lineRule="exact"/>
              <w:ind w:left="4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《中华人民共和国旅游法</w:t>
            </w:r>
            <w:r>
              <w:rPr>
                <w:rFonts w:hint="eastAsia" w:asciiTheme="minorEastAsia" w:hAnsi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第九十八、九十九、一百、一百零一、一百零二条；《旅行社条例》第五十九、六十三条；</w:t>
            </w:r>
          </w:p>
          <w:p>
            <w:pPr>
              <w:spacing w:line="520" w:lineRule="exact"/>
              <w:ind w:left="4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《导游人员管理条例》第二十、二十三、二十四条《中国公民出国旅游管理办法》第二十九至三十二条等·</w:t>
            </w:r>
          </w:p>
        </w:tc>
        <w:tc>
          <w:tcPr>
            <w:tcW w:w="2085" w:type="dxa"/>
            <w:vAlign w:val="center"/>
          </w:tcPr>
          <w:p>
            <w:pPr>
              <w:spacing w:before="2187" w:line="375" w:lineRule="exact"/>
              <w:ind w:left="60" w:firstLine="0"/>
              <w:jc w:val="center"/>
              <w:rPr>
                <w:rFonts w:hint="eastAsia" w:asciiTheme="minorEastAsia" w:hAnsiTheme="minorEastAsia" w:eastAsiaTheme="minorEastAsia" w:cstheme="minorEastAsia"/>
                <w:sz w:val="24"/>
                <w:szCs w:val="24"/>
              </w:rPr>
            </w:pPr>
            <w:r>
              <w:rPr>
                <w:rFonts w:hint="eastAsia" w:ascii="宋体" w:hAnsi="宋体" w:eastAsia="宋体"/>
                <w:color w:val="000000"/>
                <w:sz w:val="24"/>
                <w:szCs w:val="24"/>
              </w:rPr>
              <w:t>执法</w:t>
            </w:r>
            <w:r>
              <w:rPr>
                <w:rFonts w:hint="eastAsia" w:ascii="宋体" w:hAnsi="宋体" w:eastAsia="宋体"/>
                <w:color w:val="000000"/>
                <w:sz w:val="24"/>
                <w:szCs w:val="24"/>
                <w:lang w:val="en-US" w:eastAsia="zh-CN"/>
              </w:rPr>
              <w:t>局</w:t>
            </w:r>
          </w:p>
        </w:tc>
        <w:tc>
          <w:tcPr>
            <w:tcW w:w="2415" w:type="dxa"/>
            <w:vAlign w:val="top"/>
          </w:tcPr>
          <w:p>
            <w:pPr>
              <w:spacing w:before="1053" w:line="520" w:lineRule="exact"/>
              <w:ind w:left="4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调查报告、重大行政执法决定建议意见及情况说明、执法决定书代拟稿、承办机构集体讨论记录等。</w:t>
            </w:r>
          </w:p>
        </w:tc>
        <w:tc>
          <w:tcPr>
            <w:tcW w:w="3247" w:type="dxa"/>
            <w:vAlign w:val="center"/>
          </w:tcPr>
          <w:p>
            <w:pPr>
              <w:spacing w:line="520" w:lineRule="exact"/>
              <w:ind w:left="80" w:firstLine="13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（一）执法主体是否合法，执法人员是否具备执法资格；（二）主要事实是否清楚，证据是否确凿、充分；</w:t>
            </w:r>
          </w:p>
          <w:p>
            <w:pPr>
              <w:spacing w:line="520" w:lineRule="exact"/>
              <w:ind w:left="80" w:firstLine="1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（三）适用法律、法规、规章是否准确；罚执行裁量基准是否适当：</w:t>
            </w:r>
          </w:p>
          <w:p>
            <w:pPr>
              <w:spacing w:line="500" w:lineRule="exact"/>
              <w:ind w:left="80" w:firstLine="1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（四）程序是否合法，是否充分保障行政相对人权利。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5" w:hRule="atLeast"/>
        </w:trPr>
        <w:tc>
          <w:tcPr>
            <w:tcW w:w="555" w:type="dxa"/>
            <w:vAlign w:val="center"/>
          </w:tcPr>
          <w:p>
            <w:pPr>
              <w:spacing w:before="1960" w:line="480" w:lineRule="exact"/>
              <w:ind w:left="12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w:t>
            </w:r>
          </w:p>
        </w:tc>
        <w:tc>
          <w:tcPr>
            <w:tcW w:w="1305" w:type="dxa"/>
            <w:vAlign w:val="center"/>
          </w:tcPr>
          <w:p>
            <w:pPr>
              <w:spacing w:before="1939" w:line="515" w:lineRule="exact"/>
              <w:ind w:left="6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行政处罚</w:t>
            </w:r>
          </w:p>
        </w:tc>
        <w:tc>
          <w:tcPr>
            <w:tcW w:w="1575" w:type="dxa"/>
            <w:vAlign w:val="center"/>
          </w:tcPr>
          <w:p>
            <w:pPr>
              <w:spacing w:before="7" w:line="520" w:lineRule="exact"/>
              <w:ind w:left="6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对自然人处以人民币一万元（不含）或对单位处以人民币10万元（不含）以上的较大数额罚款</w:t>
            </w:r>
          </w:p>
        </w:tc>
        <w:tc>
          <w:tcPr>
            <w:tcW w:w="3450" w:type="dxa"/>
            <w:vAlign w:val="top"/>
          </w:tcPr>
          <w:p>
            <w:pPr>
              <w:spacing w:before="1091" w:line="520" w:lineRule="exact"/>
              <w:ind w:left="6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eastAsia="zh-CN"/>
              </w:rPr>
              <w:t>中华人民共和国</w:t>
            </w:r>
            <w:r>
              <w:rPr>
                <w:rFonts w:hint="eastAsia" w:asciiTheme="minorEastAsia" w:hAnsiTheme="minorEastAsia" w:eastAsiaTheme="minorEastAsia" w:cstheme="minorEastAsia"/>
                <w:color w:val="000000"/>
                <w:sz w:val="24"/>
                <w:szCs w:val="24"/>
              </w:rPr>
              <w:t>旅游法》第九十八、一百、一百零一、一百零五条；《旅行社条例》第四十六、四十七、五十一、五十九条等</w:t>
            </w:r>
          </w:p>
        </w:tc>
        <w:tc>
          <w:tcPr>
            <w:tcW w:w="2085" w:type="dxa"/>
            <w:vAlign w:val="center"/>
          </w:tcPr>
          <w:p>
            <w:pPr>
              <w:spacing w:before="1920" w:line="375" w:lineRule="exact"/>
              <w:ind w:left="60" w:firstLine="0"/>
              <w:jc w:val="center"/>
              <w:rPr>
                <w:rFonts w:hint="eastAsia" w:asciiTheme="minorEastAsia" w:hAnsiTheme="minorEastAsia" w:eastAsiaTheme="minorEastAsia" w:cstheme="minorEastAsia"/>
                <w:sz w:val="24"/>
                <w:szCs w:val="24"/>
              </w:rPr>
            </w:pPr>
            <w:r>
              <w:rPr>
                <w:rFonts w:hint="eastAsia" w:ascii="宋体" w:hAnsi="宋体" w:eastAsia="宋体"/>
                <w:color w:val="000000"/>
                <w:sz w:val="24"/>
                <w:szCs w:val="24"/>
              </w:rPr>
              <w:t>执法</w:t>
            </w:r>
            <w:r>
              <w:rPr>
                <w:rFonts w:hint="eastAsia" w:ascii="宋体" w:hAnsi="宋体" w:eastAsia="宋体"/>
                <w:color w:val="000000"/>
                <w:sz w:val="24"/>
                <w:szCs w:val="24"/>
                <w:lang w:val="en-US" w:eastAsia="zh-CN"/>
              </w:rPr>
              <w:t>局</w:t>
            </w:r>
          </w:p>
        </w:tc>
        <w:tc>
          <w:tcPr>
            <w:tcW w:w="2415" w:type="dxa"/>
            <w:vAlign w:val="top"/>
          </w:tcPr>
          <w:p>
            <w:pPr>
              <w:spacing w:before="805" w:line="520" w:lineRule="exact"/>
              <w:ind w:left="60" w:firstLine="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调查报告、重大行政执法决定建议意见及情况说明、执法决定书代拟稿、承办机构集体讨论记录等。</w:t>
            </w:r>
          </w:p>
        </w:tc>
        <w:tc>
          <w:tcPr>
            <w:tcW w:w="3247" w:type="dxa"/>
            <w:vAlign w:val="center"/>
          </w:tcPr>
          <w:p>
            <w:pPr>
              <w:spacing w:line="500" w:lineRule="exact"/>
              <w:ind w:left="80" w:firstLine="15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（一）是否事先催告当事人履行义务；</w:t>
            </w:r>
          </w:p>
          <w:p>
            <w:pPr>
              <w:spacing w:line="520" w:lineRule="exact"/>
              <w:ind w:left="80" w:firstLine="133"/>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（二）是否听取当事人陈述和申辩；当事人提出的事实、理由或者证据成立的，承办部门是否采纳。</w:t>
            </w:r>
          </w:p>
          <w:p>
            <w:pPr>
              <w:spacing w:line="520" w:lineRule="exact"/>
              <w:ind w:left="80" w:firstLine="15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（三）加处罚款决定是否符合法定条件。</w:t>
            </w:r>
          </w:p>
        </w:tc>
      </w:tr>
    </w:tbl>
    <w:tbl>
      <w:tblPr>
        <w:tblStyle w:val="2"/>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07"/>
        <w:gridCol w:w="1289"/>
        <w:gridCol w:w="1587"/>
        <w:gridCol w:w="3476"/>
        <w:gridCol w:w="2089"/>
        <w:gridCol w:w="2414"/>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30" w:hRule="atLeast"/>
          <w:jc w:val="center"/>
        </w:trPr>
        <w:tc>
          <w:tcPr>
            <w:tcW w:w="507" w:type="dxa"/>
            <w:vAlign w:val="center"/>
          </w:tcPr>
          <w:p>
            <w:pPr>
              <w:spacing w:before="1755" w:line="384" w:lineRule="exact"/>
              <w:ind w:left="100" w:firstLine="0"/>
              <w:jc w:val="both"/>
              <w:rPr>
                <w:sz w:val="24"/>
                <w:szCs w:val="24"/>
              </w:rPr>
            </w:pPr>
            <w:r>
              <w:rPr>
                <w:rFonts w:hint="eastAsia" w:ascii="Arial" w:hAnsi="Arial" w:eastAsia="Arial"/>
                <w:color w:val="000000"/>
                <w:sz w:val="24"/>
                <w:szCs w:val="24"/>
              </w:rPr>
              <w:t>4</w:t>
            </w:r>
          </w:p>
        </w:tc>
        <w:tc>
          <w:tcPr>
            <w:tcW w:w="1289" w:type="dxa"/>
            <w:vAlign w:val="center"/>
          </w:tcPr>
          <w:p>
            <w:pPr>
              <w:spacing w:before="1699" w:line="455" w:lineRule="exact"/>
              <w:ind w:left="60" w:firstLine="0"/>
              <w:jc w:val="both"/>
              <w:rPr>
                <w:sz w:val="24"/>
                <w:szCs w:val="24"/>
              </w:rPr>
            </w:pPr>
            <w:r>
              <w:rPr>
                <w:rFonts w:hint="eastAsia" w:ascii="宋体" w:hAnsi="宋体" w:eastAsia="宋体"/>
                <w:color w:val="000000"/>
                <w:sz w:val="24"/>
                <w:szCs w:val="24"/>
              </w:rPr>
              <w:t>行政强制</w:t>
            </w:r>
          </w:p>
        </w:tc>
        <w:tc>
          <w:tcPr>
            <w:tcW w:w="1587" w:type="dxa"/>
            <w:vAlign w:val="center"/>
          </w:tcPr>
          <w:p>
            <w:pPr>
              <w:spacing w:before="1738" w:line="420" w:lineRule="exact"/>
              <w:ind w:left="40" w:firstLine="0"/>
              <w:jc w:val="left"/>
              <w:rPr>
                <w:sz w:val="24"/>
                <w:szCs w:val="24"/>
              </w:rPr>
            </w:pPr>
            <w:r>
              <w:rPr>
                <w:rFonts w:hint="eastAsia" w:ascii="宋体" w:hAnsi="宋体" w:eastAsia="宋体"/>
                <w:color w:val="000000"/>
                <w:sz w:val="24"/>
                <w:szCs w:val="24"/>
              </w:rPr>
              <w:t>加处罚款</w:t>
            </w:r>
          </w:p>
        </w:tc>
        <w:tc>
          <w:tcPr>
            <w:tcW w:w="3476" w:type="dxa"/>
            <w:vAlign w:val="center"/>
          </w:tcPr>
          <w:p>
            <w:pPr>
              <w:spacing w:before="1666" w:line="255" w:lineRule="exact"/>
              <w:ind w:left="140" w:firstLine="0"/>
              <w:jc w:val="both"/>
              <w:rPr>
                <w:sz w:val="24"/>
                <w:szCs w:val="24"/>
              </w:rPr>
            </w:pPr>
            <w:r>
              <w:rPr>
                <w:rFonts w:hint="eastAsia" w:ascii="宋体" w:hAnsi="宋体" w:eastAsia="宋体"/>
                <w:color w:val="000000"/>
                <w:sz w:val="24"/>
                <w:szCs w:val="24"/>
              </w:rPr>
              <w:t>《中华人民共和国行政处罚法》第五十一条等</w:t>
            </w:r>
            <w:bookmarkStart w:id="0" w:name="_GoBack"/>
            <w:bookmarkEnd w:id="0"/>
          </w:p>
        </w:tc>
        <w:tc>
          <w:tcPr>
            <w:tcW w:w="2089" w:type="dxa"/>
            <w:vAlign w:val="top"/>
          </w:tcPr>
          <w:p>
            <w:pPr>
              <w:spacing w:before="1402" w:line="480" w:lineRule="exact"/>
              <w:ind w:left="60" w:firstLine="0"/>
              <w:jc w:val="center"/>
              <w:rPr>
                <w:sz w:val="24"/>
                <w:szCs w:val="24"/>
              </w:rPr>
            </w:pPr>
            <w:r>
              <w:rPr>
                <w:rFonts w:hint="eastAsia" w:ascii="宋体" w:hAnsi="宋体" w:eastAsia="宋体"/>
                <w:color w:val="000000"/>
                <w:sz w:val="24"/>
                <w:szCs w:val="24"/>
              </w:rPr>
              <w:t>执法</w:t>
            </w:r>
            <w:r>
              <w:rPr>
                <w:rFonts w:hint="eastAsia" w:ascii="宋体" w:hAnsi="宋体" w:eastAsia="宋体"/>
                <w:color w:val="000000"/>
                <w:sz w:val="24"/>
                <w:szCs w:val="24"/>
                <w:lang w:val="en-US" w:eastAsia="zh-CN"/>
              </w:rPr>
              <w:t>局</w:t>
            </w:r>
          </w:p>
        </w:tc>
        <w:tc>
          <w:tcPr>
            <w:tcW w:w="2414" w:type="dxa"/>
            <w:vAlign w:val="top"/>
          </w:tcPr>
          <w:p>
            <w:pPr>
              <w:spacing w:before="703" w:line="460" w:lineRule="exact"/>
              <w:ind w:left="20" w:firstLine="0"/>
              <w:jc w:val="left"/>
              <w:rPr>
                <w:sz w:val="24"/>
                <w:szCs w:val="24"/>
              </w:rPr>
            </w:pPr>
            <w:r>
              <w:rPr>
                <w:rFonts w:hint="eastAsia" w:ascii="宋体" w:hAnsi="宋体" w:eastAsia="宋体"/>
                <w:color w:val="000000"/>
                <w:sz w:val="24"/>
                <w:szCs w:val="24"/>
              </w:rPr>
              <w:t>调查报告、重大行政执法决定建议意见及情况说明、执法决定书代拟稿、承办机构集体讨论记录等。</w:t>
            </w:r>
          </w:p>
        </w:tc>
        <w:tc>
          <w:tcPr>
            <w:tcW w:w="3234" w:type="dxa"/>
            <w:vAlign w:val="center"/>
          </w:tcPr>
          <w:p>
            <w:pPr>
              <w:spacing w:line="480" w:lineRule="exact"/>
              <w:ind w:left="60" w:firstLine="0"/>
              <w:jc w:val="both"/>
              <w:rPr>
                <w:sz w:val="24"/>
                <w:szCs w:val="24"/>
              </w:rPr>
            </w:pPr>
            <w:r>
              <w:rPr>
                <w:rFonts w:hint="eastAsia" w:ascii="宋体" w:hAnsi="宋体" w:eastAsia="宋体"/>
                <w:color w:val="000000"/>
                <w:sz w:val="24"/>
                <w:szCs w:val="24"/>
              </w:rPr>
              <w:t>（一）是否事先催告当事人履行义务；</w:t>
            </w:r>
          </w:p>
          <w:p>
            <w:pPr>
              <w:spacing w:line="460" w:lineRule="exact"/>
              <w:ind w:left="60" w:firstLine="0"/>
              <w:jc w:val="both"/>
              <w:rPr>
                <w:sz w:val="24"/>
                <w:szCs w:val="24"/>
              </w:rPr>
            </w:pPr>
            <w:r>
              <w:rPr>
                <w:rFonts w:hint="eastAsia" w:ascii="宋体" w:hAnsi="宋体" w:eastAsia="宋体"/>
                <w:color w:val="000000"/>
                <w:sz w:val="24"/>
                <w:szCs w:val="24"/>
              </w:rPr>
              <w:t>（二）是否听取当事人陈述和申辩；当事人提出的事实、理由或者证据成立的，承办部门是否采纳。</w:t>
            </w:r>
          </w:p>
          <w:p>
            <w:pPr>
              <w:spacing w:line="500" w:lineRule="exact"/>
              <w:ind w:left="60" w:firstLine="135"/>
              <w:jc w:val="both"/>
              <w:rPr>
                <w:sz w:val="24"/>
                <w:szCs w:val="24"/>
              </w:rPr>
            </w:pPr>
            <w:r>
              <w:rPr>
                <w:rFonts w:hint="eastAsia" w:ascii="宋体" w:hAnsi="宋体" w:eastAsia="宋体"/>
                <w:color w:val="000000"/>
                <w:sz w:val="24"/>
                <w:szCs w:val="24"/>
              </w:rPr>
              <w:t>（三）加处罚款决定是否符合法定条件。</w:t>
            </w:r>
          </w:p>
        </w:tc>
      </w:tr>
    </w:tbl>
    <w:p/>
    <w:sectPr>
      <w:pgSz w:w="16838" w:h="11906" w:orient="landscape"/>
      <w:pgMar w:top="1803" w:right="1440" w:bottom="1406"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OTBlYmIyYWQwZGY5MmY4ZjgxZDkwMzQwZWU0M2MifQ=="/>
  </w:docVars>
  <w:rsids>
    <w:rsidRoot w:val="00000000"/>
    <w:rsid w:val="194272E3"/>
    <w:rsid w:val="389C5576"/>
    <w:rsid w:val="49DA2E01"/>
    <w:rsid w:val="4E051D2D"/>
    <w:rsid w:val="7EDF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1012</Words>
  <Characters>1014</Characters>
  <Lines>0</Lines>
  <Paragraphs>0</Paragraphs>
  <TotalTime>10</TotalTime>
  <ScaleCrop>false</ScaleCrop>
  <LinksUpToDate>false</LinksUpToDate>
  <CharactersWithSpaces>1014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2023-08-11T09:05:00Z</dcterms:created>
  <dc:creator>Administrator</dc:creator>
  <cp:lastModifiedBy>乐悠（太保赵旭丹）</cp:lastModifiedBy>
  <cp:lastPrinted>2023-08-11T09:14:00Z</cp:lastPrinted>
  <dcterms:modified xsi:type="dcterms:W3CDTF">2024-03-22T07:03:46Z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26C9931EC3284F1D8DA9B9765146051F_12</vt:lpwstr>
  </property>
</Properties>
</file>