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4"/>
          <w:szCs w:val="44"/>
        </w:rPr>
      </w:pPr>
      <w:bookmarkStart w:id="2" w:name="_GoBack"/>
      <w:bookmarkEnd w:id="2"/>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rPr>
        <w:t>2</w:t>
      </w:r>
      <w:r>
        <w:rPr>
          <w:rFonts w:hint="eastAsia" w:ascii="Times New Roman" w:hAnsi="Times New Roman" w:eastAsia="仿宋" w:cs="Times New Roman"/>
          <w:sz w:val="30"/>
          <w:szCs w:val="30"/>
          <w:lang w:val="en-US" w:eastAsia="zh-CN"/>
        </w:rPr>
        <w:t>1</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sym w:font="Wingdings 2" w:char="0052"/>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1280" w:firstLineChars="400"/>
        <w:rPr>
          <w:rFonts w:hint="eastAsia" w:ascii="Times New Roman" w:hAnsi="Times New Roman" w:eastAsia="仿宋" w:cs="Times New Roman"/>
          <w:sz w:val="32"/>
          <w:szCs w:val="32"/>
          <w:u w:val="single"/>
          <w:lang w:eastAsia="zh-CN"/>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lang w:eastAsia="zh-CN"/>
        </w:rPr>
        <w:t>唐山市曹妃甸区公安局</w:t>
      </w:r>
    </w:p>
    <w:p>
      <w:pPr>
        <w:ind w:firstLine="1280" w:firstLineChars="400"/>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联系电话：</w:t>
      </w:r>
      <w:r>
        <w:rPr>
          <w:rFonts w:hint="eastAsia" w:ascii="Times New Roman" w:hAnsi="Times New Roman" w:eastAsia="仿宋" w:cs="Times New Roman"/>
          <w:sz w:val="32"/>
          <w:szCs w:val="32"/>
          <w:u w:val="single"/>
        </w:rPr>
        <w:t>0315-8787</w:t>
      </w:r>
      <w:r>
        <w:rPr>
          <w:rFonts w:hint="eastAsia" w:ascii="Times New Roman" w:hAnsi="Times New Roman" w:eastAsia="仿宋" w:cs="Times New Roman"/>
          <w:sz w:val="32"/>
          <w:szCs w:val="32"/>
          <w:u w:val="single"/>
          <w:lang w:val="en-US" w:eastAsia="zh-CN"/>
        </w:rPr>
        <w:t>268</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28</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lang w:eastAsia="zh-CN"/>
        </w:rPr>
        <w:t>唐山市曹妃甸区公安局</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jc w:val="center"/>
        <w:rPr>
          <w:rFonts w:cs="Times New Roman" w:asciiTheme="minorEastAsia" w:hAnsiTheme="minorEastAsia"/>
          <w:b/>
          <w:sz w:val="44"/>
          <w:szCs w:val="44"/>
        </w:rPr>
      </w:pP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22821.15</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18398.33</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80.62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101</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8423.08</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5303.01</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62.96</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spacing w:before="156" w:beforeLines="50" w:after="156" w:afterLines="50"/>
        <w:ind w:firstLine="560" w:firstLineChars="200"/>
        <w:jc w:val="left"/>
        <w:outlineLvl w:val="1"/>
        <w:rPr>
          <w:rFonts w:hAnsi="宋体"/>
          <w:sz w:val="28"/>
        </w:rPr>
      </w:pPr>
      <w:bookmarkStart w:id="0" w:name="_Toc64972896"/>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2021年是中国共产党成立100周年，也是全面建设社会主义现代化国家、向第二个百年奋斗目标进军的开局之年，我局将深入贯彻落实党的十九届五中全会和省委九届十一次全会精神，进一步增强“四个意识”、坚定“四个自信”、做到“两个维护”，以实施</w:t>
      </w:r>
      <w:r>
        <w:rPr>
          <w:rFonts w:hint="eastAsia" w:ascii="Times New Roman" w:hAnsi="Times New Roman" w:eastAsia="仿宋" w:cs="Times New Roman"/>
          <w:sz w:val="32"/>
          <w:szCs w:val="32"/>
          <w:lang w:eastAsia="zh-CN"/>
        </w:rPr>
        <w:t>“十四五”规划</w:t>
      </w:r>
      <w:r>
        <w:rPr>
          <w:rFonts w:ascii="Times New Roman" w:hAnsi="Times New Roman" w:eastAsia="仿宋" w:cs="Times New Roman"/>
          <w:sz w:val="32"/>
          <w:szCs w:val="32"/>
        </w:rPr>
        <w:t>为契机，围绕区委区政府工作部署，深入学习贯彻各级政法、公安工作会议精神，充分发挥公安部门职能作用，全面抓好打击整治、基础建设、疫情防控、队伍建设等工作，全面服务发展大局，主动担当，靠前服务，提升维护安全和社会稳定的能力水平，为全区社会稳定发展创造更加和谐稳定的治安环境。</w:t>
      </w:r>
    </w:p>
    <w:p>
      <w:pPr>
        <w:spacing w:before="156" w:beforeLines="50" w:after="156" w:afterLines="50" w:line="500" w:lineRule="exact"/>
        <w:ind w:firstLine="560" w:firstLineChars="200"/>
        <w:jc w:val="left"/>
        <w:outlineLvl w:val="1"/>
        <w:rPr>
          <w:rFonts w:hAnsi="宋体"/>
          <w:sz w:val="28"/>
        </w:rPr>
      </w:pPr>
      <w:bookmarkStart w:id="1" w:name="_Toc64972897"/>
      <w:r>
        <w:rPr>
          <w:rFonts w:hint="eastAsia" w:ascii="方正黑体_GBK" w:eastAsia="方正黑体_GBK"/>
          <w:sz w:val="28"/>
        </w:rPr>
        <w:t>二、分项绩效目标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pPr>
        <w:ind w:firstLine="560" w:firstLineChars="200"/>
        <w:rPr>
          <w:rFonts w:ascii="Times New Roman" w:hAnsi="Times New Roman" w:eastAsia="仿宋" w:cs="Times New Roman"/>
          <w:sz w:val="32"/>
          <w:szCs w:val="32"/>
        </w:rPr>
      </w:pPr>
      <w:r>
        <w:rPr>
          <w:rFonts w:eastAsia="方正仿宋_GBK"/>
          <w:sz w:val="28"/>
        </w:rPr>
        <w:t xml:space="preserve">   </w:t>
      </w:r>
      <w:r>
        <w:rPr>
          <w:rFonts w:ascii="Times New Roman" w:hAnsi="Times New Roman" w:eastAsia="仿宋" w:cs="Times New Roman"/>
          <w:sz w:val="32"/>
          <w:szCs w:val="32"/>
        </w:rPr>
        <w:t xml:space="preserve"> (一)维护国家安全和政治稳定</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目标：预防打击危害国家安全和县级社会稳定的案件及事件，维护国家安全和政治稳定。及时发现情报、线索，有效防范影响政治安全的重大敏感事件，阻止境内外敌对势力在网上进行集中的发动宣传、建立政治舞台和活动阵地；提高反恐处突能力，最大限度地减少人员伤亡和社会危害，维护我区的政治安定和社会稳定，保护国家和人民群众的生命财产安全，突发事件得到及时处置，大型活动成功举办；上网场所安全技术措施和上网实名制有效落实，属地网站违法有害信息能够及时发现和处置，全区重要信息系统和政府网站等级保护工作得到有效落实，网络与信息安全事件得到有效控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指标：发现（核查）线索和情报信息，以及有价值的情报信息采用率不断提高；重点人在控率、大型活动安全举办率达标；上网场所安全技术措施落实率、上网场所上网实名率、网站备案率以及网络违法有害信息处置率达到上级要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（二）打击防范违法犯罪，降低案件发案率，提高案件侦破率</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目标：做好各类犯罪案件的侦破工作，指导办理食品药品安全、环境安全保卫工作，降低案件发案率，提高案件侦破率。有效控制、降低大要案发案率，严厉打击刑事犯罪，保护人民生命安全；有效打击黑社会性质团伙及新型犯罪，严厉打击刑事犯罪，保护人民群众生命和财产安全，维护社会政策秩序；严厉打击重大经济犯罪案、毒品犯罪案件、网络违法犯罪案件、食品药品安全犯罪、环境安全犯罪等，维护社会经济秩序，保护人民生命安全，维护社会长治久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绩效指标：各类案件立案、破案、结案率达到上级规定标准；黑恶案件的打击处理率达到规定标准；完成预警防范信息发布数量；非法种植毒品面积下降率、吸毒人员查处率均达到上级要求。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（三）做好社会面管控，维护社会稳定，提高群众安全感和满意度</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目标：组织开展巡逻防控工作，有效遏制街面可防性案件发案，提升人民群众安全感和满意率；通过信息采集、登记等手段，加强对常驻、暂住、重点人口和出租房屋的管理，掌握底数和变化情况，有效保障全区居民对居民身份证等证件业务办理和持有需求；提高护城河科技化、信息化水平，提高护城河整体查控能力，减少涉及枪械及危险爆炸物品的案件发生，保障合法生产经营，提高整体防控能力水平，确保全区输油气管道和电力设施平稳运行，规范全区保安服务市场，掌握全区治安形势，指导治安防范和管理，实现平安创建工作目标；强化境外人员管理，有效打击骗取出入境证件、偷越国边境、妨害国边境管理案件，强化出入境证件申办管理工作，提高群众满意度。</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指标：“两抢一盗”案件同比降低，户口登记项目准确率、居民持证率达标，身份证件免费办理，申办、补办身份证所需时间同比缩短；治安案件数同比下降，旅店业实名登记上传率提高；出国人员身份核实准确率提高，偷越国边境案件侦破率达标，出入境证件申办周期缩短。</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（四）公安科学技术水平进一步提高，为公安机关开展业务工作提供技术支持</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绩效目标：提高鉴定准确率，有效辅助案件侦破工作；提高情报信息搜索研判分析能力、对重点人管控能力，保证技侦系统正常运转，有效辅助案件侦破；全面提升我区公安机关信息化建设水平。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绩效指标：样品物证检验鉴定比例达到规定标准；重点人员管控率、有价值情报信息采用率不断提高，信息系统应用率达标。</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（五）做好羁押管理工作，不断提升监所管理和安全防范水平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目标：做好在押人员的监管教育，安全防范工作，查处安全事故，做好监所硬件设施建设、被监管人员生活、卫生、医疗保障工作，做好监所信息化建设，提升监所卫生医疗水平，积极开展深挖犯罪工作，破获各类案件，进一步提升我区公安监所管理和安全防范水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绩效指标：监所安全事故发生率同比下降，监所安全事故发生数量占羁押人员数量的比例低于全省平均水平。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（五）全力建设智慧交通，减量控大，确保辖区道路交通安全。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目标：加强交通安全管理科技投入和智能化建设，加快推进“智慧交管”项目建设进度，以数据引领警务，用科技服务实战，确保按既定方案要求完成全部基础建设及设备安装调试任务。确保完成我区“智慧交管”建设任务。最大限度的从源头消除安全隐患，确保交通警情第一时间发现、第一时间响应、第一时间处置。聚焦“减量控大”（减少事故死亡总量 、防控较大以上事故）总目标，在巩固重特大事故预防成果、保持稳定态势基础上，着力在减少事故、保护生命上下功夫，补短板、堵漏洞、强弱项，防风险、除隐患、保安全，力争全区交通事故死亡总量有更大幅度下降，努力将较大事故起数始终稳控在低位，坚决守好安全底线。要以更高标准和要求把整治工作抓深抓细，切实提升交通治理能力和管理水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绩效指标：保障道路交通安全、畅通、有序，为全县经济社会发展提供良好的道路交通环境；规范机动车登记行为，保护公民、法人和其他组织的合法权益，促进经济、社会发展；提高机动车驾驶人安全文明驾驶素质，全力预防和减少重特大道路交通事故；加强交通法制建设与安全宣传力度；强化交警的宗旨意识，提高执法水平和管理服务社会能力，力争全区交通事故死亡总量有更大幅度下降，努力将较大事故起数始终稳控在低位。</w:t>
      </w:r>
    </w:p>
    <w:p>
      <w:pPr>
        <w:ind w:firstLine="643" w:firstLineChars="200"/>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101</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8423.08</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spacing w:line="570" w:lineRule="exact"/>
        <w:ind w:firstLine="627" w:firstLineChars="196"/>
        <w:textAlignment w:val="center"/>
        <w:rPr>
          <w:rFonts w:hint="eastAsia" w:ascii="仿宋" w:hAnsi="仿宋" w:eastAsia="仿宋" w:cs="仿宋"/>
          <w:sz w:val="32"/>
          <w:szCs w:val="32"/>
        </w:rPr>
      </w:pPr>
      <w:r>
        <w:rPr>
          <w:rFonts w:hint="eastAsia" w:ascii="仿宋" w:hAnsi="仿宋" w:eastAsia="仿宋" w:cs="仿宋"/>
          <w:sz w:val="32"/>
          <w:szCs w:val="32"/>
        </w:rPr>
        <w:t>2021年，全区公安机关坚持以习近平新时代中国特色社会主义思想为指导，始终践行以人民为中心的发展理念，认真贯彻落实上级公安机关和区委、区政府决策部署，全体公安民警忠诚履职，践行“精致、细致、极致”的工作方法，以建党一百周年安保维稳为主线，紧紧围绕“燕赵-砺剑铸盾2021”和队伍教育整顿等重点工作，扎实推进各项工作开展，不断增强人民群众获得感、幸福感、安全感，提升公安工作满意度，为建设“平安曹妃甸”，营造坚实稳固的政治环境、安定有序的社会环境、公平正义的法制环境、优质高效的服务环境贡献出了积极的公安力量。</w:t>
      </w:r>
    </w:p>
    <w:p>
      <w:pPr>
        <w:spacing w:line="570" w:lineRule="exact"/>
        <w:ind w:firstLine="640" w:firstLineChars="200"/>
        <w:textAlignment w:val="center"/>
        <w:rPr>
          <w:rStyle w:val="5"/>
          <w:rFonts w:hint="eastAsia" w:ascii="仿宋" w:hAnsi="仿宋" w:eastAsia="仿宋" w:cs="仿宋"/>
          <w:b w:val="0"/>
          <w:sz w:val="32"/>
          <w:szCs w:val="32"/>
        </w:rPr>
      </w:pPr>
      <w:r>
        <w:rPr>
          <w:rFonts w:hint="eastAsia" w:ascii="仿宋" w:hAnsi="仿宋" w:eastAsia="仿宋" w:cs="仿宋"/>
          <w:sz w:val="32"/>
          <w:szCs w:val="32"/>
        </w:rPr>
        <w:t>一、护航百年</w:t>
      </w:r>
      <w:r>
        <w:rPr>
          <w:rFonts w:hint="eastAsia" w:ascii="仿宋" w:hAnsi="仿宋" w:eastAsia="仿宋" w:cs="仿宋"/>
          <w:sz w:val="32"/>
          <w:szCs w:val="32"/>
          <w:lang w:val="en-US" w:eastAsia="zh-CN"/>
        </w:rPr>
        <w:t>AB</w:t>
      </w:r>
      <w:r>
        <w:rPr>
          <w:rFonts w:hint="eastAsia" w:ascii="仿宋" w:hAnsi="仿宋" w:eastAsia="仿宋" w:cs="仿宋"/>
          <w:sz w:val="32"/>
          <w:szCs w:val="32"/>
        </w:rPr>
        <w:t>，</w:t>
      </w:r>
      <w:r>
        <w:rPr>
          <w:rFonts w:hint="eastAsia" w:ascii="仿宋" w:hAnsi="仿宋" w:eastAsia="仿宋" w:cs="仿宋"/>
          <w:color w:val="000000"/>
          <w:kern w:val="0"/>
          <w:sz w:val="32"/>
          <w:szCs w:val="32"/>
        </w:rPr>
        <w:t>推进社会矛盾化解，全面维护社会和谐稳定。</w:t>
      </w:r>
    </w:p>
    <w:p>
      <w:pPr>
        <w:spacing w:line="57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我局紧紧围绕全区工作大局，正确处理改革、发展、稳定关系，充分发挥职能作用，切实维护社会稳定。</w:t>
      </w:r>
    </w:p>
    <w:p>
      <w:pPr>
        <w:spacing w:line="570" w:lineRule="exact"/>
        <w:ind w:firstLine="643" w:firstLineChars="200"/>
        <w:textAlignment w:val="center"/>
        <w:rPr>
          <w:rFonts w:hint="eastAsia" w:ascii="仿宋" w:hAnsi="仿宋" w:eastAsia="仿宋" w:cs="仿宋"/>
          <w:sz w:val="32"/>
          <w:szCs w:val="32"/>
        </w:rPr>
      </w:pPr>
      <w:r>
        <w:rPr>
          <w:rFonts w:hint="eastAsia" w:ascii="仿宋" w:hAnsi="仿宋" w:eastAsia="仿宋" w:cs="仿宋"/>
          <w:b/>
          <w:sz w:val="32"/>
          <w:szCs w:val="32"/>
        </w:rPr>
        <w:t>一是全力做好</w:t>
      </w:r>
      <w:r>
        <w:rPr>
          <w:rFonts w:hint="eastAsia" w:ascii="仿宋" w:hAnsi="仿宋" w:eastAsia="仿宋" w:cs="仿宋"/>
          <w:b/>
          <w:sz w:val="32"/>
          <w:szCs w:val="32"/>
          <w:lang w:val="en-US" w:eastAsia="zh-CN"/>
        </w:rPr>
        <w:t>ABWW</w:t>
      </w:r>
      <w:r>
        <w:rPr>
          <w:rFonts w:hint="eastAsia" w:ascii="仿宋" w:hAnsi="仿宋" w:eastAsia="仿宋" w:cs="仿宋"/>
          <w:b/>
          <w:sz w:val="32"/>
          <w:szCs w:val="32"/>
        </w:rPr>
        <w:t>工作。</w:t>
      </w:r>
      <w:r>
        <w:rPr>
          <w:rFonts w:hint="eastAsia" w:ascii="仿宋" w:hAnsi="仿宋" w:eastAsia="仿宋" w:cs="仿宋"/>
          <w:sz w:val="32"/>
          <w:szCs w:val="32"/>
        </w:rPr>
        <w:t>广大民辅警昼夜奋战、忘我付出，共出动巡控警力23500余人次、车辆6400余辆次，累计核查车辆33725辆，核查人员69761名，圆满完成“建党100周年”“暑期</w:t>
      </w:r>
      <w:r>
        <w:rPr>
          <w:rFonts w:hint="eastAsia" w:ascii="仿宋" w:hAnsi="仿宋" w:eastAsia="仿宋" w:cs="仿宋"/>
          <w:sz w:val="32"/>
          <w:szCs w:val="32"/>
          <w:lang w:val="en-US" w:eastAsia="zh-CN"/>
        </w:rPr>
        <w:t>AB</w:t>
      </w:r>
      <w:r>
        <w:rPr>
          <w:rFonts w:hint="eastAsia" w:ascii="仿宋" w:hAnsi="仿宋" w:eastAsia="仿宋" w:cs="仿宋"/>
          <w:sz w:val="32"/>
          <w:szCs w:val="32"/>
        </w:rPr>
        <w:t>”“两节两会”及各级领导来曹调研等各类</w:t>
      </w:r>
      <w:r>
        <w:rPr>
          <w:rFonts w:hint="eastAsia" w:ascii="仿宋" w:hAnsi="仿宋" w:eastAsia="仿宋" w:cs="仿宋"/>
          <w:sz w:val="32"/>
          <w:szCs w:val="32"/>
          <w:lang w:val="en-US" w:eastAsia="zh-CN"/>
        </w:rPr>
        <w:t>AB</w:t>
      </w:r>
      <w:r>
        <w:rPr>
          <w:rFonts w:hint="eastAsia" w:ascii="仿宋" w:hAnsi="仿宋" w:eastAsia="仿宋" w:cs="仿宋"/>
          <w:sz w:val="32"/>
          <w:szCs w:val="32"/>
        </w:rPr>
        <w:t>和</w:t>
      </w:r>
      <w:r>
        <w:rPr>
          <w:rFonts w:hint="eastAsia" w:ascii="仿宋" w:hAnsi="仿宋" w:eastAsia="仿宋" w:cs="仿宋"/>
          <w:sz w:val="32"/>
          <w:szCs w:val="32"/>
          <w:lang w:val="en-US" w:eastAsia="zh-CN"/>
        </w:rPr>
        <w:t>JW</w:t>
      </w:r>
      <w:r>
        <w:rPr>
          <w:rFonts w:hint="eastAsia" w:ascii="仿宋" w:hAnsi="仿宋" w:eastAsia="仿宋" w:cs="仿宋"/>
          <w:sz w:val="32"/>
          <w:szCs w:val="32"/>
        </w:rPr>
        <w:t>任务。</w:t>
      </w:r>
    </w:p>
    <w:p>
      <w:pPr>
        <w:spacing w:line="570" w:lineRule="exact"/>
        <w:ind w:firstLine="643" w:firstLineChars="200"/>
        <w:textAlignment w:val="center"/>
        <w:rPr>
          <w:rFonts w:hint="eastAsia" w:ascii="仿宋" w:hAnsi="仿宋" w:eastAsia="仿宋" w:cs="仿宋"/>
          <w:sz w:val="32"/>
          <w:szCs w:val="32"/>
        </w:rPr>
      </w:pPr>
      <w:r>
        <w:rPr>
          <w:rFonts w:hint="eastAsia" w:ascii="仿宋" w:hAnsi="仿宋" w:eastAsia="仿宋" w:cs="仿宋"/>
          <w:b/>
          <w:sz w:val="32"/>
          <w:szCs w:val="32"/>
        </w:rPr>
        <w:t>二是全力做好疫情防控工作。</w:t>
      </w:r>
      <w:r>
        <w:rPr>
          <w:rFonts w:hint="eastAsia" w:ascii="仿宋" w:hAnsi="仿宋" w:eastAsia="仿宋" w:cs="仿宋"/>
          <w:sz w:val="32"/>
          <w:szCs w:val="32"/>
        </w:rPr>
        <w:t>围绕“外防输入、内防反弹”总要求，始终把人民群众生命安全和身体健康放在首要位置，充分发挥公安机关职能作用，科学精准做好新冠肺炎疫情常防控工作。强化内部防控，全局民辅警疫苗接种率99.57%。强化“大数据”核查，累计核查各类数据线索24525条，已全部核实。强化涉疫案件办理，查处各类涉疫案件8起，行政拘留8人。</w:t>
      </w:r>
    </w:p>
    <w:p>
      <w:pPr>
        <w:spacing w:line="57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二、聚焦主责主业，开展专项整治行动，持续保持严打高压态势。</w:t>
      </w:r>
    </w:p>
    <w:p>
      <w:pPr>
        <w:spacing w:line="57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以重点工作考评为抓手，深入开展“燕赵-砺剑铸盾2021” “保民生、破小案”等打击整治专项行动，潜心经营，持续发力，全力攻坚。全年共破获刑事案件427起，同比上升11.2%，抓获犯罪嫌疑人401人，查处治安案件2084起，同比上升4.8%，行政拘留350人，破获毒品案件6起，查处吸毒人员41人，抓获各类网上逃犯96名，打掉恶势力犯罪团伙1个，破获命案3起，现行命案破案率100%。</w:t>
      </w:r>
    </w:p>
    <w:p>
      <w:pPr>
        <w:spacing w:line="570" w:lineRule="exact"/>
        <w:ind w:firstLine="643" w:firstLineChars="200"/>
        <w:textAlignment w:val="center"/>
        <w:rPr>
          <w:rFonts w:hint="eastAsia" w:ascii="仿宋" w:hAnsi="仿宋" w:eastAsia="仿宋" w:cs="仿宋"/>
          <w:sz w:val="32"/>
          <w:szCs w:val="32"/>
        </w:rPr>
      </w:pPr>
      <w:r>
        <w:rPr>
          <w:rFonts w:hint="eastAsia" w:ascii="仿宋" w:hAnsi="仿宋" w:eastAsia="仿宋" w:cs="仿宋"/>
          <w:b/>
          <w:sz w:val="32"/>
          <w:szCs w:val="32"/>
        </w:rPr>
        <w:t>一是突出群众关注民生案件的专项打击。</w:t>
      </w:r>
      <w:r>
        <w:rPr>
          <w:rFonts w:hint="eastAsia" w:ascii="仿宋" w:hAnsi="仿宋" w:eastAsia="仿宋" w:cs="仿宋"/>
          <w:sz w:val="32"/>
          <w:szCs w:val="32"/>
        </w:rPr>
        <w:t>牢固树立小案件、大民生的理念，始终保持对涉众型经济犯罪、电信诈骗犯罪的打击锋芒，共破获“盗抢骗”等侵财类案件91起，抓获犯罪嫌疑人61人，破获电信诈骗案件135起，抓获电信诈骗犯罪嫌疑人122人。我局代表省厅参加了全国经侦商贸领域宏观研判大比武获得三等奖，省厅特此发来贺电。</w:t>
      </w:r>
    </w:p>
    <w:p>
      <w:pPr>
        <w:spacing w:line="57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二是严打涉食药、环安、森林类违法犯罪。</w:t>
      </w:r>
      <w:r>
        <w:rPr>
          <w:rFonts w:hint="eastAsia" w:ascii="仿宋" w:hAnsi="仿宋" w:eastAsia="仿宋" w:cs="仿宋"/>
          <w:sz w:val="32"/>
          <w:szCs w:val="32"/>
        </w:rPr>
        <w:t>破获食药类案件9起，取保9人，办理侵犯知识产权案1起，刑拘1人，移送起诉3人，完成公安部转发的集群案件24起，调查取证101人；办理环安类行政案件183起，行政拘留101人，侦办刑事案件15起，刑拘37人；侦办森林类刑事案件12起，刑拘22人；连续破获多起危害珍贵、濒危野生动物案，救助国家二级重点保护野生动物1只、《濒危野生动植物种国际贸易公约》附录中野生动物3只、国家“三有”保护野生动物78只。</w:t>
      </w:r>
    </w:p>
    <w:p>
      <w:pPr>
        <w:spacing w:line="570" w:lineRule="exact"/>
        <w:ind w:firstLine="643" w:firstLineChars="200"/>
        <w:textAlignment w:val="center"/>
        <w:rPr>
          <w:rFonts w:hint="eastAsia" w:ascii="仿宋" w:hAnsi="仿宋" w:eastAsia="仿宋" w:cs="仿宋"/>
          <w:sz w:val="32"/>
          <w:szCs w:val="32"/>
        </w:rPr>
      </w:pPr>
      <w:r>
        <w:rPr>
          <w:rFonts w:hint="eastAsia" w:ascii="仿宋" w:hAnsi="仿宋" w:eastAsia="仿宋" w:cs="仿宋"/>
          <w:b/>
          <w:sz w:val="32"/>
          <w:szCs w:val="32"/>
        </w:rPr>
        <w:t>三是强化“三非”外国人核查处置。</w:t>
      </w:r>
      <w:r>
        <w:rPr>
          <w:rFonts w:hint="eastAsia" w:ascii="仿宋" w:hAnsi="仿宋" w:eastAsia="仿宋" w:cs="仿宋"/>
          <w:sz w:val="32"/>
          <w:szCs w:val="32"/>
        </w:rPr>
        <w:t>主动出击在打击偷越国（边）境犯罪方面办理案件7起，成功实现打击跨境犯罪工作“零突破”；在“三非”外国人治理工作中办理案件8起，走访辖区涉外企业16家，涉外学校5家；见面常住外国人28人、重点境外人员5人，广泛开展“三非”违法犯罪法制宣传教育活动。</w:t>
      </w:r>
    </w:p>
    <w:p>
      <w:pPr>
        <w:pStyle w:val="8"/>
        <w:spacing w:line="570" w:lineRule="exact"/>
        <w:ind w:firstLine="640" w:firstLineChars="200"/>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三、加</w:t>
      </w:r>
      <w:r>
        <w:rPr>
          <w:rFonts w:hint="eastAsia" w:ascii="仿宋" w:hAnsi="仿宋" w:eastAsia="仿宋" w:cs="仿宋"/>
          <w:kern w:val="2"/>
          <w:sz w:val="32"/>
          <w:szCs w:val="32"/>
        </w:rPr>
        <w:t>强社会治理，聚焦维护公共安全，着力整治各类</w:t>
      </w:r>
      <w:r>
        <w:rPr>
          <w:rFonts w:hint="eastAsia" w:ascii="仿宋" w:hAnsi="仿宋" w:eastAsia="仿宋" w:cs="仿宋"/>
          <w:color w:val="000000"/>
          <w:sz w:val="32"/>
          <w:szCs w:val="32"/>
        </w:rPr>
        <w:t>安全隐患。</w:t>
      </w:r>
    </w:p>
    <w:p>
      <w:pPr>
        <w:pStyle w:val="8"/>
        <w:spacing w:line="570" w:lineRule="exact"/>
        <w:ind w:firstLine="640" w:firstLineChars="200"/>
        <w:textAlignment w:val="center"/>
        <w:rPr>
          <w:rFonts w:hint="eastAsia" w:ascii="仿宋" w:hAnsi="仿宋" w:eastAsia="仿宋" w:cs="仿宋"/>
          <w:kern w:val="2"/>
          <w:sz w:val="32"/>
          <w:szCs w:val="32"/>
        </w:rPr>
      </w:pPr>
      <w:r>
        <w:rPr>
          <w:rFonts w:hint="eastAsia" w:ascii="仿宋" w:hAnsi="仿宋" w:eastAsia="仿宋" w:cs="仿宋"/>
          <w:kern w:val="2"/>
          <w:sz w:val="32"/>
          <w:szCs w:val="32"/>
        </w:rPr>
        <w:t>立足职能优势，突出严管严控，全面推进社会治安管理创新，充分吸取石家庄等地的事故教训，坚决守住公共安全底线。</w:t>
      </w:r>
    </w:p>
    <w:p>
      <w:pPr>
        <w:adjustRightInd w:val="0"/>
        <w:snapToGrid w:val="0"/>
        <w:spacing w:line="570" w:lineRule="exact"/>
        <w:ind w:firstLine="643" w:firstLineChars="200"/>
        <w:textAlignment w:val="center"/>
        <w:rPr>
          <w:rFonts w:hint="eastAsia" w:ascii="仿宋" w:hAnsi="仿宋" w:eastAsia="仿宋" w:cs="仿宋"/>
          <w:color w:val="FF0000"/>
          <w:sz w:val="32"/>
          <w:szCs w:val="32"/>
        </w:rPr>
      </w:pPr>
      <w:r>
        <w:rPr>
          <w:rFonts w:hint="eastAsia" w:ascii="仿宋" w:hAnsi="仿宋" w:eastAsia="仿宋" w:cs="仿宋"/>
          <w:b/>
          <w:sz w:val="32"/>
          <w:szCs w:val="32"/>
        </w:rPr>
        <w:t>一是强化重点场所管控工作。</w:t>
      </w:r>
      <w:r>
        <w:rPr>
          <w:rFonts w:hint="eastAsia" w:ascii="仿宋" w:hAnsi="仿宋" w:eastAsia="仿宋" w:cs="仿宋"/>
          <w:sz w:val="32"/>
          <w:szCs w:val="32"/>
        </w:rPr>
        <w:t>检查宾馆、旅店、洗浴、网吧等重点行业场所230余处，严格落实旅店业“四实”管理制度，物流寄递“3个100%”管理制度，侦办各类涉黄赌案件86起，抓获违法犯罪嫌疑人152人，全面净化社会环境。同时，积极开展清理核实，共统计核实暂住人口信息37658条，出租房屋信息7627条，历史数据核实率达到100%。</w:t>
      </w:r>
    </w:p>
    <w:p>
      <w:pPr>
        <w:pStyle w:val="8"/>
        <w:spacing w:line="570" w:lineRule="exact"/>
        <w:ind w:firstLine="643" w:firstLineChars="200"/>
        <w:jc w:val="left"/>
        <w:textAlignment w:val="center"/>
        <w:rPr>
          <w:rFonts w:hint="eastAsia" w:ascii="仿宋" w:hAnsi="仿宋" w:eastAsia="仿宋" w:cs="仿宋"/>
          <w:kern w:val="2"/>
          <w:sz w:val="32"/>
          <w:szCs w:val="32"/>
        </w:rPr>
      </w:pPr>
      <w:r>
        <w:rPr>
          <w:rFonts w:hint="eastAsia" w:ascii="仿宋" w:hAnsi="仿宋" w:eastAsia="仿宋" w:cs="仿宋"/>
          <w:b/>
          <w:sz w:val="32"/>
          <w:szCs w:val="32"/>
        </w:rPr>
        <w:t>二是严格危爆物品管控工作。</w:t>
      </w:r>
      <w:r>
        <w:rPr>
          <w:rFonts w:hint="eastAsia" w:ascii="仿宋" w:hAnsi="仿宋" w:eastAsia="仿宋" w:cs="仿宋"/>
          <w:kern w:val="2"/>
          <w:sz w:val="32"/>
          <w:szCs w:val="32"/>
        </w:rPr>
        <w:t xml:space="preserve">组织开展涉枪涉爆、烟花爆竹、公务用枪清查整治专项行动。排查整治涉枪爆、剧毒、易制爆危险化学品从业单位案件58起，办理涉管制刀具案件58起；办理涉枪行政案件2起，收缴枪支5支，办理涉枪危爆刑事案件1起、刑事强制措施1人；办理焚烧秸秆、烧纸案件17起，罚款17人。  </w:t>
      </w:r>
    </w:p>
    <w:p>
      <w:pPr>
        <w:pStyle w:val="8"/>
        <w:spacing w:line="570" w:lineRule="exact"/>
        <w:ind w:firstLine="643" w:firstLineChars="200"/>
        <w:jc w:val="left"/>
        <w:textAlignment w:val="center"/>
        <w:rPr>
          <w:rFonts w:hint="eastAsia" w:ascii="仿宋" w:hAnsi="仿宋" w:eastAsia="仿宋" w:cs="仿宋"/>
          <w:bCs/>
          <w:sz w:val="32"/>
          <w:szCs w:val="32"/>
        </w:rPr>
      </w:pPr>
      <w:r>
        <w:rPr>
          <w:rFonts w:hint="eastAsia" w:ascii="仿宋" w:hAnsi="仿宋" w:eastAsia="仿宋" w:cs="仿宋"/>
          <w:b/>
          <w:sz w:val="32"/>
          <w:szCs w:val="32"/>
        </w:rPr>
        <w:t>三是狠抓交通秩序整治工作。</w:t>
      </w:r>
      <w:r>
        <w:rPr>
          <w:rFonts w:hint="eastAsia" w:ascii="仿宋" w:hAnsi="仿宋" w:eastAsia="仿宋" w:cs="仿宋"/>
          <w:bCs/>
          <w:sz w:val="32"/>
          <w:szCs w:val="32"/>
        </w:rPr>
        <w:t>多次开展治理酒驾醉驾等统一行动，持续开展大货车交通违法专项整治等专项行动，查处违法停车19616起，不按车道规定行驶4480起，酒驾、醉驾277起，“三超”594起，非机动车行人违法2595起。共发生交通事故1942起，较去年同期下降16.75%，其中简易程序1712起，比去年同期下降21.14%，伤人事故100起，较去年同期下降16.66%。</w:t>
      </w:r>
    </w:p>
    <w:p>
      <w:pPr>
        <w:pStyle w:val="6"/>
        <w:spacing w:line="570" w:lineRule="exact"/>
        <w:ind w:firstLine="643" w:firstLineChars="200"/>
        <w:textAlignment w:val="center"/>
        <w:rPr>
          <w:rFonts w:hint="eastAsia" w:ascii="仿宋" w:hAnsi="仿宋" w:eastAsia="仿宋" w:cs="仿宋"/>
          <w:color w:val="000000"/>
          <w:kern w:val="2"/>
          <w:sz w:val="32"/>
          <w:szCs w:val="32"/>
        </w:rPr>
      </w:pPr>
      <w:r>
        <w:rPr>
          <w:rFonts w:hint="eastAsia" w:ascii="仿宋" w:hAnsi="仿宋" w:eastAsia="仿宋" w:cs="仿宋"/>
          <w:b/>
          <w:sz w:val="32"/>
          <w:szCs w:val="32"/>
        </w:rPr>
        <w:t>四是全面加强社会面巡逻管控。</w:t>
      </w:r>
      <w:r>
        <w:rPr>
          <w:rFonts w:hint="eastAsia" w:ascii="仿宋" w:hAnsi="仿宋" w:eastAsia="仿宋" w:cs="仿宋"/>
          <w:sz w:val="32"/>
          <w:szCs w:val="32"/>
        </w:rPr>
        <w:t>在</w:t>
      </w:r>
      <w:r>
        <w:rPr>
          <w:rFonts w:hint="eastAsia" w:ascii="仿宋" w:hAnsi="仿宋" w:eastAsia="仿宋" w:cs="仿宋"/>
          <w:bCs/>
          <w:sz w:val="32"/>
          <w:szCs w:val="32"/>
        </w:rPr>
        <w:t>全区党政机关、医院、学校、商超等重点区域持续组织启动“战时巡”武装巡控等级，开展“警民万人冬季巡控”等活动，实施 “网格化”巡控、“动中备勤”等举措，盘查可疑人员28554人次、可疑车辆17270辆次。全区报警类110警情同比下降24.4%，盗抢骗、黄赌类警情同比下降34%，全力维护了辖区社会治安持续稳定。</w:t>
      </w:r>
    </w:p>
    <w:p>
      <w:pPr>
        <w:spacing w:line="57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四、夯实基层基础，服务公安工作实战，切实提升社会治理能力。</w:t>
      </w:r>
    </w:p>
    <w:p>
      <w:pPr>
        <w:pStyle w:val="8"/>
        <w:spacing w:line="570" w:lineRule="exact"/>
        <w:ind w:left="0" w:firstLine="643" w:firstLineChars="200"/>
        <w:textAlignment w:val="center"/>
        <w:rPr>
          <w:rFonts w:hint="eastAsia" w:ascii="仿宋" w:hAnsi="仿宋" w:eastAsia="仿宋" w:cs="仿宋"/>
          <w:sz w:val="32"/>
          <w:szCs w:val="32"/>
        </w:rPr>
      </w:pPr>
      <w:r>
        <w:rPr>
          <w:rFonts w:hint="eastAsia" w:ascii="仿宋" w:hAnsi="仿宋" w:eastAsia="仿宋" w:cs="仿宋"/>
          <w:b/>
          <w:sz w:val="32"/>
          <w:szCs w:val="32"/>
        </w:rPr>
        <w:t>一是不断推动县级反诈中心建设。</w:t>
      </w:r>
      <w:r>
        <w:rPr>
          <w:rFonts w:hint="eastAsia" w:ascii="仿宋" w:hAnsi="仿宋" w:eastAsia="仿宋" w:cs="仿宋"/>
          <w:bCs/>
          <w:sz w:val="32"/>
          <w:szCs w:val="32"/>
        </w:rPr>
        <w:t>积</w:t>
      </w:r>
      <w:r>
        <w:rPr>
          <w:rFonts w:hint="eastAsia" w:ascii="仿宋" w:hAnsi="仿宋" w:eastAsia="仿宋" w:cs="仿宋"/>
          <w:sz w:val="32"/>
          <w:szCs w:val="32"/>
        </w:rPr>
        <w:t>极构建打击电信网络诈骗犯罪专业队伍，以专治专，立足“打新型、打链条、打平台、打集群”的工作目标，整合公安内部和金融、电信、互联网等外部资源，不断提升运用各类资源和各种技战法开展实战打击能力。共破获电信诈骗案件135起，抓获电信诈骗犯罪嫌疑人122人。</w:t>
      </w:r>
    </w:p>
    <w:p>
      <w:pPr>
        <w:spacing w:line="570" w:lineRule="exact"/>
        <w:ind w:firstLine="643" w:firstLineChars="200"/>
        <w:textAlignment w:val="center"/>
        <w:rPr>
          <w:rFonts w:hint="eastAsia" w:ascii="仿宋" w:hAnsi="仿宋" w:eastAsia="仿宋" w:cs="仿宋"/>
          <w:kern w:val="0"/>
          <w:sz w:val="32"/>
          <w:szCs w:val="32"/>
        </w:rPr>
      </w:pPr>
      <w:r>
        <w:rPr>
          <w:rFonts w:hint="eastAsia" w:ascii="仿宋" w:hAnsi="仿宋" w:eastAsia="仿宋" w:cs="仿宋"/>
          <w:b/>
          <w:sz w:val="32"/>
          <w:szCs w:val="32"/>
        </w:rPr>
        <w:t>二是大力推进合成作战中心建设。</w:t>
      </w:r>
      <w:r>
        <w:rPr>
          <w:rFonts w:hint="eastAsia" w:ascii="仿宋" w:hAnsi="仿宋" w:eastAsia="仿宋" w:cs="仿宋"/>
          <w:kern w:val="0"/>
          <w:sz w:val="32"/>
          <w:szCs w:val="32"/>
        </w:rPr>
        <w:t>自2月26日建成使用以来，配合相关警种开展一系列专案侦办、追逃等工作，实现侦查资源和侦查措施的有效整合，共参与侦破生成战果案件19起，协助办案单位抓获犯罪嫌疑人49人。先后转战多地成功锁定孙某山及陈某雄电诈团伙，抓获15人。协助全国公安机关抓获逃犯15名，在全市研判追逃大比武行动中，线索报送数量及逃犯抓获数量均名列全市第一。</w:t>
      </w:r>
    </w:p>
    <w:p>
      <w:pPr>
        <w:widowControl/>
        <w:spacing w:line="570" w:lineRule="exact"/>
        <w:ind w:firstLine="643" w:firstLineChars="200"/>
        <w:textAlignment w:val="center"/>
        <w:rPr>
          <w:rFonts w:hint="eastAsia" w:ascii="仿宋" w:hAnsi="仿宋" w:eastAsia="仿宋" w:cs="仿宋"/>
          <w:bCs/>
          <w:sz w:val="32"/>
          <w:szCs w:val="32"/>
        </w:rPr>
      </w:pPr>
      <w:r>
        <w:rPr>
          <w:rFonts w:hint="eastAsia" w:ascii="仿宋" w:hAnsi="仿宋" w:eastAsia="仿宋" w:cs="仿宋"/>
          <w:b/>
          <w:kern w:val="0"/>
          <w:sz w:val="32"/>
          <w:szCs w:val="32"/>
        </w:rPr>
        <w:t>三是推进智慧平安社区建设。</w:t>
      </w:r>
      <w:r>
        <w:rPr>
          <w:rFonts w:hint="eastAsia" w:ascii="仿宋" w:hAnsi="仿宋" w:eastAsia="仿宋" w:cs="仿宋"/>
          <w:bCs/>
          <w:sz w:val="32"/>
          <w:szCs w:val="32"/>
        </w:rPr>
        <w:t>我区应建设130个智慧小区，此项工作得到区委领导大力支持，最先采取“建成一批结算一批”的方式进行施工，保障工作的顺利推进，在全市各县区中较早开始推进建设。目前，130个智慧小区已全部建设完成，接通率为100%，共有902路智能感知设备，平均每日上传人脸感知数26万余条，平均每日上传车辆感知数据5万余条。根据我局智慧小区建设特点，是由区里、南堡和新城管委会三个财政分别保障，区局和分局积极协调保证了设备的优先接入，数据常态化上传率始终处在全市领先行列，受到了上级领导的好评。</w:t>
      </w:r>
    </w:p>
    <w:p>
      <w:pPr>
        <w:spacing w:line="570" w:lineRule="exact"/>
        <w:ind w:firstLine="643" w:firstLineChars="200"/>
        <w:textAlignment w:val="center"/>
        <w:rPr>
          <w:rFonts w:hint="eastAsia" w:ascii="仿宋" w:hAnsi="仿宋" w:eastAsia="仿宋" w:cs="仿宋"/>
          <w:sz w:val="32"/>
          <w:szCs w:val="32"/>
        </w:rPr>
      </w:pPr>
      <w:r>
        <w:rPr>
          <w:rFonts w:hint="eastAsia" w:ascii="仿宋" w:hAnsi="仿宋" w:eastAsia="仿宋" w:cs="仿宋"/>
          <w:b/>
          <w:kern w:val="0"/>
          <w:sz w:val="32"/>
          <w:szCs w:val="32"/>
        </w:rPr>
        <w:t>四是不断推进智慧交管建设。</w:t>
      </w:r>
      <w:r>
        <w:rPr>
          <w:rFonts w:hint="eastAsia" w:ascii="仿宋" w:hAnsi="仿宋" w:eastAsia="仿宋" w:cs="仿宋"/>
          <w:bCs/>
          <w:sz w:val="32"/>
          <w:szCs w:val="32"/>
        </w:rPr>
        <w:t>针对辖区交通设施相对落后的情况，赵秀光副区长多次向区委、区政府主要领导进行汇报，积极协调争取资金，利用两年时间对辖区道路交通设施进行完善，进一步补齐短板。</w:t>
      </w:r>
      <w:r>
        <w:rPr>
          <w:rFonts w:hint="eastAsia" w:ascii="仿宋" w:hAnsi="仿宋" w:eastAsia="仿宋" w:cs="仿宋"/>
          <w:sz w:val="32"/>
          <w:szCs w:val="32"/>
        </w:rPr>
        <w:t>现</w:t>
      </w:r>
      <w:r>
        <w:rPr>
          <w:rFonts w:hint="eastAsia" w:ascii="仿宋" w:hAnsi="仿宋" w:eastAsia="仿宋" w:cs="仿宋"/>
          <w:bCs/>
          <w:sz w:val="32"/>
          <w:szCs w:val="32"/>
        </w:rPr>
        <w:t>已加装设置减速带47处，更换、新增提示标牌296块，</w:t>
      </w:r>
      <w:r>
        <w:rPr>
          <w:rFonts w:hint="eastAsia" w:ascii="仿宋" w:hAnsi="仿宋" w:eastAsia="仿宋" w:cs="仿宋"/>
          <w:sz w:val="32"/>
          <w:szCs w:val="32"/>
        </w:rPr>
        <w:t>共设置单点测速17处，区间测速8处。针对大货车靠右行驶，已设置16个双向抓拍点位，共设置64块标牌，路面施划提示性标语32条。</w:t>
      </w:r>
    </w:p>
    <w:p>
      <w:pPr>
        <w:spacing w:line="57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五、优化营商环境，强化服务大局意识，全力推动全区高质量发展。</w:t>
      </w:r>
    </w:p>
    <w:p>
      <w:pPr>
        <w:spacing w:line="57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曹妃甸区局深入开展“三重四创五优化”活动，深化“放管服”改革，优化服务环境和流程，全力护航经济发展。</w:t>
      </w:r>
    </w:p>
    <w:p>
      <w:pPr>
        <w:pStyle w:val="8"/>
        <w:spacing w:line="570" w:lineRule="exact"/>
        <w:ind w:firstLine="643" w:firstLineChars="200"/>
        <w:textAlignment w:val="center"/>
        <w:rPr>
          <w:rFonts w:hint="eastAsia" w:ascii="仿宋" w:hAnsi="仿宋" w:eastAsia="仿宋" w:cs="仿宋"/>
          <w:color w:val="000000"/>
          <w:sz w:val="32"/>
          <w:szCs w:val="32"/>
        </w:rPr>
      </w:pPr>
      <w:r>
        <w:rPr>
          <w:rFonts w:hint="eastAsia" w:ascii="仿宋" w:hAnsi="仿宋" w:eastAsia="仿宋" w:cs="仿宋"/>
          <w:b/>
          <w:kern w:val="2"/>
          <w:sz w:val="32"/>
          <w:szCs w:val="32"/>
        </w:rPr>
        <w:t>一是</w:t>
      </w:r>
      <w:r>
        <w:rPr>
          <w:rFonts w:hint="eastAsia" w:ascii="仿宋" w:hAnsi="仿宋" w:eastAsia="仿宋" w:cs="仿宋"/>
          <w:b/>
          <w:sz w:val="32"/>
          <w:szCs w:val="32"/>
        </w:rPr>
        <w:t>强化警企良性互动。</w:t>
      </w:r>
      <w:r>
        <w:rPr>
          <w:rFonts w:hint="eastAsia" w:ascii="仿宋" w:hAnsi="仿宋" w:eastAsia="仿宋" w:cs="仿宋"/>
          <w:kern w:val="2"/>
          <w:sz w:val="32"/>
          <w:szCs w:val="32"/>
        </w:rPr>
        <w:t>扎实开展“党员民警一对一联企服务”、“百万警进千万家”等活动，共走访企业单位120余家次，协调解决问题30余个，化解公安机关管辖的矛盾纠纷20余起。同时，不断强化企业周边巡控，加大涉企案件侦破力度，最大限度地为企业和经营者挽回损失</w:t>
      </w:r>
      <w:r>
        <w:rPr>
          <w:rFonts w:hint="eastAsia" w:ascii="仿宋" w:hAnsi="仿宋" w:eastAsia="仿宋" w:cs="仿宋"/>
          <w:color w:val="000000"/>
          <w:sz w:val="32"/>
          <w:szCs w:val="32"/>
        </w:rPr>
        <w:t>。</w:t>
      </w:r>
    </w:p>
    <w:p>
      <w:pPr>
        <w:pStyle w:val="8"/>
        <w:spacing w:line="570" w:lineRule="exact"/>
        <w:ind w:firstLine="643" w:firstLineChars="200"/>
        <w:textAlignment w:val="center"/>
        <w:rPr>
          <w:rFonts w:hint="eastAsia" w:ascii="仿宋" w:hAnsi="仿宋" w:eastAsia="仿宋" w:cs="仿宋"/>
          <w:kern w:val="2"/>
          <w:sz w:val="32"/>
          <w:szCs w:val="32"/>
        </w:rPr>
      </w:pPr>
      <w:r>
        <w:rPr>
          <w:rFonts w:hint="eastAsia" w:ascii="仿宋" w:hAnsi="仿宋" w:eastAsia="仿宋" w:cs="仿宋"/>
          <w:b/>
          <w:sz w:val="32"/>
          <w:szCs w:val="32"/>
        </w:rPr>
        <w:t>二是扎实开展“我为群众办实事”实践活动。</w:t>
      </w:r>
      <w:r>
        <w:rPr>
          <w:rFonts w:hint="eastAsia" w:ascii="仿宋" w:hAnsi="仿宋" w:eastAsia="仿宋" w:cs="仿宋"/>
          <w:kern w:val="2"/>
          <w:sz w:val="32"/>
          <w:szCs w:val="32"/>
        </w:rPr>
        <w:t>全局共计受理群众反映的问题14件，解决了14件，陆续推出10项便民利民措施，主动为群众办实事办好事6000余件，赢得社会各界一致好评，30余名群众代表向我局民警赠送锦旗表达谢意，近年来我局群众满意度始终名列全市前茅。</w:t>
      </w:r>
    </w:p>
    <w:p>
      <w:pPr>
        <w:pStyle w:val="8"/>
        <w:spacing w:line="570" w:lineRule="exact"/>
        <w:ind w:firstLine="643" w:firstLineChars="200"/>
        <w:textAlignment w:val="center"/>
        <w:rPr>
          <w:rFonts w:hint="eastAsia" w:ascii="仿宋" w:hAnsi="仿宋" w:eastAsia="仿宋" w:cs="仿宋"/>
          <w:kern w:val="2"/>
          <w:sz w:val="32"/>
          <w:szCs w:val="32"/>
        </w:rPr>
      </w:pPr>
      <w:r>
        <w:rPr>
          <w:rFonts w:hint="eastAsia" w:ascii="仿宋" w:hAnsi="仿宋" w:eastAsia="仿宋" w:cs="仿宋"/>
          <w:b/>
          <w:sz w:val="32"/>
          <w:szCs w:val="32"/>
        </w:rPr>
        <w:t>三是持续优化窗口服务。</w:t>
      </w:r>
      <w:r>
        <w:rPr>
          <w:rFonts w:hint="eastAsia" w:ascii="仿宋" w:hAnsi="仿宋" w:eastAsia="仿宋" w:cs="仿宋"/>
          <w:kern w:val="2"/>
          <w:sz w:val="32"/>
          <w:szCs w:val="32"/>
        </w:rPr>
        <w:t>为方便群众办理各项业务，我局在各窗口单位实行“节假日不打烊”“线上预约办理”等工作措施，协调治安、交警、出入境、“放管服”办公室等部门，精心制作了曹妃甸区公安局二维码导服图（派出所）、《曹妃甸区公安局政务服务便民指南》，张贴、摆放在户政窗口和接待大厅，让群众“少跑路”，为服务群众打通“最后一公里”。累计在节假日期间为群众办理车管业务184余次，户籍业务5893余次，办理护照26人，港澳通行证及签注561人。</w:t>
      </w:r>
    </w:p>
    <w:p>
      <w:pPr>
        <w:spacing w:line="570" w:lineRule="exact"/>
        <w:ind w:firstLine="640" w:firstLineChars="20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六、严格执法程序，规范文明公正执法，全面深化执法规范化建设。</w:t>
      </w:r>
    </w:p>
    <w:p>
      <w:pPr>
        <w:spacing w:line="570" w:lineRule="exact"/>
        <w:ind w:firstLine="640" w:firstLineChars="20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以提高办案质量和执法效能为目标，深入开展执法办案专题培训和警示教育专项行动，不断深化执法规范化建设。</w:t>
      </w:r>
    </w:p>
    <w:p>
      <w:pPr>
        <w:widowControl/>
        <w:autoSpaceDN w:val="0"/>
        <w:spacing w:line="570" w:lineRule="exact"/>
        <w:ind w:firstLine="643" w:firstLineChars="200"/>
        <w:textAlignment w:val="center"/>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一是把好案件监督审核关。</w:t>
      </w:r>
      <w:r>
        <w:rPr>
          <w:rFonts w:hint="eastAsia" w:ascii="仿宋" w:hAnsi="仿宋" w:eastAsia="仿宋" w:cs="仿宋"/>
          <w:color w:val="000000"/>
          <w:kern w:val="0"/>
          <w:sz w:val="32"/>
          <w:szCs w:val="32"/>
        </w:rPr>
        <w:t>通过每日案件通报，个案考评，实时考评，专项考评等工作措施，不断堵塞执法漏洞。抽取考评案件681起，发布通报156次，</w:t>
      </w:r>
      <w:r>
        <w:rPr>
          <w:rFonts w:hint="eastAsia" w:ascii="仿宋" w:hAnsi="仿宋" w:eastAsia="仿宋" w:cs="仿宋"/>
          <w:sz w:val="32"/>
          <w:szCs w:val="32"/>
        </w:rPr>
        <w:t>有效促进了我局执法质量稳步提升</w:t>
      </w:r>
    </w:p>
    <w:p>
      <w:pPr>
        <w:spacing w:line="570" w:lineRule="exact"/>
        <w:ind w:firstLine="643" w:firstLineChars="200"/>
        <w:textAlignment w:val="center"/>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二是完善刑事案件“两统一”机制。</w:t>
      </w:r>
      <w:r>
        <w:rPr>
          <w:rFonts w:hint="eastAsia" w:ascii="仿宋" w:hAnsi="仿宋" w:eastAsia="仿宋" w:cs="仿宋"/>
          <w:color w:val="000000"/>
          <w:kern w:val="0"/>
          <w:sz w:val="32"/>
          <w:szCs w:val="32"/>
        </w:rPr>
        <w:t>严格落实《区局刑事案件“统一审核、统一出口”工作规定》，全面构建以审判为中心诉讼制度改革背景下的新型侦诉关系，确保刑事案件对口衔接机制的有效运转，共逮捕212人，移送起诉450人，做到了既提高了办案效率，更提高了案件质量。</w:t>
      </w:r>
    </w:p>
    <w:p>
      <w:pPr>
        <w:spacing w:line="570" w:lineRule="exact"/>
        <w:ind w:firstLine="643" w:firstLineChars="200"/>
        <w:textAlignment w:val="center"/>
        <w:rPr>
          <w:rFonts w:hint="eastAsia" w:ascii="仿宋" w:hAnsi="仿宋" w:eastAsia="仿宋" w:cs="仿宋"/>
          <w:sz w:val="32"/>
          <w:szCs w:val="32"/>
        </w:rPr>
      </w:pPr>
      <w:r>
        <w:rPr>
          <w:rFonts w:hint="eastAsia" w:ascii="仿宋" w:hAnsi="仿宋" w:eastAsia="仿宋" w:cs="仿宋"/>
          <w:b/>
          <w:color w:val="000000"/>
          <w:kern w:val="0"/>
          <w:sz w:val="32"/>
          <w:szCs w:val="32"/>
        </w:rPr>
        <w:t>三是持续深入推进执法办案管理中心建设和使用。</w:t>
      </w:r>
      <w:r>
        <w:rPr>
          <w:rFonts w:hint="eastAsia" w:ascii="仿宋" w:hAnsi="仿宋" w:eastAsia="仿宋" w:cs="仿宋"/>
          <w:color w:val="000000"/>
          <w:kern w:val="0"/>
          <w:sz w:val="32"/>
          <w:szCs w:val="32"/>
        </w:rPr>
        <w:t>自今年4月建成以来，实现了入所体检、集中看护、集中送押等功能，落实“三个一律”。共接待各办案单位办理案件510次，为律师提供远程会见139次，为各办案民警提供远程提审165次，执法办案管理中心使用率稳步提升。</w:t>
      </w:r>
    </w:p>
    <w:p>
      <w:pPr>
        <w:spacing w:line="570" w:lineRule="exact"/>
        <w:ind w:firstLine="640" w:firstLineChars="200"/>
        <w:textAlignment w:val="center"/>
        <w:rPr>
          <w:rFonts w:hint="eastAsia" w:ascii="仿宋" w:hAnsi="仿宋" w:eastAsia="仿宋" w:cs="仿宋"/>
          <w:sz w:val="32"/>
          <w:szCs w:val="32"/>
        </w:rPr>
      </w:pPr>
      <w:r>
        <w:rPr>
          <w:rFonts w:hint="eastAsia" w:ascii="仿宋" w:hAnsi="仿宋" w:eastAsia="仿宋" w:cs="仿宋"/>
          <w:color w:val="000000"/>
          <w:kern w:val="0"/>
          <w:sz w:val="32"/>
          <w:szCs w:val="32"/>
        </w:rPr>
        <w:t>七、以党建为引领，全面开展教育整顿，锻造敢打必胜的公安铁</w:t>
      </w:r>
      <w:r>
        <w:rPr>
          <w:rFonts w:hint="eastAsia" w:ascii="仿宋" w:hAnsi="仿宋" w:eastAsia="仿宋" w:cs="仿宋"/>
          <w:sz w:val="32"/>
          <w:szCs w:val="32"/>
        </w:rPr>
        <w:t>军。</w:t>
      </w:r>
    </w:p>
    <w:p>
      <w:pPr>
        <w:spacing w:line="570" w:lineRule="exact"/>
        <w:ind w:firstLine="640" w:firstLineChars="200"/>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深入推进教育整顿、党史学习教育、党风廉政建设等系列活动，全力以赴锻造绝对忠诚可靠的公安队伍。</w:t>
      </w:r>
    </w:p>
    <w:p>
      <w:pPr>
        <w:spacing w:line="570" w:lineRule="exact"/>
        <w:ind w:firstLine="643" w:firstLineChars="200"/>
        <w:textAlignment w:val="center"/>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一是深入开展教育整顿。</w:t>
      </w:r>
      <w:r>
        <w:rPr>
          <w:rFonts w:hint="eastAsia" w:ascii="仿宋" w:hAnsi="仿宋" w:eastAsia="仿宋" w:cs="仿宋"/>
          <w:color w:val="000000"/>
          <w:kern w:val="0"/>
          <w:sz w:val="32"/>
          <w:szCs w:val="32"/>
        </w:rPr>
        <w:t>区局多次组织集中学习中央、省、市、区各级领导关于教育整顿工作的重要讲话精神，全面部署推进教育整顿各项工作，严格落实学习教育、查纠整改和总结提升各个环节规定动作；并组织开展不同层次、不同类别的恳谈会，开门纳谏，广泛听取各界意见；坚持教育整顿和公安工作两手抓、两促进，做到与党史学习教育、规范执法、党风廉政建设、铲除顽瘴痼疾等活动紧密结合。组织</w:t>
      </w:r>
      <w:r>
        <w:rPr>
          <w:rFonts w:hint="eastAsia" w:ascii="仿宋" w:hAnsi="仿宋" w:eastAsia="仿宋" w:cs="仿宋"/>
          <w:color w:val="000000"/>
          <w:kern w:val="0"/>
          <w:sz w:val="32"/>
          <w:szCs w:val="32"/>
          <w:lang w:eastAsia="zh-CN"/>
        </w:rPr>
        <w:t>理论学习中心组</w:t>
      </w:r>
      <w:r>
        <w:rPr>
          <w:rFonts w:hint="eastAsia" w:ascii="仿宋" w:hAnsi="仿宋" w:eastAsia="仿宋" w:cs="仿宋"/>
          <w:color w:val="000000"/>
          <w:kern w:val="0"/>
          <w:sz w:val="32"/>
          <w:szCs w:val="32"/>
        </w:rPr>
        <w:t>集体学习6次，集体研讨3次，党支部学习读书班、政治研讨班339次；警示教育大会12次，作廉政报告6场次，受教育民辅警达500余人次。</w:t>
      </w:r>
    </w:p>
    <w:p>
      <w:pPr>
        <w:spacing w:line="570" w:lineRule="exact"/>
        <w:ind w:firstLine="570"/>
        <w:textAlignment w:val="center"/>
        <w:rPr>
          <w:rFonts w:hint="eastAsia" w:ascii="仿宋" w:hAnsi="仿宋" w:eastAsia="仿宋" w:cs="仿宋"/>
          <w:sz w:val="32"/>
          <w:szCs w:val="32"/>
        </w:rPr>
      </w:pPr>
      <w:r>
        <w:rPr>
          <w:rFonts w:hint="eastAsia" w:ascii="仿宋" w:hAnsi="仿宋" w:eastAsia="仿宋" w:cs="仿宋"/>
          <w:b/>
          <w:color w:val="000000"/>
          <w:kern w:val="0"/>
          <w:sz w:val="32"/>
          <w:szCs w:val="32"/>
        </w:rPr>
        <w:t>二是强化政治理论武装。</w:t>
      </w:r>
      <w:r>
        <w:rPr>
          <w:rFonts w:hint="eastAsia" w:ascii="仿宋" w:hAnsi="仿宋" w:eastAsia="仿宋" w:cs="仿宋"/>
          <w:color w:val="000000"/>
          <w:kern w:val="0"/>
          <w:sz w:val="32"/>
          <w:szCs w:val="32"/>
        </w:rPr>
        <w:t>坚持以习近平新时代中国特色社会主义思想、习近平法治思想、十九届五中全会精神、党史学习教育为主要学习内容。加强党委理论学习中心组学习，班子成员做到先学一步、深学一层；全体民辅警坚持集中学习和个人自学相结合，利用早例会或三会一课时间狠抓学习落实，每周制定下发民警、辅警学习计划。各党支部集中学习324次，开展主题党日活动108次。</w:t>
      </w:r>
    </w:p>
    <w:p>
      <w:pPr>
        <w:spacing w:line="570" w:lineRule="exact"/>
        <w:ind w:firstLine="643" w:firstLineChars="200"/>
        <w:textAlignment w:val="center"/>
        <w:rPr>
          <w:rFonts w:hint="eastAsia" w:ascii="仿宋" w:hAnsi="仿宋" w:eastAsia="仿宋" w:cs="仿宋"/>
          <w:b/>
          <w:sz w:val="32"/>
          <w:szCs w:val="32"/>
        </w:rPr>
      </w:pPr>
      <w:r>
        <w:rPr>
          <w:rFonts w:hint="eastAsia" w:ascii="仿宋" w:hAnsi="仿宋" w:eastAsia="仿宋" w:cs="仿宋"/>
          <w:b/>
          <w:color w:val="000000"/>
          <w:kern w:val="0"/>
          <w:sz w:val="32"/>
          <w:szCs w:val="32"/>
        </w:rPr>
        <w:t>三是传承弘扬英模精神。</w:t>
      </w:r>
      <w:r>
        <w:rPr>
          <w:rFonts w:hint="eastAsia" w:ascii="仿宋" w:hAnsi="仿宋" w:eastAsia="仿宋" w:cs="仿宋"/>
          <w:kern w:val="0"/>
          <w:sz w:val="32"/>
          <w:szCs w:val="32"/>
        </w:rPr>
        <w:t>坚持把“四项教育”贯穿始终，推向深入，把英模教育摆到重要位置，树立以汤宝俊同志为代表的事迹可信、形象可亲、品格可敬、精神可学的先进典型。省厅、市局、区委政法委及区局党委分别作出决定，号召全警向汤宝俊同志学习。中央电视台13频道、人民公安报、中国警察网等媒体平台相继刊发汤宝俊同志先进事迹及战友追忆文章，共刊发稿件、视频70余条，总阅读量超80万次。</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项目资金预算执行率低，主要原因是我部门大多数项目需要履行政府采购手续，部分项目不能一次招标成功导致项目不能及时完成，财政拨款不能及时到位，资金支出不能完成。此外，由于系统问题，部分项目年底不能形成实际支出。</w:t>
      </w:r>
    </w:p>
    <w:p>
      <w:pPr>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建议1：财政局在专项经费的拨款上，能根据我区情况及国内形势，逐年上升，缓解我局经费压力，加快资金拨付速度，使我局更好地履行职责，为创建“平安曹妃甸”服务。</w:t>
      </w:r>
    </w:p>
    <w:p>
      <w:pPr>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建议2：建议财政局组织深入全面的绩效管理培训，提高部门对绩效管理政策的掌握程度，同时利用事务所等专业力量，结合各系统业务实际提供政策指导，细化考核要求，真正提升部门绩效管理能力。</w:t>
      </w: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2Y5YjgzNjM5ZGE3MTE1NjA1Zjg0NDkwNjRiNjA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4347B97"/>
    <w:rsid w:val="08494A60"/>
    <w:rsid w:val="09812224"/>
    <w:rsid w:val="0AF3003D"/>
    <w:rsid w:val="0F046CBD"/>
    <w:rsid w:val="152466FE"/>
    <w:rsid w:val="19AC5EA0"/>
    <w:rsid w:val="1B8E207F"/>
    <w:rsid w:val="1BB436D7"/>
    <w:rsid w:val="1EBD4EBD"/>
    <w:rsid w:val="22A52D87"/>
    <w:rsid w:val="22F278EC"/>
    <w:rsid w:val="23B84589"/>
    <w:rsid w:val="24C6006E"/>
    <w:rsid w:val="264E6BD9"/>
    <w:rsid w:val="29321DE8"/>
    <w:rsid w:val="294A2EF3"/>
    <w:rsid w:val="2A880B33"/>
    <w:rsid w:val="2CBA0E5F"/>
    <w:rsid w:val="2D0A5BF7"/>
    <w:rsid w:val="31E55BDF"/>
    <w:rsid w:val="34032FE8"/>
    <w:rsid w:val="34541220"/>
    <w:rsid w:val="36ED3483"/>
    <w:rsid w:val="3AC3041C"/>
    <w:rsid w:val="3B412BB1"/>
    <w:rsid w:val="3D2E1997"/>
    <w:rsid w:val="3DC2308A"/>
    <w:rsid w:val="4080762D"/>
    <w:rsid w:val="413F4BEC"/>
    <w:rsid w:val="41BE2EE6"/>
    <w:rsid w:val="431812A5"/>
    <w:rsid w:val="47D872A6"/>
    <w:rsid w:val="495F4F94"/>
    <w:rsid w:val="4AC13972"/>
    <w:rsid w:val="4CC07C31"/>
    <w:rsid w:val="4CF21BBD"/>
    <w:rsid w:val="514405A7"/>
    <w:rsid w:val="51917E6D"/>
    <w:rsid w:val="56394D3A"/>
    <w:rsid w:val="5BCF4FA2"/>
    <w:rsid w:val="5E8C5939"/>
    <w:rsid w:val="66F20EB9"/>
    <w:rsid w:val="67792CF6"/>
    <w:rsid w:val="6BB93474"/>
    <w:rsid w:val="6F8A1437"/>
    <w:rsid w:val="71A30B93"/>
    <w:rsid w:val="744B3AE8"/>
    <w:rsid w:val="7454512E"/>
    <w:rsid w:val="769D7FE1"/>
    <w:rsid w:val="7CAF606C"/>
    <w:rsid w:val="7CFC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5">
    <w:name w:val="Strong"/>
    <w:basedOn w:val="4"/>
    <w:qFormat/>
    <w:uiPriority w:val="0"/>
    <w:rPr>
      <w:rFonts w:ascii="Times New Roman" w:hAnsi="Times New Roman" w:cs="Times New Roman"/>
      <w:b/>
      <w:bCs/>
      <w:szCs w:val="20"/>
    </w:rPr>
  </w:style>
  <w:style w:type="paragraph" w:customStyle="1" w:styleId="6">
    <w:name w:val="p0"/>
    <w:basedOn w:val="1"/>
    <w:qFormat/>
    <w:uiPriority w:val="0"/>
    <w:pPr>
      <w:widowControl/>
    </w:pPr>
    <w:rPr>
      <w:kern w:val="0"/>
      <w:szCs w:val="21"/>
    </w:rPr>
  </w:style>
  <w:style w:type="paragraph" w:customStyle="1" w:styleId="7">
    <w:name w:val="p17"/>
    <w:basedOn w:val="1"/>
    <w:qFormat/>
    <w:uiPriority w:val="0"/>
    <w:pPr>
      <w:widowControl/>
    </w:pPr>
    <w:rPr>
      <w:kern w:val="0"/>
      <w:szCs w:val="21"/>
    </w:rPr>
  </w:style>
  <w:style w:type="paragraph" w:customStyle="1" w:styleId="8">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7225</Words>
  <Characters>7529</Characters>
  <Lines>3</Lines>
  <Paragraphs>1</Paragraphs>
  <TotalTime>117</TotalTime>
  <ScaleCrop>false</ScaleCrop>
  <LinksUpToDate>false</LinksUpToDate>
  <CharactersWithSpaces>7546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QC.倾城婚纱美妆高定-Rita</cp:lastModifiedBy>
  <cp:lastPrinted>2021-06-08T07:15:00Z</cp:lastPrinted>
  <dcterms:modified xsi:type="dcterms:W3CDTF">2024-05-21T07:16:42Z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87D298B19ED04F4288E92B5D0CD04298</vt:lpwstr>
  </property>
</Properties>
</file>