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186055</wp:posOffset>
                </wp:positionV>
                <wp:extent cx="5303520" cy="1633855"/>
                <wp:effectExtent l="4445" t="4445" r="698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7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FF0000"/>
                                <w:spacing w:val="34"/>
                                <w:w w:val="80"/>
                                <w:kern w:val="10"/>
                                <w:sz w:val="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Times New Roman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pacing w:val="-20"/>
                                <w:w w:val="70"/>
                                <w:kern w:val="10"/>
                                <w:sz w:val="82"/>
                                <w:szCs w:val="82"/>
                              </w:rPr>
                              <w:t>唐山市曹妃甸区市场监督管理局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pacing w:val="-20"/>
                                <w:w w:val="70"/>
                                <w:kern w:val="10"/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5pt;margin-top:14.65pt;height:128.65pt;width:417.6pt;z-index:251659264;mso-width-relative:page;mso-height-relative:page;" fillcolor="#FFFFFF" filled="t" stroked="t" coordsize="21600,21600" o:gfxdata="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N3nVNkAAAAJAQAADwAAAAAAAAABACAAAAAiAAAAZHJz&#10;L2Rvd25yZXYueG1sUEsBAhQAFAAAAAgAh07iQEIl3akDAgAANAQAAA4AAAAAAAAAAQAgAAAAKAEA&#10;AGRycy9lMm9Eb2MueG1sUEsFBgAAAAAGAAYAWQEAAJ0FAAAAAA==&#10;">
                <v:fill on="t" focussize="0,0"/>
                <v:stroke weight="0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70" w:lineRule="exact"/>
                        <w:jc w:val="center"/>
                        <w:rPr>
                          <w:rFonts w:hint="eastAsia" w:ascii="仿宋_GB2312" w:hAnsi="宋体" w:eastAsia="仿宋_GB2312"/>
                          <w:color w:val="FF0000"/>
                          <w:spacing w:val="34"/>
                          <w:w w:val="80"/>
                          <w:kern w:val="10"/>
                          <w:sz w:val="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Times New Roman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pacing w:val="-20"/>
                          <w:w w:val="70"/>
                          <w:kern w:val="10"/>
                          <w:sz w:val="82"/>
                          <w:szCs w:val="82"/>
                        </w:rPr>
                        <w:t>唐山市曹妃甸区市场监督管理局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pacing w:val="-20"/>
                          <w:w w:val="70"/>
                          <w:kern w:val="10"/>
                          <w:sz w:val="100"/>
                          <w:szCs w:val="1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317500</wp:posOffset>
                </wp:positionV>
                <wp:extent cx="4895850" cy="9525"/>
                <wp:effectExtent l="15875" t="15875" r="2222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56055" y="2763520"/>
                          <a:ext cx="4895850" cy="952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.4pt;margin-top:25pt;height:0.75pt;width:385.5pt;z-index:251660288;mso-width-relative:page;mso-height-relative:page;" filled="f" stroked="t" coordsize="21600,21600" o:gfxdata="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56ktL2QAAAAgBAAAP&#10;AAAAAAAAAAEAIAAAACIAAABkcnMvZG93bnJldi54bWxQSwECFAAUAAAACACHTuJAE0OZCN4BAACO&#10;AwAADgAAAAAAAAABACAAAAAoAQAAZHJzL2Uyb0RvYy54bWxQSwUGAAAAAAYABgBZAQAAeAUAAAAA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40"/>
          <w:szCs w:val="36"/>
        </w:rPr>
      </w:pPr>
      <w:r>
        <w:rPr>
          <w:rFonts w:hint="eastAsia" w:ascii="方正小标宋简体" w:hAnsi="黑体" w:eastAsia="方正小标宋简体"/>
          <w:color w:val="000000"/>
          <w:sz w:val="40"/>
          <w:szCs w:val="36"/>
        </w:rPr>
        <w:t>唐山市曹妃甸区市场监督管理局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bCs/>
          <w:sz w:val="40"/>
          <w:szCs w:val="44"/>
        </w:rPr>
      </w:pPr>
      <w:r>
        <w:rPr>
          <w:rFonts w:hint="eastAsia" w:ascii="方正小标宋简体" w:eastAsia="方正小标宋简体"/>
          <w:bCs/>
          <w:sz w:val="40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曹妃甸区市场监督管理局行政执法音像记录设备配备、使用、管理、监督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eastAsia="zh-CN"/>
        </w:rPr>
        <w:t>办法</w:t>
      </w:r>
      <w:r>
        <w:rPr>
          <w:rFonts w:hint="eastAsia" w:ascii="方正小标宋简体" w:eastAsia="方正小标宋简体"/>
          <w:bCs/>
          <w:sz w:val="40"/>
          <w:szCs w:val="44"/>
        </w:rPr>
        <w:t>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cs="方正仿宋简体"/>
          <w:bCs/>
          <w:sz w:val="32"/>
          <w:szCs w:val="32"/>
          <w:lang w:eastAsia="zh-CN"/>
        </w:rPr>
        <w:t>稽查局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、各分局、各相关科室：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现将《唐山市曹妃甸区市场监督管理局行政执法音像记录设备配备、使用、管理、监督办法》印发给你们，请结合实际，按照</w:t>
      </w:r>
      <w:r>
        <w:rPr>
          <w:rFonts w:hint="eastAsia" w:ascii="方正仿宋简体" w:hAnsi="方正仿宋简体" w:cs="方正仿宋简体"/>
          <w:bCs/>
          <w:sz w:val="32"/>
          <w:szCs w:val="32"/>
          <w:lang w:eastAsia="zh-CN"/>
        </w:rPr>
        <w:t>文件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要求认真贯彻落实。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仿宋简体" w:hAnsi="方正仿宋简体" w:eastAsia="方正仿宋简体" w:cs="方正仿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唐山市曹妃甸区市场监督管理局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 xml:space="preserve">                         2019年1</w:t>
      </w:r>
      <w:r>
        <w:rPr>
          <w:rFonts w:hint="eastAsia" w:ascii="方正仿宋简体" w:hAnsi="方正仿宋简体" w:cs="方正仿宋简体"/>
          <w:bCs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cs="方正仿宋简体"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-20"/>
          <w:sz w:val="40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lang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曹妃甸区市场监督管理局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宋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行政执法音像记录设备配备、使用、管理、监督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lang w:eastAsia="zh-CN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50"/>
        <w:jc w:val="center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第一条 为规范行政执法音像记录设备配备工作，进一步规范执法行为，提高执法人员的工作质量和执法水平，依法履行职责，根据《唐山市行政执法全过程记录实施办法》、《唐山市行政执法音像记录设备配备办法》，制定本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第二条 本规则所称音像记录设备，是指区市场监管局及其执法人员，对行政执法行为进行音像记录所使用的照相机、录音机(笔)、摄像机、执法记录仪、手持执法终端、视频监控等记录设备和相关音像资料采集存储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第四条 音像记录设备配备应当坚持厉行节约、从严控制、性能先进、保障需要的原则。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第五条 音像记录设备应当按照本规则及执法需要配备。严禁配备与本单位执法工作无关的音像记录设备。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5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所配的执法记录仪或者手持执法终端为执法办案、日常检查、重大执法活动等工作专用，严禁摄录任何与工作无关的内容。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5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第六条 区市场监管区按以下比例配备音像记录设备：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（一）执法机构配备执法记录仪，原则上不少于</w:t>
      </w:r>
      <w:r>
        <w:rPr>
          <w:rFonts w:hint="eastAsia"/>
          <w:szCs w:val="32"/>
        </w:rPr>
        <w:t>3</w:t>
      </w:r>
      <w:r>
        <w:rPr>
          <w:rFonts w:hint="eastAsia" w:ascii="宋体" w:hAnsi="宋体" w:cs="宋体"/>
          <w:szCs w:val="21"/>
        </w:rPr>
        <w:t>名执法人员一台；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（二）行政许可单位配备执法记录仪，原则上不少于</w:t>
      </w:r>
      <w:r>
        <w:rPr>
          <w:rFonts w:hint="eastAsia"/>
          <w:szCs w:val="32"/>
        </w:rPr>
        <w:t>3</w:t>
      </w:r>
      <w:r>
        <w:rPr>
          <w:rFonts w:hint="eastAsia" w:ascii="宋体" w:hAnsi="宋体" w:cs="宋体"/>
          <w:szCs w:val="21"/>
        </w:rPr>
        <w:t>名执法人员一台；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（三）不经常进行现场检查的处（室），配备一台执法记录仪；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（四）行政许可单位、主持听证单位，配备固定视频监控记录场所和设备。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（五）行政执法和执法监督人员每</w:t>
      </w:r>
      <w:r>
        <w:rPr>
          <w:rFonts w:hint="eastAsia"/>
          <w:szCs w:val="32"/>
        </w:rPr>
        <w:t>3</w:t>
      </w:r>
      <w:r>
        <w:rPr>
          <w:rFonts w:hint="eastAsia" w:ascii="宋体" w:hAnsi="宋体" w:cs="宋体"/>
          <w:szCs w:val="21"/>
        </w:rPr>
        <w:t>人配备一台执法终端设备；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（六）各处（室）、执法单位配备一台录音设备。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第七条 配备执法记录仪或者手持执法终端，应当符合以下技术性能要求：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（一）具备高清分辨率及较高像素，能够清晰、准确记录执法过程；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（二）电池容量及存储内存较大，能够较长时间持续录音录像；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（三）内置芯片运算速度较快，耗能较低，能够流畅操作，摄录不卡顿，摄录文件完整；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有特殊执法需要的，应当具备防爆、红外夜视、</w:t>
      </w:r>
      <w:r>
        <w:rPr>
          <w:rFonts w:hint="eastAsia"/>
          <w:szCs w:val="32"/>
        </w:rPr>
        <w:t>GPS</w:t>
      </w:r>
      <w:r>
        <w:rPr>
          <w:rFonts w:hint="eastAsia" w:ascii="宋体" w:hAnsi="宋体" w:cs="宋体"/>
          <w:szCs w:val="21"/>
        </w:rPr>
        <w:t>定位、数据无线实时上传等其他功能。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第八条  在实施以下执法行为时应当进行音像记录：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（一）现场检查；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（二）处置各类投诉、举报案件；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（三）违法案件查处过程中，调查取证活动、先行登记保存；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（四）证据、执法文书送达；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（五）措施；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（六）其他应当进行记录的执法行为。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第九条 下列情形可以不进行音像执法记录：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（一）在危险区域实施执法检查未配备符合规定的音像记录设备的；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（二）涉及国家秘密、商业秘密或者个人隐私的；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（三）情况紧急，不能进行执法记录的；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（四）因客观原因无法进行执法记录的。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5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对上述情况，使用人员应在执法和管理活动结束后及时制作工作记录，写明无法使用的原因和依据，报局主管领导。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5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第十条 区市场监管局音像记录设备配备费用，由本局财务部门在安排预算时予以统筹保障。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5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第十一条  按照“谁执法、谁录入、谁负责”的原则，各单位负责人为本单位执法音像设备使用管理的第一责任人。各单位要做好执法音像设备的保管和养护，指定专人管理，负责设备的日常养护管理工作，避免因使用不当造成损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第十二条  音像记录制作完成后，执法人员不得自行保管，应该在</w:t>
      </w:r>
      <w:r>
        <w:rPr>
          <w:rFonts w:hint="eastAsia"/>
          <w:szCs w:val="32"/>
        </w:rPr>
        <w:t>24</w:t>
      </w:r>
      <w:r>
        <w:rPr>
          <w:rFonts w:hint="eastAsia" w:ascii="宋体" w:hAnsi="宋体" w:cs="宋体"/>
          <w:szCs w:val="21"/>
        </w:rPr>
        <w:t xml:space="preserve">小时内按要求将信息储存至执法办案系统或者专用存储器。各单位要有专人负责执法记录仪的登记、发放，并做好执法记录装备增配、维护、更新等保障；负责执法记录仪录制的视听资料收集、储存。 执法人员不得私自复制、保存现场执法记录。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5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第十三条  上级单位可以根据工作需要，通过提取、调看执法记录仪信息，开展网上执法监督工作,了解一线执法人员的执法行为，及时纠正不规范的执法行为；执法行为被投诉的，及时收集、保存相关信息，作为调查处理的重要依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第十四条  在进行音像记录时执法人员应当事先告知对方使用执法记录仪记录，告知的规范用语是：为保护您的合法权益，监督我们的执法行为，本次执法过程录音录像。使用人员在进行现场执法时，应保持仪容严整，语言文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第十五条 对于容易引发争议需要全过程音像记录的执法行为，执法人员应对执法全过程的主要环节进行不间断记录，录制过程应当自执法人员到达现场开展执法检查（办案）时开始，至执法检查（办案）结束时止。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第十六条  非因技术原因不得中止录制或断续录制，因设备故障、损坏，天气情况恶劣或者电量、存储空间不足，检查场所变化等客观原因而中止记录的，重新开始记录时应当对中断原因进行语音说明。确实无法继续记录的，应当立即向所属部门负责人报告，并在事后书面说明情况。不得任意选择取舍或者事后补录，不得插入其他画面，不得进行任意删改和编辑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第十七条  执法音视频记录最少保存1年，作为证据使用的记录信息随案卷保存时限保存。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十八条  现场执法记录需要作为证据使用的，从存储设备中复制调取，应当按照有关要求，制作文字说明材料，注明制作人、提取人、提取时间等信息，并将其复制为光盘后附卷。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第十九条  因工作需要查阅视听资料的，应当报经办案机构负责人批准，并由保管人对查阅人、查阅事由、查阅时间等情况进行登记后，方可查阅。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第二十条  在办理涉法涉诉案件、执法监督、案情研判等工作中，需要调取、查看现场执法记录的，依照第二十二条规定执行。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第二十一条  任何人不得对原始现场执法记录进行删节、修改。除作为证据使用外，未经批准，不得擅自对外提供现场执法记录。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第二十二条  涉及国家秘密、商业秘密和个人隐私的执法记录信息，应严格按照保密工作规定和权限进行管理。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第二十三条  实施音像记录过程中，有下列情形之一的，责令限期整改；情节严重或者造成严重后果的，对直接负责的主管人员和其他责任人员依法给予行政处分；构成犯罪的，由司法机关依法追究刑事责任：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（一）不制作或者不按要求制作音像记录的；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（二）违反规定泄露执法记录信息造成严重后果的；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（三）故意损毁，随意删除、修改执法音像记录信息的；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（四）不按照规定储存或者维护，致使执法记录损毁、丢失，造成严重后果的；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（五）其他违反音像记录规定，造成严重后果的。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OTVlY2Y2ZmNjODM1MmMyZDM0MmEyOTY1NDhhN2MifQ=="/>
  </w:docVars>
  <w:rsids>
    <w:rsidRoot w:val="00000000"/>
    <w:rsid w:val="563269CF"/>
    <w:rsid w:val="5AC46374"/>
    <w:rsid w:val="5CCD5576"/>
    <w:rsid w:val="68B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偏爱。</cp:lastModifiedBy>
  <cp:lastPrinted>2023-08-02T13:31:00Z</cp:lastPrinted>
  <dcterms:modified xsi:type="dcterms:W3CDTF">2024-03-20T02:12:41Z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DD64C4BB5F20482B999D0624DD0C1862_12</vt:lpwstr>
  </property>
</Properties>
</file>