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hint="eastAsia" w:ascii="黑体" w:hAnsi="黑体" w:eastAsia="黑体" w:cs="黑体"/>
          <w:b/>
          <w:color w:val="000000"/>
          <w:sz w:val="30"/>
          <w:lang w:eastAsia="zh-CN"/>
        </w:rPr>
        <w:t>中共</w:t>
      </w:r>
      <w:r>
        <w:rPr>
          <w:rFonts w:ascii="黑体" w:hAnsi="黑体" w:eastAsia="黑体" w:cs="黑体"/>
          <w:b/>
          <w:color w:val="000000"/>
          <w:sz w:val="30"/>
        </w:rPr>
        <w:t>唐山市曹妃甸区纪律检查委员会部门所属单位预算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一、中共曹妃甸区纪律检查委员会本级收支预算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cs="方正小标宋_GBK" w:eastAsiaTheme="minorEastAsia"/>
          <w:color w:val="000000"/>
          <w:sz w:val="72"/>
          <w:lang w:eastAsia="zh-CN"/>
        </w:rPr>
      </w:pPr>
      <w:r>
        <w:rPr>
          <w:rFonts w:hint="eastAsia" w:ascii="方正小标宋_GBK" w:hAnsi="方正小标宋_GBK" w:eastAsia="方正小标宋_GBK" w:cs="方正小标宋_GBK"/>
          <w:color w:val="000000"/>
          <w:sz w:val="72"/>
        </w:rPr>
        <w:t>中共</w:t>
      </w:r>
      <w:r>
        <w:rPr>
          <w:rFonts w:ascii="方正小标宋_GBK" w:hAnsi="方正小标宋_GBK" w:eastAsia="方正小标宋_GBK" w:cs="方正小标宋_GBK"/>
          <w:color w:val="000000"/>
          <w:sz w:val="72"/>
        </w:rPr>
        <w:t>唐山市曹妃甸区纪律检查委员会</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一、中共曹妃甸区纪律检查委员会本级收支预算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2286.06</w:t>
            </w:r>
          </w:p>
        </w:tc>
        <w:tc>
          <w:tcPr>
            <w:tcW w:w="4535" w:type="dxa"/>
            <w:vAlign w:val="center"/>
          </w:tcPr>
          <w:p>
            <w:pPr>
              <w:pStyle w:val="14"/>
            </w:pPr>
            <w:r>
              <w:t>一、一般公共服务支出</w:t>
            </w:r>
          </w:p>
        </w:tc>
        <w:tc>
          <w:tcPr>
            <w:tcW w:w="2126" w:type="dxa"/>
            <w:vAlign w:val="center"/>
          </w:tcPr>
          <w:p>
            <w:pPr>
              <w:pStyle w:val="13"/>
            </w:pPr>
            <w:r>
              <w:t>1965.81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2286.06</w:t>
            </w:r>
          </w:p>
        </w:tc>
        <w:tc>
          <w:tcPr>
            <w:tcW w:w="4535" w:type="dxa"/>
            <w:vAlign w:val="center"/>
          </w:tcPr>
          <w:p>
            <w:pPr>
              <w:pStyle w:val="16"/>
            </w:pPr>
            <w:r>
              <w:t>本年支出合计</w:t>
            </w:r>
          </w:p>
        </w:tc>
        <w:tc>
          <w:tcPr>
            <w:tcW w:w="2126" w:type="dxa"/>
            <w:vAlign w:val="center"/>
          </w:tcPr>
          <w:p>
            <w:pPr>
              <w:pStyle w:val="17"/>
            </w:pPr>
            <w:r>
              <w:t>2286.06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2286.06</w:t>
            </w:r>
          </w:p>
        </w:tc>
        <w:tc>
          <w:tcPr>
            <w:tcW w:w="4535" w:type="dxa"/>
            <w:vAlign w:val="center"/>
          </w:tcPr>
          <w:p>
            <w:pPr>
              <w:pStyle w:val="16"/>
            </w:pPr>
            <w:r>
              <w:t>支出总计</w:t>
            </w:r>
          </w:p>
        </w:tc>
        <w:tc>
          <w:tcPr>
            <w:tcW w:w="2126" w:type="dxa"/>
            <w:vAlign w:val="center"/>
          </w:tcPr>
          <w:p>
            <w:pPr>
              <w:pStyle w:val="17"/>
            </w:pPr>
            <w:r>
              <w:t>2286.06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2286.06</w:t>
            </w:r>
          </w:p>
        </w:tc>
        <w:tc>
          <w:tcPr>
            <w:tcW w:w="1134" w:type="dxa"/>
            <w:vAlign w:val="center"/>
          </w:tcPr>
          <w:p>
            <w:pPr>
              <w:pStyle w:val="17"/>
            </w:pPr>
            <w:r>
              <w:t>2286.06</w:t>
            </w:r>
          </w:p>
        </w:tc>
        <w:tc>
          <w:tcPr>
            <w:tcW w:w="1134" w:type="dxa"/>
            <w:vAlign w:val="center"/>
          </w:tcPr>
          <w:p>
            <w:pPr>
              <w:pStyle w:val="17"/>
            </w:pPr>
            <w:r>
              <w:t>2286.06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1965.81</w:t>
            </w:r>
          </w:p>
        </w:tc>
        <w:tc>
          <w:tcPr>
            <w:tcW w:w="1134" w:type="dxa"/>
            <w:vAlign w:val="center"/>
          </w:tcPr>
          <w:p>
            <w:pPr>
              <w:pStyle w:val="13"/>
            </w:pPr>
            <w:r>
              <w:t>1965.81</w:t>
            </w:r>
          </w:p>
        </w:tc>
        <w:tc>
          <w:tcPr>
            <w:tcW w:w="1134" w:type="dxa"/>
            <w:vAlign w:val="center"/>
          </w:tcPr>
          <w:p>
            <w:pPr>
              <w:pStyle w:val="13"/>
            </w:pPr>
            <w:r>
              <w:t>1965.81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1965.81</w:t>
            </w:r>
          </w:p>
        </w:tc>
        <w:tc>
          <w:tcPr>
            <w:tcW w:w="1134" w:type="dxa"/>
            <w:vAlign w:val="center"/>
          </w:tcPr>
          <w:p>
            <w:pPr>
              <w:pStyle w:val="13"/>
            </w:pPr>
            <w:r>
              <w:t>1965.81</w:t>
            </w:r>
          </w:p>
        </w:tc>
        <w:tc>
          <w:tcPr>
            <w:tcW w:w="1134" w:type="dxa"/>
            <w:vAlign w:val="center"/>
          </w:tcPr>
          <w:p>
            <w:pPr>
              <w:pStyle w:val="13"/>
            </w:pPr>
            <w:r>
              <w:t>1965.81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998.58</w:t>
            </w:r>
          </w:p>
        </w:tc>
        <w:tc>
          <w:tcPr>
            <w:tcW w:w="1134" w:type="dxa"/>
            <w:vAlign w:val="center"/>
          </w:tcPr>
          <w:p>
            <w:pPr>
              <w:pStyle w:val="13"/>
            </w:pPr>
            <w:r>
              <w:t>998.58</w:t>
            </w:r>
          </w:p>
        </w:tc>
        <w:tc>
          <w:tcPr>
            <w:tcW w:w="1134" w:type="dxa"/>
            <w:vAlign w:val="center"/>
          </w:tcPr>
          <w:p>
            <w:pPr>
              <w:pStyle w:val="13"/>
            </w:pPr>
            <w:r>
              <w:t>998.58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2011105</w:t>
            </w:r>
          </w:p>
        </w:tc>
        <w:tc>
          <w:tcPr>
            <w:tcW w:w="1559" w:type="dxa"/>
            <w:vAlign w:val="center"/>
          </w:tcPr>
          <w:p>
            <w:pPr>
              <w:pStyle w:val="14"/>
            </w:pPr>
            <w:r>
              <w:t>派驻派出机构</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338.73</w:t>
            </w:r>
          </w:p>
        </w:tc>
        <w:tc>
          <w:tcPr>
            <w:tcW w:w="1134" w:type="dxa"/>
            <w:vAlign w:val="center"/>
          </w:tcPr>
          <w:p>
            <w:pPr>
              <w:pStyle w:val="13"/>
            </w:pPr>
            <w:r>
              <w:t>338.73</w:t>
            </w:r>
          </w:p>
        </w:tc>
        <w:tc>
          <w:tcPr>
            <w:tcW w:w="1134" w:type="dxa"/>
            <w:vAlign w:val="center"/>
          </w:tcPr>
          <w:p>
            <w:pPr>
              <w:pStyle w:val="13"/>
            </w:pPr>
            <w:r>
              <w:t>338.73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613.50</w:t>
            </w:r>
          </w:p>
        </w:tc>
        <w:tc>
          <w:tcPr>
            <w:tcW w:w="1134" w:type="dxa"/>
            <w:vAlign w:val="center"/>
          </w:tcPr>
          <w:p>
            <w:pPr>
              <w:pStyle w:val="13"/>
            </w:pPr>
            <w:r>
              <w:t>613.50</w:t>
            </w:r>
          </w:p>
        </w:tc>
        <w:tc>
          <w:tcPr>
            <w:tcW w:w="1134" w:type="dxa"/>
            <w:vAlign w:val="center"/>
          </w:tcPr>
          <w:p>
            <w:pPr>
              <w:pStyle w:val="13"/>
            </w:pPr>
            <w:r>
              <w:t>613.50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144.81</w:t>
            </w:r>
          </w:p>
        </w:tc>
        <w:tc>
          <w:tcPr>
            <w:tcW w:w="1134" w:type="dxa"/>
            <w:vAlign w:val="center"/>
          </w:tcPr>
          <w:p>
            <w:pPr>
              <w:pStyle w:val="13"/>
            </w:pPr>
            <w:r>
              <w:t>144.81</w:t>
            </w:r>
          </w:p>
        </w:tc>
        <w:tc>
          <w:tcPr>
            <w:tcW w:w="1134" w:type="dxa"/>
            <w:vAlign w:val="center"/>
          </w:tcPr>
          <w:p>
            <w:pPr>
              <w:pStyle w:val="13"/>
            </w:pPr>
            <w:r>
              <w:t>144.81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144.81</w:t>
            </w:r>
          </w:p>
        </w:tc>
        <w:tc>
          <w:tcPr>
            <w:tcW w:w="1134" w:type="dxa"/>
            <w:vAlign w:val="center"/>
          </w:tcPr>
          <w:p>
            <w:pPr>
              <w:pStyle w:val="13"/>
            </w:pPr>
            <w:r>
              <w:t>144.81</w:t>
            </w:r>
          </w:p>
        </w:tc>
        <w:tc>
          <w:tcPr>
            <w:tcW w:w="1134" w:type="dxa"/>
            <w:vAlign w:val="center"/>
          </w:tcPr>
          <w:p>
            <w:pPr>
              <w:pStyle w:val="13"/>
            </w:pPr>
            <w:r>
              <w:t>144.81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96.54</w:t>
            </w:r>
          </w:p>
        </w:tc>
        <w:tc>
          <w:tcPr>
            <w:tcW w:w="1134" w:type="dxa"/>
            <w:vAlign w:val="center"/>
          </w:tcPr>
          <w:p>
            <w:pPr>
              <w:pStyle w:val="13"/>
            </w:pPr>
            <w:r>
              <w:t>96.54</w:t>
            </w:r>
          </w:p>
        </w:tc>
        <w:tc>
          <w:tcPr>
            <w:tcW w:w="1134" w:type="dxa"/>
            <w:vAlign w:val="center"/>
          </w:tcPr>
          <w:p>
            <w:pPr>
              <w:pStyle w:val="13"/>
            </w:pPr>
            <w:r>
              <w:t>96.54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48.27</w:t>
            </w:r>
          </w:p>
        </w:tc>
        <w:tc>
          <w:tcPr>
            <w:tcW w:w="1134" w:type="dxa"/>
            <w:vAlign w:val="center"/>
          </w:tcPr>
          <w:p>
            <w:pPr>
              <w:pStyle w:val="13"/>
            </w:pPr>
            <w:r>
              <w:t>48.27</w:t>
            </w:r>
          </w:p>
        </w:tc>
        <w:tc>
          <w:tcPr>
            <w:tcW w:w="1134" w:type="dxa"/>
            <w:vAlign w:val="center"/>
          </w:tcPr>
          <w:p>
            <w:pPr>
              <w:pStyle w:val="13"/>
            </w:pPr>
            <w:r>
              <w:t>48.27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103.04</w:t>
            </w:r>
          </w:p>
        </w:tc>
        <w:tc>
          <w:tcPr>
            <w:tcW w:w="1134" w:type="dxa"/>
            <w:vAlign w:val="center"/>
          </w:tcPr>
          <w:p>
            <w:pPr>
              <w:pStyle w:val="13"/>
            </w:pPr>
            <w:r>
              <w:t>103.04</w:t>
            </w:r>
          </w:p>
        </w:tc>
        <w:tc>
          <w:tcPr>
            <w:tcW w:w="1134" w:type="dxa"/>
            <w:vAlign w:val="center"/>
          </w:tcPr>
          <w:p>
            <w:pPr>
              <w:pStyle w:val="13"/>
            </w:pPr>
            <w:r>
              <w:t>103.04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103.04</w:t>
            </w:r>
          </w:p>
        </w:tc>
        <w:tc>
          <w:tcPr>
            <w:tcW w:w="1134" w:type="dxa"/>
            <w:vAlign w:val="center"/>
          </w:tcPr>
          <w:p>
            <w:pPr>
              <w:pStyle w:val="13"/>
            </w:pPr>
            <w:r>
              <w:t>103.04</w:t>
            </w:r>
          </w:p>
        </w:tc>
        <w:tc>
          <w:tcPr>
            <w:tcW w:w="1134" w:type="dxa"/>
            <w:vAlign w:val="center"/>
          </w:tcPr>
          <w:p>
            <w:pPr>
              <w:pStyle w:val="13"/>
            </w:pPr>
            <w:r>
              <w:t>103.04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58.92</w:t>
            </w:r>
          </w:p>
        </w:tc>
        <w:tc>
          <w:tcPr>
            <w:tcW w:w="1134" w:type="dxa"/>
            <w:vAlign w:val="center"/>
          </w:tcPr>
          <w:p>
            <w:pPr>
              <w:pStyle w:val="13"/>
            </w:pPr>
            <w:r>
              <w:t>58.92</w:t>
            </w:r>
          </w:p>
        </w:tc>
        <w:tc>
          <w:tcPr>
            <w:tcW w:w="1134" w:type="dxa"/>
            <w:vAlign w:val="center"/>
          </w:tcPr>
          <w:p>
            <w:pPr>
              <w:pStyle w:val="13"/>
            </w:pPr>
            <w:r>
              <w:t>58.92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r>
              <w:t>72.40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2286.06</w:t>
            </w:r>
          </w:p>
        </w:tc>
        <w:tc>
          <w:tcPr>
            <w:tcW w:w="1361" w:type="dxa"/>
            <w:vAlign w:val="center"/>
          </w:tcPr>
          <w:p>
            <w:pPr>
              <w:pStyle w:val="17"/>
            </w:pPr>
            <w:r>
              <w:t>1318.83</w:t>
            </w:r>
          </w:p>
        </w:tc>
        <w:tc>
          <w:tcPr>
            <w:tcW w:w="1361" w:type="dxa"/>
            <w:vAlign w:val="center"/>
          </w:tcPr>
          <w:p>
            <w:pPr>
              <w:pStyle w:val="17"/>
            </w:pPr>
            <w:r>
              <w:t>967.23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1965.81</w:t>
            </w:r>
          </w:p>
        </w:tc>
        <w:tc>
          <w:tcPr>
            <w:tcW w:w="1361" w:type="dxa"/>
            <w:vAlign w:val="center"/>
          </w:tcPr>
          <w:p>
            <w:pPr>
              <w:pStyle w:val="13"/>
            </w:pPr>
            <w:r>
              <w:t>998.58</w:t>
            </w:r>
          </w:p>
        </w:tc>
        <w:tc>
          <w:tcPr>
            <w:tcW w:w="1361" w:type="dxa"/>
            <w:vAlign w:val="center"/>
          </w:tcPr>
          <w:p>
            <w:pPr>
              <w:pStyle w:val="13"/>
            </w:pPr>
            <w:r>
              <w:t>967.23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1965.81</w:t>
            </w:r>
          </w:p>
        </w:tc>
        <w:tc>
          <w:tcPr>
            <w:tcW w:w="1361" w:type="dxa"/>
            <w:vAlign w:val="center"/>
          </w:tcPr>
          <w:p>
            <w:pPr>
              <w:pStyle w:val="13"/>
            </w:pPr>
            <w:r>
              <w:t>998.58</w:t>
            </w:r>
          </w:p>
        </w:tc>
        <w:tc>
          <w:tcPr>
            <w:tcW w:w="1361" w:type="dxa"/>
            <w:vAlign w:val="center"/>
          </w:tcPr>
          <w:p>
            <w:pPr>
              <w:pStyle w:val="13"/>
            </w:pPr>
            <w:r>
              <w:t>967.23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998.58</w:t>
            </w:r>
          </w:p>
        </w:tc>
        <w:tc>
          <w:tcPr>
            <w:tcW w:w="1361" w:type="dxa"/>
            <w:vAlign w:val="center"/>
          </w:tcPr>
          <w:p>
            <w:pPr>
              <w:pStyle w:val="13"/>
            </w:pPr>
            <w:r>
              <w:t>998.58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2011105</w:t>
            </w:r>
          </w:p>
        </w:tc>
        <w:tc>
          <w:tcPr>
            <w:tcW w:w="4535" w:type="dxa"/>
            <w:vAlign w:val="center"/>
          </w:tcPr>
          <w:p>
            <w:pPr>
              <w:pStyle w:val="14"/>
            </w:pPr>
            <w:r>
              <w:t>派驻派出机构</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338.73</w:t>
            </w:r>
          </w:p>
        </w:tc>
        <w:tc>
          <w:tcPr>
            <w:tcW w:w="1361" w:type="dxa"/>
            <w:vAlign w:val="center"/>
          </w:tcPr>
          <w:p>
            <w:pPr>
              <w:pStyle w:val="13"/>
            </w:pPr>
          </w:p>
        </w:tc>
        <w:tc>
          <w:tcPr>
            <w:tcW w:w="1361" w:type="dxa"/>
            <w:vAlign w:val="center"/>
          </w:tcPr>
          <w:p>
            <w:pPr>
              <w:pStyle w:val="13"/>
            </w:pPr>
            <w:r>
              <w:t>338.73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613.50</w:t>
            </w:r>
          </w:p>
        </w:tc>
        <w:tc>
          <w:tcPr>
            <w:tcW w:w="1361" w:type="dxa"/>
            <w:vAlign w:val="center"/>
          </w:tcPr>
          <w:p>
            <w:pPr>
              <w:pStyle w:val="13"/>
            </w:pPr>
          </w:p>
        </w:tc>
        <w:tc>
          <w:tcPr>
            <w:tcW w:w="1361" w:type="dxa"/>
            <w:vAlign w:val="center"/>
          </w:tcPr>
          <w:p>
            <w:pPr>
              <w:pStyle w:val="13"/>
            </w:pPr>
            <w:r>
              <w:t>613.50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144.81</w:t>
            </w:r>
          </w:p>
        </w:tc>
        <w:tc>
          <w:tcPr>
            <w:tcW w:w="1361" w:type="dxa"/>
            <w:vAlign w:val="center"/>
          </w:tcPr>
          <w:p>
            <w:pPr>
              <w:pStyle w:val="13"/>
            </w:pPr>
            <w:r>
              <w:t>144.81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144.81</w:t>
            </w:r>
          </w:p>
        </w:tc>
        <w:tc>
          <w:tcPr>
            <w:tcW w:w="1361" w:type="dxa"/>
            <w:vAlign w:val="center"/>
          </w:tcPr>
          <w:p>
            <w:pPr>
              <w:pStyle w:val="13"/>
            </w:pPr>
            <w:r>
              <w:t>144.81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96.54</w:t>
            </w:r>
          </w:p>
        </w:tc>
        <w:tc>
          <w:tcPr>
            <w:tcW w:w="1361" w:type="dxa"/>
            <w:vAlign w:val="center"/>
          </w:tcPr>
          <w:p>
            <w:pPr>
              <w:pStyle w:val="13"/>
            </w:pPr>
            <w:r>
              <w:t>96.54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48.27</w:t>
            </w:r>
          </w:p>
        </w:tc>
        <w:tc>
          <w:tcPr>
            <w:tcW w:w="1361" w:type="dxa"/>
            <w:vAlign w:val="center"/>
          </w:tcPr>
          <w:p>
            <w:pPr>
              <w:pStyle w:val="13"/>
            </w:pPr>
            <w:r>
              <w:t>48.27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103.04</w:t>
            </w:r>
          </w:p>
        </w:tc>
        <w:tc>
          <w:tcPr>
            <w:tcW w:w="1361" w:type="dxa"/>
            <w:vAlign w:val="center"/>
          </w:tcPr>
          <w:p>
            <w:pPr>
              <w:pStyle w:val="13"/>
            </w:pPr>
            <w:r>
              <w:t>103.04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103.04</w:t>
            </w:r>
          </w:p>
        </w:tc>
        <w:tc>
          <w:tcPr>
            <w:tcW w:w="1361" w:type="dxa"/>
            <w:vAlign w:val="center"/>
          </w:tcPr>
          <w:p>
            <w:pPr>
              <w:pStyle w:val="13"/>
            </w:pPr>
            <w:r>
              <w:t>103.04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44.12</w:t>
            </w:r>
          </w:p>
        </w:tc>
        <w:tc>
          <w:tcPr>
            <w:tcW w:w="1361" w:type="dxa"/>
            <w:vAlign w:val="center"/>
          </w:tcPr>
          <w:p>
            <w:pPr>
              <w:pStyle w:val="13"/>
            </w:pPr>
            <w:r>
              <w:t>44.12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58.92</w:t>
            </w:r>
          </w:p>
        </w:tc>
        <w:tc>
          <w:tcPr>
            <w:tcW w:w="1361" w:type="dxa"/>
            <w:vAlign w:val="center"/>
          </w:tcPr>
          <w:p>
            <w:pPr>
              <w:pStyle w:val="13"/>
            </w:pPr>
            <w:r>
              <w:t>58.92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72.40</w:t>
            </w:r>
          </w:p>
        </w:tc>
        <w:tc>
          <w:tcPr>
            <w:tcW w:w="1361" w:type="dxa"/>
            <w:vAlign w:val="center"/>
          </w:tcPr>
          <w:p>
            <w:pPr>
              <w:pStyle w:val="13"/>
            </w:pPr>
            <w:r>
              <w:t>72.40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72.40</w:t>
            </w:r>
          </w:p>
        </w:tc>
        <w:tc>
          <w:tcPr>
            <w:tcW w:w="1361" w:type="dxa"/>
            <w:vAlign w:val="center"/>
          </w:tcPr>
          <w:p>
            <w:pPr>
              <w:pStyle w:val="13"/>
            </w:pPr>
            <w:r>
              <w:t>72.40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72.40</w:t>
            </w:r>
          </w:p>
        </w:tc>
        <w:tc>
          <w:tcPr>
            <w:tcW w:w="1361" w:type="dxa"/>
            <w:vAlign w:val="center"/>
          </w:tcPr>
          <w:p>
            <w:pPr>
              <w:pStyle w:val="13"/>
            </w:pPr>
            <w:r>
              <w:t>72.40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2286.06</w:t>
            </w:r>
          </w:p>
        </w:tc>
        <w:tc>
          <w:tcPr>
            <w:tcW w:w="3402" w:type="dxa"/>
            <w:vAlign w:val="center"/>
          </w:tcPr>
          <w:p>
            <w:pPr>
              <w:pStyle w:val="14"/>
            </w:pPr>
            <w:r>
              <w:t>一、一般公共服务支出</w:t>
            </w:r>
          </w:p>
        </w:tc>
        <w:tc>
          <w:tcPr>
            <w:tcW w:w="1474" w:type="dxa"/>
            <w:vAlign w:val="center"/>
          </w:tcPr>
          <w:p>
            <w:pPr>
              <w:pStyle w:val="13"/>
            </w:pPr>
            <w:r>
              <w:t>1965.81</w:t>
            </w:r>
          </w:p>
        </w:tc>
        <w:tc>
          <w:tcPr>
            <w:tcW w:w="1474" w:type="dxa"/>
            <w:vAlign w:val="center"/>
          </w:tcPr>
          <w:p>
            <w:pPr>
              <w:pStyle w:val="13"/>
            </w:pPr>
            <w:r>
              <w:t>1965.81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144.81</w:t>
            </w:r>
          </w:p>
        </w:tc>
        <w:tc>
          <w:tcPr>
            <w:tcW w:w="1474" w:type="dxa"/>
            <w:vAlign w:val="center"/>
          </w:tcPr>
          <w:p>
            <w:pPr>
              <w:pStyle w:val="13"/>
            </w:pPr>
            <w:r>
              <w:t>144.81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103.04</w:t>
            </w:r>
          </w:p>
        </w:tc>
        <w:tc>
          <w:tcPr>
            <w:tcW w:w="1474" w:type="dxa"/>
            <w:vAlign w:val="center"/>
          </w:tcPr>
          <w:p>
            <w:pPr>
              <w:pStyle w:val="13"/>
            </w:pPr>
            <w:r>
              <w:t>103.04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72.40</w:t>
            </w:r>
          </w:p>
        </w:tc>
        <w:tc>
          <w:tcPr>
            <w:tcW w:w="1474" w:type="dxa"/>
            <w:vAlign w:val="center"/>
          </w:tcPr>
          <w:p>
            <w:pPr>
              <w:pStyle w:val="13"/>
            </w:pPr>
            <w:r>
              <w:t>72.40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2286.06</w:t>
            </w:r>
          </w:p>
        </w:tc>
        <w:tc>
          <w:tcPr>
            <w:tcW w:w="3402" w:type="dxa"/>
            <w:vAlign w:val="center"/>
          </w:tcPr>
          <w:p>
            <w:pPr>
              <w:pStyle w:val="16"/>
            </w:pPr>
            <w:r>
              <w:t>本年支出合计</w:t>
            </w:r>
          </w:p>
        </w:tc>
        <w:tc>
          <w:tcPr>
            <w:tcW w:w="1474" w:type="dxa"/>
            <w:vAlign w:val="center"/>
          </w:tcPr>
          <w:p>
            <w:pPr>
              <w:pStyle w:val="17"/>
            </w:pPr>
            <w:r>
              <w:t>2286.06</w:t>
            </w:r>
          </w:p>
        </w:tc>
        <w:tc>
          <w:tcPr>
            <w:tcW w:w="1474" w:type="dxa"/>
            <w:vAlign w:val="center"/>
          </w:tcPr>
          <w:p>
            <w:pPr>
              <w:pStyle w:val="17"/>
            </w:pPr>
            <w:r>
              <w:t>2286.06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2286.06</w:t>
            </w:r>
          </w:p>
        </w:tc>
        <w:tc>
          <w:tcPr>
            <w:tcW w:w="3402" w:type="dxa"/>
            <w:vAlign w:val="center"/>
          </w:tcPr>
          <w:p>
            <w:pPr>
              <w:pStyle w:val="16"/>
            </w:pPr>
            <w:r>
              <w:t>支出总计</w:t>
            </w:r>
          </w:p>
        </w:tc>
        <w:tc>
          <w:tcPr>
            <w:tcW w:w="1474" w:type="dxa"/>
            <w:vAlign w:val="center"/>
          </w:tcPr>
          <w:p>
            <w:pPr>
              <w:pStyle w:val="17"/>
            </w:pPr>
            <w:r>
              <w:t>2286.06</w:t>
            </w:r>
          </w:p>
        </w:tc>
        <w:tc>
          <w:tcPr>
            <w:tcW w:w="1474" w:type="dxa"/>
            <w:vAlign w:val="center"/>
          </w:tcPr>
          <w:p>
            <w:pPr>
              <w:pStyle w:val="17"/>
            </w:pPr>
            <w:r>
              <w:t>2286.06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2286.06</w:t>
            </w:r>
          </w:p>
        </w:tc>
        <w:tc>
          <w:tcPr>
            <w:tcW w:w="2551" w:type="dxa"/>
            <w:vAlign w:val="center"/>
          </w:tcPr>
          <w:p>
            <w:pPr>
              <w:pStyle w:val="17"/>
            </w:pPr>
            <w:r>
              <w:t>1318.83</w:t>
            </w:r>
          </w:p>
        </w:tc>
        <w:tc>
          <w:tcPr>
            <w:tcW w:w="2551" w:type="dxa"/>
            <w:vAlign w:val="center"/>
          </w:tcPr>
          <w:p>
            <w:pPr>
              <w:pStyle w:val="17"/>
            </w:pPr>
            <w:r>
              <w:t>967.23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1965.81</w:t>
            </w:r>
          </w:p>
        </w:tc>
        <w:tc>
          <w:tcPr>
            <w:tcW w:w="2551" w:type="dxa"/>
            <w:vAlign w:val="center"/>
          </w:tcPr>
          <w:p>
            <w:pPr>
              <w:pStyle w:val="13"/>
            </w:pPr>
            <w:r>
              <w:t>998.58</w:t>
            </w:r>
          </w:p>
        </w:tc>
        <w:tc>
          <w:tcPr>
            <w:tcW w:w="2551" w:type="dxa"/>
            <w:vAlign w:val="center"/>
          </w:tcPr>
          <w:p>
            <w:pPr>
              <w:pStyle w:val="13"/>
            </w:pPr>
            <w:r>
              <w:t>967.23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1965.81</w:t>
            </w:r>
          </w:p>
        </w:tc>
        <w:tc>
          <w:tcPr>
            <w:tcW w:w="2551" w:type="dxa"/>
            <w:vAlign w:val="center"/>
          </w:tcPr>
          <w:p>
            <w:pPr>
              <w:pStyle w:val="13"/>
            </w:pPr>
            <w:r>
              <w:t>998.58</w:t>
            </w:r>
          </w:p>
        </w:tc>
        <w:tc>
          <w:tcPr>
            <w:tcW w:w="2551" w:type="dxa"/>
            <w:vAlign w:val="center"/>
          </w:tcPr>
          <w:p>
            <w:pPr>
              <w:pStyle w:val="13"/>
            </w:pPr>
            <w:r>
              <w:t>967.23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998.58</w:t>
            </w:r>
          </w:p>
        </w:tc>
        <w:tc>
          <w:tcPr>
            <w:tcW w:w="2551" w:type="dxa"/>
            <w:vAlign w:val="center"/>
          </w:tcPr>
          <w:p>
            <w:pPr>
              <w:pStyle w:val="13"/>
            </w:pPr>
            <w:r>
              <w:t>998.58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2011105</w:t>
            </w:r>
          </w:p>
        </w:tc>
        <w:tc>
          <w:tcPr>
            <w:tcW w:w="4535" w:type="dxa"/>
            <w:vAlign w:val="center"/>
          </w:tcPr>
          <w:p>
            <w:pPr>
              <w:pStyle w:val="14"/>
            </w:pPr>
            <w:r>
              <w:t>派驻派出机构</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338.73</w:t>
            </w:r>
          </w:p>
        </w:tc>
        <w:tc>
          <w:tcPr>
            <w:tcW w:w="2551" w:type="dxa"/>
            <w:vAlign w:val="center"/>
          </w:tcPr>
          <w:p>
            <w:pPr>
              <w:pStyle w:val="13"/>
            </w:pPr>
          </w:p>
        </w:tc>
        <w:tc>
          <w:tcPr>
            <w:tcW w:w="2551" w:type="dxa"/>
            <w:vAlign w:val="center"/>
          </w:tcPr>
          <w:p>
            <w:pPr>
              <w:pStyle w:val="13"/>
            </w:pPr>
            <w:r>
              <w:t>338.73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613.50</w:t>
            </w:r>
          </w:p>
        </w:tc>
        <w:tc>
          <w:tcPr>
            <w:tcW w:w="2551" w:type="dxa"/>
            <w:vAlign w:val="center"/>
          </w:tcPr>
          <w:p>
            <w:pPr>
              <w:pStyle w:val="13"/>
            </w:pPr>
          </w:p>
        </w:tc>
        <w:tc>
          <w:tcPr>
            <w:tcW w:w="2551" w:type="dxa"/>
            <w:vAlign w:val="center"/>
          </w:tcPr>
          <w:p>
            <w:pPr>
              <w:pStyle w:val="13"/>
            </w:pPr>
            <w:r>
              <w:t>613.50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144.81</w:t>
            </w:r>
          </w:p>
        </w:tc>
        <w:tc>
          <w:tcPr>
            <w:tcW w:w="2551" w:type="dxa"/>
            <w:vAlign w:val="center"/>
          </w:tcPr>
          <w:p>
            <w:pPr>
              <w:pStyle w:val="13"/>
            </w:pPr>
            <w:r>
              <w:t>144.81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144.81</w:t>
            </w:r>
          </w:p>
        </w:tc>
        <w:tc>
          <w:tcPr>
            <w:tcW w:w="2551" w:type="dxa"/>
            <w:vAlign w:val="center"/>
          </w:tcPr>
          <w:p>
            <w:pPr>
              <w:pStyle w:val="13"/>
            </w:pPr>
            <w:r>
              <w:t>144.81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96.54</w:t>
            </w:r>
          </w:p>
        </w:tc>
        <w:tc>
          <w:tcPr>
            <w:tcW w:w="2551" w:type="dxa"/>
            <w:vAlign w:val="center"/>
          </w:tcPr>
          <w:p>
            <w:pPr>
              <w:pStyle w:val="13"/>
            </w:pPr>
            <w:r>
              <w:t>96.54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48.27</w:t>
            </w:r>
          </w:p>
        </w:tc>
        <w:tc>
          <w:tcPr>
            <w:tcW w:w="2551" w:type="dxa"/>
            <w:vAlign w:val="center"/>
          </w:tcPr>
          <w:p>
            <w:pPr>
              <w:pStyle w:val="13"/>
            </w:pPr>
            <w:r>
              <w:t>48.27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103.04</w:t>
            </w:r>
          </w:p>
        </w:tc>
        <w:tc>
          <w:tcPr>
            <w:tcW w:w="2551" w:type="dxa"/>
            <w:vAlign w:val="center"/>
          </w:tcPr>
          <w:p>
            <w:pPr>
              <w:pStyle w:val="13"/>
            </w:pPr>
            <w:r>
              <w:t>103.04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103.04</w:t>
            </w:r>
          </w:p>
        </w:tc>
        <w:tc>
          <w:tcPr>
            <w:tcW w:w="2551" w:type="dxa"/>
            <w:vAlign w:val="center"/>
          </w:tcPr>
          <w:p>
            <w:pPr>
              <w:pStyle w:val="13"/>
            </w:pPr>
            <w:r>
              <w:t>103.04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44.12</w:t>
            </w:r>
          </w:p>
        </w:tc>
        <w:tc>
          <w:tcPr>
            <w:tcW w:w="2551" w:type="dxa"/>
            <w:vAlign w:val="center"/>
          </w:tcPr>
          <w:p>
            <w:pPr>
              <w:pStyle w:val="13"/>
            </w:pPr>
            <w:r>
              <w:t>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58.92</w:t>
            </w:r>
          </w:p>
        </w:tc>
        <w:tc>
          <w:tcPr>
            <w:tcW w:w="2551" w:type="dxa"/>
            <w:vAlign w:val="center"/>
          </w:tcPr>
          <w:p>
            <w:pPr>
              <w:pStyle w:val="13"/>
            </w:pPr>
            <w:r>
              <w:t>58.92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72.40</w:t>
            </w:r>
          </w:p>
        </w:tc>
        <w:tc>
          <w:tcPr>
            <w:tcW w:w="2551" w:type="dxa"/>
            <w:vAlign w:val="center"/>
          </w:tcPr>
          <w:p>
            <w:pPr>
              <w:pStyle w:val="13"/>
            </w:pPr>
            <w:r>
              <w:t>72.40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72.40</w:t>
            </w:r>
          </w:p>
        </w:tc>
        <w:tc>
          <w:tcPr>
            <w:tcW w:w="2551" w:type="dxa"/>
            <w:vAlign w:val="center"/>
          </w:tcPr>
          <w:p>
            <w:pPr>
              <w:pStyle w:val="13"/>
            </w:pPr>
            <w:r>
              <w:t>72.40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72.40</w:t>
            </w:r>
          </w:p>
        </w:tc>
        <w:tc>
          <w:tcPr>
            <w:tcW w:w="2551" w:type="dxa"/>
            <w:vAlign w:val="center"/>
          </w:tcPr>
          <w:p>
            <w:pPr>
              <w:pStyle w:val="13"/>
            </w:pPr>
            <w:r>
              <w:t>72.40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1318.83</w:t>
            </w:r>
          </w:p>
        </w:tc>
        <w:tc>
          <w:tcPr>
            <w:tcW w:w="2551" w:type="dxa"/>
            <w:vAlign w:val="center"/>
          </w:tcPr>
          <w:p>
            <w:pPr>
              <w:pStyle w:val="17"/>
            </w:pPr>
            <w:r>
              <w:t>1008.53</w:t>
            </w:r>
          </w:p>
        </w:tc>
        <w:tc>
          <w:tcPr>
            <w:tcW w:w="2551" w:type="dxa"/>
            <w:vAlign w:val="center"/>
          </w:tcPr>
          <w:p>
            <w:pPr>
              <w:pStyle w:val="17"/>
            </w:pPr>
            <w:r>
              <w:t>310.30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1002.95</w:t>
            </w:r>
          </w:p>
        </w:tc>
        <w:tc>
          <w:tcPr>
            <w:tcW w:w="2551" w:type="dxa"/>
            <w:vAlign w:val="center"/>
          </w:tcPr>
          <w:p>
            <w:pPr>
              <w:pStyle w:val="13"/>
            </w:pPr>
            <w:r>
              <w:t>1002.95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274.00</w:t>
            </w:r>
          </w:p>
        </w:tc>
        <w:tc>
          <w:tcPr>
            <w:tcW w:w="2551" w:type="dxa"/>
            <w:vAlign w:val="center"/>
          </w:tcPr>
          <w:p>
            <w:pPr>
              <w:pStyle w:val="13"/>
            </w:pPr>
            <w:r>
              <w:t>274.00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289.89</w:t>
            </w:r>
          </w:p>
        </w:tc>
        <w:tc>
          <w:tcPr>
            <w:tcW w:w="2551" w:type="dxa"/>
            <w:vAlign w:val="center"/>
          </w:tcPr>
          <w:p>
            <w:pPr>
              <w:pStyle w:val="13"/>
            </w:pPr>
            <w:r>
              <w:t>289.89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18.82</w:t>
            </w:r>
          </w:p>
        </w:tc>
        <w:tc>
          <w:tcPr>
            <w:tcW w:w="2551" w:type="dxa"/>
            <w:vAlign w:val="center"/>
          </w:tcPr>
          <w:p>
            <w:pPr>
              <w:pStyle w:val="13"/>
            </w:pPr>
            <w:r>
              <w:t>18.82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61.97</w:t>
            </w:r>
          </w:p>
        </w:tc>
        <w:tc>
          <w:tcPr>
            <w:tcW w:w="2551" w:type="dxa"/>
            <w:vAlign w:val="center"/>
          </w:tcPr>
          <w:p>
            <w:pPr>
              <w:pStyle w:val="13"/>
            </w:pPr>
            <w:r>
              <w:t>61.97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96.54</w:t>
            </w:r>
          </w:p>
        </w:tc>
        <w:tc>
          <w:tcPr>
            <w:tcW w:w="2551" w:type="dxa"/>
            <w:vAlign w:val="center"/>
          </w:tcPr>
          <w:p>
            <w:pPr>
              <w:pStyle w:val="13"/>
            </w:pPr>
            <w:r>
              <w:t>96.54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48.27</w:t>
            </w:r>
          </w:p>
        </w:tc>
        <w:tc>
          <w:tcPr>
            <w:tcW w:w="2551" w:type="dxa"/>
            <w:vAlign w:val="center"/>
          </w:tcPr>
          <w:p>
            <w:pPr>
              <w:pStyle w:val="13"/>
            </w:pPr>
            <w:r>
              <w:t>48.27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44.12</w:t>
            </w:r>
          </w:p>
        </w:tc>
        <w:tc>
          <w:tcPr>
            <w:tcW w:w="2551" w:type="dxa"/>
            <w:vAlign w:val="center"/>
          </w:tcPr>
          <w:p>
            <w:pPr>
              <w:pStyle w:val="13"/>
            </w:pPr>
            <w:r>
              <w:t>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58.92</w:t>
            </w:r>
          </w:p>
        </w:tc>
        <w:tc>
          <w:tcPr>
            <w:tcW w:w="2551" w:type="dxa"/>
            <w:vAlign w:val="center"/>
          </w:tcPr>
          <w:p>
            <w:pPr>
              <w:pStyle w:val="13"/>
            </w:pPr>
            <w:r>
              <w:t>58.92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4.99</w:t>
            </w:r>
          </w:p>
        </w:tc>
        <w:tc>
          <w:tcPr>
            <w:tcW w:w="2551" w:type="dxa"/>
            <w:vAlign w:val="center"/>
          </w:tcPr>
          <w:p>
            <w:pPr>
              <w:pStyle w:val="13"/>
            </w:pPr>
            <w:r>
              <w:t>4.99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72.40</w:t>
            </w:r>
          </w:p>
        </w:tc>
        <w:tc>
          <w:tcPr>
            <w:tcW w:w="2551" w:type="dxa"/>
            <w:vAlign w:val="center"/>
          </w:tcPr>
          <w:p>
            <w:pPr>
              <w:pStyle w:val="13"/>
            </w:pPr>
            <w:r>
              <w:t>72.40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33.03</w:t>
            </w:r>
          </w:p>
        </w:tc>
        <w:tc>
          <w:tcPr>
            <w:tcW w:w="2551" w:type="dxa"/>
            <w:vAlign w:val="center"/>
          </w:tcPr>
          <w:p>
            <w:pPr>
              <w:pStyle w:val="13"/>
            </w:pPr>
            <w:r>
              <w:t>33.03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310.30</w:t>
            </w:r>
          </w:p>
        </w:tc>
        <w:tc>
          <w:tcPr>
            <w:tcW w:w="2551" w:type="dxa"/>
            <w:vAlign w:val="center"/>
          </w:tcPr>
          <w:p>
            <w:pPr>
              <w:pStyle w:val="13"/>
            </w:pPr>
          </w:p>
        </w:tc>
        <w:tc>
          <w:tcPr>
            <w:tcW w:w="2551" w:type="dxa"/>
            <w:vAlign w:val="center"/>
          </w:tcPr>
          <w:p>
            <w:pPr>
              <w:pStyle w:val="13"/>
            </w:pPr>
            <w:r>
              <w:t>310.30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62.57</w:t>
            </w:r>
          </w:p>
        </w:tc>
        <w:tc>
          <w:tcPr>
            <w:tcW w:w="2551" w:type="dxa"/>
            <w:vAlign w:val="center"/>
          </w:tcPr>
          <w:p>
            <w:pPr>
              <w:pStyle w:val="13"/>
            </w:pPr>
          </w:p>
        </w:tc>
        <w:tc>
          <w:tcPr>
            <w:tcW w:w="2551" w:type="dxa"/>
            <w:vAlign w:val="center"/>
          </w:tcPr>
          <w:p>
            <w:pPr>
              <w:pStyle w:val="13"/>
            </w:pPr>
            <w:r>
              <w:t>62.57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37.94</w:t>
            </w:r>
          </w:p>
        </w:tc>
        <w:tc>
          <w:tcPr>
            <w:tcW w:w="2551" w:type="dxa"/>
            <w:vAlign w:val="center"/>
          </w:tcPr>
          <w:p>
            <w:pPr>
              <w:pStyle w:val="13"/>
            </w:pPr>
          </w:p>
        </w:tc>
        <w:tc>
          <w:tcPr>
            <w:tcW w:w="2551" w:type="dxa"/>
            <w:vAlign w:val="center"/>
          </w:tcPr>
          <w:p>
            <w:pPr>
              <w:pStyle w:val="13"/>
            </w:pPr>
            <w:r>
              <w:t>37.94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2.63</w:t>
            </w:r>
          </w:p>
        </w:tc>
        <w:tc>
          <w:tcPr>
            <w:tcW w:w="2551" w:type="dxa"/>
            <w:vAlign w:val="center"/>
          </w:tcPr>
          <w:p>
            <w:pPr>
              <w:pStyle w:val="13"/>
            </w:pPr>
          </w:p>
        </w:tc>
        <w:tc>
          <w:tcPr>
            <w:tcW w:w="2551" w:type="dxa"/>
            <w:vAlign w:val="center"/>
          </w:tcPr>
          <w:p>
            <w:pPr>
              <w:pStyle w:val="13"/>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5.78</w:t>
            </w:r>
          </w:p>
        </w:tc>
        <w:tc>
          <w:tcPr>
            <w:tcW w:w="2551" w:type="dxa"/>
            <w:vAlign w:val="center"/>
          </w:tcPr>
          <w:p>
            <w:pPr>
              <w:pStyle w:val="13"/>
            </w:pPr>
          </w:p>
        </w:tc>
        <w:tc>
          <w:tcPr>
            <w:tcW w:w="2551" w:type="dxa"/>
            <w:vAlign w:val="center"/>
          </w:tcPr>
          <w:p>
            <w:pPr>
              <w:pStyle w:val="13"/>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6.52</w:t>
            </w:r>
          </w:p>
        </w:tc>
        <w:tc>
          <w:tcPr>
            <w:tcW w:w="2551" w:type="dxa"/>
            <w:vAlign w:val="center"/>
          </w:tcPr>
          <w:p>
            <w:pPr>
              <w:pStyle w:val="13"/>
            </w:pPr>
          </w:p>
        </w:tc>
        <w:tc>
          <w:tcPr>
            <w:tcW w:w="2551" w:type="dxa"/>
            <w:vAlign w:val="center"/>
          </w:tcPr>
          <w:p>
            <w:pPr>
              <w:pStyle w:val="13"/>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45.56</w:t>
            </w:r>
          </w:p>
        </w:tc>
        <w:tc>
          <w:tcPr>
            <w:tcW w:w="2551" w:type="dxa"/>
            <w:vAlign w:val="center"/>
          </w:tcPr>
          <w:p>
            <w:pPr>
              <w:pStyle w:val="13"/>
            </w:pPr>
          </w:p>
        </w:tc>
        <w:tc>
          <w:tcPr>
            <w:tcW w:w="2551" w:type="dxa"/>
            <w:vAlign w:val="center"/>
          </w:tcPr>
          <w:p>
            <w:pPr>
              <w:pStyle w:val="13"/>
            </w:pPr>
            <w:r>
              <w:t>45.56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12.30</w:t>
            </w:r>
          </w:p>
        </w:tc>
        <w:tc>
          <w:tcPr>
            <w:tcW w:w="2551" w:type="dxa"/>
            <w:vAlign w:val="center"/>
          </w:tcPr>
          <w:p>
            <w:pPr>
              <w:pStyle w:val="13"/>
            </w:pPr>
          </w:p>
        </w:tc>
        <w:tc>
          <w:tcPr>
            <w:tcW w:w="2551"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5.30</w:t>
            </w:r>
          </w:p>
        </w:tc>
        <w:tc>
          <w:tcPr>
            <w:tcW w:w="2551" w:type="dxa"/>
            <w:vAlign w:val="center"/>
          </w:tcPr>
          <w:p>
            <w:pPr>
              <w:pStyle w:val="13"/>
            </w:pPr>
            <w:r>
              <w:t>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113.56</w:t>
            </w:r>
          </w:p>
        </w:tc>
        <w:tc>
          <w:tcPr>
            <w:tcW w:w="2381" w:type="dxa"/>
            <w:vAlign w:val="center"/>
          </w:tcPr>
          <w:p>
            <w:pPr>
              <w:pStyle w:val="17"/>
            </w:pPr>
            <w:r>
              <w:t>113.56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57.00</w:t>
            </w:r>
          </w:p>
        </w:tc>
        <w:tc>
          <w:tcPr>
            <w:tcW w:w="2381" w:type="dxa"/>
            <w:vAlign w:val="center"/>
          </w:tcPr>
          <w:p>
            <w:pPr>
              <w:pStyle w:val="13"/>
            </w:pPr>
            <w:r>
              <w:t>57.00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45.00</w:t>
            </w:r>
          </w:p>
        </w:tc>
        <w:tc>
          <w:tcPr>
            <w:tcW w:w="2381" w:type="dxa"/>
            <w:vAlign w:val="center"/>
          </w:tcPr>
          <w:p>
            <w:pPr>
              <w:pStyle w:val="13"/>
            </w:pPr>
            <w:r>
              <w:t>45.00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27.00</w:t>
            </w:r>
          </w:p>
        </w:tc>
        <w:tc>
          <w:tcPr>
            <w:tcW w:w="2381" w:type="dxa"/>
            <w:vAlign w:val="center"/>
          </w:tcPr>
          <w:p>
            <w:pPr>
              <w:pStyle w:val="13"/>
            </w:pPr>
            <w:r>
              <w:t>27.00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52.56</w:t>
            </w:r>
          </w:p>
        </w:tc>
        <w:tc>
          <w:tcPr>
            <w:tcW w:w="2381" w:type="dxa"/>
            <w:vAlign w:val="center"/>
          </w:tcPr>
          <w:p>
            <w:pPr>
              <w:pStyle w:val="13"/>
            </w:pPr>
            <w:r>
              <w:t>52.56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中共曹妃甸区纪律检查委员会本级2022年单位预算信息公开情况说明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按照《预算法》、《地方预决算公开操作规程》和《关于进一步推进预算公开工作的实施意见》规定，现将中共曹妃甸区纪律检查委员会本级2022年单位预算公开如下：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根据《中共唐山市曹妃甸区纪律检查委员会、唐山市曹妃甸区监察委员会机关职能配置、内设机构和人员编制规定》，中国共产党唐山市曹妃甸区纪律检查委员会的主要职责是：</w:t>
      </w:r>
    </w:p>
    <w:p>
      <w:pPr>
        <w:pStyle w:val="19"/>
      </w:pPr>
      <w: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19"/>
      </w:pPr>
      <w:r>
        <w:t>（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9"/>
      </w:pPr>
      <w:r>
        <w:t>（三）支持配合巡视巡察工作。承担巡视巡察整改日常监督责任，做好巡视巡察整改督查督办工作，依规依纪依法处置巡视巡察移交的反映领导干部问题线索。</w:t>
      </w:r>
    </w:p>
    <w:p>
      <w:pPr>
        <w:pStyle w:val="19"/>
      </w:pPr>
      <w:r>
        <w:t>（四）负责全区监察工作。贯彻落实党中央和省市区委关于监察工作的决策部署，维护宪法法律，依法对区委管理的行使公权力的公职人员进行监察，调查职务违法和职务犯罪，开展廉政建设和反腐败工作。</w:t>
      </w:r>
    </w:p>
    <w:p>
      <w:pPr>
        <w:pStyle w:val="19"/>
      </w:pPr>
      <w:r>
        <w:t>（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（六）负责组织协调全面从严治党、党风廉政建设和反腐败宣传教育工作。</w:t>
      </w:r>
    </w:p>
    <w:p>
      <w:pPr>
        <w:pStyle w:val="19"/>
      </w:pPr>
      <w:r>
        <w:t>（七）负责综合分析全面从严治党、党风廉政建设和反腐败工作情况，对纪检监察工作重要理论及实践问题进行调查研究；贯彻落实纪检监察法规制度，参与起草有关规范性文件。</w:t>
      </w:r>
    </w:p>
    <w:p>
      <w:pPr>
        <w:pStyle w:val="19"/>
      </w:pPr>
      <w:r>
        <w:t>（八）负责组织协调全区反腐败追逃追赃和防逃工作，督促有关单位做好相关工作。</w:t>
      </w:r>
    </w:p>
    <w:p>
      <w:pPr>
        <w:pStyle w:val="19"/>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19"/>
      </w:pPr>
      <w:r>
        <w:t>（十）完成市纪委监委、区委交办的其他任务。</w:t>
      </w:r>
    </w:p>
    <w:p>
      <w:pPr>
        <w:pStyle w:val="19"/>
      </w:pPr>
      <w:r>
        <w:t>根据《中共唐山市曹妃甸区委巡察工作领导小组办公室职能配置、内设机构和人员编制规定》，中共唐山市曹妃甸区委巡察工作领导小组办公室的主要职责是：</w:t>
      </w:r>
    </w:p>
    <w:p>
      <w:pPr>
        <w:pStyle w:val="19"/>
      </w:pPr>
      <w:r>
        <w:t>（一）贯彻落实党中央和省、市、区委以及区委巡察工作领导小组的决策部署，向市委巡察工作领导小组办公室和区委巡察工作领导小组报告工作情况。</w:t>
      </w:r>
    </w:p>
    <w:p>
      <w:pPr>
        <w:pStyle w:val="19"/>
      </w:pPr>
      <w:r>
        <w:t>（二）统筹、协调、指导开展巡察工作。</w:t>
      </w:r>
    </w:p>
    <w:p>
      <w:pPr>
        <w:pStyle w:val="19"/>
      </w:pPr>
      <w:r>
        <w:t>（三）承担政策研究、制度建设等工作。</w:t>
      </w:r>
    </w:p>
    <w:p>
      <w:pPr>
        <w:pStyle w:val="19"/>
      </w:pPr>
      <w:r>
        <w:t>（四）对区委、区委巡察工作领导小组决定的事项进行督办，会同巡察组对巡察整改工作进行专项检查。</w:t>
      </w:r>
    </w:p>
    <w:p>
      <w:pPr>
        <w:pStyle w:val="19"/>
      </w:pPr>
      <w:r>
        <w:t>（五）配合有关部门对巡察工作人员进行培训、考核、监督和管理。</w:t>
      </w:r>
    </w:p>
    <w:p>
      <w:pPr>
        <w:pStyle w:val="19"/>
      </w:pPr>
      <w:r>
        <w:t>（六）管理巡察工作专项经费。</w:t>
      </w:r>
    </w:p>
    <w:p>
      <w:pPr>
        <w:pStyle w:val="19"/>
        <w:rPr>
          <w:lang w:eastAsia="zh-CN"/>
        </w:rPr>
      </w:pPr>
      <w:r>
        <w:t>（七）完成市委巡察工作领导小组办公室和区委巡察工作领导小组交办的其他任务。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中共曹妃甸区纪律检查委员会本级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640" w:firstLineChars="200"/>
        <w:rPr>
          <w:rFonts w:eastAsia="方正仿宋简体" w:cs="Times New Roman"/>
          <w:sz w:val="32"/>
          <w:szCs w:val="32"/>
        </w:rPr>
      </w:pPr>
      <w:r>
        <w:rPr>
          <w:rFonts w:eastAsia="方正仿宋简体" w:cs="Times New Roman"/>
          <w:sz w:val="32"/>
          <w:szCs w:val="32"/>
        </w:rPr>
        <w:t>1、收入说明</w:t>
      </w:r>
    </w:p>
    <w:p>
      <w:pPr>
        <w:ind w:firstLine="640" w:firstLineChars="200"/>
        <w:rPr>
          <w:rFonts w:eastAsia="方正仿宋简体" w:cs="Times New Roman"/>
          <w:sz w:val="32"/>
          <w:szCs w:val="32"/>
        </w:rPr>
      </w:pPr>
      <w:r>
        <w:rPr>
          <w:rFonts w:eastAsia="方正仿宋简体" w:cs="Times New Roman"/>
          <w:sz w:val="32"/>
          <w:szCs w:val="32"/>
        </w:rPr>
        <w:t>本</w:t>
      </w:r>
      <w:r>
        <w:rPr>
          <w:rFonts w:hint="eastAsia" w:eastAsia="方正仿宋简体" w:cs="Times New Roman"/>
          <w:sz w:val="32"/>
          <w:szCs w:val="32"/>
          <w:lang w:eastAsia="zh-CN"/>
        </w:rPr>
        <w:t>单位</w:t>
      </w:r>
      <w:r>
        <w:rPr>
          <w:rFonts w:eastAsia="方正仿宋简体" w:cs="Times New Roman"/>
          <w:sz w:val="32"/>
          <w:szCs w:val="32"/>
        </w:rPr>
        <w:t>当年全部收入，</w:t>
      </w:r>
      <w:r>
        <w:rPr>
          <w:rFonts w:hint="eastAsia" w:eastAsia="方正仿宋简体" w:cs="Times New Roman"/>
          <w:sz w:val="32"/>
          <w:szCs w:val="32"/>
        </w:rPr>
        <w:t>2022</w:t>
      </w:r>
      <w:r>
        <w:rPr>
          <w:rFonts w:eastAsia="方正仿宋简体" w:cs="Times New Roman"/>
          <w:sz w:val="32"/>
          <w:szCs w:val="32"/>
        </w:rPr>
        <w:t>年预算收入2286.06万元,全部为一般公共预算收入。</w:t>
      </w:r>
    </w:p>
    <w:p>
      <w:pPr>
        <w:widowControl w:val="0"/>
        <w:numPr>
          <w:ilvl w:val="0"/>
          <w:numId w:val="1"/>
        </w:numPr>
        <w:ind w:firstLine="640"/>
        <w:jc w:val="both"/>
        <w:rPr>
          <w:rFonts w:eastAsia="方正仿宋简体" w:cs="Times New Roman"/>
          <w:sz w:val="32"/>
          <w:szCs w:val="32"/>
        </w:rPr>
      </w:pPr>
      <w:r>
        <w:rPr>
          <w:rFonts w:eastAsia="方正仿宋简体" w:cs="Times New Roman"/>
          <w:sz w:val="32"/>
          <w:szCs w:val="32"/>
        </w:rPr>
        <w:t>支出说明</w:t>
      </w:r>
    </w:p>
    <w:p>
      <w:pPr>
        <w:rPr>
          <w:rFonts w:eastAsia="方正仿宋简体" w:cs="Times New Roman"/>
          <w:sz w:val="32"/>
          <w:szCs w:val="32"/>
        </w:rPr>
      </w:pPr>
      <w:r>
        <w:rPr>
          <w:rFonts w:eastAsia="方正仿宋简体" w:cs="Times New Roman"/>
          <w:sz w:val="32"/>
          <w:szCs w:val="32"/>
        </w:rPr>
        <w:t xml:space="preserve"> </w:t>
      </w:r>
      <w:r>
        <w:rPr>
          <w:rFonts w:hint="eastAsia" w:eastAsia="方正仿宋简体" w:cs="Times New Roman"/>
          <w:sz w:val="32"/>
          <w:szCs w:val="32"/>
        </w:rPr>
        <w:t xml:space="preserve"> </w:t>
      </w:r>
      <w:r>
        <w:rPr>
          <w:rFonts w:hint="eastAsia" w:eastAsia="方正仿宋简体" w:cs="Times New Roman"/>
          <w:sz w:val="32"/>
          <w:szCs w:val="32"/>
          <w:lang w:eastAsia="zh-CN"/>
        </w:rPr>
        <w:t xml:space="preserve">     </w:t>
      </w:r>
      <w:r>
        <w:rPr>
          <w:rFonts w:hint="eastAsia" w:eastAsia="方正仿宋简体" w:cs="Times New Roman"/>
          <w:sz w:val="32"/>
          <w:szCs w:val="32"/>
        </w:rPr>
        <w:t xml:space="preserve"> </w:t>
      </w:r>
      <w:r>
        <w:rPr>
          <w:rFonts w:eastAsia="方正仿宋简体" w:cs="Times New Roman"/>
          <w:sz w:val="32"/>
          <w:szCs w:val="32"/>
        </w:rPr>
        <w:t>收支预算总表支出栏、基本支出表、项目支出表按经济分类和支出功能分类科目编制，反映曹妃甸区纪委监委年度部门预算中支出预算的总体情况。</w:t>
      </w:r>
      <w:r>
        <w:rPr>
          <w:rFonts w:hint="eastAsia" w:eastAsia="方正仿宋简体" w:cs="Times New Roman"/>
          <w:sz w:val="32"/>
          <w:szCs w:val="32"/>
        </w:rPr>
        <w:t>2022</w:t>
      </w:r>
      <w:r>
        <w:rPr>
          <w:rFonts w:eastAsia="方正仿宋简体" w:cs="Times New Roman"/>
          <w:sz w:val="32"/>
          <w:szCs w:val="32"/>
        </w:rPr>
        <w:t>年部门支出预算为2286.06万元，其中基本支出1318.83万元，包括人员经费1008.53万元和公用经费310.30万元；项目支出967.23万元，全部为本级支出。</w:t>
      </w:r>
    </w:p>
    <w:p>
      <w:pPr>
        <w:widowControl w:val="0"/>
        <w:numPr>
          <w:ilvl w:val="0"/>
          <w:numId w:val="1"/>
        </w:numPr>
        <w:ind w:firstLine="640"/>
        <w:jc w:val="both"/>
        <w:rPr>
          <w:rFonts w:eastAsia="方正仿宋简体" w:cs="Times New Roman"/>
          <w:sz w:val="32"/>
          <w:szCs w:val="32"/>
        </w:rPr>
      </w:pPr>
      <w:r>
        <w:rPr>
          <w:rFonts w:eastAsia="方正仿宋简体" w:cs="Times New Roman"/>
          <w:sz w:val="32"/>
          <w:szCs w:val="32"/>
        </w:rPr>
        <w:t>比上年增减情况</w:t>
      </w:r>
    </w:p>
    <w:p>
      <w:pPr>
        <w:rPr>
          <w:rFonts w:eastAsia="方正仿宋简体" w:cs="Times New Roman"/>
          <w:sz w:val="32"/>
          <w:szCs w:val="32"/>
          <w:lang w:eastAsia="zh-CN"/>
        </w:rPr>
      </w:pPr>
      <w:r>
        <w:rPr>
          <w:rFonts w:eastAsia="方正仿宋简体" w:cs="Times New Roman"/>
          <w:sz w:val="32"/>
          <w:szCs w:val="32"/>
        </w:rPr>
        <w:t xml:space="preserve">    </w:t>
      </w:r>
      <w:r>
        <w:rPr>
          <w:rFonts w:hint="eastAsia" w:eastAsia="方正仿宋简体" w:cs="Times New Roman"/>
          <w:sz w:val="32"/>
          <w:szCs w:val="32"/>
          <w:lang w:eastAsia="zh-CN"/>
        </w:rPr>
        <w:t xml:space="preserve">   </w:t>
      </w:r>
      <w:r>
        <w:rPr>
          <w:rFonts w:eastAsia="方正仿宋简体" w:cs="Times New Roman"/>
          <w:sz w:val="32"/>
          <w:szCs w:val="32"/>
        </w:rPr>
        <w:t xml:space="preserve">  20</w:t>
      </w:r>
      <w:r>
        <w:rPr>
          <w:rFonts w:hint="eastAsia" w:eastAsia="方正仿宋简体" w:cs="Times New Roman"/>
          <w:sz w:val="32"/>
          <w:szCs w:val="32"/>
        </w:rPr>
        <w:t>22</w:t>
      </w:r>
      <w:r>
        <w:rPr>
          <w:rFonts w:eastAsia="方正仿宋简体" w:cs="Times New Roman"/>
          <w:sz w:val="32"/>
          <w:szCs w:val="32"/>
        </w:rPr>
        <w:t>年部门预算较20</w:t>
      </w:r>
      <w:r>
        <w:rPr>
          <w:rFonts w:hint="eastAsia" w:eastAsia="方正仿宋简体" w:cs="Times New Roman"/>
          <w:sz w:val="32"/>
          <w:szCs w:val="32"/>
        </w:rPr>
        <w:t>21</w:t>
      </w:r>
      <w:r>
        <w:rPr>
          <w:rFonts w:eastAsia="方正仿宋简体" w:cs="Times New Roman"/>
          <w:sz w:val="32"/>
          <w:szCs w:val="32"/>
        </w:rPr>
        <w:t>年</w:t>
      </w:r>
      <w:r>
        <w:rPr>
          <w:rFonts w:hint="eastAsia" w:eastAsia="方正仿宋简体" w:cs="Times New Roman"/>
          <w:sz w:val="32"/>
          <w:szCs w:val="32"/>
        </w:rPr>
        <w:t>增加244.52</w:t>
      </w:r>
      <w:r>
        <w:rPr>
          <w:rFonts w:eastAsia="方正仿宋简体" w:cs="Times New Roman"/>
          <w:sz w:val="32"/>
          <w:szCs w:val="32"/>
        </w:rPr>
        <w:t>万元，其中：基本支出</w:t>
      </w:r>
      <w:r>
        <w:rPr>
          <w:rFonts w:hint="eastAsia" w:eastAsia="方正仿宋简体" w:cs="Times New Roman"/>
          <w:sz w:val="32"/>
          <w:szCs w:val="32"/>
        </w:rPr>
        <w:t>增加224.17</w:t>
      </w:r>
      <w:r>
        <w:rPr>
          <w:rFonts w:eastAsia="方正仿宋简体" w:cs="Times New Roman"/>
          <w:sz w:val="32"/>
          <w:szCs w:val="32"/>
        </w:rPr>
        <w:t>万元，人员经费支出</w:t>
      </w:r>
      <w:r>
        <w:rPr>
          <w:rFonts w:hint="eastAsia" w:eastAsia="方正仿宋简体" w:cs="Times New Roman"/>
          <w:sz w:val="32"/>
          <w:szCs w:val="32"/>
        </w:rPr>
        <w:t>增加172.76</w:t>
      </w:r>
      <w:r>
        <w:rPr>
          <w:rFonts w:eastAsia="方正仿宋简体" w:cs="Times New Roman"/>
          <w:sz w:val="32"/>
          <w:szCs w:val="32"/>
        </w:rPr>
        <w:t>万元，公用经费支出</w:t>
      </w:r>
      <w:r>
        <w:rPr>
          <w:rFonts w:hint="eastAsia" w:eastAsia="方正仿宋简体" w:cs="Times New Roman"/>
          <w:sz w:val="32"/>
          <w:szCs w:val="32"/>
        </w:rPr>
        <w:t>增加51.41</w:t>
      </w:r>
      <w:r>
        <w:rPr>
          <w:rFonts w:eastAsia="方正仿宋简体" w:cs="Times New Roman"/>
          <w:sz w:val="32"/>
          <w:szCs w:val="32"/>
        </w:rPr>
        <w:t>万元</w:t>
      </w:r>
      <w:r>
        <w:rPr>
          <w:rFonts w:hint="eastAsia" w:eastAsia="方正仿宋简体" w:cs="Times New Roman"/>
          <w:sz w:val="32"/>
          <w:szCs w:val="32"/>
        </w:rPr>
        <w:t>，</w:t>
      </w:r>
      <w:r>
        <w:rPr>
          <w:rFonts w:eastAsia="方正仿宋简体" w:cs="Times New Roman"/>
          <w:sz w:val="32"/>
          <w:szCs w:val="32"/>
        </w:rPr>
        <w:t>主要原因是人员增加；项目支出</w:t>
      </w:r>
      <w:r>
        <w:rPr>
          <w:rFonts w:hint="eastAsia" w:eastAsia="方正仿宋简体" w:cs="Times New Roman"/>
          <w:sz w:val="32"/>
          <w:szCs w:val="32"/>
        </w:rPr>
        <w:t>增加20.35</w:t>
      </w:r>
      <w:r>
        <w:rPr>
          <w:rFonts w:eastAsia="方正仿宋简体" w:cs="Times New Roman"/>
          <w:sz w:val="32"/>
          <w:szCs w:val="32"/>
        </w:rPr>
        <w:t>万元</w:t>
      </w:r>
      <w:r>
        <w:rPr>
          <w:rFonts w:hint="eastAsia" w:eastAsia="方正仿宋简体" w:cs="Times New Roman"/>
          <w:sz w:val="32"/>
          <w:szCs w:val="32"/>
        </w:rPr>
        <w:t>，</w:t>
      </w:r>
      <w:r>
        <w:rPr>
          <w:rFonts w:eastAsia="方正仿宋简体" w:cs="Times New Roman"/>
          <w:sz w:val="32"/>
          <w:szCs w:val="32"/>
        </w:rPr>
        <w:t>主要原因是增加对纪检监察外网的工作。</w:t>
      </w:r>
    </w:p>
    <w:p>
      <w:pPr>
        <w:ind w:firstLine="640" w:firstLineChars="200"/>
      </w:pPr>
      <w:r>
        <w:rPr>
          <w:rFonts w:ascii="黑体" w:hAnsi="黑体" w:eastAsia="黑体" w:cs="黑体"/>
          <w:color w:val="000000"/>
          <w:sz w:val="32"/>
        </w:rPr>
        <w:t>三、机关运行经费安排情况</w:t>
      </w:r>
    </w:p>
    <w:p>
      <w:pPr>
        <w:autoSpaceDE w:val="0"/>
        <w:autoSpaceDN w:val="0"/>
        <w:adjustRightInd w:val="0"/>
        <w:ind w:left="198" w:firstLine="640" w:firstLineChars="200"/>
        <w:rPr>
          <w:rFonts w:eastAsia="方正仿宋简体" w:cs="Times New Roman"/>
          <w:sz w:val="32"/>
          <w:szCs w:val="32"/>
          <w:lang w:eastAsia="zh-CN"/>
        </w:rPr>
      </w:pPr>
      <w:r>
        <w:rPr>
          <w:rFonts w:eastAsia="方正仿宋简体" w:cs="Times New Roman"/>
          <w:sz w:val="32"/>
          <w:szCs w:val="32"/>
        </w:rPr>
        <w:t>机关运行经费共计安排</w:t>
      </w:r>
      <w:r>
        <w:rPr>
          <w:rFonts w:hint="eastAsia" w:eastAsia="方正仿宋简体" w:cs="Times New Roman"/>
          <w:sz w:val="32"/>
          <w:szCs w:val="32"/>
        </w:rPr>
        <w:t>310.30万</w:t>
      </w:r>
      <w:r>
        <w:rPr>
          <w:rFonts w:eastAsia="方正仿宋简体" w:cs="Times New Roman"/>
          <w:sz w:val="32"/>
          <w:szCs w:val="32"/>
        </w:rPr>
        <w:t>元，主要用于保证机关正常运转的办公及印刷费、邮电费、差旅费、培训费、会议费、福利费、日常维修费、公务车运行维护费等支出。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773" w:leftChars="322" w:firstLine="160" w:firstLineChars="50"/>
        <w:rPr>
          <w:rFonts w:eastAsia="方正仿宋简体" w:cs="Times New Roman"/>
          <w:sz w:val="32"/>
          <w:szCs w:val="32"/>
        </w:rPr>
      </w:pPr>
      <w:r>
        <w:rPr>
          <w:rFonts w:hint="eastAsia" w:eastAsia="方正仿宋简体" w:cs="Times New Roman"/>
          <w:sz w:val="32"/>
          <w:szCs w:val="32"/>
        </w:rPr>
        <w:t>2022</w:t>
      </w:r>
      <w:r>
        <w:rPr>
          <w:rFonts w:eastAsia="方正仿宋简体" w:cs="Times New Roman"/>
          <w:sz w:val="32"/>
          <w:szCs w:val="32"/>
        </w:rPr>
        <w:t>年，我部门 “三公”经费预算安排</w:t>
      </w:r>
      <w:r>
        <w:rPr>
          <w:rFonts w:hint="eastAsia" w:eastAsia="方正仿宋简体" w:cs="Times New Roman"/>
          <w:sz w:val="32"/>
          <w:szCs w:val="32"/>
        </w:rPr>
        <w:t>57</w:t>
      </w:r>
      <w:r>
        <w:rPr>
          <w:rFonts w:eastAsia="方正仿宋简体" w:cs="Times New Roman"/>
          <w:sz w:val="32"/>
          <w:szCs w:val="32"/>
        </w:rPr>
        <w:t>万元，较</w:t>
      </w:r>
      <w:r>
        <w:rPr>
          <w:rFonts w:hint="eastAsia" w:eastAsia="方正仿宋简体" w:cs="Times New Roman"/>
          <w:sz w:val="32"/>
          <w:szCs w:val="32"/>
        </w:rPr>
        <w:t>2021</w:t>
      </w:r>
      <w:r>
        <w:rPr>
          <w:rFonts w:eastAsia="方正仿宋简体" w:cs="Times New Roman"/>
          <w:sz w:val="32"/>
          <w:szCs w:val="32"/>
        </w:rPr>
        <w:t>年</w:t>
      </w:r>
      <w:r>
        <w:rPr>
          <w:rFonts w:hint="eastAsia" w:eastAsia="方正仿宋简体" w:cs="Times New Roman"/>
          <w:sz w:val="32"/>
          <w:szCs w:val="32"/>
        </w:rPr>
        <w:t>增加9</w:t>
      </w:r>
      <w:r>
        <w:rPr>
          <w:rFonts w:eastAsia="方正仿宋简体" w:cs="Times New Roman"/>
          <w:sz w:val="32"/>
          <w:szCs w:val="32"/>
        </w:rPr>
        <w:t>万元，具体安排情况为：</w:t>
      </w:r>
    </w:p>
    <w:p>
      <w:pPr>
        <w:autoSpaceDE w:val="0"/>
        <w:autoSpaceDN w:val="0"/>
        <w:adjustRightInd w:val="0"/>
        <w:ind w:firstLine="640" w:firstLineChars="200"/>
        <w:rPr>
          <w:rFonts w:eastAsia="方正仿宋简体" w:cs="Times New Roman"/>
          <w:sz w:val="32"/>
          <w:szCs w:val="32"/>
        </w:rPr>
      </w:pPr>
      <w:r>
        <w:rPr>
          <w:rFonts w:eastAsia="方正仿宋简体" w:cs="Times New Roman"/>
          <w:sz w:val="32"/>
          <w:szCs w:val="32"/>
        </w:rPr>
        <w:t>（一）公务用车购置及运行费。共计安排</w:t>
      </w:r>
      <w:r>
        <w:rPr>
          <w:rFonts w:hint="eastAsia" w:eastAsia="方正仿宋简体" w:cs="Times New Roman"/>
          <w:sz w:val="32"/>
          <w:szCs w:val="32"/>
        </w:rPr>
        <w:t>45</w:t>
      </w:r>
      <w:r>
        <w:rPr>
          <w:rFonts w:eastAsia="方正仿宋简体" w:cs="Times New Roman"/>
          <w:sz w:val="32"/>
          <w:szCs w:val="32"/>
        </w:rPr>
        <w:t>万元，较上年预算</w:t>
      </w:r>
      <w:r>
        <w:rPr>
          <w:rFonts w:hint="eastAsia" w:eastAsia="方正仿宋简体" w:cs="Times New Roman"/>
          <w:sz w:val="32"/>
          <w:szCs w:val="32"/>
        </w:rPr>
        <w:t>增加9</w:t>
      </w:r>
      <w:r>
        <w:rPr>
          <w:rFonts w:eastAsia="方正仿宋简体" w:cs="Times New Roman"/>
          <w:sz w:val="32"/>
          <w:szCs w:val="32"/>
        </w:rPr>
        <w:t>万元。①公务用车购置安排</w:t>
      </w:r>
      <w:r>
        <w:rPr>
          <w:rFonts w:hint="eastAsia" w:eastAsia="方正仿宋简体" w:cs="Times New Roman"/>
          <w:sz w:val="32"/>
          <w:szCs w:val="32"/>
        </w:rPr>
        <w:t>18</w:t>
      </w:r>
      <w:r>
        <w:rPr>
          <w:rFonts w:eastAsia="方正仿宋简体" w:cs="Times New Roman"/>
          <w:sz w:val="32"/>
          <w:szCs w:val="32"/>
        </w:rPr>
        <w:t>万元，较上年预算</w:t>
      </w:r>
      <w:r>
        <w:rPr>
          <w:rFonts w:hint="eastAsia" w:eastAsia="方正仿宋简体" w:cs="Times New Roman"/>
          <w:sz w:val="32"/>
          <w:szCs w:val="32"/>
        </w:rPr>
        <w:t>增加18</w:t>
      </w:r>
      <w:r>
        <w:rPr>
          <w:rFonts w:eastAsia="方正仿宋简体" w:cs="Times New Roman"/>
          <w:sz w:val="32"/>
          <w:szCs w:val="32"/>
        </w:rPr>
        <w:t>万元。②公车运行维护经费安排</w:t>
      </w:r>
      <w:r>
        <w:rPr>
          <w:rFonts w:hint="eastAsia" w:eastAsia="方正仿宋简体" w:cs="Times New Roman"/>
          <w:sz w:val="32"/>
          <w:szCs w:val="32"/>
        </w:rPr>
        <w:t>27</w:t>
      </w:r>
      <w:r>
        <w:rPr>
          <w:rFonts w:eastAsia="方正仿宋简体" w:cs="Times New Roman"/>
          <w:sz w:val="32"/>
          <w:szCs w:val="32"/>
        </w:rPr>
        <w:t>万元，较上年预算</w:t>
      </w:r>
      <w:r>
        <w:rPr>
          <w:rFonts w:hint="eastAsia" w:eastAsia="方正仿宋简体" w:cs="Times New Roman"/>
          <w:sz w:val="32"/>
          <w:szCs w:val="32"/>
        </w:rPr>
        <w:t>减少9</w:t>
      </w:r>
      <w:r>
        <w:rPr>
          <w:rFonts w:eastAsia="方正仿宋简体" w:cs="Times New Roman"/>
          <w:sz w:val="32"/>
          <w:szCs w:val="32"/>
        </w:rPr>
        <w:t>万元。</w:t>
      </w:r>
    </w:p>
    <w:p>
      <w:pPr>
        <w:autoSpaceDE w:val="0"/>
        <w:autoSpaceDN w:val="0"/>
        <w:adjustRightInd w:val="0"/>
        <w:ind w:firstLine="640" w:firstLineChars="200"/>
        <w:rPr>
          <w:rFonts w:eastAsia="方正仿宋简体" w:cs="Times New Roman"/>
          <w:sz w:val="32"/>
          <w:szCs w:val="32"/>
        </w:rPr>
      </w:pPr>
      <w:r>
        <w:rPr>
          <w:rFonts w:eastAsia="方正仿宋简体" w:cs="Times New Roman"/>
          <w:sz w:val="32"/>
          <w:szCs w:val="32"/>
        </w:rPr>
        <w:t>（二）公务接待费。安排</w:t>
      </w:r>
      <w:r>
        <w:rPr>
          <w:rFonts w:hint="eastAsia" w:eastAsia="方正仿宋简体" w:cs="Times New Roman"/>
          <w:sz w:val="32"/>
          <w:szCs w:val="32"/>
        </w:rPr>
        <w:t>12</w:t>
      </w:r>
      <w:r>
        <w:rPr>
          <w:rFonts w:eastAsia="方正仿宋简体" w:cs="Times New Roman"/>
          <w:sz w:val="32"/>
          <w:szCs w:val="32"/>
        </w:rPr>
        <w:t>万元，</w:t>
      </w:r>
      <w:r>
        <w:rPr>
          <w:rFonts w:hint="eastAsia" w:eastAsia="方正仿宋简体" w:cs="Times New Roman"/>
          <w:sz w:val="32"/>
          <w:szCs w:val="32"/>
        </w:rPr>
        <w:t>与</w:t>
      </w:r>
      <w:r>
        <w:rPr>
          <w:rFonts w:eastAsia="方正仿宋简体" w:cs="Times New Roman"/>
          <w:sz w:val="32"/>
          <w:szCs w:val="32"/>
        </w:rPr>
        <w:t>上年度持平</w:t>
      </w:r>
      <w:r>
        <w:rPr>
          <w:rFonts w:hint="eastAsia" w:eastAsia="方正仿宋简体" w:cs="Times New Roman"/>
          <w:sz w:val="32"/>
          <w:szCs w:val="32"/>
        </w:rPr>
        <w:t>。</w:t>
      </w:r>
    </w:p>
    <w:p>
      <w:pPr>
        <w:autoSpaceDE w:val="0"/>
        <w:autoSpaceDN w:val="0"/>
        <w:adjustRightInd w:val="0"/>
        <w:ind w:firstLine="640" w:firstLineChars="200"/>
        <w:rPr>
          <w:rFonts w:eastAsia="方正仿宋简体" w:cs="Times New Roman"/>
          <w:sz w:val="32"/>
          <w:szCs w:val="32"/>
          <w:lang w:eastAsia="zh-CN"/>
        </w:rPr>
      </w:pPr>
      <w:r>
        <w:rPr>
          <w:rFonts w:eastAsia="方正仿宋简体" w:cs="Times New Roman"/>
          <w:sz w:val="32"/>
          <w:szCs w:val="32"/>
        </w:rPr>
        <w:t>（三）因公出国（境）费。安排0万元。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1.认真落实省市纪委相关文件要求，按时间节点完成工作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替换数量（套）</w:t>
            </w:r>
          </w:p>
        </w:tc>
        <w:tc>
          <w:tcPr>
            <w:tcW w:w="2835" w:type="dxa"/>
            <w:vAlign w:val="center"/>
          </w:tcPr>
          <w:p>
            <w:pPr>
              <w:pStyle w:val="14"/>
            </w:pPr>
            <w:r>
              <w:t>20个场镇、4个派驻组</w:t>
            </w:r>
          </w:p>
        </w:tc>
        <w:tc>
          <w:tcPr>
            <w:tcW w:w="2551" w:type="dxa"/>
            <w:vAlign w:val="center"/>
          </w:tcPr>
          <w:p>
            <w:pPr>
              <w:pStyle w:val="14"/>
            </w:pPr>
            <w:r>
              <w:t>≥24套</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设备功能达标率</w:t>
            </w:r>
          </w:p>
        </w:tc>
        <w:tc>
          <w:tcPr>
            <w:tcW w:w="2835" w:type="dxa"/>
            <w:vAlign w:val="center"/>
          </w:tcPr>
          <w:p>
            <w:pPr>
              <w:pStyle w:val="14"/>
            </w:pPr>
            <w:r>
              <w:t>设备到位后实际运行的功能/按计划规定运行的功能</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控制在年初项目预算数内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办公资源循环利用率</w:t>
            </w:r>
          </w:p>
        </w:tc>
        <w:tc>
          <w:tcPr>
            <w:tcW w:w="2835" w:type="dxa"/>
            <w:vAlign w:val="center"/>
          </w:tcPr>
          <w:p>
            <w:pPr>
              <w:pStyle w:val="14"/>
            </w:pPr>
            <w:r>
              <w:t>办公资源循环利用程度</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信息安全率</w:t>
            </w:r>
          </w:p>
        </w:tc>
        <w:tc>
          <w:tcPr>
            <w:tcW w:w="2835" w:type="dxa"/>
            <w:vAlign w:val="center"/>
          </w:tcPr>
          <w:p>
            <w:pPr>
              <w:pStyle w:val="14"/>
            </w:pPr>
            <w:r>
              <w:t>后信息安全提高</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业务能力提升情况</w:t>
            </w:r>
          </w:p>
        </w:tc>
        <w:tc>
          <w:tcPr>
            <w:tcW w:w="2835" w:type="dxa"/>
            <w:vAlign w:val="center"/>
          </w:tcPr>
          <w:p>
            <w:pPr>
              <w:pStyle w:val="14"/>
            </w:pPr>
            <w:r>
              <w:t>购置对业务保证能力的提升情况</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设备使用率</w:t>
            </w:r>
          </w:p>
        </w:tc>
        <w:tc>
          <w:tcPr>
            <w:tcW w:w="2835" w:type="dxa"/>
            <w:vAlign w:val="center"/>
          </w:tcPr>
          <w:p>
            <w:pPr>
              <w:pStyle w:val="14"/>
            </w:pPr>
            <w:r>
              <w:t>设备实际使用时间/设备计划使用时间</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员工使用满意度</w:t>
            </w:r>
          </w:p>
        </w:tc>
        <w:tc>
          <w:tcPr>
            <w:tcW w:w="2835" w:type="dxa"/>
            <w:vAlign w:val="center"/>
          </w:tcPr>
          <w:p>
            <w:pPr>
              <w:pStyle w:val="14"/>
            </w:pPr>
            <w:r>
              <w:t>员工使用满意度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2、查办案件专项经费-场镇、街道、农场纪委绩效目标表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1.提升基层纪检监察工作质效。</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案件办理</w:t>
            </w:r>
          </w:p>
        </w:tc>
        <w:tc>
          <w:tcPr>
            <w:tcW w:w="2835" w:type="dxa"/>
            <w:vAlign w:val="center"/>
          </w:tcPr>
          <w:p>
            <w:pPr>
              <w:pStyle w:val="14"/>
            </w:pPr>
            <w:r>
              <w:t>交办案件完成率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案件完成</w:t>
            </w:r>
          </w:p>
        </w:tc>
        <w:tc>
          <w:tcPr>
            <w:tcW w:w="2835" w:type="dxa"/>
            <w:vAlign w:val="center"/>
          </w:tcPr>
          <w:p>
            <w:pPr>
              <w:pStyle w:val="14"/>
            </w:pPr>
            <w:r>
              <w:t>案件监察到位率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保障项目安全、资金安全</w:t>
            </w:r>
          </w:p>
        </w:tc>
        <w:tc>
          <w:tcPr>
            <w:tcW w:w="2835" w:type="dxa"/>
            <w:vAlign w:val="center"/>
          </w:tcPr>
          <w:p>
            <w:pPr>
              <w:pStyle w:val="14"/>
            </w:pPr>
            <w:r>
              <w:t>遏制党员干部贪污腐败问题</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密切党群干群关系，构建和谐社会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营造良好的政治生态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3、查办案件专项经费-派驻纪检组绩效目标表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1.推动派驻监督管党治党作用得到全方位发挥深层次体现。</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案件办理</w:t>
            </w:r>
          </w:p>
        </w:tc>
        <w:tc>
          <w:tcPr>
            <w:tcW w:w="2835" w:type="dxa"/>
            <w:vAlign w:val="center"/>
          </w:tcPr>
          <w:p>
            <w:pPr>
              <w:pStyle w:val="14"/>
            </w:pPr>
            <w:r>
              <w:t>交办案件完成率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案件完成</w:t>
            </w:r>
          </w:p>
        </w:tc>
        <w:tc>
          <w:tcPr>
            <w:tcW w:w="2835" w:type="dxa"/>
            <w:vAlign w:val="center"/>
          </w:tcPr>
          <w:p>
            <w:pPr>
              <w:pStyle w:val="14"/>
            </w:pPr>
            <w:r>
              <w:t>案件监察到位率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保障项目安全、资金安全</w:t>
            </w:r>
          </w:p>
        </w:tc>
        <w:tc>
          <w:tcPr>
            <w:tcW w:w="2835" w:type="dxa"/>
            <w:vAlign w:val="center"/>
          </w:tcPr>
          <w:p>
            <w:pPr>
              <w:pStyle w:val="14"/>
            </w:pPr>
            <w:r>
              <w:t>保障权力正确行使</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密切党群干群关系，构建和谐社会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4、党风廉政宣传教育绩效目标表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1.加强廉洁文化建设，不断增强党员干部廉洁从政，廉洁用权，廉洁修身。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组织宣传教育活动数量</w:t>
            </w:r>
          </w:p>
        </w:tc>
        <w:tc>
          <w:tcPr>
            <w:tcW w:w="2835" w:type="dxa"/>
            <w:vAlign w:val="center"/>
          </w:tcPr>
          <w:p>
            <w:pPr>
              <w:pStyle w:val="14"/>
            </w:pPr>
            <w:r>
              <w:t>通过组织宣传教育活动使广大党员干部廉洁自律</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宣传教育</w:t>
            </w:r>
          </w:p>
        </w:tc>
        <w:tc>
          <w:tcPr>
            <w:tcW w:w="2835" w:type="dxa"/>
            <w:vAlign w:val="center"/>
          </w:tcPr>
          <w:p>
            <w:pPr>
              <w:pStyle w:val="14"/>
            </w:pPr>
            <w:r>
              <w:t>加强党风廉政建设</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保障人民财产安全</w:t>
            </w:r>
          </w:p>
        </w:tc>
        <w:tc>
          <w:tcPr>
            <w:tcW w:w="2835" w:type="dxa"/>
            <w:vAlign w:val="center"/>
          </w:tcPr>
          <w:p>
            <w:pPr>
              <w:pStyle w:val="14"/>
            </w:pPr>
            <w:r>
              <w:t>降低党员干部贪污腐败现象</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促民风，构建和谐社会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5、调查信访举报线索及查办案件费用绩效目标表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1.推动线索处置，案件查办等各项工作高质量发展。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信访接待</w:t>
            </w:r>
          </w:p>
        </w:tc>
        <w:tc>
          <w:tcPr>
            <w:tcW w:w="2835" w:type="dxa"/>
            <w:vAlign w:val="center"/>
          </w:tcPr>
          <w:p>
            <w:pPr>
              <w:pStyle w:val="14"/>
            </w:pPr>
            <w:r>
              <w:t>信访接待率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案件办理</w:t>
            </w:r>
          </w:p>
        </w:tc>
        <w:tc>
          <w:tcPr>
            <w:tcW w:w="2835" w:type="dxa"/>
            <w:vAlign w:val="center"/>
          </w:tcPr>
          <w:p>
            <w:pPr>
              <w:pStyle w:val="14"/>
            </w:pPr>
            <w:r>
              <w:t>案件监察到位率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控制在年初项目预算数内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保障项目安全、资金安全</w:t>
            </w:r>
          </w:p>
        </w:tc>
        <w:tc>
          <w:tcPr>
            <w:tcW w:w="2835" w:type="dxa"/>
            <w:vAlign w:val="center"/>
          </w:tcPr>
          <w:p>
            <w:pPr>
              <w:pStyle w:val="14"/>
            </w:pPr>
            <w:r>
              <w:t>遏制党员干部贪污腐败问题</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密切党群干群关系，构建和谐社会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营造良好的政治生态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6、纪检干部培训绩效目标表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1.提升整体纪检监察干部队伍素质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w:t>
            </w:r>
          </w:p>
        </w:tc>
        <w:tc>
          <w:tcPr>
            <w:tcW w:w="2835" w:type="dxa"/>
            <w:vAlign w:val="center"/>
          </w:tcPr>
          <w:p>
            <w:pPr>
              <w:pStyle w:val="14"/>
            </w:pPr>
            <w:r>
              <w:t>全体纪检监察干部</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培训人员覆盖率</w:t>
            </w:r>
          </w:p>
        </w:tc>
        <w:tc>
          <w:tcPr>
            <w:tcW w:w="2835" w:type="dxa"/>
            <w:vAlign w:val="center"/>
          </w:tcPr>
          <w:p>
            <w:pPr>
              <w:pStyle w:val="14"/>
            </w:pPr>
            <w:r>
              <w:t>培训人员覆盖率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以高素质队伍保障全区经济社会发展</w:t>
            </w:r>
          </w:p>
        </w:tc>
        <w:tc>
          <w:tcPr>
            <w:tcW w:w="2835" w:type="dxa"/>
            <w:vAlign w:val="center"/>
          </w:tcPr>
          <w:p>
            <w:pPr>
              <w:pStyle w:val="14"/>
            </w:pPr>
            <w:r>
              <w:t>不断提升干部队伍专业化、法治化水平，以强有力监督服务全区改革发展</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促进党群干群关系和谐发展</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7、监督检查专项经费绩效目标表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1.监督推动各项决策部署落地见效。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按时按量完成监督检查工作任务</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以高质量监督促进全区高质量发展</w:t>
            </w:r>
          </w:p>
        </w:tc>
        <w:tc>
          <w:tcPr>
            <w:tcW w:w="2835" w:type="dxa"/>
            <w:vAlign w:val="center"/>
          </w:tcPr>
          <w:p>
            <w:pPr>
              <w:pStyle w:val="14"/>
            </w:pPr>
            <w:r>
              <w:t>保障重大决策部署贯彻落实</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打造过硬干部作风纪律</w:t>
            </w:r>
          </w:p>
        </w:tc>
        <w:tc>
          <w:tcPr>
            <w:tcW w:w="2835" w:type="dxa"/>
            <w:vAlign w:val="center"/>
          </w:tcPr>
          <w:p>
            <w:pPr>
              <w:pStyle w:val="14"/>
            </w:pPr>
            <w:r>
              <w:t>推动形成纪律严明、务实高效的工作作风</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持续优化营商环境</w:t>
            </w:r>
          </w:p>
        </w:tc>
        <w:tc>
          <w:tcPr>
            <w:tcW w:w="2835" w:type="dxa"/>
            <w:vAlign w:val="center"/>
          </w:tcPr>
          <w:p>
            <w:pPr>
              <w:pStyle w:val="14"/>
            </w:pPr>
            <w:r>
              <w:t>助力营造公平、公正、有序竞争的营商环境</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8、区委巡察工作绩效目标表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1.完成对巡察对象的全覆盖，充分发挥出巡察的震慑、遏制和治本作用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巡察轮次</w:t>
            </w:r>
          </w:p>
        </w:tc>
        <w:tc>
          <w:tcPr>
            <w:tcW w:w="2835" w:type="dxa"/>
            <w:vAlign w:val="center"/>
          </w:tcPr>
          <w:p>
            <w:pPr>
              <w:pStyle w:val="14"/>
            </w:pPr>
            <w:r>
              <w:t>完成年初计划巡察任务</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巡察覆盖面</w:t>
            </w:r>
          </w:p>
        </w:tc>
        <w:tc>
          <w:tcPr>
            <w:tcW w:w="2835" w:type="dxa"/>
            <w:vAlign w:val="center"/>
          </w:tcPr>
          <w:p>
            <w:pPr>
              <w:pStyle w:val="14"/>
            </w:pPr>
            <w:r>
              <w:t>计划被巡察单位全覆盖</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保障群众合法权益</w:t>
            </w:r>
          </w:p>
        </w:tc>
        <w:tc>
          <w:tcPr>
            <w:tcW w:w="2835" w:type="dxa"/>
            <w:vAlign w:val="center"/>
          </w:tcPr>
          <w:p>
            <w:pPr>
              <w:pStyle w:val="14"/>
            </w:pPr>
            <w:r>
              <w:t>发挥巡察的震慑力</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构建和谐党群干群关系</w:t>
            </w:r>
          </w:p>
        </w:tc>
        <w:tc>
          <w:tcPr>
            <w:tcW w:w="2835" w:type="dxa"/>
            <w:vAlign w:val="center"/>
          </w:tcPr>
          <w:p>
            <w:pPr>
              <w:pStyle w:val="14"/>
            </w:pPr>
            <w:r>
              <w:t>发现问题、整改问题，督促党员干部树牢以人民为中心发展思想</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推动全面从严治党</w:t>
            </w:r>
          </w:p>
        </w:tc>
        <w:tc>
          <w:tcPr>
            <w:tcW w:w="2835" w:type="dxa"/>
            <w:vAlign w:val="center"/>
          </w:tcPr>
          <w:p>
            <w:pPr>
              <w:pStyle w:val="14"/>
            </w:pPr>
            <w:r>
              <w:t>促民风，构建和谐社会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营造良好政治生态</w:t>
            </w:r>
          </w:p>
        </w:tc>
        <w:tc>
          <w:tcPr>
            <w:tcW w:w="2835" w:type="dxa"/>
            <w:vAlign w:val="center"/>
          </w:tcPr>
          <w:p>
            <w:pPr>
              <w:pStyle w:val="14"/>
            </w:pPr>
            <w:r>
              <w:t>为我区政治生态建设提供有力保障</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9、网络运行维护费绩效目标表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1.通过网站平台宣传教育，强化党风廉政建设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网站维护数量</w:t>
            </w:r>
          </w:p>
        </w:tc>
        <w:tc>
          <w:tcPr>
            <w:tcW w:w="2835" w:type="dxa"/>
            <w:vAlign w:val="center"/>
          </w:tcPr>
          <w:p>
            <w:pPr>
              <w:pStyle w:val="14"/>
            </w:pPr>
            <w:r>
              <w:t>网站维护数量</w:t>
            </w:r>
          </w:p>
        </w:tc>
        <w:tc>
          <w:tcPr>
            <w:tcW w:w="2551" w:type="dxa"/>
            <w:vAlign w:val="center"/>
          </w:tcPr>
          <w:p>
            <w:pPr>
              <w:pStyle w:val="14"/>
            </w:pPr>
            <w:r>
              <w:t>4个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年度网络可用性</w:t>
            </w:r>
          </w:p>
        </w:tc>
        <w:tc>
          <w:tcPr>
            <w:tcW w:w="2835" w:type="dxa"/>
            <w:vAlign w:val="center"/>
          </w:tcPr>
          <w:p>
            <w:pPr>
              <w:pStyle w:val="14"/>
            </w:pPr>
            <w:r>
              <w:t>年度网络可用性</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截止12月底之前完成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控制在年初预算内</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保障人民财产安全</w:t>
            </w:r>
          </w:p>
        </w:tc>
        <w:tc>
          <w:tcPr>
            <w:tcW w:w="2835" w:type="dxa"/>
            <w:vAlign w:val="center"/>
          </w:tcPr>
          <w:p>
            <w:pPr>
              <w:pStyle w:val="14"/>
            </w:pPr>
            <w:r>
              <w:t>降低党员干部贪污腐败现象</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推动全面从严治党</w:t>
            </w:r>
          </w:p>
        </w:tc>
        <w:tc>
          <w:tcPr>
            <w:tcW w:w="2835" w:type="dxa"/>
            <w:vAlign w:val="center"/>
          </w:tcPr>
          <w:p>
            <w:pPr>
              <w:pStyle w:val="14"/>
            </w:pPr>
            <w:r>
              <w:t>促民风，构建和谐社会</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营造良好政治生态</w:t>
            </w:r>
          </w:p>
        </w:tc>
        <w:tc>
          <w:tcPr>
            <w:tcW w:w="2835" w:type="dxa"/>
            <w:vAlign w:val="center"/>
          </w:tcPr>
          <w:p>
            <w:pPr>
              <w:pStyle w:val="14"/>
            </w:pPr>
            <w:r>
              <w:t>为我区发展营造风清气正的政治生态</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构建和谐社会</w:t>
            </w:r>
          </w:p>
        </w:tc>
        <w:tc>
          <w:tcPr>
            <w:tcW w:w="2835" w:type="dxa"/>
            <w:vAlign w:val="center"/>
          </w:tcPr>
          <w:p>
            <w:pPr>
              <w:pStyle w:val="14"/>
            </w:pPr>
            <w:r>
              <w:t>形成不敢腐、不能腐、不想腐的有效机制</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提高公众满意度</w:t>
            </w:r>
          </w:p>
        </w:tc>
        <w:tc>
          <w:tcPr>
            <w:tcW w:w="2835" w:type="dxa"/>
            <w:vAlign w:val="center"/>
          </w:tcPr>
          <w:p>
            <w:pPr>
              <w:pStyle w:val="14"/>
            </w:pPr>
            <w:r>
              <w:t>提高公众满意度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2022年，中共曹妃甸区纪律检查委员会本级安排政府采购预算</w:t>
      </w:r>
      <w:r>
        <w:rPr>
          <w:rFonts w:hint="eastAsia" w:eastAsia="方正仿宋_GBK" w:cs="Times New Roman"/>
          <w:color w:val="000000"/>
          <w:sz w:val="28"/>
          <w:lang w:eastAsia="zh-CN"/>
        </w:rPr>
        <w:t>197</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8676"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pPr>
              <w:rPr>
                <w:rFonts w:ascii="方正书宋_GBK" w:hAnsi="方正书宋_GBK" w:eastAsia="方正书宋_GBK" w:cs="方正书宋_GBK"/>
                <w:b/>
                <w:sz w:val="21"/>
              </w:rPr>
            </w:pPr>
          </w:p>
        </w:tc>
        <w:tc>
          <w:tcPr>
            <w:tcW w:w="1134" w:type="dxa"/>
            <w:vMerge w:val="continue"/>
          </w:tcPr>
          <w:p>
            <w:pPr>
              <w:rPr>
                <w:rFonts w:ascii="方正书宋_GBK" w:hAnsi="方正书宋_GBK" w:eastAsia="方正书宋_GBK" w:cs="方正书宋_GBK"/>
                <w:b/>
                <w:sz w:val="21"/>
              </w:rPr>
            </w:pPr>
          </w:p>
        </w:tc>
        <w:tc>
          <w:tcPr>
            <w:tcW w:w="709"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合</w:t>
            </w:r>
            <w:r>
              <w:t xml:space="preserve">  </w:t>
            </w:r>
            <w:r>
              <w:rPr>
                <w:rFonts w:hint="eastAsia"/>
              </w:rPr>
              <w:t>计</w:t>
            </w:r>
          </w:p>
        </w:tc>
        <w:tc>
          <w:tcPr>
            <w:tcW w:w="964" w:type="dxa"/>
            <w:vAlign w:val="center"/>
          </w:tcPr>
          <w:p>
            <w:pPr>
              <w:pStyle w:val="12"/>
            </w:pPr>
          </w:p>
        </w:tc>
        <w:tc>
          <w:tcPr>
            <w:tcW w:w="1134" w:type="dxa"/>
            <w:vAlign w:val="center"/>
          </w:tcPr>
          <w:p>
            <w:pPr>
              <w:pStyle w:val="12"/>
            </w:pPr>
          </w:p>
        </w:tc>
        <w:tc>
          <w:tcPr>
            <w:tcW w:w="1134" w:type="dxa"/>
            <w:vAlign w:val="center"/>
          </w:tcPr>
          <w:p>
            <w:pPr>
              <w:pStyle w:val="12"/>
            </w:pPr>
          </w:p>
        </w:tc>
        <w:tc>
          <w:tcPr>
            <w:tcW w:w="709" w:type="dxa"/>
            <w:vAlign w:val="center"/>
          </w:tcPr>
          <w:p>
            <w:pPr>
              <w:pStyle w:val="12"/>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rPr>
                <w:rFonts w:hint="eastAsia"/>
              </w:rPr>
              <w:t>97</w:t>
            </w:r>
            <w:r>
              <w:t>.00</w:t>
            </w:r>
          </w:p>
        </w:tc>
        <w:tc>
          <w:tcPr>
            <w:tcW w:w="964" w:type="dxa"/>
            <w:vAlign w:val="center"/>
          </w:tcPr>
          <w:p>
            <w:pPr>
              <w:pStyle w:val="12"/>
            </w:pPr>
            <w:r>
              <w:rPr>
                <w:rFonts w:hint="eastAsia"/>
              </w:rPr>
              <w:t>97</w:t>
            </w:r>
            <w:r>
              <w:t>.00</w:t>
            </w:r>
          </w:p>
        </w:tc>
        <w:tc>
          <w:tcPr>
            <w:tcW w:w="964" w:type="dxa"/>
            <w:vAlign w:val="center"/>
          </w:tcPr>
          <w:p>
            <w:pPr>
              <w:pStyle w:val="12"/>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中共曹妃甸区纪律检查委员会本级小计</w:t>
            </w:r>
          </w:p>
        </w:tc>
        <w:tc>
          <w:tcPr>
            <w:tcW w:w="964" w:type="dxa"/>
            <w:vAlign w:val="center"/>
          </w:tcPr>
          <w:p>
            <w:pPr>
              <w:pStyle w:val="12"/>
            </w:pPr>
          </w:p>
        </w:tc>
        <w:tc>
          <w:tcPr>
            <w:tcW w:w="1134" w:type="dxa"/>
            <w:vAlign w:val="center"/>
          </w:tcPr>
          <w:p>
            <w:pPr>
              <w:pStyle w:val="12"/>
            </w:pPr>
          </w:p>
        </w:tc>
        <w:tc>
          <w:tcPr>
            <w:tcW w:w="1134" w:type="dxa"/>
            <w:vAlign w:val="center"/>
          </w:tcPr>
          <w:p>
            <w:pPr>
              <w:pStyle w:val="12"/>
            </w:pPr>
          </w:p>
        </w:tc>
        <w:tc>
          <w:tcPr>
            <w:tcW w:w="709" w:type="dxa"/>
            <w:vAlign w:val="center"/>
          </w:tcPr>
          <w:p>
            <w:pPr>
              <w:pStyle w:val="12"/>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rPr>
                <w:rFonts w:hint="eastAsia"/>
              </w:rPr>
              <w:t>97</w:t>
            </w:r>
            <w:r>
              <w:t>.00</w:t>
            </w:r>
          </w:p>
        </w:tc>
        <w:tc>
          <w:tcPr>
            <w:tcW w:w="964" w:type="dxa"/>
            <w:vAlign w:val="center"/>
          </w:tcPr>
          <w:p>
            <w:pPr>
              <w:pStyle w:val="12"/>
            </w:pPr>
            <w:r>
              <w:rPr>
                <w:rFonts w:hint="eastAsia"/>
              </w:rPr>
              <w:t>97</w:t>
            </w:r>
            <w:r>
              <w:t>.00</w:t>
            </w:r>
          </w:p>
        </w:tc>
        <w:tc>
          <w:tcPr>
            <w:tcW w:w="964" w:type="dxa"/>
            <w:vAlign w:val="center"/>
          </w:tcPr>
          <w:p>
            <w:pPr>
              <w:pStyle w:val="12"/>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调查信访举报线索及查办案件费用</w:t>
            </w:r>
          </w:p>
        </w:tc>
        <w:tc>
          <w:tcPr>
            <w:tcW w:w="964" w:type="dxa"/>
            <w:vAlign w:val="center"/>
          </w:tcPr>
          <w:p>
            <w:pPr>
              <w:pStyle w:val="15"/>
            </w:pPr>
            <w:r>
              <w:rPr>
                <w:rFonts w:hint="eastAsia"/>
              </w:rPr>
              <w:t>197</w:t>
            </w:r>
            <w:r>
              <w:t>.00</w:t>
            </w:r>
          </w:p>
        </w:tc>
        <w:tc>
          <w:tcPr>
            <w:tcW w:w="1134" w:type="dxa"/>
            <w:vAlign w:val="center"/>
          </w:tcPr>
          <w:p>
            <w:pPr>
              <w:pStyle w:val="15"/>
            </w:pPr>
            <w:r>
              <w:rPr>
                <w:rFonts w:hint="eastAsia"/>
              </w:rPr>
              <w:t>房屋租赁服务</w:t>
            </w:r>
          </w:p>
          <w:p>
            <w:pPr>
              <w:pStyle w:val="15"/>
            </w:pPr>
          </w:p>
        </w:tc>
        <w:tc>
          <w:tcPr>
            <w:tcW w:w="1134" w:type="dxa"/>
            <w:vAlign w:val="center"/>
          </w:tcPr>
          <w:p>
            <w:pPr>
              <w:pStyle w:val="15"/>
            </w:pPr>
            <w:r>
              <w:t>C</w:t>
            </w:r>
            <w:r>
              <w:rPr>
                <w:rFonts w:hint="eastAsia"/>
              </w:rPr>
              <w:t>1202</w:t>
            </w:r>
          </w:p>
        </w:tc>
        <w:tc>
          <w:tcPr>
            <w:tcW w:w="709" w:type="dxa"/>
            <w:vAlign w:val="center"/>
          </w:tcPr>
          <w:p>
            <w:pPr>
              <w:pStyle w:val="15"/>
            </w:pPr>
            <w:r>
              <w:rPr>
                <w:rFonts w:hint="eastAsia"/>
              </w:rPr>
              <w:t>项</w:t>
            </w:r>
          </w:p>
        </w:tc>
        <w:tc>
          <w:tcPr>
            <w:tcW w:w="850" w:type="dxa"/>
            <w:vAlign w:val="center"/>
          </w:tcPr>
          <w:p>
            <w:pPr>
              <w:pStyle w:val="15"/>
            </w:pPr>
            <w:r>
              <w:t>1</w:t>
            </w:r>
          </w:p>
        </w:tc>
        <w:tc>
          <w:tcPr>
            <w:tcW w:w="850" w:type="dxa"/>
            <w:vAlign w:val="center"/>
          </w:tcPr>
          <w:p>
            <w:pPr>
              <w:pStyle w:val="15"/>
            </w:pPr>
            <w:r>
              <w:rPr>
                <w:rFonts w:hint="eastAsia"/>
              </w:rPr>
              <w:t>97</w:t>
            </w:r>
            <w:r>
              <w:t>.00</w:t>
            </w:r>
          </w:p>
        </w:tc>
        <w:tc>
          <w:tcPr>
            <w:tcW w:w="964" w:type="dxa"/>
            <w:vAlign w:val="center"/>
          </w:tcPr>
          <w:p>
            <w:pPr>
              <w:pStyle w:val="15"/>
            </w:pPr>
            <w:r>
              <w:rPr>
                <w:rFonts w:hint="eastAsia"/>
              </w:rPr>
              <w:t>97</w:t>
            </w:r>
            <w:r>
              <w:t>.00</w:t>
            </w:r>
          </w:p>
        </w:tc>
        <w:tc>
          <w:tcPr>
            <w:tcW w:w="964" w:type="dxa"/>
            <w:vAlign w:val="center"/>
          </w:tcPr>
          <w:p>
            <w:pPr>
              <w:pStyle w:val="15"/>
            </w:pPr>
            <w:r>
              <w:rPr>
                <w:rFonts w:hint="eastAsia"/>
              </w:rPr>
              <w:t>97.00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rPr>
                <w:rFonts w:hint="eastAsia"/>
              </w:rPr>
              <w:t>100.00</w:t>
            </w:r>
          </w:p>
        </w:tc>
        <w:tc>
          <w:tcPr>
            <w:tcW w:w="964" w:type="dxa"/>
            <w:vAlign w:val="center"/>
          </w:tcPr>
          <w:p>
            <w:pPr>
              <w:pStyle w:val="13"/>
            </w:pPr>
          </w:p>
        </w:tc>
        <w:tc>
          <w:tcPr>
            <w:tcW w:w="964" w:type="dxa"/>
            <w:vAlign w:val="center"/>
          </w:tcPr>
          <w:p>
            <w:pPr>
              <w:pStyle w:val="13"/>
            </w:pPr>
          </w:p>
        </w:tc>
      </w:tr>
    </w:tbl>
    <w:p>
      <w:pPr>
        <w:spacing w:line="500" w:lineRule="exact"/>
        <w:ind w:firstLine="420"/>
        <w:rPr>
          <w:rFonts w:hint="eastAsia"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hint="eastAsia"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autoSpaceDE w:val="0"/>
        <w:autoSpaceDN w:val="0"/>
        <w:adjustRightInd w:val="0"/>
        <w:ind w:left="1" w:firstLine="560" w:firstLineChars="200"/>
        <w:rPr>
          <w:rFonts w:ascii="黑体" w:hAnsi="黑体" w:eastAsia="黑体" w:cs="黑体"/>
          <w:sz w:val="32"/>
          <w:szCs w:val="32"/>
          <w:lang w:eastAsia="zh-CN"/>
        </w:rPr>
      </w:pPr>
      <w:r>
        <w:rPr>
          <w:rFonts w:eastAsia="方正仿宋_GBK" w:cs="Times New Roman"/>
          <w:color w:val="000000"/>
          <w:sz w:val="28"/>
        </w:rPr>
        <w:t>中共曹妃甸区纪律检查委员会本级上年末固定资产金额为</w:t>
      </w:r>
      <w:r>
        <w:rPr>
          <w:rFonts w:hint="eastAsia" w:eastAsia="方正仿宋_GBK" w:cs="Times New Roman"/>
          <w:color w:val="000000"/>
          <w:sz w:val="28"/>
        </w:rPr>
        <w:t>654.25</w:t>
      </w:r>
      <w:r>
        <w:rPr>
          <w:rFonts w:eastAsia="方正仿宋_GBK" w:cs="Times New Roman"/>
          <w:color w:val="000000"/>
          <w:sz w:val="28"/>
        </w:rPr>
        <w:t>万元（详见下表）。本年度拟购置固定资产总额为</w:t>
      </w:r>
      <w:r>
        <w:rPr>
          <w:rFonts w:hint="eastAsia" w:eastAsia="方正仿宋_GBK" w:cs="Times New Roman"/>
          <w:color w:val="000000"/>
          <w:sz w:val="28"/>
        </w:rPr>
        <w:t>100.32</w:t>
      </w:r>
      <w:r>
        <w:rPr>
          <w:rFonts w:eastAsia="方正仿宋_GBK" w:cs="Times New Roman"/>
          <w:color w:val="000000"/>
          <w:sz w:val="28"/>
        </w:rPr>
        <w:t>万元，</w:t>
      </w:r>
      <w:r>
        <w:rPr>
          <w:rFonts w:hint="eastAsia" w:eastAsia="方正仿宋_GBK" w:cs="Times New Roman"/>
          <w:color w:val="000000"/>
          <w:sz w:val="28"/>
        </w:rPr>
        <w:t>主要是纪检监察外网、新建会议室购置桌椅、执法执勤车一辆，均是20万元以下的设备</w:t>
      </w:r>
      <w:r>
        <w:rPr>
          <w:rFonts w:hint="eastAsia" w:eastAsia="方正仿宋_GBK" w:cs="Times New Roman"/>
          <w:color w:val="000000"/>
          <w:sz w:val="28"/>
          <w:lang w:eastAsia="zh-CN"/>
        </w:rPr>
        <w:t>,无需政府采购。</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222001中共曹妃甸区纪律检查委员会本级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rPr>
                <w:lang w:eastAsia="zh-CN"/>
              </w:rPr>
            </w:pPr>
            <w:r>
              <w:rPr>
                <w:rFonts w:hint="eastAsia"/>
                <w:lang w:eastAsia="zh-CN"/>
              </w:rPr>
              <w:t>--</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1.房屋（平方米）</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其中：办公用房（平方米）</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w:t>
            </w:r>
            <w:r>
              <w:rPr>
                <w:rFonts w:hint="eastAsia" w:ascii="方正书宋_GBK" w:hAnsi="方正书宋_GBK" w:eastAsia="方正书宋_GBK" w:cs="方正书宋_GBK"/>
                <w:sz w:val="21"/>
              </w:rPr>
              <w:t>、车辆（台、辆）</w:t>
            </w:r>
          </w:p>
        </w:tc>
        <w:tc>
          <w:tcPr>
            <w:tcW w:w="2835" w:type="dxa"/>
            <w:vAlign w:val="center"/>
          </w:tcPr>
          <w:p>
            <w:pPr>
              <w:pStyle w:val="15"/>
              <w:rPr>
                <w:lang w:eastAsia="zh-CN"/>
              </w:rPr>
            </w:pPr>
            <w:r>
              <w:rPr>
                <w:rFonts w:hint="eastAsia"/>
                <w:lang w:eastAsia="zh-CN"/>
              </w:rPr>
              <w:t>9</w:t>
            </w:r>
          </w:p>
        </w:tc>
        <w:tc>
          <w:tcPr>
            <w:tcW w:w="2835" w:type="dxa"/>
            <w:vAlign w:val="center"/>
          </w:tcPr>
          <w:p>
            <w:pPr>
              <w:pStyle w:val="13"/>
              <w:rPr>
                <w:lang w:eastAsia="zh-CN"/>
              </w:rPr>
            </w:pPr>
            <w:r>
              <w:rPr>
                <w:rFonts w:hint="eastAsia"/>
                <w:lang w:eastAsia="zh-CN"/>
              </w:rP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w:t>
            </w:r>
            <w:r>
              <w:rPr>
                <w:rFonts w:hint="eastAsia" w:ascii="方正书宋_GBK" w:hAnsi="方正书宋_GBK" w:eastAsia="方正书宋_GBK" w:cs="方正书宋_GBK"/>
                <w:sz w:val="21"/>
              </w:rPr>
              <w:t>、单价在50万元以上设备</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4</w:t>
            </w:r>
            <w:r>
              <w:rPr>
                <w:rFonts w:hint="eastAsia" w:ascii="方正书宋_GBK" w:hAnsi="方正书宋_GBK" w:eastAsia="方正书宋_GBK" w:cs="方正书宋_GBK"/>
                <w:sz w:val="21"/>
              </w:rPr>
              <w:t>、其他固定资产</w:t>
            </w:r>
          </w:p>
        </w:tc>
        <w:tc>
          <w:tcPr>
            <w:tcW w:w="2835" w:type="dxa"/>
            <w:vAlign w:val="center"/>
          </w:tcPr>
          <w:p>
            <w:pPr>
              <w:pStyle w:val="15"/>
              <w:rPr>
                <w:lang w:eastAsia="zh-CN"/>
              </w:rPr>
            </w:pPr>
            <w:r>
              <w:rPr>
                <w:rFonts w:hint="eastAsia"/>
                <w:lang w:eastAsia="zh-CN"/>
              </w:rPr>
              <w:t>--</w:t>
            </w:r>
          </w:p>
        </w:tc>
        <w:tc>
          <w:tcPr>
            <w:tcW w:w="2835" w:type="dxa"/>
            <w:vAlign w:val="center"/>
          </w:tcPr>
          <w:p>
            <w:pPr>
              <w:pStyle w:val="13"/>
              <w:rPr>
                <w:lang w:eastAsia="zh-CN"/>
              </w:rPr>
            </w:pPr>
            <w:r>
              <w:rPr>
                <w:rFonts w:hint="eastAsia"/>
                <w:lang w:eastAsia="zh-CN"/>
              </w:rPr>
              <w:t>475.25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宋体"/>
    <w:panose1 w:val="03000509000000000000"/>
    <w:charset w:val="86"/>
    <w:family w:val="script"/>
    <w:pitch w:val="default"/>
    <w:sig w:usb0="00000000" w:usb1="00000000" w:usb2="00000010" w:usb3="00000000" w:csb0="00040000"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A2288A"/>
    <w:rsid w:val="001A74ED"/>
    <w:rsid w:val="00213C4E"/>
    <w:rsid w:val="00254AF7"/>
    <w:rsid w:val="00283E8E"/>
    <w:rsid w:val="002A33B1"/>
    <w:rsid w:val="002C4ADB"/>
    <w:rsid w:val="002C7BF3"/>
    <w:rsid w:val="004A71FF"/>
    <w:rsid w:val="00592A3C"/>
    <w:rsid w:val="005E20B4"/>
    <w:rsid w:val="00602050"/>
    <w:rsid w:val="007E320B"/>
    <w:rsid w:val="008F23E9"/>
    <w:rsid w:val="009111E5"/>
    <w:rsid w:val="009F3C80"/>
    <w:rsid w:val="00A2288A"/>
    <w:rsid w:val="00B41805"/>
    <w:rsid w:val="00D87509"/>
    <w:rsid w:val="00D94248"/>
    <w:rsid w:val="00E26262"/>
    <w:rsid w:val="00E94337"/>
    <w:rsid w:val="00EA1751"/>
    <w:rsid w:val="00F041EA"/>
    <w:rsid w:val="52B15DB3"/>
    <w:rsid w:val="6EF80796"/>
    <w:rsid w:val="70D9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2022-06-20T11:20:24Z</dcterms:created>
  <dcterms:modified xsi:type="dcterms:W3CDTF">2022-06-20T03:20:24Z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2022-06-20T11:20:44Z</dcterms:created>
  <dcterms:modified xsi:type="dcterms:W3CDTF">2022-06-20T03:20:44Z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2022-06-20T11:20:30Z</dcterms:created>
  <dcterms:modified xsi:type="dcterms:W3CDTF">2022-06-20T03:20:30Z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2022-06-20T11:20:36Z</dcterms:created>
  <dcterms:modified xsi:type="dcterms:W3CDTF">2022-06-20T03:20:36Z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2022-06-20T11:20:24Z</dcterms:created>
  <dcterms:modified xsi:type="dcterms:W3CDTF">2022-06-20T03:20:24Z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2022-06-20T11:20:48Z</dcterms:created>
  <dcterms:modified xsi:type="dcterms:W3CDTF">2022-06-20T03:20:48Z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2022-06-20T11:20:26Z</dcterms:created>
  <dcterms:modified xsi:type="dcterms:W3CDTF">2022-06-20T03:20:26Z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2022-06-20T11:20:39Z</dcterms:created>
  <dcterms:modified xsi:type="dcterms:W3CDTF">2022-06-20T03:20:39Z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2022-06-20T11:19:50Z</dcterms:created>
  <dcterms:modified xsi:type="dcterms:W3CDTF">2022-06-20T03:19:49Z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2022-06-20T11:20:51Z</dcterms:created>
  <dcterms:modified xsi:type="dcterms:W3CDTF">2022-06-20T03:20:51Z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2022-06-20T11:20:40Z</dcterms:created>
  <dcterms:modified xsi:type="dcterms:W3CDTF">2022-06-20T03:20:40Z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2022-06-20T11:20:55Z</dcterms:created>
  <dcterms:modified xsi:type="dcterms:W3CDTF">2022-06-20T03:20:55Z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2022-06-20T11:20:17Z</dcterms:created>
  <dcterms:modified xsi:type="dcterms:W3CDTF">2022-06-20T03:20:17Z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2022-06-20T11:20:19Z</dcterms:created>
  <dcterms:modified xsi:type="dcterms:W3CDTF">2022-06-20T03:20:19Z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2022-06-20T11:21:39Z</dcterms:created>
  <dcterms:modified xsi:type="dcterms:W3CDTF">2022-06-20T03:21:39Z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2022-06-20T11:20:38Z</dcterms:created>
  <dcterms:modified xsi:type="dcterms:W3CDTF">2022-06-20T03:20:38Z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2022-06-20T11:21:05Z</dcterms:created>
  <dcterms:modified xsi:type="dcterms:W3CDTF">2022-06-20T03:21:05Z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2022-06-20T11:20:25Z</dcterms:created>
  <dcterms:modified xsi:type="dcterms:W3CDTF">2022-06-20T03:20:25Z</dcterms:modified>
</cp:coreProperties>
</file>

<file path=customXml/itemProps1.xml><?xml version="1.0" encoding="utf-8"?>
<ds:datastoreItem xmlns:ds="http://schemas.openxmlformats.org/officeDocument/2006/customXml" ds:itemID="{75697351-37AD-43BD-8DAE-D7EFF0875531}">
  <ds:schemaRefs/>
</ds:datastoreItem>
</file>

<file path=customXml/itemProps10.xml><?xml version="1.0" encoding="utf-8"?>
<ds:datastoreItem xmlns:ds="http://schemas.openxmlformats.org/officeDocument/2006/customXml" ds:itemID="{5FFC104B-4043-490B-81CE-C3A37E92C22F}">
  <ds:schemaRefs/>
</ds:datastoreItem>
</file>

<file path=customXml/itemProps11.xml><?xml version="1.0" encoding="utf-8"?>
<ds:datastoreItem xmlns:ds="http://schemas.openxmlformats.org/officeDocument/2006/customXml" ds:itemID="{20FC107E-5AC7-411B-9AFF-EB090A482708}">
  <ds:schemaRefs/>
</ds:datastoreItem>
</file>

<file path=customXml/itemProps12.xml><?xml version="1.0" encoding="utf-8"?>
<ds:datastoreItem xmlns:ds="http://schemas.openxmlformats.org/officeDocument/2006/customXml" ds:itemID="{3A05AF4B-020F-43B6-B427-40EDF5AB30B0}">
  <ds:schemaRefs/>
</ds:datastoreItem>
</file>

<file path=customXml/itemProps13.xml><?xml version="1.0" encoding="utf-8"?>
<ds:datastoreItem xmlns:ds="http://schemas.openxmlformats.org/officeDocument/2006/customXml" ds:itemID="{A3BF39C6-BDA4-44CE-8D33-639E9F65E78C}">
  <ds:schemaRefs/>
</ds:datastoreItem>
</file>

<file path=customXml/itemProps14.xml><?xml version="1.0" encoding="utf-8"?>
<ds:datastoreItem xmlns:ds="http://schemas.openxmlformats.org/officeDocument/2006/customXml" ds:itemID="{B5605A32-27AB-4C00-82D9-91025B46D63A}">
  <ds:schemaRefs/>
</ds:datastoreItem>
</file>

<file path=customXml/itemProps15.xml><?xml version="1.0" encoding="utf-8"?>
<ds:datastoreItem xmlns:ds="http://schemas.openxmlformats.org/officeDocument/2006/customXml" ds:itemID="{BADDA459-526A-4C8E-9EE2-E9A537D6393B}">
  <ds:schemaRefs/>
</ds:datastoreItem>
</file>

<file path=customXml/itemProps16.xml><?xml version="1.0" encoding="utf-8"?>
<ds:datastoreItem xmlns:ds="http://schemas.openxmlformats.org/officeDocument/2006/customXml" ds:itemID="{8298B5E8-8075-4BC0-B471-39C0BBA1751E}">
  <ds:schemaRefs/>
</ds:datastoreItem>
</file>

<file path=customXml/itemProps17.xml><?xml version="1.0" encoding="utf-8"?>
<ds:datastoreItem xmlns:ds="http://schemas.openxmlformats.org/officeDocument/2006/customXml" ds:itemID="{E861BC2C-87C4-48D4-92C2-BBC1BBEACFF6}">
  <ds:schemaRefs/>
</ds:datastoreItem>
</file>

<file path=customXml/itemProps18.xml><?xml version="1.0" encoding="utf-8"?>
<ds:datastoreItem xmlns:ds="http://schemas.openxmlformats.org/officeDocument/2006/customXml" ds:itemID="{C469D58A-8FFA-4204-A4C4-C4122AA5A658}">
  <ds:schemaRefs/>
</ds:datastoreItem>
</file>

<file path=customXml/itemProps19.xml><?xml version="1.0" encoding="utf-8"?>
<ds:datastoreItem xmlns:ds="http://schemas.openxmlformats.org/officeDocument/2006/customXml" ds:itemID="{9A02510D-BD37-4AE1-9F2F-D1928610A4AF}">
  <ds:schemaRefs/>
</ds:datastoreItem>
</file>

<file path=customXml/itemProps2.xml><?xml version="1.0" encoding="utf-8"?>
<ds:datastoreItem xmlns:ds="http://schemas.openxmlformats.org/officeDocument/2006/customXml" ds:itemID="{6887F9DE-0FEB-47DA-AE30-A99BA898444D}">
  <ds:schemaRefs/>
</ds:datastoreItem>
</file>

<file path=customXml/itemProps20.xml><?xml version="1.0" encoding="utf-8"?>
<ds:datastoreItem xmlns:ds="http://schemas.openxmlformats.org/officeDocument/2006/customXml" ds:itemID="{9069551B-FB93-4C2E-A2EF-D63F0E7FC174}">
  <ds:schemaRefs/>
</ds:datastoreItem>
</file>

<file path=customXml/itemProps21.xml><?xml version="1.0" encoding="utf-8"?>
<ds:datastoreItem xmlns:ds="http://schemas.openxmlformats.org/officeDocument/2006/customXml" ds:itemID="{71D9BC07-F8FD-4F0A-B0C3-FDE54E0C71AF}">
  <ds:schemaRefs/>
</ds:datastoreItem>
</file>

<file path=customXml/itemProps22.xml><?xml version="1.0" encoding="utf-8"?>
<ds:datastoreItem xmlns:ds="http://schemas.openxmlformats.org/officeDocument/2006/customXml" ds:itemID="{DB6A77C0-B9BB-45F9-917F-F77DF4F08934}">
  <ds:schemaRefs/>
</ds:datastoreItem>
</file>

<file path=customXml/itemProps23.xml><?xml version="1.0" encoding="utf-8"?>
<ds:datastoreItem xmlns:ds="http://schemas.openxmlformats.org/officeDocument/2006/customXml" ds:itemID="{06DE66AF-89C8-427E-B9FC-E793C8008FC3}">
  <ds:schemaRefs/>
</ds:datastoreItem>
</file>

<file path=customXml/itemProps24.xml><?xml version="1.0" encoding="utf-8"?>
<ds:datastoreItem xmlns:ds="http://schemas.openxmlformats.org/officeDocument/2006/customXml" ds:itemID="{D3662657-199D-4F38-9DD5-CE88A156DE1E}">
  <ds:schemaRefs/>
</ds:datastoreItem>
</file>

<file path=customXml/itemProps25.xml><?xml version="1.0" encoding="utf-8"?>
<ds:datastoreItem xmlns:ds="http://schemas.openxmlformats.org/officeDocument/2006/customXml" ds:itemID="{159190B2-A608-42A4-86C3-56EC5C37202F}">
  <ds:schemaRefs/>
</ds:datastoreItem>
</file>

<file path=customXml/itemProps26.xml><?xml version="1.0" encoding="utf-8"?>
<ds:datastoreItem xmlns:ds="http://schemas.openxmlformats.org/officeDocument/2006/customXml" ds:itemID="{9C07EBFB-5BBD-4C04-B43D-D9F98473ACCE}">
  <ds:schemaRefs/>
</ds:datastoreItem>
</file>

<file path=customXml/itemProps27.xml><?xml version="1.0" encoding="utf-8"?>
<ds:datastoreItem xmlns:ds="http://schemas.openxmlformats.org/officeDocument/2006/customXml" ds:itemID="{0C2761C3-AFC3-4E89-AF0D-F0160C8C1513}">
  <ds:schemaRefs/>
</ds:datastoreItem>
</file>

<file path=customXml/itemProps28.xml><?xml version="1.0" encoding="utf-8"?>
<ds:datastoreItem xmlns:ds="http://schemas.openxmlformats.org/officeDocument/2006/customXml" ds:itemID="{958D8BDC-2C5F-4146-BE7D-63F061597F09}">
  <ds:schemaRefs/>
</ds:datastoreItem>
</file>

<file path=customXml/itemProps29.xml><?xml version="1.0" encoding="utf-8"?>
<ds:datastoreItem xmlns:ds="http://schemas.openxmlformats.org/officeDocument/2006/customXml" ds:itemID="{C7737E00-4413-40FC-AD85-5A7B62DBDF23}">
  <ds:schemaRefs/>
</ds:datastoreItem>
</file>

<file path=customXml/itemProps3.xml><?xml version="1.0" encoding="utf-8"?>
<ds:datastoreItem xmlns:ds="http://schemas.openxmlformats.org/officeDocument/2006/customXml" ds:itemID="{2534BFFA-D832-404B-B60B-E66CD8E679B9}">
  <ds:schemaRefs/>
</ds:datastoreItem>
</file>

<file path=customXml/itemProps30.xml><?xml version="1.0" encoding="utf-8"?>
<ds:datastoreItem xmlns:ds="http://schemas.openxmlformats.org/officeDocument/2006/customXml" ds:itemID="{C1AA5AB9-FBC5-4E22-B71B-BE1BC420426B}">
  <ds:schemaRefs/>
</ds:datastoreItem>
</file>

<file path=customXml/itemProps31.xml><?xml version="1.0" encoding="utf-8"?>
<ds:datastoreItem xmlns:ds="http://schemas.openxmlformats.org/officeDocument/2006/customXml" ds:itemID="{797EFAD5-25FB-4366-BDD0-6A6D07B2CAE0}">
  <ds:schemaRefs/>
</ds:datastoreItem>
</file>

<file path=customXml/itemProps32.xml><?xml version="1.0" encoding="utf-8"?>
<ds:datastoreItem xmlns:ds="http://schemas.openxmlformats.org/officeDocument/2006/customXml" ds:itemID="{A2417550-5173-4E5D-90FA-C972E1562859}">
  <ds:schemaRefs/>
</ds:datastoreItem>
</file>

<file path=customXml/itemProps33.xml><?xml version="1.0" encoding="utf-8"?>
<ds:datastoreItem xmlns:ds="http://schemas.openxmlformats.org/officeDocument/2006/customXml" ds:itemID="{9941A57C-031C-4002-A1BA-C2C14E563E75}">
  <ds:schemaRefs/>
</ds:datastoreItem>
</file>

<file path=customXml/itemProps34.xml><?xml version="1.0" encoding="utf-8"?>
<ds:datastoreItem xmlns:ds="http://schemas.openxmlformats.org/officeDocument/2006/customXml" ds:itemID="{3B57264C-A4EE-4D17-BA8C-4C67959FF3D6}">
  <ds:schemaRefs/>
</ds:datastoreItem>
</file>

<file path=customXml/itemProps35.xml><?xml version="1.0" encoding="utf-8"?>
<ds:datastoreItem xmlns:ds="http://schemas.openxmlformats.org/officeDocument/2006/customXml" ds:itemID="{7C88403C-33A0-4BF6-BA6E-4B0B82E3325D}">
  <ds:schemaRefs/>
</ds:datastoreItem>
</file>

<file path=customXml/itemProps36.xml><?xml version="1.0" encoding="utf-8"?>
<ds:datastoreItem xmlns:ds="http://schemas.openxmlformats.org/officeDocument/2006/customXml" ds:itemID="{5C59E4F7-14EC-4E79-89F0-CFD83D76B9FF}">
  <ds:schemaRefs/>
</ds:datastoreItem>
</file>

<file path=customXml/itemProps37.xml><?xml version="1.0" encoding="utf-8"?>
<ds:datastoreItem xmlns:ds="http://schemas.openxmlformats.org/officeDocument/2006/customXml" ds:itemID="{6345A2C9-39AB-458A-9737-CCCF8E9CA824}">
  <ds:schemaRefs/>
</ds:datastoreItem>
</file>

<file path=customXml/itemProps38.xml><?xml version="1.0" encoding="utf-8"?>
<ds:datastoreItem xmlns:ds="http://schemas.openxmlformats.org/officeDocument/2006/customXml" ds:itemID="{642B77D1-84AE-4BED-810D-488B304CAFD5}">
  <ds:schemaRefs/>
</ds:datastoreItem>
</file>

<file path=customXml/itemProps39.xml><?xml version="1.0" encoding="utf-8"?>
<ds:datastoreItem xmlns:ds="http://schemas.openxmlformats.org/officeDocument/2006/customXml" ds:itemID="{B65A4F3E-6D51-4EBA-9599-793F0311DBF6}">
  <ds:schemaRefs/>
</ds:datastoreItem>
</file>

<file path=customXml/itemProps4.xml><?xml version="1.0" encoding="utf-8"?>
<ds:datastoreItem xmlns:ds="http://schemas.openxmlformats.org/officeDocument/2006/customXml" ds:itemID="{C39B7EB9-902E-4A98-9158-2C76E513B19F}">
  <ds:schemaRefs/>
</ds:datastoreItem>
</file>

<file path=customXml/itemProps40.xml><?xml version="1.0" encoding="utf-8"?>
<ds:datastoreItem xmlns:ds="http://schemas.openxmlformats.org/officeDocument/2006/customXml" ds:itemID="{0A49CEF2-D62E-4FDF-972A-F42977578645}">
  <ds:schemaRefs/>
</ds:datastoreItem>
</file>

<file path=customXml/itemProps41.xml><?xml version="1.0" encoding="utf-8"?>
<ds:datastoreItem xmlns:ds="http://schemas.openxmlformats.org/officeDocument/2006/customXml" ds:itemID="{A1E644D0-B05C-44BF-8DEF-D2AF288D1F8B}">
  <ds:schemaRefs/>
</ds:datastoreItem>
</file>

<file path=customXml/itemProps42.xml><?xml version="1.0" encoding="utf-8"?>
<ds:datastoreItem xmlns:ds="http://schemas.openxmlformats.org/officeDocument/2006/customXml" ds:itemID="{1532DCFB-688C-45A7-BBA0-DD792133ED2F}">
  <ds:schemaRefs/>
</ds:datastoreItem>
</file>

<file path=customXml/itemProps43.xml><?xml version="1.0" encoding="utf-8"?>
<ds:datastoreItem xmlns:ds="http://schemas.openxmlformats.org/officeDocument/2006/customXml" ds:itemID="{CAA359A4-436B-40BE-8F52-35F9CA5F8E62}">
  <ds:schemaRefs/>
</ds:datastoreItem>
</file>

<file path=customXml/itemProps44.xml><?xml version="1.0" encoding="utf-8"?>
<ds:datastoreItem xmlns:ds="http://schemas.openxmlformats.org/officeDocument/2006/customXml" ds:itemID="{A311AF06-8E41-444A-A81C-E99627A8E69F}">
  <ds:schemaRefs/>
</ds:datastoreItem>
</file>

<file path=customXml/itemProps45.xml><?xml version="1.0" encoding="utf-8"?>
<ds:datastoreItem xmlns:ds="http://schemas.openxmlformats.org/officeDocument/2006/customXml" ds:itemID="{9A567379-72C1-467B-A953-E1790E50F6D0}">
  <ds:schemaRefs/>
</ds:datastoreItem>
</file>

<file path=customXml/itemProps46.xml><?xml version="1.0" encoding="utf-8"?>
<ds:datastoreItem xmlns:ds="http://schemas.openxmlformats.org/officeDocument/2006/customXml" ds:itemID="{22B4FB55-3361-4E87-A9FD-39313E325233}">
  <ds:schemaRefs/>
</ds:datastoreItem>
</file>

<file path=customXml/itemProps5.xml><?xml version="1.0" encoding="utf-8"?>
<ds:datastoreItem xmlns:ds="http://schemas.openxmlformats.org/officeDocument/2006/customXml" ds:itemID="{84274C6D-AC4B-48AB-A00B-806BD4A560FD}">
  <ds:schemaRefs/>
</ds:datastoreItem>
</file>

<file path=customXml/itemProps6.xml><?xml version="1.0" encoding="utf-8"?>
<ds:datastoreItem xmlns:ds="http://schemas.openxmlformats.org/officeDocument/2006/customXml" ds:itemID="{3243C0BB-B696-4AB1-BE5E-10B65CDCE4FB}">
  <ds:schemaRefs/>
</ds:datastoreItem>
</file>

<file path=customXml/itemProps7.xml><?xml version="1.0" encoding="utf-8"?>
<ds:datastoreItem xmlns:ds="http://schemas.openxmlformats.org/officeDocument/2006/customXml" ds:itemID="{982AD08C-BF82-450A-BC49-9E0D8A75A0DC}">
  <ds:schemaRefs/>
</ds:datastoreItem>
</file>

<file path=customXml/itemProps8.xml><?xml version="1.0" encoding="utf-8"?>
<ds:datastoreItem xmlns:ds="http://schemas.openxmlformats.org/officeDocument/2006/customXml" ds:itemID="{5378B5C9-B865-4A1A-85B1-0CEDD6A0F483}">
  <ds:schemaRefs/>
</ds:datastoreItem>
</file>

<file path=customXml/itemProps9.xml><?xml version="1.0" encoding="utf-8"?>
<ds:datastoreItem xmlns:ds="http://schemas.openxmlformats.org/officeDocument/2006/customXml" ds:itemID="{7379F977-C514-4395-8431-11C31626EE50}">
  <ds:schemaRefs/>
</ds:datastoreItem>
</file>

<file path=docProps/app.xml><?xml version="1.0" encoding="utf-8"?>
<Properties xmlns="http://schemas.openxmlformats.org/officeDocument/2006/extended-properties" xmlns:vt="http://schemas.openxmlformats.org/officeDocument/2006/docPropsVTypes">
  <Template>Normal</Template>
  <Pages>32</Pages>
  <Words>9683</Words>
  <Characters>11654</Characters>
  <Lines>102</Lines>
  <Paragraphs>28</Paragraphs>
  <TotalTime>30</TotalTime>
  <ScaleCrop>false</ScaleCrop>
  <LinksUpToDate>false</LinksUpToDate>
  <CharactersWithSpaces>11829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2022-06-20T11:21:00Z</dcterms:created>
  <dc:creator>Administrator</dc:creator>
  <cp:lastModifiedBy>Administrator</cp:lastModifiedBy>
  <dcterms:modified xsi:type="dcterms:W3CDTF">2024-07-17T09:28:11Z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FCD1BB9EC3A54751B7756792B9DDFA02_13</vt:lpwstr>
  </property>
</Properties>
</file>