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19</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0"/>
        <w:rPr>
          <w:rFonts w:hint="eastAsia" w:ascii="方正小标宋_GBK" w:hAnsi="方正小标宋_GBK" w:eastAsia="方正小标宋_GBK" w:cs="方正小标宋_GBK"/>
          <w:color w:val="000000"/>
          <w:sz w:val="72"/>
          <w:szCs w:val="72"/>
        </w:rPr>
      </w:pP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51.80</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五、单位资金</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51.80</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51.80</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51.80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rPr>
                <w:rFonts w:cs="Times New Roman"/>
              </w:rPr>
            </w:pPr>
            <w:r>
              <w:rPr>
                <w:rFonts w:hint="eastAsia"/>
              </w:rPr>
              <w:t>商贸事务</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rPr>
                <w:rFonts w:cs="Times New Roman"/>
              </w:rPr>
            </w:pPr>
            <w:r>
              <w:rPr>
                <w:rFonts w:hint="eastAsia"/>
              </w:rPr>
              <w:t>招商引资</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rPr>
                <w:rFonts w:cs="Times New Roman"/>
              </w:rPr>
            </w:pPr>
            <w:r>
              <w:rPr>
                <w:rFonts w:hint="eastAsia"/>
              </w:rPr>
              <w:t>招商引资</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51.80</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51.80</w:t>
            </w:r>
          </w:p>
        </w:tc>
        <w:tc>
          <w:tcPr>
            <w:tcW w:w="1474" w:type="dxa"/>
            <w:vAlign w:val="center"/>
          </w:tcPr>
          <w:p>
            <w:pPr>
              <w:pStyle w:val="13"/>
            </w:pPr>
            <w:r>
              <w:t>51.80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51.80</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51.80</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51.80</w:t>
            </w:r>
          </w:p>
        </w:tc>
        <w:tc>
          <w:tcPr>
            <w:tcW w:w="2551" w:type="dxa"/>
            <w:vAlign w:val="center"/>
          </w:tcPr>
          <w:p>
            <w:pPr>
              <w:pStyle w:val="17"/>
            </w:pPr>
          </w:p>
        </w:tc>
        <w:tc>
          <w:tcPr>
            <w:tcW w:w="2551" w:type="dxa"/>
            <w:vAlign w:val="center"/>
          </w:tcPr>
          <w:p>
            <w:pPr>
              <w:pStyle w:val="17"/>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rPr>
                <w:rFonts w:cs="Times New Roman"/>
              </w:rPr>
            </w:pPr>
            <w:r>
              <w:rPr>
                <w:rFonts w:hint="eastAsia"/>
              </w:rPr>
              <w:t>商贸事务</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rPr>
                <w:rFonts w:cs="Times New Roman"/>
              </w:rPr>
            </w:pPr>
            <w:r>
              <w:rPr>
                <w:rFonts w:hint="eastAsia"/>
              </w:rPr>
              <w:t>招商引资</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注：无一般公共预算财政拨款基本支出预算，空表列示。</w:t>
      </w: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4"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1"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“三公”经费小计</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一、因公出国（境）费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t xml:space="preserve">    </w:t>
            </w:r>
            <w:r>
              <w:rPr>
                <w:rFonts w:hint="eastAsia"/>
              </w:rPr>
              <w:t>其中：教学科研人员因公出国（境）费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t xml:space="preserve">          </w:t>
            </w:r>
            <w:r>
              <w:rPr>
                <w:rFonts w:hint="eastAsia"/>
              </w:rPr>
              <w:t>其他因公出国（境）费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rPr>
                <w:rFonts w:hint="eastAsia"/>
              </w:rPr>
              <w:t>二、公务用车购置及运维费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rPr>
                <w:rFonts w:cs="Times New Roman"/>
              </w:rPr>
            </w:pPr>
            <w:r>
              <w:t xml:space="preserve">    </w:t>
            </w:r>
            <w:r>
              <w:rPr>
                <w:rFonts w:hint="eastAsia"/>
              </w:rPr>
              <w:t>其中：公务用车购置费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rPr>
                <w:rFonts w:cs="Times New Roman"/>
              </w:rPr>
            </w:pPr>
            <w:r>
              <w:t xml:space="preserve">          </w:t>
            </w:r>
            <w:r>
              <w:rPr>
                <w:rFonts w:hint="eastAsia"/>
              </w:rPr>
              <w:t>公务用车运行维护费</w:t>
            </w: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rPr>
                <w:rFonts w:cs="Times New Roman"/>
              </w:rPr>
            </w:pPr>
            <w:r>
              <w:rPr>
                <w:rFonts w:hint="eastAsia"/>
              </w:rPr>
              <w:t>三、公务接待费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曹妃甸区政府金融发展服务中心</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pPr>
        <w:jc w:val="center"/>
        <w:rPr>
          <w:rFonts w:hint="eastAsia" w:ascii="方正小标宋_GBK" w:hAnsi="方正小标宋_GBK" w:eastAsia="方正小标宋_GBK" w:cs="方正小标宋_GBK"/>
          <w:color w:val="000000"/>
          <w:sz w:val="44"/>
          <w:szCs w:val="44"/>
        </w:rPr>
      </w:pPr>
    </w:p>
    <w:p>
      <w:pPr>
        <w:jc w:val="center"/>
      </w:pPr>
      <w:r>
        <w:rPr>
          <w:rFonts w:hint="eastAsia" w:ascii="方正小标宋_GBK" w:hAnsi="方正小标宋_GBK" w:eastAsia="方正小标宋_GBK" w:cs="方正小标宋_GBK"/>
          <w:color w:val="000000"/>
          <w:sz w:val="44"/>
          <w:szCs w:val="44"/>
        </w:rPr>
        <w:t>曹妃甸区政府金融发展服务中心</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按照《中华人民共和国预算法》、《地方预决算公开操作规程》和《关于进一步推进预算公开工作的实施意见》规定，现将曹妃甸区政府金融发展服务中心</w:t>
      </w:r>
      <w:r>
        <w:rPr>
          <w:rFonts w:eastAsia="方正仿宋_GBK"/>
          <w:color w:val="000000"/>
          <w:sz w:val="28"/>
          <w:szCs w:val="28"/>
        </w:rPr>
        <w:t>2024</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spacing w:line="500" w:lineRule="exact"/>
        <w:ind w:firstLine="642" w:firstLineChars="200"/>
      </w:pPr>
      <w:r>
        <w:rPr>
          <w:rFonts w:hint="eastAsia" w:ascii="方正楷体_GBK" w:hAnsi="方正楷体_GBK" w:eastAsia="方正楷体_GBK" w:cs="方正楷体_GBK"/>
          <w:b/>
          <w:bCs/>
          <w:color w:val="000000"/>
          <w:sz w:val="32"/>
          <w:szCs w:val="32"/>
        </w:rPr>
        <w:t>部门职责：</w:t>
      </w:r>
      <w:r>
        <w:rPr>
          <w:rFonts w:ascii="Times New Roman" w:hAnsi="Times New Roman" w:eastAsia="仿宋" w:cs="Times New Roman"/>
          <w:sz w:val="32"/>
          <w:szCs w:val="32"/>
        </w:rPr>
        <w:t xml:space="preserve">正确贯彻执行国家、省、市金融政策、法律法规 协调推动区属企业融资、协调域外金融机构加快入驻我区；培育指导区内企业上市融资；协助监管部门依法打击非法集资、非法证券、非法保险；负责全区小额贷款公司的监督管理；区政府交办的其他事项。 </w:t>
      </w:r>
    </w:p>
    <w:p>
      <w:pPr>
        <w:spacing w:line="500" w:lineRule="exact"/>
        <w:ind w:firstLine="642" w:firstLineChars="200"/>
        <w:rPr>
          <w:rFonts w:ascii="Times New Roman" w:hAnsi="Times New Roman" w:eastAsia="仿宋" w:cs="Times New Roman"/>
          <w:sz w:val="32"/>
          <w:szCs w:val="32"/>
        </w:rPr>
      </w:pPr>
      <w:r>
        <w:rPr>
          <w:rFonts w:hint="eastAsia" w:ascii="方正楷体_GBK" w:hAnsi="方正楷体_GBK" w:eastAsia="方正楷体_GBK" w:cs="方正楷体_GBK"/>
          <w:b/>
          <w:bCs/>
          <w:color w:val="000000"/>
          <w:sz w:val="32"/>
          <w:szCs w:val="32"/>
        </w:rPr>
        <w:t>机构设置：</w:t>
      </w:r>
      <w:r>
        <w:rPr>
          <w:rFonts w:ascii="Times New Roman" w:hAnsi="Times New Roman" w:eastAsia="仿宋" w:cs="Times New Roman"/>
          <w:sz w:val="32"/>
          <w:szCs w:val="32"/>
        </w:rPr>
        <w:t>根据唐机编字【2015】25号文件《唐山市机构编制委员会&lt;关于调整中日唐山曹妃甸生态工业园等3个园区和6个经济功能区管理体制及有关事业单位调整的批复&gt;》文件精神，唐山市曹妃甸区人民政府办公室增设唐山市曹妃甸区政府金融发展服务中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我中心内设2个职能科室：（1）综合处（2）金融合作处</w:t>
      </w:r>
    </w:p>
    <w:p>
      <w:pPr>
        <w:ind w:firstLine="640"/>
      </w:pPr>
    </w:p>
    <w:p>
      <w:pPr>
        <w:jc w:val="center"/>
      </w:pPr>
      <w:r>
        <w:rPr>
          <w:rFonts w:hint="eastAsia" w:ascii="方正小标宋_GBK" w:hAnsi="方正小标宋_GBK" w:eastAsia="方正小标宋_GBK" w:cs="方正小标宋_GBK"/>
          <w:color w:val="000000"/>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曹妃甸区政府金融发展服务中心本级</w:t>
            </w:r>
          </w:p>
        </w:tc>
        <w:tc>
          <w:tcPr>
            <w:tcW w:w="1843" w:type="dxa"/>
            <w:vAlign w:val="center"/>
          </w:tcPr>
          <w:p>
            <w:pPr>
              <w:pStyle w:val="15"/>
              <w:rPr>
                <w:rFonts w:cs="Times New Roman"/>
              </w:rPr>
            </w:pPr>
            <w:r>
              <w:rPr>
                <w:rFonts w:hint="eastAsia"/>
              </w:rPr>
              <w:t>事业</w:t>
            </w:r>
          </w:p>
        </w:tc>
        <w:tc>
          <w:tcPr>
            <w:tcW w:w="2126" w:type="dxa"/>
            <w:vAlign w:val="center"/>
          </w:tcPr>
          <w:p>
            <w:pPr>
              <w:pStyle w:val="15"/>
              <w:rPr>
                <w:rFonts w:cs="Times New Roman"/>
              </w:rPr>
            </w:pPr>
            <w:r>
              <w:rPr>
                <w:rFonts w:hint="eastAsia"/>
              </w:rPr>
              <w:t>副科级</w:t>
            </w:r>
          </w:p>
        </w:tc>
        <w:tc>
          <w:tcPr>
            <w:tcW w:w="3827" w:type="dxa"/>
            <w:vAlign w:val="center"/>
          </w:tcPr>
          <w:p>
            <w:pPr>
              <w:pStyle w:val="15"/>
              <w:rPr>
                <w:rFonts w:cs="Times New Roman"/>
              </w:rPr>
            </w:pPr>
            <w:r>
              <w:rPr>
                <w:rFonts w:hint="eastAsia"/>
              </w:rPr>
              <w:t>财政性资金基本保证</w:t>
            </w:r>
          </w:p>
        </w:tc>
      </w:tr>
    </w:tbl>
    <w:p>
      <w:pPr>
        <w:numPr>
          <w:ilvl w:val="0"/>
          <w:numId w:val="1"/>
        </w:numPr>
        <w:spacing w:before="10" w:after="10" w:line="360" w:lineRule="auto"/>
        <w:ind w:firstLine="640"/>
        <w:outlineLvl w:val="2"/>
        <w:rPr>
          <w:rFonts w:hint="eastAsia" w:ascii="黑体" w:hAnsi="黑体" w:eastAsia="黑体" w:cs="黑体"/>
          <w:color w:val="000000"/>
          <w:sz w:val="32"/>
          <w:szCs w:val="32"/>
        </w:rPr>
      </w:pPr>
      <w:bookmarkStart w:id="10" w:name="_Toc_3_3_0000000011"/>
      <w:r>
        <w:rPr>
          <w:rFonts w:hint="eastAsia" w:ascii="黑体" w:hAnsi="黑体" w:eastAsia="黑体" w:cs="黑体"/>
          <w:color w:val="000000"/>
          <w:sz w:val="32"/>
          <w:szCs w:val="32"/>
        </w:rPr>
        <w:t>部门预算安排的总体情况</w:t>
      </w:r>
      <w:bookmarkEnd w:id="10"/>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1、收入说明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万元，其中：一般公共预算收入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ind w:firstLine="64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反映唐山市曹妃甸区政府金融发展服务中心年度部门预算中支出预算的总体情况。</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年部门支出预算为</w:t>
      </w:r>
      <w:r>
        <w:rPr>
          <w:rFonts w:hint="eastAsia" w:eastAsia="仿宋" w:cs="Times New Roman"/>
          <w:sz w:val="32"/>
          <w:szCs w:val="32"/>
          <w:lang w:val="en-US" w:eastAsia="zh-CN"/>
        </w:rPr>
        <w:t>51.8</w:t>
      </w:r>
      <w:r>
        <w:rPr>
          <w:rFonts w:ascii="Times New Roman" w:hAnsi="Times New Roman" w:eastAsia="仿宋" w:cs="Times New Roman"/>
          <w:sz w:val="32"/>
          <w:szCs w:val="32"/>
        </w:rPr>
        <w:t>万元均为项目支出，全部为本级支出，主要为</w:t>
      </w:r>
      <w:r>
        <w:rPr>
          <w:rFonts w:hint="eastAsia" w:ascii="Times New Roman" w:hAnsi="Times New Roman" w:eastAsia="仿宋" w:cs="Times New Roman"/>
          <w:sz w:val="32"/>
          <w:szCs w:val="32"/>
        </w:rPr>
        <w:t>招商引资</w:t>
      </w:r>
      <w:r>
        <w:rPr>
          <w:rFonts w:ascii="Times New Roman" w:hAnsi="Times New Roman" w:eastAsia="仿宋" w:cs="Times New Roman"/>
          <w:sz w:val="32"/>
          <w:szCs w:val="32"/>
        </w:rPr>
        <w:t>经费支出</w:t>
      </w:r>
      <w:r>
        <w:rPr>
          <w:rFonts w:hint="eastAsia" w:eastAsia="仿宋" w:cs="Times New Roman"/>
          <w:sz w:val="32"/>
          <w:szCs w:val="32"/>
          <w:lang w:val="en-US" w:eastAsia="zh-CN"/>
        </w:rPr>
        <w:t>51.8</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我单位无具体大型项目支出。</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ind w:firstLine="63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年部门预算较202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eastAsia="仿宋" w:cs="Times New Roman"/>
          <w:sz w:val="32"/>
          <w:szCs w:val="32"/>
          <w:lang w:eastAsia="zh-CN"/>
        </w:rPr>
        <w:t>增加</w:t>
      </w:r>
      <w:r>
        <w:rPr>
          <w:rFonts w:hint="eastAsia" w:ascii="Times New Roman" w:hAnsi="Times New Roman" w:eastAsia="仿宋" w:cs="Times New Roman"/>
          <w:sz w:val="32"/>
          <w:szCs w:val="32"/>
          <w:lang w:val="en-US" w:eastAsia="zh-CN"/>
        </w:rPr>
        <w:t>10.4万元</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由于</w:t>
      </w:r>
      <w:r>
        <w:rPr>
          <w:rFonts w:hint="eastAsia" w:ascii="Times New Roman" w:hAnsi="Times New Roman" w:eastAsia="仿宋" w:cs="Times New Roman"/>
          <w:sz w:val="32"/>
          <w:szCs w:val="32"/>
          <w:lang w:eastAsia="zh-CN"/>
        </w:rPr>
        <w:t>机构改革工作职能增加。</w:t>
      </w:r>
    </w:p>
    <w:p>
      <w:pPr>
        <w:numPr>
          <w:ilvl w:val="0"/>
          <w:numId w:val="1"/>
        </w:numPr>
        <w:ind w:left="0" w:leftChars="0" w:firstLine="640" w:firstLineChars="0"/>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机关运行经费安排情况</w:t>
      </w:r>
      <w:bookmarkEnd w:id="11"/>
    </w:p>
    <w:p>
      <w:pPr>
        <w:numPr>
          <w:ilvl w:val="0"/>
          <w:numId w:val="0"/>
        </w:numPr>
        <w:ind w:left="640" w:leftChars="0"/>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年，我部门机关运行经费共计安排0万元。</w:t>
      </w:r>
    </w:p>
    <w:p>
      <w:pPr>
        <w:numPr>
          <w:ilvl w:val="0"/>
          <w:numId w:val="1"/>
        </w:numPr>
        <w:spacing w:before="10" w:after="10" w:line="360" w:lineRule="auto"/>
        <w:ind w:left="0" w:leftChars="0" w:firstLine="640" w:firstLineChars="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财政拨款“三公”经费</w:t>
      </w:r>
      <w:bookmarkStart w:id="21" w:name="_GoBack"/>
      <w:bookmarkEnd w:id="21"/>
      <w:r>
        <w:rPr>
          <w:rFonts w:hint="eastAsia" w:ascii="黑体" w:hAnsi="黑体" w:eastAsia="黑体" w:cs="黑体"/>
          <w:color w:val="000000"/>
          <w:sz w:val="32"/>
          <w:szCs w:val="32"/>
        </w:rPr>
        <w:t>预算情况及增减变化原因</w:t>
      </w:r>
      <w:bookmarkEnd w:id="12"/>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年，财政拨款“三公”经费预算安排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w:t>
      </w:r>
      <w:r>
        <w:rPr>
          <w:rFonts w:hint="eastAsia" w:eastAsia="仿宋" w:cs="Times New Roman"/>
          <w:sz w:val="32"/>
          <w:szCs w:val="32"/>
          <w:lang w:val="en-US" w:eastAsia="zh-CN"/>
        </w:rPr>
        <w:t>8</w:t>
      </w:r>
      <w:r>
        <w:rPr>
          <w:rFonts w:hint="eastAsia" w:ascii="Times New Roman" w:hAnsi="Times New Roman" w:eastAsia="仿宋" w:cs="Times New Roman"/>
          <w:sz w:val="32"/>
          <w:szCs w:val="32"/>
          <w:lang w:val="en-US" w:eastAsia="zh-CN"/>
        </w:rPr>
        <w:t>万元，原因是坚持中央八项规定，节约支出</w:t>
      </w:r>
      <w:r>
        <w:rPr>
          <w:rFonts w:ascii="Times New Roman" w:hAnsi="Times New Roman" w:eastAsia="仿宋" w:cs="Times New Roman"/>
          <w:sz w:val="32"/>
          <w:szCs w:val="32"/>
        </w:rPr>
        <w:t>。具体安排情况为：</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ascii="Times New Roman" w:hAnsi="Times New Roman" w:eastAsia="仿宋" w:cs="Times New Roman"/>
          <w:sz w:val="32"/>
          <w:szCs w:val="32"/>
        </w:rPr>
        <w:t>公务用车购置及运行费。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年预算安排0万元，与202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1"/>
      </w:r>
      <w:r>
        <w:rPr>
          <w:rFonts w:ascii="Times New Roman" w:hAnsi="Times New Roman" w:eastAsia="仿宋" w:cs="Times New Roman"/>
          <w:sz w:val="32"/>
          <w:szCs w:val="32"/>
        </w:rPr>
        <w:t>公务用车购置预算安排0万元，与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w:t>
      </w:r>
      <w:bookmarkStart w:id="13" w:name="_Hlk508697787"/>
      <w:r>
        <w:rPr>
          <w:rFonts w:ascii="Times New Roman" w:hAnsi="Times New Roman" w:eastAsia="仿宋" w:cs="Times New Roman"/>
          <w:sz w:val="32"/>
          <w:szCs w:val="32"/>
        </w:rPr>
        <w:t>持平，无增减变化</w:t>
      </w:r>
      <w:bookmarkEnd w:id="13"/>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2"/>
      </w:r>
      <w:r>
        <w:rPr>
          <w:rFonts w:ascii="Times New Roman" w:hAnsi="Times New Roman" w:eastAsia="仿宋" w:cs="Times New Roman"/>
          <w:sz w:val="32"/>
          <w:szCs w:val="32"/>
        </w:rPr>
        <w:t>公车运行维护费经费预算安排0万元，与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公务接待费。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w:t>
      </w:r>
      <w:r>
        <w:rPr>
          <w:rFonts w:hint="eastAsia" w:eastAsia="仿宋" w:cs="Times New Roman"/>
          <w:sz w:val="32"/>
          <w:szCs w:val="32"/>
          <w:lang w:val="en-US" w:eastAsia="zh-CN"/>
        </w:rPr>
        <w:t>8</w:t>
      </w:r>
      <w:r>
        <w:rPr>
          <w:rFonts w:hint="eastAsia" w:ascii="Times New Roman" w:hAnsi="Times New Roman" w:eastAsia="仿宋" w:cs="Times New Roman"/>
          <w:sz w:val="32"/>
          <w:szCs w:val="32"/>
          <w:lang w:val="en-US" w:eastAsia="zh-CN"/>
        </w:rPr>
        <w:t>万元,原因是坚持中央八项规定，节约支出</w:t>
      </w:r>
      <w:r>
        <w:rPr>
          <w:rFonts w:ascii="Times New Roman" w:hAnsi="Times New Roman" w:eastAsia="仿宋" w:cs="Times New Roman"/>
          <w:sz w:val="32"/>
          <w:szCs w:val="32"/>
        </w:rPr>
        <w:t>。</w:t>
      </w:r>
    </w:p>
    <w:p>
      <w:pPr>
        <w:numPr>
          <w:ilvl w:val="0"/>
          <w:numId w:val="0"/>
        </w:numPr>
        <w:spacing w:before="10" w:after="10" w:line="360" w:lineRule="auto"/>
        <w:ind w:firstLine="640" w:firstLineChars="200"/>
        <w:outlineLvl w:val="2"/>
      </w:pP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因公出国（境）费。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，原因是本年度无</w:t>
      </w:r>
      <w:r>
        <w:rPr>
          <w:rFonts w:ascii="Times New Roman" w:hAnsi="Times New Roman" w:eastAsia="仿宋" w:cs="Times New Roman"/>
          <w:sz w:val="32"/>
          <w:szCs w:val="32"/>
        </w:rPr>
        <w:t>因公出国（境）</w:t>
      </w:r>
      <w:r>
        <w:rPr>
          <w:rFonts w:hint="eastAsia" w:ascii="Times New Roman" w:hAnsi="Times New Roman" w:eastAsia="仿宋" w:cs="Times New Roman"/>
          <w:sz w:val="32"/>
          <w:szCs w:val="32"/>
          <w:lang w:eastAsia="zh-CN"/>
        </w:rPr>
        <w:t>计划</w:t>
      </w:r>
      <w:r>
        <w:rPr>
          <w:rFonts w:ascii="Times New Roman" w:hAnsi="Times New Roman" w:eastAsia="仿宋" w:cs="Times New Roman"/>
          <w:sz w:val="32"/>
          <w:szCs w:val="32"/>
        </w:rPr>
        <w:t>。</w:t>
      </w:r>
    </w:p>
    <w:p>
      <w:pPr>
        <w:spacing w:before="10" w:after="10" w:line="360" w:lineRule="auto"/>
        <w:ind w:firstLine="640"/>
        <w:outlineLvl w:val="2"/>
      </w:pPr>
      <w:bookmarkStart w:id="14" w:name="_Toc_3_3_0000000014"/>
      <w:r>
        <w:rPr>
          <w:rFonts w:hint="eastAsia" w:ascii="黑体" w:hAnsi="黑体" w:eastAsia="黑体" w:cs="黑体"/>
          <w:color w:val="000000"/>
          <w:sz w:val="32"/>
          <w:szCs w:val="32"/>
        </w:rPr>
        <w:t>五、部门整体绩效目标</w:t>
      </w:r>
      <w:bookmarkEnd w:id="14"/>
    </w:p>
    <w:p>
      <w:pPr>
        <w:spacing w:line="500" w:lineRule="exact"/>
        <w:ind w:firstLine="560"/>
      </w:pPr>
      <w:r>
        <w:rPr>
          <w:rFonts w:hint="eastAsia" w:eastAsia="方正仿宋_GBK" w:cs="方正仿宋_GBK"/>
          <w:color w:val="000000"/>
          <w:sz w:val="28"/>
          <w:szCs w:val="28"/>
          <w:lang w:eastAsia="zh-CN"/>
        </w:rPr>
        <w:t>一、</w:t>
      </w:r>
      <w:r>
        <w:rPr>
          <w:rFonts w:hint="eastAsia" w:eastAsia="方正仿宋_GBK" w:cs="方正仿宋_GBK"/>
          <w:color w:val="000000"/>
          <w:sz w:val="28"/>
          <w:szCs w:val="28"/>
        </w:rPr>
        <w:t>总体绩效目标</w:t>
      </w:r>
    </w:p>
    <w:p>
      <w:pPr>
        <w:pStyle w:val="23"/>
      </w:pPr>
      <w:r>
        <w:rPr>
          <w:rFonts w:hint="eastAsia" w:cs="方正仿宋_GBK"/>
        </w:rPr>
        <w:t>根据《曹妃甸区政府金融发展服务中心职能配置、内设机构和人员编制规定》，曹妃甸区政府金融发展服务中心的主要职责是：正确贯彻执行国家、省、市金融政策、法律法规</w:t>
      </w:r>
      <w:r>
        <w:t>,</w:t>
      </w:r>
      <w:r>
        <w:rPr>
          <w:rFonts w:hint="eastAsia" w:cs="方正仿宋_GBK"/>
        </w:rPr>
        <w:t>开展银企对接，协助推动区内企业融资、协调域外金融机构加快入驻我区；培育指导区内企业上市融资；牵头开展金融领域风险排查及化解工作，组织防范与打击非法集资宣传工作；负责全区小额贷款公司的监督管理，配合上级部门做好融资担保、典当、融资租赁、商业保理、地方交易场所的监督工作。完成区委、区政府交办的其他事项。</w:t>
      </w:r>
    </w:p>
    <w:p>
      <w:pPr>
        <w:spacing w:line="500" w:lineRule="exact"/>
        <w:ind w:firstLine="560"/>
      </w:pPr>
      <w:r>
        <w:rPr>
          <w:rFonts w:hint="eastAsia" w:eastAsia="方正仿宋_GBK" w:cs="方正仿宋_GBK"/>
          <w:color w:val="000000"/>
          <w:sz w:val="28"/>
          <w:szCs w:val="28"/>
          <w:lang w:eastAsia="zh-CN"/>
        </w:rPr>
        <w:t>二、</w:t>
      </w:r>
      <w:r>
        <w:rPr>
          <w:rFonts w:hint="eastAsia" w:eastAsia="方正仿宋_GBK" w:cs="方正仿宋_GBK"/>
          <w:color w:val="000000"/>
          <w:sz w:val="28"/>
          <w:szCs w:val="28"/>
        </w:rPr>
        <w:t>分项绩效目标</w:t>
      </w:r>
    </w:p>
    <w:p>
      <w:pPr>
        <w:pStyle w:val="24"/>
      </w:pPr>
      <w:r>
        <w:rPr>
          <w:rFonts w:hint="eastAsia" w:cs="方正仿宋_GBK"/>
        </w:rPr>
        <w:t>（一）完善金融服务体系</w:t>
      </w:r>
    </w:p>
    <w:p>
      <w:pPr>
        <w:pStyle w:val="24"/>
      </w:pPr>
      <w:r>
        <w:rPr>
          <w:rFonts w:hint="eastAsia" w:cs="方正仿宋_GBK"/>
        </w:rPr>
        <w:t>绩效目标：协调金融机构与全区经济社会发展的衔接，引导金融支持实体经济，开展银企对接活动，引导金融机构加大信贷投入，提供各类金融服务，为本区高质量发展提供有力金融支撑。</w:t>
      </w:r>
    </w:p>
    <w:p>
      <w:pPr>
        <w:pStyle w:val="24"/>
      </w:pPr>
      <w:r>
        <w:rPr>
          <w:rFonts w:hint="eastAsia" w:cs="方正仿宋_GBK"/>
        </w:rPr>
        <w:t>绩效指标：全年组织各类银企对接活动</w:t>
      </w:r>
      <w:r>
        <w:t>10</w:t>
      </w:r>
      <w:r>
        <w:rPr>
          <w:rFonts w:hint="eastAsia" w:cs="方正仿宋_GBK"/>
        </w:rPr>
        <w:t>次以上</w:t>
      </w:r>
    </w:p>
    <w:p>
      <w:pPr>
        <w:pStyle w:val="24"/>
      </w:pPr>
      <w:r>
        <w:rPr>
          <w:rFonts w:hint="eastAsia" w:cs="方正仿宋_GBK"/>
        </w:rPr>
        <w:t>（二）企业上市服务</w:t>
      </w:r>
    </w:p>
    <w:p>
      <w:pPr>
        <w:pStyle w:val="24"/>
      </w:pPr>
      <w:r>
        <w:rPr>
          <w:rFonts w:hint="eastAsia" w:cs="方正仿宋_GBK"/>
        </w:rPr>
        <w:t>绩效目标：建立上市后备企业资源库，培育年度上市后备企业，结合市下达任务，推动企业上市挂牌，完成市下达年度企业上市任务。</w:t>
      </w:r>
    </w:p>
    <w:p>
      <w:pPr>
        <w:pStyle w:val="24"/>
      </w:pPr>
      <w:r>
        <w:rPr>
          <w:rFonts w:hint="eastAsia" w:cs="方正仿宋_GBK"/>
        </w:rPr>
        <w:t>绩效指标：</w:t>
      </w:r>
      <w:r>
        <w:t>202</w:t>
      </w:r>
      <w:r>
        <w:rPr>
          <w:rFonts w:hint="eastAsia"/>
          <w:lang w:val="en-US" w:eastAsia="zh-CN"/>
        </w:rPr>
        <w:t>4</w:t>
      </w:r>
      <w:r>
        <w:rPr>
          <w:rFonts w:hint="eastAsia" w:cs="方正仿宋_GBK"/>
        </w:rPr>
        <w:t>年，力争实现</w:t>
      </w:r>
      <w:r>
        <w:t>1</w:t>
      </w:r>
      <w:r>
        <w:rPr>
          <w:rFonts w:hint="eastAsia" w:cs="方正仿宋_GBK"/>
        </w:rPr>
        <w:t>家企业上市挂牌</w:t>
      </w:r>
    </w:p>
    <w:p>
      <w:pPr>
        <w:pStyle w:val="24"/>
      </w:pPr>
      <w:r>
        <w:rPr>
          <w:rFonts w:hint="eastAsia" w:cs="方正仿宋_GBK"/>
        </w:rPr>
        <w:t>（三）防范和化解地方金融风险</w:t>
      </w:r>
    </w:p>
    <w:p>
      <w:pPr>
        <w:pStyle w:val="24"/>
      </w:pPr>
      <w:r>
        <w:rPr>
          <w:rFonts w:hint="eastAsia" w:cs="方正仿宋_GBK"/>
        </w:rPr>
        <w:t>绩效目标：突出宣传教育、风险排查两条主线，常态化开展涉嫌非法集资风险排查、金融领域风险排查活动，坚持条块结合、点面兼顾的原则，确保风险排查做到不留死角，实现全覆盖，确保我区金融行业稳定发展。</w:t>
      </w:r>
    </w:p>
    <w:p>
      <w:pPr>
        <w:pStyle w:val="24"/>
      </w:pPr>
      <w:r>
        <w:rPr>
          <w:rFonts w:hint="eastAsia" w:cs="方正仿宋_GBK"/>
        </w:rPr>
        <w:t>绩效指标：开展金融领域风险排查、打击非法集资宣传活动</w:t>
      </w:r>
      <w:r>
        <w:t>4</w:t>
      </w:r>
      <w:r>
        <w:rPr>
          <w:rFonts w:hint="eastAsia" w:cs="方正仿宋_GBK"/>
        </w:rPr>
        <w:t>次</w:t>
      </w:r>
    </w:p>
    <w:p>
      <w:pPr>
        <w:pStyle w:val="24"/>
      </w:pPr>
      <w:r>
        <w:rPr>
          <w:rFonts w:hint="eastAsia" w:cs="方正仿宋_GBK"/>
        </w:rPr>
        <w:t>（四）地方金融监管</w:t>
      </w:r>
    </w:p>
    <w:p>
      <w:pPr>
        <w:pStyle w:val="24"/>
      </w:pPr>
      <w:r>
        <w:rPr>
          <w:rFonts w:hint="eastAsia" w:cs="方正仿宋_GBK"/>
        </w:rPr>
        <w:t>绩效目标：完善我区地方金融监管体系，全面履行监管职责，做好小额贷款公司、典当、融资担保、融资租赁、商业保理、地方交易场所等行业监管工作，促进金融业健康发展。</w:t>
      </w:r>
    </w:p>
    <w:p>
      <w:pPr>
        <w:pStyle w:val="24"/>
      </w:pPr>
      <w:r>
        <w:rPr>
          <w:rFonts w:hint="eastAsia" w:cs="方正仿宋_GBK"/>
        </w:rPr>
        <w:t>绩效指标：小额贷款公司审计范围全覆盖</w:t>
      </w:r>
    </w:p>
    <w:p>
      <w:pPr>
        <w:spacing w:line="500" w:lineRule="exact"/>
        <w:ind w:firstLine="560"/>
      </w:pPr>
      <w:r>
        <w:rPr>
          <w:rFonts w:hint="eastAsia" w:eastAsia="方正仿宋_GBK" w:cs="方正仿宋_GBK"/>
          <w:color w:val="000000"/>
          <w:sz w:val="28"/>
          <w:szCs w:val="28"/>
          <w:lang w:eastAsia="zh-CN"/>
        </w:rPr>
        <w:t>三、</w:t>
      </w:r>
      <w:r>
        <w:rPr>
          <w:rFonts w:hint="eastAsia" w:eastAsia="方正仿宋_GBK" w:cs="方正仿宋_GBK"/>
          <w:color w:val="000000"/>
          <w:sz w:val="28"/>
          <w:szCs w:val="28"/>
        </w:rPr>
        <w:t>工作保障措施</w:t>
      </w:r>
    </w:p>
    <w:p>
      <w:pPr>
        <w:pStyle w:val="25"/>
      </w:pPr>
      <w:r>
        <w:rPr>
          <w:rFonts w:hint="eastAsia" w:cs="方正仿宋_GBK"/>
        </w:rPr>
        <w:t>（一）推动企业上市工作，服务上市后备企业发展。深入调研企业发展中存在的问题，尤其是上市后备企业发展的资金问题，助力企业发展；加强企业培训力度，引导上市后备企业规范发展，为上市工作打下良好基础；积极走访，深入挖掘上市后备企业，引导企业规范发展、做大做强。</w:t>
      </w:r>
    </w:p>
    <w:p>
      <w:pPr>
        <w:pStyle w:val="25"/>
      </w:pPr>
      <w:r>
        <w:rPr>
          <w:rFonts w:hint="eastAsia" w:cs="方正仿宋_GBK"/>
        </w:rPr>
        <w:t>（二）做好金融领域风险排查、化解工作和非法集资宣传教育工作。严格落实上级指示要求，做好各类风险排查和化解处置工作，强化对重点地区和重点行业的宣传教育和风险排查，做好风险监测和防控，打早打小，杜绝金融风险事件和非法集资案件发生。</w:t>
      </w:r>
    </w:p>
    <w:p>
      <w:pPr>
        <w:pStyle w:val="25"/>
      </w:pPr>
      <w:r>
        <w:rPr>
          <w:rFonts w:hint="eastAsia" w:cs="方正仿宋_GBK"/>
        </w:rPr>
        <w:t>（三）强化银企对接，提升金融服务实体经济能力。积极开展各类银企对接活动，围绕区属企业、重点项目、大型贸易企业、小微企业的融资需求，通过召开银企对接会，</w:t>
      </w:r>
      <w:r>
        <w:t>“</w:t>
      </w:r>
      <w:r>
        <w:rPr>
          <w:rFonts w:hint="eastAsia" w:cs="方正仿宋_GBK"/>
        </w:rPr>
        <w:t>一对一</w:t>
      </w:r>
      <w:r>
        <w:t>”</w:t>
      </w:r>
      <w:r>
        <w:rPr>
          <w:rFonts w:hint="eastAsia" w:cs="方正仿宋_GBK"/>
        </w:rPr>
        <w:t>在线对接模式，推动金融服务实体经济发展需求。</w:t>
      </w:r>
    </w:p>
    <w:p>
      <w:pPr>
        <w:pStyle w:val="25"/>
      </w:pPr>
      <w:r>
        <w:rPr>
          <w:rFonts w:hint="eastAsia" w:cs="方正仿宋_GBK"/>
        </w:rPr>
        <w:t>（四）完善制度建设。制定完善预算绩效管理制度、资金管理办法、工作保障制度等，为全年预算绩效目标的实现奠定制度基础。</w:t>
      </w:r>
    </w:p>
    <w:p>
      <w:pPr>
        <w:pStyle w:val="25"/>
        <w:sectPr>
          <w:pgSz w:w="16840" w:h="11900" w:orient="landscape"/>
          <w:pgMar w:top="1361" w:right="1020" w:bottom="1361" w:left="1020" w:header="720" w:footer="720" w:gutter="0"/>
          <w:cols w:space="720" w:num="1"/>
        </w:sectPr>
      </w:pPr>
      <w:r>
        <w:rPr>
          <w:rFonts w:hint="eastAsia" w:cs="方正仿宋_GBK"/>
        </w:rPr>
        <w:t>（五）加强支出管理。通过优化支出结构、编细编实预算、加快履行政府采购手续、尽快启动项目、及时支付资金、按规定及时下达资金等多种措施，确保支出进度达标。</w:t>
      </w:r>
    </w:p>
    <w:p>
      <w:pPr>
        <w:spacing w:before="10" w:after="10" w:line="360" w:lineRule="auto"/>
        <w:ind w:firstLine="640"/>
        <w:outlineLvl w:val="2"/>
        <w:rPr>
          <w:rFonts w:hint="eastAsia" w:ascii="黑体" w:hAnsi="黑体" w:eastAsia="黑体" w:cs="黑体"/>
          <w:color w:val="000000"/>
          <w:sz w:val="32"/>
          <w:szCs w:val="32"/>
        </w:rPr>
      </w:pPr>
      <w:bookmarkStart w:id="15" w:name="_Toc_3_3_0000000015"/>
      <w:r>
        <w:rPr>
          <w:rFonts w:hint="eastAsia" w:ascii="黑体" w:hAnsi="黑体" w:eastAsia="黑体" w:cs="黑体"/>
          <w:color w:val="000000"/>
          <w:sz w:val="32"/>
          <w:szCs w:val="32"/>
        </w:rPr>
        <w:t>六、部门主管专项资金预算安排情况及绩效目标</w:t>
      </w:r>
      <w:bookmarkEnd w:id="15"/>
    </w:p>
    <w:p>
      <w:pPr>
        <w:spacing w:before="10" w:after="10" w:line="360" w:lineRule="auto"/>
        <w:ind w:firstLine="560" w:firstLineChars="200"/>
        <w:outlineLvl w:val="2"/>
        <w:rPr>
          <w:rFonts w:hint="eastAsia" w:ascii="Times New Roman" w:hAnsi="Times New Roman" w:eastAsia="方正仿宋_GBK" w:cs="方正仿宋_GBK"/>
          <w:kern w:val="0"/>
          <w:sz w:val="28"/>
          <w:szCs w:val="28"/>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方正仿宋_GBK"/>
          <w:kern w:val="0"/>
          <w:sz w:val="28"/>
          <w:szCs w:val="28"/>
          <w:lang w:val="en-US" w:eastAsia="zh-CN" w:bidi="ar-SA"/>
        </w:rPr>
        <w:t>无</w:t>
      </w:r>
      <w:r>
        <w:rPr>
          <w:rFonts w:hint="eastAsia" w:eastAsia="方正仿宋_GBK" w:cs="方正仿宋_GBK"/>
          <w:kern w:val="0"/>
          <w:sz w:val="28"/>
          <w:szCs w:val="28"/>
          <w:lang w:val="en-US" w:eastAsia="zh-CN" w:bidi="ar-SA"/>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hint="eastAsia" w:ascii="黑体" w:hAnsi="黑体" w:eastAsia="黑体" w:cs="黑体"/>
          <w:color w:val="000000"/>
          <w:sz w:val="32"/>
          <w:szCs w:val="32"/>
        </w:rPr>
        <w:t>七、部门项目预算安排情况及绩效目标</w:t>
      </w:r>
      <w:bookmarkEnd w:id="16"/>
    </w:p>
    <w:p>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、招商引资经费绩效目标表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cs="Times New Roman"/>
              </w:rPr>
            </w:pPr>
            <w:r>
              <w:rPr>
                <w:rFonts w:hint="eastAsia"/>
              </w:rPr>
              <w:t>项目编码</w:t>
            </w:r>
          </w:p>
        </w:tc>
        <w:tc>
          <w:tcPr>
            <w:tcW w:w="5102" w:type="dxa"/>
            <w:gridSpan w:val="2"/>
            <w:vAlign w:val="center"/>
          </w:tcPr>
          <w:p>
            <w:pPr>
              <w:pStyle w:val="14"/>
            </w:pPr>
            <w:r>
              <w:t>13020924P00003610004G</w:t>
            </w:r>
          </w:p>
        </w:tc>
        <w:tc>
          <w:tcPr>
            <w:tcW w:w="2835" w:type="dxa"/>
            <w:vAlign w:val="center"/>
          </w:tcPr>
          <w:p>
            <w:pPr>
              <w:pStyle w:val="12"/>
              <w:rPr>
                <w:rFonts w:cs="Times New Roman"/>
              </w:rPr>
            </w:pPr>
            <w:r>
              <w:rPr>
                <w:rFonts w:hint="eastAsia"/>
              </w:rPr>
              <w:t>项目名称</w:t>
            </w:r>
          </w:p>
        </w:tc>
        <w:tc>
          <w:tcPr>
            <w:tcW w:w="6094" w:type="dxa"/>
            <w:gridSpan w:val="3"/>
            <w:vAlign w:val="center"/>
          </w:tcPr>
          <w:p>
            <w:pPr>
              <w:pStyle w:val="14"/>
              <w:rPr>
                <w:rFonts w:cs="Times New Roman"/>
              </w:rPr>
            </w:pPr>
            <w:r>
              <w:rPr>
                <w:rFonts w:hint="eastAsia"/>
              </w:rPr>
              <w:t>招商引资经费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cs="Times New Roman"/>
              </w:rPr>
            </w:pPr>
            <w:r>
              <w:rPr>
                <w:rFonts w:hint="eastAsia"/>
              </w:rPr>
              <w:t>预算规模及资金用途</w:t>
            </w:r>
          </w:p>
        </w:tc>
        <w:tc>
          <w:tcPr>
            <w:tcW w:w="2268" w:type="dxa"/>
            <w:vAlign w:val="center"/>
          </w:tcPr>
          <w:p>
            <w:pPr>
              <w:pStyle w:val="12"/>
              <w:rPr>
                <w:rFonts w:cs="Times New Roman"/>
              </w:rPr>
            </w:pPr>
            <w:r>
              <w:rPr>
                <w:rFonts w:hint="eastAsia"/>
              </w:rPr>
              <w:t>预算数</w:t>
            </w:r>
          </w:p>
        </w:tc>
        <w:tc>
          <w:tcPr>
            <w:tcW w:w="2835" w:type="dxa"/>
            <w:vAlign w:val="center"/>
          </w:tcPr>
          <w:p>
            <w:pPr>
              <w:pStyle w:val="14"/>
            </w:pPr>
            <w:r>
              <w:t>51.80</w:t>
            </w:r>
          </w:p>
        </w:tc>
        <w:tc>
          <w:tcPr>
            <w:tcW w:w="2835" w:type="dxa"/>
            <w:vAlign w:val="center"/>
          </w:tcPr>
          <w:p>
            <w:pPr>
              <w:pStyle w:val="12"/>
              <w:rPr>
                <w:rFonts w:cs="Times New Roman"/>
              </w:rPr>
            </w:pPr>
            <w:r>
              <w:rPr>
                <w:rFonts w:hint="eastAsia"/>
              </w:rPr>
              <w:t>其中：财政</w:t>
            </w:r>
            <w:r>
              <w:t xml:space="preserve">    </w:t>
            </w:r>
            <w:r>
              <w:rPr>
                <w:rFonts w:hint="eastAsia"/>
              </w:rPr>
              <w:t>资金</w:t>
            </w:r>
          </w:p>
        </w:tc>
        <w:tc>
          <w:tcPr>
            <w:tcW w:w="2551" w:type="dxa"/>
            <w:vAlign w:val="center"/>
          </w:tcPr>
          <w:p>
            <w:pPr>
              <w:pStyle w:val="14"/>
            </w:pPr>
            <w:r>
              <w:t>51.80</w:t>
            </w:r>
          </w:p>
        </w:tc>
        <w:tc>
          <w:tcPr>
            <w:tcW w:w="2268" w:type="dxa"/>
            <w:vAlign w:val="center"/>
          </w:tcPr>
          <w:p>
            <w:pPr>
              <w:pStyle w:val="12"/>
              <w:rPr>
                <w:rFonts w:cs="Times New Roman"/>
              </w:rPr>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rPr>
                <w:rFonts w:cs="Times New Roman"/>
              </w:rPr>
            </w:pPr>
            <w:r>
              <w:rPr>
                <w:rFonts w:hint="eastAsia"/>
              </w:rPr>
              <w:t>常态化开展涉嫌非法集资风险排查，企业上市、银企对接活动。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cs="Times New Roman"/>
              </w:rPr>
            </w:pPr>
            <w:r>
              <w:rPr>
                <w:rFonts w:hint="eastAsia"/>
              </w:rPr>
              <w:t>资金支出计划（</w:t>
            </w:r>
            <w:r>
              <w:t>%</w:t>
            </w:r>
            <w:r>
              <w:rPr>
                <w:rFonts w:hint="eastAsia"/>
              </w:rPr>
              <w:t>）</w:t>
            </w:r>
          </w:p>
        </w:tc>
        <w:tc>
          <w:tcPr>
            <w:tcW w:w="5102" w:type="dxa"/>
            <w:gridSpan w:val="2"/>
            <w:vAlign w:val="center"/>
          </w:tcPr>
          <w:p>
            <w:pPr>
              <w:pStyle w:val="12"/>
              <w:rPr>
                <w:rFonts w:cs="Times New Roman"/>
              </w:rPr>
            </w:pPr>
            <w:r>
              <w:t>3</w:t>
            </w:r>
            <w:r>
              <w:rPr>
                <w:rFonts w:hint="eastAsia"/>
              </w:rPr>
              <w:t>月底</w:t>
            </w:r>
          </w:p>
        </w:tc>
        <w:tc>
          <w:tcPr>
            <w:tcW w:w="2835" w:type="dxa"/>
            <w:vAlign w:val="center"/>
          </w:tcPr>
          <w:p>
            <w:pPr>
              <w:pStyle w:val="12"/>
              <w:rPr>
                <w:rFonts w:cs="Times New Roman"/>
              </w:rPr>
            </w:pPr>
            <w:r>
              <w:t>6</w:t>
            </w:r>
            <w:r>
              <w:rPr>
                <w:rFonts w:hint="eastAsia"/>
              </w:rPr>
              <w:t>月底</w:t>
            </w:r>
          </w:p>
        </w:tc>
        <w:tc>
          <w:tcPr>
            <w:tcW w:w="2551" w:type="dxa"/>
            <w:vAlign w:val="center"/>
          </w:tcPr>
          <w:p>
            <w:pPr>
              <w:pStyle w:val="12"/>
              <w:rPr>
                <w:rFonts w:cs="Times New Roman"/>
              </w:rPr>
            </w:pPr>
            <w:r>
              <w:t>10</w:t>
            </w:r>
            <w:r>
              <w:rPr>
                <w:rFonts w:hint="eastAsia"/>
              </w:rPr>
              <w:t>月底</w:t>
            </w:r>
          </w:p>
        </w:tc>
        <w:tc>
          <w:tcPr>
            <w:tcW w:w="3543" w:type="dxa"/>
            <w:gridSpan w:val="2"/>
            <w:vAlign w:val="center"/>
          </w:tcPr>
          <w:p>
            <w:pPr>
              <w:pStyle w:val="12"/>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rPr>
                <w:rFonts w:cs="Times New Roman"/>
              </w:rPr>
            </w:pPr>
            <w:r>
              <w:rPr>
                <w:rFonts w:hint="eastAsia"/>
              </w:rPr>
              <w:t>绩效目标</w:t>
            </w:r>
          </w:p>
        </w:tc>
        <w:tc>
          <w:tcPr>
            <w:tcW w:w="14031" w:type="dxa"/>
            <w:gridSpan w:val="6"/>
            <w:tcBorders>
              <w:bottom w:val="single" w:color="FFFFFF" w:sz="6" w:space="0"/>
            </w:tcBorders>
            <w:vAlign w:val="center"/>
          </w:tcPr>
          <w:p>
            <w:pPr>
              <w:pStyle w:val="14"/>
              <w:rPr>
                <w:rFonts w:cs="Times New Roman"/>
              </w:rPr>
            </w:pPr>
            <w:r>
              <w:t>1.</w:t>
            </w:r>
            <w:r>
              <w:rPr>
                <w:rFonts w:hint="eastAsia"/>
              </w:rPr>
              <w:t>常态化开展涉嫌非法集资风险排查，企业上市、银企对接活动。</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5386" w:type="dxa"/>
            <w:vAlign w:val="center"/>
          </w:tcPr>
          <w:p>
            <w:pPr>
              <w:pStyle w:val="12"/>
              <w:rPr>
                <w:rFonts w:cs="Times New Roman"/>
              </w:rPr>
            </w:pPr>
            <w:r>
              <w:rPr>
                <w:rFonts w:hint="eastAsia"/>
              </w:rPr>
              <w:t>绩效指标描述</w:t>
            </w:r>
          </w:p>
        </w:tc>
        <w:tc>
          <w:tcPr>
            <w:tcW w:w="2268" w:type="dxa"/>
            <w:vAlign w:val="center"/>
          </w:tcPr>
          <w:p>
            <w:pPr>
              <w:pStyle w:val="12"/>
              <w:rPr>
                <w:rFonts w:cs="Times New Roman"/>
              </w:rPr>
            </w:pPr>
            <w:r>
              <w:rPr>
                <w:rFonts w:hint="eastAsia"/>
              </w:rPr>
              <w:t>指标值</w:t>
            </w:r>
          </w:p>
        </w:tc>
        <w:tc>
          <w:tcPr>
            <w:tcW w:w="1276"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完成率</w:t>
            </w:r>
          </w:p>
        </w:tc>
        <w:tc>
          <w:tcPr>
            <w:tcW w:w="5386" w:type="dxa"/>
            <w:vAlign w:val="center"/>
          </w:tcPr>
          <w:p>
            <w:pPr>
              <w:pStyle w:val="14"/>
              <w:rPr>
                <w:rFonts w:cs="Times New Roman"/>
              </w:rPr>
            </w:pPr>
            <w:r>
              <w:rPr>
                <w:rFonts w:hint="eastAsia"/>
              </w:rPr>
              <w:t>引入金融、类金融机构数量</w:t>
            </w:r>
          </w:p>
        </w:tc>
        <w:tc>
          <w:tcPr>
            <w:tcW w:w="2268" w:type="dxa"/>
            <w:vAlign w:val="center"/>
          </w:tcPr>
          <w:p>
            <w:pPr>
              <w:pStyle w:val="14"/>
              <w:rPr>
                <w:rFonts w:cs="Times New Roman"/>
              </w:rPr>
            </w:pPr>
            <w:r>
              <w:rPr>
                <w:rFonts w:hint="eastAsia"/>
              </w:rPr>
              <w:t>≥</w:t>
            </w:r>
            <w:r>
              <w:t>4</w:t>
            </w:r>
            <w:r>
              <w:rPr>
                <w:rFonts w:hint="eastAsia"/>
              </w:rPr>
              <w:t>家</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覆盖率</w:t>
            </w:r>
          </w:p>
        </w:tc>
        <w:tc>
          <w:tcPr>
            <w:tcW w:w="5386" w:type="dxa"/>
            <w:vAlign w:val="center"/>
          </w:tcPr>
          <w:p>
            <w:pPr>
              <w:pStyle w:val="14"/>
              <w:rPr>
                <w:rFonts w:cs="Times New Roman"/>
              </w:rPr>
            </w:pPr>
            <w:r>
              <w:rPr>
                <w:rFonts w:hint="eastAsia"/>
              </w:rPr>
              <w:t>小额贷款公司审计范围覆盖率</w:t>
            </w:r>
          </w:p>
        </w:tc>
        <w:tc>
          <w:tcPr>
            <w:tcW w:w="2268" w:type="dxa"/>
            <w:vAlign w:val="center"/>
          </w:tcPr>
          <w:p>
            <w:pPr>
              <w:pStyle w:val="14"/>
              <w:rPr>
                <w:rFonts w:cs="Times New Roman"/>
              </w:rPr>
            </w:pPr>
            <w:r>
              <w:t>100</w:t>
            </w:r>
            <w:r>
              <w:rPr>
                <w:rFonts w:hint="eastAsia"/>
              </w:rPr>
              <w:t>百分比</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完成工作时间</w:t>
            </w:r>
          </w:p>
        </w:tc>
        <w:tc>
          <w:tcPr>
            <w:tcW w:w="5386" w:type="dxa"/>
            <w:vAlign w:val="center"/>
          </w:tcPr>
          <w:p>
            <w:pPr>
              <w:pStyle w:val="14"/>
              <w:rPr>
                <w:rFonts w:cs="Times New Roman"/>
              </w:rPr>
            </w:pPr>
            <w:r>
              <w:t>2024.12.31</w:t>
            </w:r>
            <w:r>
              <w:rPr>
                <w:rFonts w:hint="eastAsia"/>
              </w:rPr>
              <w:t>之前完成</w:t>
            </w:r>
          </w:p>
        </w:tc>
        <w:tc>
          <w:tcPr>
            <w:tcW w:w="2268" w:type="dxa"/>
            <w:vAlign w:val="center"/>
          </w:tcPr>
          <w:p>
            <w:pPr>
              <w:pStyle w:val="14"/>
              <w:rPr>
                <w:rFonts w:cs="Times New Roman"/>
              </w:rPr>
            </w:pPr>
            <w:r>
              <w:t>100</w:t>
            </w:r>
            <w:r>
              <w:rPr>
                <w:rFonts w:hint="eastAsia"/>
              </w:rPr>
              <w:t>百分比</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项目预算控制数</w:t>
            </w:r>
          </w:p>
        </w:tc>
        <w:tc>
          <w:tcPr>
            <w:tcW w:w="5386" w:type="dxa"/>
            <w:vAlign w:val="center"/>
          </w:tcPr>
          <w:p>
            <w:pPr>
              <w:pStyle w:val="14"/>
              <w:rPr>
                <w:rFonts w:cs="Times New Roman"/>
              </w:rPr>
            </w:pPr>
            <w:r>
              <w:rPr>
                <w:rFonts w:hint="eastAsia"/>
              </w:rPr>
              <w:t>控制在预算资金内</w:t>
            </w:r>
          </w:p>
        </w:tc>
        <w:tc>
          <w:tcPr>
            <w:tcW w:w="2268" w:type="dxa"/>
            <w:vAlign w:val="center"/>
          </w:tcPr>
          <w:p>
            <w:pPr>
              <w:pStyle w:val="14"/>
              <w:rPr>
                <w:rFonts w:cs="Times New Roman"/>
              </w:rPr>
            </w:pPr>
            <w:r>
              <w:rPr>
                <w:rFonts w:hint="eastAsia"/>
              </w:rPr>
              <w:t>≤</w:t>
            </w:r>
            <w:r>
              <w:t>51.8</w:t>
            </w:r>
            <w:r>
              <w:rPr>
                <w:rFonts w:hint="eastAsia"/>
              </w:rPr>
              <w:t>万元</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提高效率</w:t>
            </w:r>
          </w:p>
        </w:tc>
        <w:tc>
          <w:tcPr>
            <w:tcW w:w="5386" w:type="dxa"/>
            <w:vAlign w:val="center"/>
          </w:tcPr>
          <w:p>
            <w:pPr>
              <w:pStyle w:val="14"/>
              <w:rPr>
                <w:rFonts w:cs="Times New Roman"/>
              </w:rPr>
            </w:pPr>
            <w:r>
              <w:rPr>
                <w:rFonts w:hint="eastAsia"/>
              </w:rPr>
              <w:t>银企对接次数</w:t>
            </w:r>
          </w:p>
        </w:tc>
        <w:tc>
          <w:tcPr>
            <w:tcW w:w="2268" w:type="dxa"/>
            <w:vAlign w:val="center"/>
          </w:tcPr>
          <w:p>
            <w:pPr>
              <w:pStyle w:val="14"/>
              <w:rPr>
                <w:rFonts w:cs="Times New Roman"/>
              </w:rPr>
            </w:pPr>
            <w:r>
              <w:rPr>
                <w:rFonts w:hint="eastAsia"/>
              </w:rPr>
              <w:t>≥</w:t>
            </w:r>
            <w:r>
              <w:t>10</w:t>
            </w:r>
            <w:r>
              <w:rPr>
                <w:rFonts w:hint="eastAsia"/>
              </w:rPr>
              <w:t>次</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推进工作开展</w:t>
            </w:r>
          </w:p>
        </w:tc>
        <w:tc>
          <w:tcPr>
            <w:tcW w:w="5386" w:type="dxa"/>
            <w:vAlign w:val="center"/>
          </w:tcPr>
          <w:p>
            <w:pPr>
              <w:pStyle w:val="14"/>
              <w:rPr>
                <w:rFonts w:cs="Times New Roman"/>
              </w:rPr>
            </w:pPr>
            <w:r>
              <w:rPr>
                <w:rFonts w:hint="eastAsia"/>
              </w:rPr>
              <w:t>打击非法集资宣传活动</w:t>
            </w:r>
          </w:p>
        </w:tc>
        <w:tc>
          <w:tcPr>
            <w:tcW w:w="2268" w:type="dxa"/>
            <w:vAlign w:val="center"/>
          </w:tcPr>
          <w:p>
            <w:pPr>
              <w:pStyle w:val="14"/>
              <w:rPr>
                <w:rFonts w:cs="Times New Roman"/>
              </w:rPr>
            </w:pPr>
            <w:r>
              <w:rPr>
                <w:rFonts w:hint="eastAsia"/>
              </w:rPr>
              <w:t>≥</w:t>
            </w:r>
            <w:r>
              <w:t>2</w:t>
            </w:r>
            <w:r>
              <w:rPr>
                <w:rFonts w:hint="eastAsia"/>
              </w:rPr>
              <w:t>次</w:t>
            </w:r>
          </w:p>
        </w:tc>
        <w:tc>
          <w:tcPr>
            <w:tcW w:w="1276" w:type="dxa"/>
            <w:vAlign w:val="center"/>
          </w:tcPr>
          <w:p>
            <w:pPr>
              <w:pStyle w:val="14"/>
              <w:rPr>
                <w:rFonts w:cs="Times New Roman"/>
              </w:rPr>
            </w:pP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满意度</w:t>
            </w:r>
          </w:p>
        </w:tc>
        <w:tc>
          <w:tcPr>
            <w:tcW w:w="5386" w:type="dxa"/>
            <w:vAlign w:val="center"/>
          </w:tcPr>
          <w:p>
            <w:pPr>
              <w:pStyle w:val="14"/>
              <w:rPr>
                <w:rFonts w:cs="Times New Roman"/>
              </w:rPr>
            </w:pPr>
            <w:r>
              <w:rPr>
                <w:rFonts w:hint="eastAsia"/>
              </w:rPr>
              <w:t>金融机构满意度</w:t>
            </w:r>
          </w:p>
        </w:tc>
        <w:tc>
          <w:tcPr>
            <w:tcW w:w="2268" w:type="dxa"/>
            <w:vAlign w:val="center"/>
          </w:tcPr>
          <w:p>
            <w:pPr>
              <w:pStyle w:val="14"/>
              <w:rPr>
                <w:rFonts w:cs="Times New Roman"/>
              </w:rPr>
            </w:pPr>
            <w:r>
              <w:rPr>
                <w:rFonts w:hint="eastAsia"/>
              </w:rPr>
              <w:t>≥</w:t>
            </w:r>
            <w:r>
              <w:t>90</w:t>
            </w:r>
            <w:r>
              <w:rPr>
                <w:rFonts w:hint="eastAsia"/>
              </w:rPr>
              <w:t>百分比</w:t>
            </w:r>
          </w:p>
        </w:tc>
        <w:tc>
          <w:tcPr>
            <w:tcW w:w="1276" w:type="dxa"/>
            <w:vAlign w:val="center"/>
          </w:tcPr>
          <w:p>
            <w:pPr>
              <w:pStyle w:val="14"/>
              <w:rPr>
                <w:rFonts w:cs="Times New Roman"/>
              </w:rPr>
            </w:pPr>
            <w:r>
              <w:rPr>
                <w:rFonts w:hint="eastAsia"/>
              </w:rPr>
              <w:t>年初预算安排</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7" w:name="_Toc_3_3_0000000017"/>
      <w:r>
        <w:rPr>
          <w:rFonts w:hint="eastAsia" w:ascii="黑体" w:hAnsi="黑体" w:eastAsia="黑体" w:cs="黑体"/>
          <w:color w:val="000000"/>
          <w:sz w:val="32"/>
          <w:szCs w:val="32"/>
        </w:rPr>
        <w:t>八、政府采购预算情况</w:t>
      </w:r>
      <w:bookmarkEnd w:id="17"/>
    </w:p>
    <w:p>
      <w:pPr>
        <w:jc w:val="center"/>
      </w:pPr>
      <w:r>
        <w:rPr>
          <w:rFonts w:hint="eastAsia" w:ascii="方正小标宋_GBK" w:hAnsi="方正小标宋_GBK" w:eastAsia="方正小标宋_GBK" w:cs="方正小标宋_GBK"/>
          <w:color w:val="000000"/>
          <w:sz w:val="36"/>
          <w:szCs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7710" w:type="dxa"/>
            <w:gridSpan w:val="8"/>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6746" w:type="dxa"/>
            <w:gridSpan w:val="7"/>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r>
        <w:rPr>
          <w:rFonts w:eastAsia="方正仿宋_GBK"/>
          <w:color w:val="000000"/>
          <w:sz w:val="32"/>
          <w:szCs w:val="32"/>
        </w:rPr>
        <w:t xml:space="preserve"> </w:t>
      </w:r>
    </w:p>
    <w:p>
      <w:pPr>
        <w:spacing w:before="10" w:after="10"/>
        <w:ind w:firstLine="640"/>
        <w:outlineLvl w:val="2"/>
      </w:pPr>
      <w:bookmarkStart w:id="18" w:name="_Toc_3_3_0000000018"/>
      <w:r>
        <w:rPr>
          <w:rFonts w:hint="eastAsia" w:ascii="黑体" w:hAnsi="黑体" w:eastAsia="黑体" w:cs="黑体"/>
          <w:color w:val="000000"/>
          <w:sz w:val="32"/>
          <w:szCs w:val="32"/>
        </w:rPr>
        <w:t>九、国有资产信息</w:t>
      </w:r>
      <w:bookmarkEnd w:id="18"/>
    </w:p>
    <w:p>
      <w:pPr>
        <w:spacing w:line="500" w:lineRule="exact"/>
        <w:ind w:firstLine="560"/>
      </w:pPr>
      <w:r>
        <w:rPr>
          <w:rFonts w:hint="eastAsia" w:eastAsia="方正仿宋_GBK" w:cs="方正仿宋_GBK"/>
          <w:color w:val="000000"/>
          <w:sz w:val="28"/>
          <w:szCs w:val="28"/>
        </w:rPr>
        <w:t>曹妃甸区政府金融发展服务中心（含所属单位）上年末固定资产金额为</w:t>
      </w:r>
      <w:r>
        <w:rPr>
          <w:rFonts w:hint="eastAsia" w:eastAsia="方正仿宋_GBK"/>
          <w:color w:val="000000"/>
          <w:sz w:val="28"/>
          <w:szCs w:val="28"/>
          <w:lang w:val="en-US" w:eastAsia="zh-CN"/>
        </w:rPr>
        <w:t>9.7299</w:t>
      </w:r>
      <w:r>
        <w:rPr>
          <w:rFonts w:hint="eastAsia" w:eastAsia="方正仿宋_GBK" w:cs="方正仿宋_GBK"/>
          <w:color w:val="000000"/>
          <w:sz w:val="28"/>
          <w:szCs w:val="28"/>
        </w:rPr>
        <w:t>万元（详见下表）。本年度拟购置固定资产总额为</w:t>
      </w:r>
      <w:r>
        <w:rPr>
          <w:rFonts w:hint="eastAsia" w:eastAsia="方正仿宋_GBK"/>
          <w:color w:val="000000"/>
          <w:sz w:val="28"/>
          <w:szCs w:val="28"/>
          <w:lang w:val="en-US" w:eastAsia="zh-CN"/>
        </w:rPr>
        <w:t>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822</w:t>
            </w:r>
            <w:r>
              <w:rPr>
                <w:rFonts w:hint="eastAsia"/>
              </w:rPr>
              <w:t>曹妃甸区政府金融发展服务中心</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cs="Times New Roman"/>
                <w:lang w:eastAsia="zh-CN"/>
              </w:rPr>
            </w:pPr>
            <w:r>
              <w:rPr>
                <w:rFonts w:hint="eastAsia" w:cs="Times New Roman"/>
                <w:lang w:eastAsia="zh-CN"/>
              </w:rPr>
              <w:t>资产总额</w:t>
            </w:r>
          </w:p>
        </w:tc>
        <w:tc>
          <w:tcPr>
            <w:tcW w:w="2835" w:type="dxa"/>
            <w:vAlign w:val="center"/>
          </w:tcPr>
          <w:p>
            <w:pPr>
              <w:pStyle w:val="15"/>
              <w:rPr>
                <w:rFonts w:cs="Times New Roman"/>
              </w:rPr>
            </w:pPr>
          </w:p>
        </w:tc>
        <w:tc>
          <w:tcPr>
            <w:tcW w:w="2835" w:type="dxa"/>
            <w:vAlign w:val="center"/>
          </w:tcPr>
          <w:p>
            <w:pPr>
              <w:pStyle w:val="13"/>
              <w:rPr>
                <w:rFonts w:hint="default" w:eastAsia="方正书宋_GBK" w:cs="Times New Roman"/>
                <w:lang w:val="en-US" w:eastAsia="zh-CN"/>
              </w:rPr>
            </w:pPr>
            <w:r>
              <w:rPr>
                <w:rFonts w:hint="eastAsia" w:cs="Times New Roman"/>
                <w:lang w:val="en-US" w:eastAsia="zh-CN"/>
              </w:rPr>
              <w:t>9.7299</w:t>
            </w: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r>
        <w:rPr>
          <w:rFonts w:eastAsia="方正仿宋_GBK"/>
          <w:color w:val="000000"/>
          <w:sz w:val="32"/>
          <w:szCs w:val="32"/>
        </w:rPr>
        <w:t xml:space="preserve"> </w:t>
      </w:r>
    </w:p>
    <w:p>
      <w:pPr>
        <w:spacing w:before="10" w:after="10"/>
        <w:ind w:firstLine="640"/>
        <w:outlineLvl w:val="2"/>
        <w:rPr>
          <w:rFonts w:hint="eastAsia" w:ascii="黑体" w:hAnsi="黑体" w:eastAsia="黑体" w:cs="黑体"/>
          <w:color w:val="000000"/>
          <w:sz w:val="32"/>
          <w:szCs w:val="32"/>
        </w:rPr>
      </w:pPr>
      <w:bookmarkStart w:id="19" w:name="_Toc_3_3_0000000019"/>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rPr>
          <w:rFonts w:hint="eastAsia" w:ascii="黑体" w:hAnsi="黑体" w:eastAsia="黑体" w:cs="黑体"/>
          <w:color w:val="000000"/>
          <w:sz w:val="32"/>
          <w:szCs w:val="32"/>
        </w:rPr>
      </w:pPr>
    </w:p>
    <w:p>
      <w:pPr>
        <w:spacing w:before="10" w:after="10"/>
        <w:ind w:firstLine="640"/>
        <w:outlineLvl w:val="2"/>
      </w:pPr>
      <w:r>
        <w:rPr>
          <w:rFonts w:hint="eastAsia" w:ascii="黑体" w:hAnsi="黑体" w:eastAsia="黑体" w:cs="黑体"/>
          <w:color w:val="000000"/>
          <w:sz w:val="32"/>
          <w:szCs w:val="32"/>
        </w:rPr>
        <w:t>十、名词解释</w:t>
      </w:r>
      <w:bookmarkEnd w:id="19"/>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hint="eastAsia" w:ascii="黑体" w:hAnsi="黑体" w:eastAsia="黑体" w:cs="黑体"/>
          <w:color w:val="000000"/>
          <w:sz w:val="32"/>
          <w:szCs w:val="32"/>
        </w:rPr>
        <w:t>十一、其他需要说明的事项</w:t>
      </w:r>
      <w:bookmarkEnd w:id="20"/>
    </w:p>
    <w:p>
      <w:pPr>
        <w:spacing w:line="500" w:lineRule="exact"/>
        <w:ind w:firstLine="560"/>
      </w:pPr>
      <w:r>
        <w:rPr>
          <w:rFonts w:hint="eastAsia" w:eastAsia="方正仿宋_GBK" w:cs="方正仿宋_GBK"/>
          <w:color w:val="000000"/>
          <w:sz w:val="28"/>
          <w:szCs w:val="28"/>
        </w:rPr>
        <w:t>我部门无其他需要说明的事项</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7DCEC96F"/>
    <w:multiLevelType w:val="singleLevel"/>
    <w:tmpl w:val="7DCEC9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evenAndOddHeaders w:val="true"/>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39"/>
    <w:rsid w:val="000F3EB7"/>
    <w:rsid w:val="00343FA7"/>
    <w:rsid w:val="0037089F"/>
    <w:rsid w:val="00514273"/>
    <w:rsid w:val="00561A39"/>
    <w:rsid w:val="1B77411E"/>
    <w:rsid w:val="1DF45E0B"/>
    <w:rsid w:val="27790A6B"/>
    <w:rsid w:val="3B7FFE1E"/>
    <w:rsid w:val="3FFFCA36"/>
    <w:rsid w:val="4F3F1025"/>
    <w:rsid w:val="65DCFE60"/>
    <w:rsid w:val="71CB5780"/>
    <w:rsid w:val="73EF8573"/>
    <w:rsid w:val="7F7D1E59"/>
    <w:rsid w:val="7FFFA9D0"/>
    <w:rsid w:val="8CEA2D20"/>
    <w:rsid w:val="A3F7DBE5"/>
    <w:rsid w:val="BDF67220"/>
    <w:rsid w:val="DB7F526B"/>
    <w:rsid w:val="F9F613A3"/>
    <w:rsid w:val="FDF5B043"/>
    <w:rsid w:val="FDFEEB9C"/>
    <w:rsid w:val="FF3D96BB"/>
    <w:rsid w:val="FF7DE22D"/>
    <w:rsid w:val="FFD60693"/>
    <w:rsid w:val="FFF766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2150</Words>
  <Characters>12257</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2024-04-26T00:15:00Z</dcterms:created>
  <dc:creator>user</dc:creator>
  <cp:lastModifiedBy>user</cp:lastModifiedBy>
  <dcterms:modified xsi:type="dcterms:W3CDTF">2024-08-13T16:38:45Z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