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szCs w:val="72"/>
        </w:rPr>
        <w:t xml:space="preserve">  </w:t>
      </w:r>
      <w:r>
        <w:rPr>
          <w:rFonts w:hint="eastAsia" w:ascii="方正小标宋_GBK" w:hAnsi="方正小标宋_GBK" w:eastAsia="方正小标宋_GBK" w:cs="方正小标宋_GBK"/>
          <w:color w:val="000000"/>
          <w:sz w:val="72"/>
          <w:szCs w:val="72"/>
        </w:rPr>
        <w:t>部门所属单位预算</w:t>
      </w:r>
    </w:p>
    <w:p>
      <w:pPr>
        <w:jc w:val="center"/>
        <w:outlineLvl w:val="3"/>
      </w:pPr>
      <w:bookmarkStart w:id="0" w:name="_Toc_4_4_0000000021"/>
      <w:r>
        <w:rPr>
          <w:rFonts w:hint="eastAsia" w:ascii="方正小标宋_GBK" w:hAnsi="方正小标宋_GBK" w:eastAsia="方正小标宋_GBK" w:cs="方正小标宋_GBK"/>
          <w:color w:val="000000"/>
          <w:sz w:val="44"/>
          <w:szCs w:val="44"/>
        </w:rPr>
        <w:t>一、曹妃甸区政府金融发展服务中心本级收支预算</w:t>
      </w:r>
      <w:bookmarkEnd w:id="0"/>
    </w:p>
    <w:p>
      <w:pPr>
        <w:jc w:val="center"/>
        <w:outlineLvl w:val="4"/>
      </w:pPr>
      <w:r>
        <w:rPr>
          <w:rFonts w:hint="eastAsia" w:ascii="方正小标宋_GBK" w:hAnsi="方正小标宋_GBK" w:eastAsia="方正小标宋_GBK" w:cs="方正小标宋_GBK"/>
          <w:color w:val="000000"/>
          <w:sz w:val="36"/>
          <w:szCs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cs="Times New Roman"/>
              </w:rPr>
            </w:pPr>
            <w:r>
              <w:t>822002</w:t>
            </w:r>
            <w:r>
              <w:rPr>
                <w:rFonts w:hint="eastAsia"/>
              </w:rPr>
              <w:t>曹妃甸区政府金融发展服务中心本级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6661" w:type="dxa"/>
            <w:gridSpan w:val="2"/>
            <w:vAlign w:val="center"/>
          </w:tcPr>
          <w:p>
            <w:pPr>
              <w:pStyle w:val="12"/>
              <w:rPr>
                <w:rFonts w:cs="Times New Roman"/>
              </w:rPr>
            </w:pPr>
            <w:r>
              <w:rPr>
                <w:rFonts w:hint="eastAsia"/>
              </w:rPr>
              <w:t>收入</w:t>
            </w:r>
          </w:p>
        </w:tc>
        <w:tc>
          <w:tcPr>
            <w:tcW w:w="6661" w:type="dxa"/>
            <w:gridSpan w:val="2"/>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rPr>
                <w:rFonts w:cs="Times New Roman"/>
              </w:rPr>
            </w:pPr>
            <w:r>
              <w:rPr>
                <w:rFonts w:hint="eastAsia"/>
              </w:rPr>
              <w:t>一、一般公共预算拨款收入</w:t>
            </w:r>
          </w:p>
        </w:tc>
        <w:tc>
          <w:tcPr>
            <w:tcW w:w="2126" w:type="dxa"/>
            <w:vAlign w:val="center"/>
          </w:tcPr>
          <w:p>
            <w:pPr>
              <w:pStyle w:val="13"/>
            </w:pPr>
            <w:r>
              <w:t>51.80</w:t>
            </w:r>
          </w:p>
        </w:tc>
        <w:tc>
          <w:tcPr>
            <w:tcW w:w="4535" w:type="dxa"/>
            <w:vAlign w:val="center"/>
          </w:tcPr>
          <w:p>
            <w:pPr>
              <w:pStyle w:val="14"/>
              <w:rPr>
                <w:rFonts w:cs="Times New Roman"/>
              </w:rPr>
            </w:pPr>
            <w:r>
              <w:rPr>
                <w:rFonts w:hint="eastAsia"/>
              </w:rPr>
              <w:t>一、一般公共服务支出</w:t>
            </w:r>
          </w:p>
        </w:tc>
        <w:tc>
          <w:tcPr>
            <w:tcW w:w="2126" w:type="dxa"/>
            <w:vAlign w:val="center"/>
          </w:tcPr>
          <w:p>
            <w:pPr>
              <w:pStyle w:val="13"/>
            </w:pPr>
            <w: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rPr>
                <w:rFonts w:cs="Times New Roman"/>
              </w:rPr>
            </w:pPr>
            <w:r>
              <w:rPr>
                <w:rFonts w:hint="eastAsia"/>
              </w:rPr>
              <w:t>二、政府性基金预算拨款收入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二、外交支出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rPr>
                <w:rFonts w:cs="Times New Roman"/>
              </w:rPr>
            </w:pPr>
            <w:r>
              <w:rPr>
                <w:rFonts w:hint="eastAsia"/>
              </w:rPr>
              <w:t>三、国有资本经营预算拨款收入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三、国防支出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rPr>
                <w:rFonts w:cs="Times New Roman"/>
              </w:rPr>
            </w:pPr>
            <w:r>
              <w:rPr>
                <w:rFonts w:hint="eastAsia"/>
              </w:rPr>
              <w:t>四、财政专户管理资金收入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四、公共安全支出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rPr>
                <w:rFonts w:cs="Times New Roman"/>
              </w:rPr>
            </w:pPr>
            <w:r>
              <w:rPr>
                <w:rFonts w:hint="eastAsia"/>
              </w:rPr>
              <w:t>五、单位资金</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五、教育支出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六、科学技术支出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七、文化旅游体育与传媒支出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八、社会保障和就业支出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九、社会保险基金支出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十、卫生健康支出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十一、节能环保支出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十二、城乡社区支出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十三、农林水支出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十四、交通运输支出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十五、资源勘探工业信息等支出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十六、商业服务业等支出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十七、金融支出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十八、援助其他地区支出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十九、自然资源海洋气象等支出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二十、住房保障支出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二十一、粮油物资储备支出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二十二、国有资本经营预算支出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二十三、灾害防治及应急管理支出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二十四、预备费</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二十五、其他支出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二十六、转移性支出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二十七、债务还本支出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二十八、债务付息支出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二十九、债务发行费用支出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三十、抗疫特别国债安排的支出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三十一、人行科目</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rPr>
                <w:rFonts w:cs="Times New Roman"/>
              </w:rPr>
            </w:pPr>
            <w:r>
              <w:rPr>
                <w:rFonts w:hint="eastAsia"/>
              </w:rPr>
              <w:t>本年收入合计</w:t>
            </w:r>
          </w:p>
        </w:tc>
        <w:tc>
          <w:tcPr>
            <w:tcW w:w="2126" w:type="dxa"/>
            <w:vAlign w:val="center"/>
          </w:tcPr>
          <w:p>
            <w:pPr>
              <w:pStyle w:val="17"/>
            </w:pPr>
            <w:r>
              <w:t>51.80</w:t>
            </w:r>
          </w:p>
        </w:tc>
        <w:tc>
          <w:tcPr>
            <w:tcW w:w="4535" w:type="dxa"/>
            <w:vAlign w:val="center"/>
          </w:tcPr>
          <w:p>
            <w:pPr>
              <w:pStyle w:val="16"/>
              <w:rPr>
                <w:rFonts w:cs="Times New Roman"/>
              </w:rPr>
            </w:pPr>
            <w:r>
              <w:rPr>
                <w:rFonts w:hint="eastAsia"/>
              </w:rPr>
              <w:t>本年支出合计</w:t>
            </w:r>
          </w:p>
        </w:tc>
        <w:tc>
          <w:tcPr>
            <w:tcW w:w="2126" w:type="dxa"/>
            <w:vAlign w:val="center"/>
          </w:tcPr>
          <w:p>
            <w:pPr>
              <w:pStyle w:val="17"/>
            </w:pPr>
            <w: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rPr>
                <w:rFonts w:cs="Times New Roman"/>
              </w:rPr>
            </w:pPr>
            <w:r>
              <w:rPr>
                <w:rFonts w:hint="eastAsia"/>
              </w:rPr>
              <w:t>上年结转结余</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年终结转结余</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rPr>
                <w:rFonts w:cs="Times New Roman"/>
              </w:rPr>
            </w:pPr>
            <w:r>
              <w:rPr>
                <w:rFonts w:hint="eastAsia"/>
              </w:rPr>
              <w:t>收入总计</w:t>
            </w:r>
          </w:p>
        </w:tc>
        <w:tc>
          <w:tcPr>
            <w:tcW w:w="2126" w:type="dxa"/>
            <w:vAlign w:val="center"/>
          </w:tcPr>
          <w:p>
            <w:pPr>
              <w:pStyle w:val="17"/>
            </w:pPr>
            <w:r>
              <w:t>51.80</w:t>
            </w:r>
          </w:p>
        </w:tc>
        <w:tc>
          <w:tcPr>
            <w:tcW w:w="4535" w:type="dxa"/>
            <w:vAlign w:val="center"/>
          </w:tcPr>
          <w:p>
            <w:pPr>
              <w:pStyle w:val="16"/>
              <w:rPr>
                <w:rFonts w:cs="Times New Roman"/>
              </w:rPr>
            </w:pPr>
            <w:r>
              <w:rPr>
                <w:rFonts w:hint="eastAsia"/>
              </w:rPr>
              <w:t>支出总计</w:t>
            </w:r>
          </w:p>
        </w:tc>
        <w:tc>
          <w:tcPr>
            <w:tcW w:w="2126" w:type="dxa"/>
            <w:vAlign w:val="center"/>
          </w:tcPr>
          <w:p>
            <w:pPr>
              <w:pStyle w:val="17"/>
            </w:pPr>
            <w:r>
              <w:t>51.80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cs="Times New Roman"/>
              </w:rPr>
            </w:pPr>
            <w:r>
              <w:t>822002</w:t>
            </w:r>
            <w:r>
              <w:rPr>
                <w:rFonts w:hint="eastAsia"/>
              </w:rPr>
              <w:t>曹妃甸区政府金融发展服务中心本级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cs="Times New Roman"/>
              </w:rPr>
            </w:pPr>
            <w:r>
              <w:rPr>
                <w:rFonts w:hint="eastAsia"/>
              </w:rPr>
              <w:t>序号</w:t>
            </w:r>
          </w:p>
        </w:tc>
        <w:tc>
          <w:tcPr>
            <w:tcW w:w="2551" w:type="dxa"/>
            <w:gridSpan w:val="2"/>
            <w:vAlign w:val="center"/>
          </w:tcPr>
          <w:p>
            <w:pPr>
              <w:pStyle w:val="12"/>
              <w:rPr>
                <w:rFonts w:cs="Times New Roman"/>
              </w:rPr>
            </w:pPr>
            <w:r>
              <w:rPr>
                <w:rFonts w:hint="eastAsia"/>
              </w:rPr>
              <w:t>功能分类科目</w:t>
            </w:r>
          </w:p>
        </w:tc>
        <w:tc>
          <w:tcPr>
            <w:tcW w:w="1134" w:type="dxa"/>
            <w:vMerge w:val="restart"/>
            <w:vAlign w:val="center"/>
          </w:tcPr>
          <w:p>
            <w:pPr>
              <w:pStyle w:val="12"/>
              <w:rPr>
                <w:rFonts w:cs="Times New Roman"/>
              </w:rPr>
            </w:pPr>
            <w:r>
              <w:rPr>
                <w:rFonts w:hint="eastAsia"/>
              </w:rPr>
              <w:t>合计</w:t>
            </w:r>
          </w:p>
        </w:tc>
        <w:tc>
          <w:tcPr>
            <w:tcW w:w="9071" w:type="dxa"/>
            <w:gridSpan w:val="8"/>
            <w:vAlign w:val="center"/>
          </w:tcPr>
          <w:p>
            <w:pPr>
              <w:pStyle w:val="12"/>
              <w:rPr>
                <w:rFonts w:cs="Times New Roman"/>
              </w:rPr>
            </w:pPr>
            <w:r>
              <w:rPr>
                <w:rFonts w:hint="eastAsia"/>
              </w:rPr>
              <w:t>本年收入</w:t>
            </w:r>
          </w:p>
        </w:tc>
        <w:tc>
          <w:tcPr>
            <w:tcW w:w="1134" w:type="dxa"/>
            <w:vMerge w:val="restart"/>
            <w:vAlign w:val="center"/>
          </w:tcPr>
          <w:p>
            <w:pPr>
              <w:pStyle w:val="12"/>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1559" w:type="dxa"/>
            <w:vAlign w:val="center"/>
          </w:tcPr>
          <w:p>
            <w:pPr>
              <w:pStyle w:val="12"/>
              <w:rPr>
                <w:rFonts w:cs="Times New Roman"/>
              </w:rPr>
            </w:pPr>
            <w:r>
              <w:rPr>
                <w:rFonts w:hint="eastAsia"/>
              </w:rPr>
              <w:t>科目名称</w:t>
            </w:r>
          </w:p>
        </w:tc>
        <w:tc>
          <w:tcPr>
            <w:tcW w:w="1134" w:type="dxa"/>
            <w:vMerge w:val="continue"/>
          </w:tcPr>
          <w:p/>
        </w:tc>
        <w:tc>
          <w:tcPr>
            <w:tcW w:w="1134" w:type="dxa"/>
            <w:vAlign w:val="center"/>
          </w:tcPr>
          <w:p>
            <w:pPr>
              <w:pStyle w:val="12"/>
              <w:rPr>
                <w:rFonts w:cs="Times New Roman"/>
              </w:rPr>
            </w:pPr>
            <w:r>
              <w:rPr>
                <w:rFonts w:hint="eastAsia"/>
              </w:rPr>
              <w:t>小计</w:t>
            </w:r>
          </w:p>
        </w:tc>
        <w:tc>
          <w:tcPr>
            <w:tcW w:w="1134" w:type="dxa"/>
            <w:vAlign w:val="center"/>
          </w:tcPr>
          <w:p>
            <w:pPr>
              <w:pStyle w:val="12"/>
              <w:rPr>
                <w:rFonts w:cs="Times New Roman"/>
              </w:rPr>
            </w:pPr>
            <w:r>
              <w:rPr>
                <w:rFonts w:hint="eastAsia"/>
              </w:rPr>
              <w:t>财政拨款</w:t>
            </w:r>
            <w:r>
              <w:t xml:space="preserve"> </w:t>
            </w:r>
            <w:r>
              <w:rPr>
                <w:rFonts w:hint="eastAsia"/>
              </w:rPr>
              <w:t>收入</w:t>
            </w:r>
          </w:p>
        </w:tc>
        <w:tc>
          <w:tcPr>
            <w:tcW w:w="1134" w:type="dxa"/>
            <w:vAlign w:val="center"/>
          </w:tcPr>
          <w:p>
            <w:pPr>
              <w:pStyle w:val="12"/>
              <w:rPr>
                <w:rFonts w:cs="Times New Roman"/>
              </w:rPr>
            </w:pPr>
            <w:r>
              <w:rPr>
                <w:rFonts w:hint="eastAsia"/>
              </w:rPr>
              <w:t>财政专户</w:t>
            </w:r>
            <w:r>
              <w:t xml:space="preserve"> </w:t>
            </w:r>
            <w:r>
              <w:rPr>
                <w:rFonts w:hint="eastAsia"/>
              </w:rPr>
              <w:t>收入</w:t>
            </w:r>
          </w:p>
        </w:tc>
        <w:tc>
          <w:tcPr>
            <w:tcW w:w="1134" w:type="dxa"/>
            <w:vAlign w:val="center"/>
          </w:tcPr>
          <w:p>
            <w:pPr>
              <w:pStyle w:val="12"/>
              <w:rPr>
                <w:rFonts w:cs="Times New Roman"/>
              </w:rPr>
            </w:pPr>
            <w:r>
              <w:rPr>
                <w:rFonts w:hint="eastAsia"/>
              </w:rPr>
              <w:t>事业收入</w:t>
            </w:r>
          </w:p>
        </w:tc>
        <w:tc>
          <w:tcPr>
            <w:tcW w:w="1134" w:type="dxa"/>
            <w:vAlign w:val="center"/>
          </w:tcPr>
          <w:p>
            <w:pPr>
              <w:pStyle w:val="12"/>
              <w:rPr>
                <w:rFonts w:cs="Times New Roman"/>
              </w:rPr>
            </w:pPr>
            <w:r>
              <w:rPr>
                <w:rFonts w:hint="eastAsia"/>
              </w:rPr>
              <w:t>经营收入</w:t>
            </w:r>
          </w:p>
        </w:tc>
        <w:tc>
          <w:tcPr>
            <w:tcW w:w="1134" w:type="dxa"/>
            <w:vAlign w:val="center"/>
          </w:tcPr>
          <w:p>
            <w:pPr>
              <w:pStyle w:val="12"/>
              <w:rPr>
                <w:rFonts w:cs="Times New Roman"/>
              </w:rPr>
            </w:pPr>
            <w:r>
              <w:rPr>
                <w:rFonts w:hint="eastAsia"/>
              </w:rPr>
              <w:t>上级补助收入</w:t>
            </w:r>
          </w:p>
        </w:tc>
        <w:tc>
          <w:tcPr>
            <w:tcW w:w="1134" w:type="dxa"/>
            <w:vAlign w:val="center"/>
          </w:tcPr>
          <w:p>
            <w:pPr>
              <w:pStyle w:val="12"/>
              <w:rPr>
                <w:rFonts w:cs="Times New Roman"/>
              </w:rPr>
            </w:pPr>
            <w:r>
              <w:rPr>
                <w:rFonts w:hint="eastAsia"/>
              </w:rPr>
              <w:t>附属单位上缴收入</w:t>
            </w:r>
          </w:p>
        </w:tc>
        <w:tc>
          <w:tcPr>
            <w:tcW w:w="1134" w:type="dxa"/>
            <w:vAlign w:val="center"/>
          </w:tcPr>
          <w:p>
            <w:pPr>
              <w:pStyle w:val="12"/>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cs="Times New Roman"/>
              </w:rPr>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rPr>
                <w:rFonts w:cs="Times New Roman"/>
              </w:rPr>
            </w:pPr>
          </w:p>
        </w:tc>
        <w:tc>
          <w:tcPr>
            <w:tcW w:w="1559" w:type="dxa"/>
            <w:vAlign w:val="center"/>
          </w:tcPr>
          <w:p>
            <w:pPr>
              <w:pStyle w:val="16"/>
              <w:rPr>
                <w:rFonts w:cs="Times New Roman"/>
              </w:rPr>
            </w:pPr>
            <w:r>
              <w:rPr>
                <w:rFonts w:hint="eastAsia"/>
              </w:rPr>
              <w:t>合计</w:t>
            </w:r>
          </w:p>
        </w:tc>
        <w:tc>
          <w:tcPr>
            <w:tcW w:w="1134" w:type="dxa"/>
            <w:vAlign w:val="center"/>
          </w:tcPr>
          <w:p>
            <w:pPr>
              <w:pStyle w:val="17"/>
            </w:pPr>
            <w:r>
              <w:t>51.80</w:t>
            </w:r>
          </w:p>
        </w:tc>
        <w:tc>
          <w:tcPr>
            <w:tcW w:w="1134" w:type="dxa"/>
            <w:vAlign w:val="center"/>
          </w:tcPr>
          <w:p>
            <w:pPr>
              <w:pStyle w:val="17"/>
            </w:pPr>
            <w:r>
              <w:t>51.80</w:t>
            </w:r>
          </w:p>
        </w:tc>
        <w:tc>
          <w:tcPr>
            <w:tcW w:w="1134" w:type="dxa"/>
            <w:vAlign w:val="center"/>
          </w:tcPr>
          <w:p>
            <w:pPr>
              <w:pStyle w:val="17"/>
            </w:pPr>
            <w:r>
              <w:t>51.80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rPr>
                <w:rFonts w:cs="Times New Roman"/>
              </w:rPr>
            </w:pPr>
            <w:r>
              <w:rPr>
                <w:rFonts w:hint="eastAsia"/>
              </w:rPr>
              <w:t>一般公共服务支出</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rPr>
                <w:rFonts w:cs="Times New Roman"/>
              </w:rPr>
            </w:pPr>
            <w:r>
              <w:rPr>
                <w:rFonts w:hint="eastAsia"/>
              </w:rPr>
              <w:t>商贸事务</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2011308</w:t>
            </w:r>
          </w:p>
        </w:tc>
        <w:tc>
          <w:tcPr>
            <w:tcW w:w="1559" w:type="dxa"/>
            <w:vAlign w:val="center"/>
          </w:tcPr>
          <w:p>
            <w:pPr>
              <w:pStyle w:val="14"/>
              <w:rPr>
                <w:rFonts w:cs="Times New Roman"/>
              </w:rPr>
            </w:pPr>
            <w:r>
              <w:rPr>
                <w:rFonts w:hint="eastAsia"/>
              </w:rPr>
              <w:t>招商引资</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cs="Times New Roman"/>
              </w:rPr>
            </w:pPr>
            <w:r>
              <w:t>822002</w:t>
            </w:r>
            <w:r>
              <w:rPr>
                <w:rFonts w:hint="eastAsia"/>
              </w:rPr>
              <w:t>曹妃甸区政府金融发展服务中心本级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528" w:type="dxa"/>
            <w:gridSpan w:val="2"/>
            <w:vAlign w:val="center"/>
          </w:tcPr>
          <w:p>
            <w:pPr>
              <w:pStyle w:val="12"/>
              <w:rPr>
                <w:rFonts w:cs="Times New Roman"/>
              </w:rPr>
            </w:pPr>
            <w:r>
              <w:rPr>
                <w:rFonts w:hint="eastAsia"/>
              </w:rPr>
              <w:t>功能分类科目</w:t>
            </w:r>
          </w:p>
        </w:tc>
        <w:tc>
          <w:tcPr>
            <w:tcW w:w="1361" w:type="dxa"/>
            <w:vMerge w:val="restart"/>
            <w:vAlign w:val="center"/>
          </w:tcPr>
          <w:p>
            <w:pPr>
              <w:pStyle w:val="12"/>
              <w:rPr>
                <w:rFonts w:cs="Times New Roman"/>
              </w:rPr>
            </w:pPr>
            <w:r>
              <w:rPr>
                <w:rFonts w:hint="eastAsia"/>
              </w:rPr>
              <w:t>合计</w:t>
            </w:r>
          </w:p>
        </w:tc>
        <w:tc>
          <w:tcPr>
            <w:tcW w:w="1361" w:type="dxa"/>
            <w:vMerge w:val="restart"/>
            <w:vAlign w:val="center"/>
          </w:tcPr>
          <w:p>
            <w:pPr>
              <w:pStyle w:val="12"/>
              <w:rPr>
                <w:rFonts w:cs="Times New Roman"/>
              </w:rPr>
            </w:pPr>
            <w:r>
              <w:rPr>
                <w:rFonts w:hint="eastAsia"/>
              </w:rPr>
              <w:t>基本支出</w:t>
            </w:r>
          </w:p>
        </w:tc>
        <w:tc>
          <w:tcPr>
            <w:tcW w:w="1361" w:type="dxa"/>
            <w:vMerge w:val="restart"/>
            <w:vAlign w:val="center"/>
          </w:tcPr>
          <w:p>
            <w:pPr>
              <w:pStyle w:val="12"/>
              <w:rPr>
                <w:rFonts w:cs="Times New Roman"/>
              </w:rPr>
            </w:pPr>
            <w:r>
              <w:rPr>
                <w:rFonts w:hint="eastAsia"/>
              </w:rPr>
              <w:t>项目支出</w:t>
            </w:r>
          </w:p>
        </w:tc>
        <w:tc>
          <w:tcPr>
            <w:tcW w:w="1361" w:type="dxa"/>
            <w:vMerge w:val="restart"/>
            <w:vAlign w:val="center"/>
          </w:tcPr>
          <w:p>
            <w:pPr>
              <w:pStyle w:val="12"/>
              <w:rPr>
                <w:rFonts w:cs="Times New Roman"/>
              </w:rPr>
            </w:pPr>
            <w:r>
              <w:rPr>
                <w:rFonts w:hint="eastAsia"/>
              </w:rPr>
              <w:t>经营支出</w:t>
            </w:r>
          </w:p>
        </w:tc>
        <w:tc>
          <w:tcPr>
            <w:tcW w:w="1361" w:type="dxa"/>
            <w:vMerge w:val="restart"/>
            <w:vAlign w:val="center"/>
          </w:tcPr>
          <w:p>
            <w:pPr>
              <w:pStyle w:val="12"/>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2"/>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4535" w:type="dxa"/>
            <w:vAlign w:val="center"/>
          </w:tcPr>
          <w:p>
            <w:pPr>
              <w:pStyle w:val="12"/>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1361" w:type="dxa"/>
            <w:vAlign w:val="center"/>
          </w:tcPr>
          <w:p>
            <w:pPr>
              <w:pStyle w:val="17"/>
            </w:pPr>
            <w:r>
              <w:t>51.80</w:t>
            </w:r>
          </w:p>
        </w:tc>
        <w:tc>
          <w:tcPr>
            <w:tcW w:w="1361" w:type="dxa"/>
            <w:vAlign w:val="center"/>
          </w:tcPr>
          <w:p>
            <w:pPr>
              <w:pStyle w:val="17"/>
            </w:pPr>
          </w:p>
        </w:tc>
        <w:tc>
          <w:tcPr>
            <w:tcW w:w="1361" w:type="dxa"/>
            <w:vAlign w:val="center"/>
          </w:tcPr>
          <w:p>
            <w:pPr>
              <w:pStyle w:val="17"/>
            </w:pPr>
            <w:r>
              <w:t>51.80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rPr>
                <w:rFonts w:cs="Times New Roman"/>
              </w:rPr>
            </w:pPr>
            <w:r>
              <w:rPr>
                <w:rFonts w:hint="eastAsia"/>
              </w:rPr>
              <w:t>商贸事务</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2011308</w:t>
            </w:r>
          </w:p>
        </w:tc>
        <w:tc>
          <w:tcPr>
            <w:tcW w:w="4535" w:type="dxa"/>
            <w:vAlign w:val="center"/>
          </w:tcPr>
          <w:p>
            <w:pPr>
              <w:pStyle w:val="14"/>
              <w:rPr>
                <w:rFonts w:cs="Times New Roman"/>
              </w:rPr>
            </w:pPr>
            <w:r>
              <w:rPr>
                <w:rFonts w:hint="eastAsia"/>
              </w:rPr>
              <w:t>招商引资</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cs="Times New Roman"/>
              </w:rPr>
            </w:pPr>
            <w:r>
              <w:t>822002</w:t>
            </w:r>
            <w:r>
              <w:rPr>
                <w:rFonts w:hint="eastAsia"/>
              </w:rPr>
              <w:t>曹妃甸区政府金融发展服务中心本级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4876" w:type="dxa"/>
            <w:gridSpan w:val="2"/>
            <w:vAlign w:val="center"/>
          </w:tcPr>
          <w:p>
            <w:pPr>
              <w:pStyle w:val="12"/>
              <w:rPr>
                <w:rFonts w:cs="Times New Roman"/>
              </w:rPr>
            </w:pPr>
            <w:r>
              <w:rPr>
                <w:rFonts w:hint="eastAsia"/>
              </w:rPr>
              <w:t>收入</w:t>
            </w:r>
          </w:p>
        </w:tc>
        <w:tc>
          <w:tcPr>
            <w:tcW w:w="9298" w:type="dxa"/>
            <w:gridSpan w:val="5"/>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金额</w:t>
            </w: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合计</w:t>
            </w:r>
          </w:p>
        </w:tc>
        <w:tc>
          <w:tcPr>
            <w:tcW w:w="1474" w:type="dxa"/>
            <w:vAlign w:val="center"/>
          </w:tcPr>
          <w:p>
            <w:pPr>
              <w:pStyle w:val="12"/>
              <w:rPr>
                <w:rFonts w:cs="Times New Roman"/>
              </w:rPr>
            </w:pPr>
            <w:r>
              <w:rPr>
                <w:rFonts w:hint="eastAsia"/>
              </w:rPr>
              <w:t>一般公共预算财政拨款</w:t>
            </w:r>
          </w:p>
        </w:tc>
        <w:tc>
          <w:tcPr>
            <w:tcW w:w="1474" w:type="dxa"/>
            <w:vAlign w:val="center"/>
          </w:tcPr>
          <w:p>
            <w:pPr>
              <w:pStyle w:val="12"/>
              <w:rPr>
                <w:rFonts w:cs="Times New Roman"/>
              </w:rPr>
            </w:pPr>
            <w:r>
              <w:rPr>
                <w:rFonts w:hint="eastAsia"/>
              </w:rPr>
              <w:t>政府性基金预算财政</w:t>
            </w:r>
            <w:r>
              <w:t xml:space="preserve">    </w:t>
            </w:r>
            <w:r>
              <w:rPr>
                <w:rFonts w:hint="eastAsia"/>
              </w:rPr>
              <w:t>拨款</w:t>
            </w:r>
          </w:p>
        </w:tc>
        <w:tc>
          <w:tcPr>
            <w:tcW w:w="1474" w:type="dxa"/>
            <w:vAlign w:val="center"/>
          </w:tcPr>
          <w:p>
            <w:pPr>
              <w:pStyle w:val="12"/>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pPr>
            <w:r>
              <w:t>51.80</w:t>
            </w:r>
          </w:p>
        </w:tc>
        <w:tc>
          <w:tcPr>
            <w:tcW w:w="3402" w:type="dxa"/>
            <w:vAlign w:val="center"/>
          </w:tcPr>
          <w:p>
            <w:pPr>
              <w:pStyle w:val="14"/>
              <w:rPr>
                <w:rFonts w:cs="Times New Roman"/>
              </w:rPr>
            </w:pPr>
            <w:r>
              <w:rPr>
                <w:rFonts w:hint="eastAsia"/>
              </w:rPr>
              <w:t>一、一般公共服务支出</w:t>
            </w:r>
          </w:p>
        </w:tc>
        <w:tc>
          <w:tcPr>
            <w:tcW w:w="1474" w:type="dxa"/>
            <w:vAlign w:val="center"/>
          </w:tcPr>
          <w:p>
            <w:pPr>
              <w:pStyle w:val="13"/>
            </w:pPr>
            <w:r>
              <w:t>51.80</w:t>
            </w:r>
          </w:p>
        </w:tc>
        <w:tc>
          <w:tcPr>
            <w:tcW w:w="1474" w:type="dxa"/>
            <w:vAlign w:val="center"/>
          </w:tcPr>
          <w:p>
            <w:pPr>
              <w:pStyle w:val="13"/>
            </w:pPr>
            <w:r>
              <w:t>51.80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二、外交支出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三、国防支出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四、公共安全支出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五、教育支出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六、科学技术支出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七、文化旅游体育与传媒支出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八、社会保障和就业支出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九、社会保险基金支出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十、卫生健康支出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十一、节能环保支出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十二、城乡社区支出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十三、农林水支出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十四、交通运输支出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十五、资源勘探工业信息等支出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十六、商业服务业等支出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十七、金融支出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十八、援助其他地区支出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十九、自然资源海洋气象等支出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二十、住房保障支出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二十一、粮油物资储备支出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二十二、国有资本经营预算支出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二十三、灾害防治及应急管理支出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二十四、预备费</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二十五、其他支出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二十六、转移性支出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二十七、债务还本支出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二十八、债务付息支出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二十九、债务发行费用支出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三十、抗疫特别国债安排的支出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三十一、人行科目</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rPr>
                <w:rFonts w:cs="Times New Roman"/>
              </w:rPr>
            </w:pPr>
            <w:r>
              <w:rPr>
                <w:rFonts w:hint="eastAsia"/>
              </w:rPr>
              <w:t>本年收入合计</w:t>
            </w:r>
          </w:p>
        </w:tc>
        <w:tc>
          <w:tcPr>
            <w:tcW w:w="1474" w:type="dxa"/>
            <w:vAlign w:val="center"/>
          </w:tcPr>
          <w:p>
            <w:pPr>
              <w:pStyle w:val="17"/>
            </w:pPr>
            <w:r>
              <w:t>51.80</w:t>
            </w:r>
          </w:p>
        </w:tc>
        <w:tc>
          <w:tcPr>
            <w:tcW w:w="3402" w:type="dxa"/>
            <w:vAlign w:val="center"/>
          </w:tcPr>
          <w:p>
            <w:pPr>
              <w:pStyle w:val="16"/>
              <w:rPr>
                <w:rFonts w:cs="Times New Roman"/>
              </w:rPr>
            </w:pPr>
            <w:r>
              <w:rPr>
                <w:rFonts w:hint="eastAsia"/>
              </w:rPr>
              <w:t>本年支出合计</w:t>
            </w:r>
          </w:p>
        </w:tc>
        <w:tc>
          <w:tcPr>
            <w:tcW w:w="1474" w:type="dxa"/>
            <w:vAlign w:val="center"/>
          </w:tcPr>
          <w:p>
            <w:pPr>
              <w:pStyle w:val="17"/>
            </w:pPr>
            <w:r>
              <w:t>51.80</w:t>
            </w:r>
          </w:p>
        </w:tc>
        <w:tc>
          <w:tcPr>
            <w:tcW w:w="1474" w:type="dxa"/>
            <w:vAlign w:val="center"/>
          </w:tcPr>
          <w:p>
            <w:pPr>
              <w:pStyle w:val="17"/>
            </w:pPr>
            <w:r>
              <w:t>51.80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rPr>
                <w:rFonts w:cs="Times New Roman"/>
              </w:rPr>
            </w:pPr>
            <w:r>
              <w:rPr>
                <w:rFonts w:hint="eastAsia"/>
              </w:rPr>
              <w:t>年初财政拨款结转和结余</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年末财政拨款结转和结余</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rPr>
                <w:rFonts w:cs="Times New Roman"/>
              </w:rPr>
            </w:pPr>
            <w:r>
              <w:rPr>
                <w:rFonts w:hint="eastAsia"/>
              </w:rPr>
              <w:t>收入总计</w:t>
            </w:r>
          </w:p>
        </w:tc>
        <w:tc>
          <w:tcPr>
            <w:tcW w:w="1474" w:type="dxa"/>
            <w:vAlign w:val="center"/>
          </w:tcPr>
          <w:p>
            <w:pPr>
              <w:pStyle w:val="17"/>
            </w:pPr>
            <w:r>
              <w:t>51.80</w:t>
            </w:r>
          </w:p>
        </w:tc>
        <w:tc>
          <w:tcPr>
            <w:tcW w:w="3402" w:type="dxa"/>
            <w:vAlign w:val="center"/>
          </w:tcPr>
          <w:p>
            <w:pPr>
              <w:pStyle w:val="16"/>
              <w:rPr>
                <w:rFonts w:cs="Times New Roman"/>
              </w:rPr>
            </w:pPr>
            <w:r>
              <w:rPr>
                <w:rFonts w:hint="eastAsia"/>
              </w:rPr>
              <w:t>支出总计</w:t>
            </w:r>
          </w:p>
        </w:tc>
        <w:tc>
          <w:tcPr>
            <w:tcW w:w="1474" w:type="dxa"/>
            <w:vAlign w:val="center"/>
          </w:tcPr>
          <w:p>
            <w:pPr>
              <w:pStyle w:val="17"/>
            </w:pPr>
            <w:r>
              <w:t>51.80</w:t>
            </w:r>
          </w:p>
        </w:tc>
        <w:tc>
          <w:tcPr>
            <w:tcW w:w="1474" w:type="dxa"/>
            <w:vAlign w:val="center"/>
          </w:tcPr>
          <w:p>
            <w:pPr>
              <w:pStyle w:val="17"/>
            </w:pPr>
            <w:r>
              <w:t>51.80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822002</w:t>
            </w:r>
            <w:r>
              <w:rPr>
                <w:rFonts w:hint="eastAsia"/>
              </w:rPr>
              <w:t>曹妃甸区政府金融发展服务中心本级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51.80</w:t>
            </w:r>
          </w:p>
        </w:tc>
        <w:tc>
          <w:tcPr>
            <w:tcW w:w="2551" w:type="dxa"/>
            <w:vAlign w:val="center"/>
          </w:tcPr>
          <w:p>
            <w:pPr>
              <w:pStyle w:val="17"/>
            </w:pPr>
          </w:p>
        </w:tc>
        <w:tc>
          <w:tcPr>
            <w:tcW w:w="2551" w:type="dxa"/>
            <w:vAlign w:val="center"/>
          </w:tcPr>
          <w:p>
            <w:pPr>
              <w:pStyle w:val="17"/>
            </w:pPr>
            <w: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rPr>
                <w:rFonts w:cs="Times New Roman"/>
              </w:rPr>
            </w:pPr>
            <w:r>
              <w:rPr>
                <w:rFonts w:hint="eastAsia"/>
              </w:rPr>
              <w:t>商贸事务</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2011308</w:t>
            </w:r>
          </w:p>
        </w:tc>
        <w:tc>
          <w:tcPr>
            <w:tcW w:w="4535" w:type="dxa"/>
            <w:vAlign w:val="center"/>
          </w:tcPr>
          <w:p>
            <w:pPr>
              <w:pStyle w:val="14"/>
              <w:rPr>
                <w:rFonts w:cs="Times New Roman"/>
              </w:rPr>
            </w:pPr>
            <w:r>
              <w:rPr>
                <w:rFonts w:hint="eastAsia"/>
              </w:rPr>
              <w:t>招商引资</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822002</w:t>
            </w:r>
            <w:r>
              <w:rPr>
                <w:rFonts w:hint="eastAsia"/>
              </w:rPr>
              <w:t>曹妃甸区政府金融发展服务中心本级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支出部门经济分类科目</w:t>
            </w:r>
          </w:p>
        </w:tc>
        <w:tc>
          <w:tcPr>
            <w:tcW w:w="7654" w:type="dxa"/>
            <w:gridSpan w:val="3"/>
            <w:vAlign w:val="center"/>
          </w:tcPr>
          <w:p>
            <w:pPr>
              <w:pStyle w:val="12"/>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Align w:val="center"/>
          </w:tcPr>
          <w:p>
            <w:pPr>
              <w:pStyle w:val="12"/>
              <w:rPr>
                <w:rFonts w:cs="Times New Roman"/>
              </w:rPr>
            </w:pPr>
            <w:r>
              <w:rPr>
                <w:rFonts w:hint="eastAsia"/>
              </w:rPr>
              <w:t>合计</w:t>
            </w:r>
          </w:p>
        </w:tc>
        <w:tc>
          <w:tcPr>
            <w:tcW w:w="2551" w:type="dxa"/>
            <w:vAlign w:val="center"/>
          </w:tcPr>
          <w:p>
            <w:pPr>
              <w:pStyle w:val="12"/>
              <w:rPr>
                <w:rFonts w:cs="Times New Roman"/>
              </w:rPr>
            </w:pPr>
            <w:r>
              <w:rPr>
                <w:rFonts w:hint="eastAsia"/>
              </w:rPr>
              <w:t>人员经费</w:t>
            </w:r>
          </w:p>
        </w:tc>
        <w:tc>
          <w:tcPr>
            <w:tcW w:w="2551" w:type="dxa"/>
            <w:vAlign w:val="center"/>
          </w:tcPr>
          <w:p>
            <w:pPr>
              <w:pStyle w:val="12"/>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szCs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822002</w:t>
            </w:r>
            <w:r>
              <w:rPr>
                <w:rFonts w:hint="eastAsia"/>
              </w:rPr>
              <w:t>曹妃甸区政府金融发展服务中心本级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822002</w:t>
            </w:r>
            <w:r>
              <w:rPr>
                <w:rFonts w:hint="eastAsia"/>
              </w:rPr>
              <w:t>曹妃甸区政府金融发展服务中心本级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cs="Times New Roman"/>
              </w:rPr>
            </w:pPr>
            <w:r>
              <w:t>822002</w:t>
            </w:r>
            <w:r>
              <w:rPr>
                <w:rFonts w:hint="eastAsia"/>
              </w:rPr>
              <w:t>曹妃甸区政府金融发展服务中心本级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3798" w:type="dxa"/>
            <w:vMerge w:val="restart"/>
            <w:vAlign w:val="center"/>
          </w:tcPr>
          <w:p>
            <w:pPr>
              <w:pStyle w:val="12"/>
              <w:rPr>
                <w:rFonts w:cs="Times New Roman"/>
              </w:rPr>
            </w:pPr>
            <w:r>
              <w:rPr>
                <w:rFonts w:hint="eastAsia"/>
              </w:rPr>
              <w:t>项</w:t>
            </w:r>
            <w:r>
              <w:t xml:space="preserve">  </w:t>
            </w:r>
            <w:r>
              <w:rPr>
                <w:rFonts w:hint="eastAsia"/>
              </w:rPr>
              <w:t>目</w:t>
            </w:r>
          </w:p>
        </w:tc>
        <w:tc>
          <w:tcPr>
            <w:tcW w:w="9524" w:type="dxa"/>
            <w:gridSpan w:val="4"/>
            <w:vAlign w:val="center"/>
          </w:tcPr>
          <w:p>
            <w:pPr>
              <w:pStyle w:val="12"/>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rPr>
                <w:rFonts w:cs="Times New Roman"/>
              </w:rPr>
            </w:pPr>
            <w:r>
              <w:rPr>
                <w:rFonts w:hint="eastAsia"/>
              </w:rPr>
              <w:t>合计</w:t>
            </w:r>
          </w:p>
        </w:tc>
        <w:tc>
          <w:tcPr>
            <w:tcW w:w="2381" w:type="dxa"/>
            <w:vAlign w:val="center"/>
          </w:tcPr>
          <w:p>
            <w:pPr>
              <w:pStyle w:val="12"/>
              <w:rPr>
                <w:rFonts w:cs="Times New Roman"/>
              </w:rPr>
            </w:pPr>
            <w:r>
              <w:rPr>
                <w:rFonts w:hint="eastAsia"/>
              </w:rPr>
              <w:t>一般公共预算</w:t>
            </w:r>
            <w:r>
              <w:t xml:space="preserve">              </w:t>
            </w:r>
            <w:r>
              <w:rPr>
                <w:rFonts w:hint="eastAsia"/>
              </w:rPr>
              <w:t>财政拨款</w:t>
            </w:r>
          </w:p>
        </w:tc>
        <w:tc>
          <w:tcPr>
            <w:tcW w:w="2381" w:type="dxa"/>
            <w:vAlign w:val="center"/>
          </w:tcPr>
          <w:p>
            <w:pPr>
              <w:pStyle w:val="12"/>
              <w:rPr>
                <w:rFonts w:cs="Times New Roman"/>
              </w:rPr>
            </w:pPr>
            <w:r>
              <w:rPr>
                <w:rFonts w:hint="eastAsia"/>
              </w:rPr>
              <w:t>政府性基金</w:t>
            </w:r>
            <w:r>
              <w:t xml:space="preserve">                  </w:t>
            </w:r>
            <w:r>
              <w:rPr>
                <w:rFonts w:hint="eastAsia"/>
              </w:rPr>
              <w:t>预算拨款</w:t>
            </w:r>
          </w:p>
        </w:tc>
        <w:tc>
          <w:tcPr>
            <w:tcW w:w="2381" w:type="dxa"/>
            <w:vAlign w:val="center"/>
          </w:tcPr>
          <w:p>
            <w:pPr>
              <w:pStyle w:val="12"/>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cs="Times New Roman"/>
              </w:rPr>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rPr>
                <w:rFonts w:cs="Times New Roman"/>
              </w:rPr>
            </w:pPr>
            <w:r>
              <w:rPr>
                <w:rFonts w:hint="eastAsia"/>
              </w:rPr>
              <w:t>合计</w:t>
            </w:r>
          </w:p>
        </w:tc>
        <w:tc>
          <w:tcPr>
            <w:tcW w:w="2381" w:type="dxa"/>
            <w:vAlign w:val="center"/>
          </w:tcPr>
          <w:p>
            <w:pPr>
              <w:pStyle w:val="17"/>
              <w:rPr>
                <w:rFonts w:cs="Times New Roman"/>
              </w:rPr>
            </w:pPr>
          </w:p>
        </w:tc>
        <w:tc>
          <w:tcPr>
            <w:tcW w:w="2381" w:type="dxa"/>
            <w:vAlign w:val="center"/>
          </w:tcPr>
          <w:p>
            <w:pPr>
              <w:pStyle w:val="17"/>
              <w:rPr>
                <w:rFonts w:cs="Times New Roman"/>
              </w:rPr>
            </w:pPr>
          </w:p>
        </w:tc>
        <w:tc>
          <w:tcPr>
            <w:tcW w:w="2381" w:type="dxa"/>
            <w:vAlign w:val="center"/>
          </w:tcPr>
          <w:p>
            <w:pPr>
              <w:pStyle w:val="17"/>
              <w:rPr>
                <w:rFonts w:cs="Times New Roman"/>
              </w:rPr>
            </w:pPr>
          </w:p>
        </w:tc>
        <w:tc>
          <w:tcPr>
            <w:tcW w:w="2381" w:type="dxa"/>
            <w:vAlign w:val="center"/>
          </w:tcPr>
          <w:p>
            <w:pPr>
              <w:pStyle w:val="17"/>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rPr>
                <w:rFonts w:cs="Times New Roman"/>
              </w:rPr>
            </w:pPr>
            <w:r>
              <w:rPr>
                <w:rFonts w:hint="eastAsia"/>
              </w:rPr>
              <w:t>“三公”经费小计</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rPr>
                <w:rFonts w:cs="Times New Roman"/>
              </w:rPr>
            </w:pPr>
            <w:r>
              <w:rPr>
                <w:rFonts w:hint="eastAsia"/>
              </w:rPr>
              <w:t>一、因公出国（境）费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rPr>
                <w:rFonts w:cs="Times New Roman"/>
              </w:rPr>
            </w:pPr>
            <w:r>
              <w:t xml:space="preserve">    </w:t>
            </w:r>
            <w:r>
              <w:rPr>
                <w:rFonts w:hint="eastAsia"/>
              </w:rPr>
              <w:t>其中：教学科研人员因公出国（境）费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rPr>
                <w:rFonts w:cs="Times New Roman"/>
              </w:rPr>
            </w:pPr>
            <w:r>
              <w:t xml:space="preserve">          </w:t>
            </w:r>
            <w:r>
              <w:rPr>
                <w:rFonts w:hint="eastAsia"/>
              </w:rPr>
              <w:t>其他因公出国（境）费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rPr>
                <w:rFonts w:cs="Times New Roman"/>
              </w:rPr>
            </w:pPr>
            <w:r>
              <w:rPr>
                <w:rFonts w:hint="eastAsia"/>
              </w:rPr>
              <w:t>二、公务用车购置及运维费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rPr>
                <w:rFonts w:cs="Times New Roman"/>
              </w:rPr>
            </w:pPr>
            <w:r>
              <w:t xml:space="preserve">    </w:t>
            </w:r>
            <w:r>
              <w:rPr>
                <w:rFonts w:hint="eastAsia"/>
              </w:rPr>
              <w:t>其中：公务用车购置费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rPr>
                <w:rFonts w:cs="Times New Roman"/>
              </w:rPr>
            </w:pPr>
            <w:r>
              <w:t xml:space="preserve">          </w:t>
            </w:r>
            <w:r>
              <w:rPr>
                <w:rFonts w:hint="eastAsia"/>
              </w:rPr>
              <w:t>公务用车运行维护费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rPr>
                <w:rFonts w:cs="Times New Roman"/>
              </w:rPr>
            </w:pPr>
            <w:r>
              <w:rPr>
                <w:rFonts w:hint="eastAsia"/>
              </w:rPr>
              <w:t>三、公务接待费</w:t>
            </w:r>
          </w:p>
        </w:tc>
        <w:tc>
          <w:tcPr>
            <w:tcW w:w="2381" w:type="dxa"/>
            <w:vAlign w:val="center"/>
          </w:tcPr>
          <w:p>
            <w:pPr>
              <w:pStyle w:val="13"/>
            </w:pPr>
            <w:r>
              <w:t>0.20</w:t>
            </w:r>
          </w:p>
        </w:tc>
        <w:tc>
          <w:tcPr>
            <w:tcW w:w="2381" w:type="dxa"/>
            <w:vAlign w:val="center"/>
          </w:tcPr>
          <w:p>
            <w:pPr>
              <w:pStyle w:val="13"/>
            </w:pPr>
            <w:r>
              <w:t>0.20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_GBK" w:hAnsi="方正小标宋_GBK" w:eastAsia="方正小标宋_GBK" w:cs="方正小标宋_GBK"/>
          <w:color w:val="000000"/>
          <w:sz w:val="44"/>
          <w:szCs w:val="44"/>
        </w:rPr>
      </w:pPr>
    </w:p>
    <w:p>
      <w:pPr>
        <w:jc w:val="center"/>
        <w:outlineLvl w:val="4"/>
      </w:pPr>
      <w:r>
        <w:rPr>
          <w:rFonts w:hint="eastAsia" w:ascii="方正小标宋_GBK" w:hAnsi="方正小标宋_GBK" w:eastAsia="方正小标宋_GBK" w:cs="方正小标宋_GBK"/>
          <w:color w:val="000000"/>
          <w:sz w:val="44"/>
          <w:szCs w:val="44"/>
        </w:rPr>
        <w:t>曹妃甸区政府金融发展服务中心本级</w:t>
      </w:r>
      <w:r>
        <w:rPr>
          <w:rFonts w:ascii="方正小标宋_GBK" w:hAnsi="方正小标宋_GBK" w:eastAsia="方正小标宋_GBK" w:cs="方正小标宋_GBK"/>
          <w:color w:val="000000"/>
          <w:sz w:val="44"/>
          <w:szCs w:val="44"/>
        </w:rPr>
        <w:t>2024</w:t>
      </w:r>
      <w:r>
        <w:rPr>
          <w:rFonts w:hint="eastAsia" w:ascii="方正小标宋_GBK" w:hAnsi="方正小标宋_GBK" w:eastAsia="方正小标宋_GBK" w:cs="方正小标宋_GBK"/>
          <w:color w:val="000000"/>
          <w:sz w:val="44"/>
          <w:szCs w:val="44"/>
        </w:rPr>
        <w:t>年单位预算信息公开情况说明</w:t>
      </w:r>
    </w:p>
    <w:p>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按照《中华人民共和国预算法》、《地方预决算公开操作规程》和《关于进一步推进预算公开工作的实施意见》规定，现将曹妃甸区政府金融发展服务中心本级</w:t>
      </w:r>
      <w:r>
        <w:rPr>
          <w:rFonts w:eastAsia="方正仿宋_GBK"/>
          <w:color w:val="000000"/>
          <w:sz w:val="28"/>
          <w:szCs w:val="28"/>
        </w:rPr>
        <w:t>2024</w:t>
      </w:r>
      <w:r>
        <w:rPr>
          <w:rFonts w:hint="eastAsia" w:eastAsia="方正仿宋_GBK" w:cs="方正仿宋_GBK"/>
          <w:color w:val="000000"/>
          <w:sz w:val="28"/>
          <w:szCs w:val="28"/>
        </w:rPr>
        <w:t>年单位预算公开如下：</w:t>
      </w:r>
    </w:p>
    <w:p>
      <w:pPr>
        <w:numPr>
          <w:ilvl w:val="0"/>
          <w:numId w:val="1"/>
        </w:numPr>
        <w:spacing w:before="10" w:after="10"/>
        <w:ind w:firstLine="640"/>
        <w:outlineLvl w:val="5"/>
        <w:rPr>
          <w:rFonts w:hint="eastAsia" w:ascii="黑体" w:hAnsi="黑体" w:eastAsia="黑体" w:cs="黑体"/>
          <w:color w:val="000000"/>
          <w:sz w:val="32"/>
          <w:szCs w:val="32"/>
        </w:rPr>
      </w:pPr>
      <w:r>
        <w:rPr>
          <w:rFonts w:hint="eastAsia" w:ascii="黑体" w:hAnsi="黑体" w:eastAsia="黑体" w:cs="黑体"/>
          <w:color w:val="000000"/>
          <w:sz w:val="32"/>
          <w:szCs w:val="32"/>
        </w:rPr>
        <w:t>单位职责及机构设置情况</w:t>
      </w:r>
    </w:p>
    <w:p>
      <w:pPr>
        <w:spacing w:line="500" w:lineRule="exact"/>
        <w:ind w:firstLine="642" w:firstLineChars="200"/>
      </w:pPr>
      <w:r>
        <w:rPr>
          <w:rFonts w:hint="eastAsia" w:ascii="方正楷体_GBK" w:hAnsi="方正楷体_GBK" w:eastAsia="方正楷体_GBK" w:cs="方正楷体_GBK"/>
          <w:b/>
          <w:bCs/>
          <w:color w:val="000000"/>
          <w:sz w:val="32"/>
          <w:szCs w:val="32"/>
        </w:rPr>
        <w:t>部门职责：</w:t>
      </w:r>
      <w:r>
        <w:rPr>
          <w:rFonts w:ascii="Times New Roman" w:hAnsi="Times New Roman" w:eastAsia="仿宋" w:cs="Times New Roman"/>
          <w:sz w:val="32"/>
          <w:szCs w:val="32"/>
        </w:rPr>
        <w:t xml:space="preserve">正确贯彻执行国家、省、市金融政策、法律法规 协调推动区属企业融资、协调域外金融机构加快入驻我区；培育指导区内企业上市融资；协助监管部门依法打击非法集资、非法证券、非法保险；负责全区小额贷款公司的监督管理；区政府交办的其他事项。 </w:t>
      </w:r>
    </w:p>
    <w:p>
      <w:pPr>
        <w:spacing w:line="500" w:lineRule="exact"/>
        <w:ind w:firstLine="642" w:firstLineChars="200"/>
        <w:rPr>
          <w:rFonts w:ascii="Times New Roman" w:hAnsi="Times New Roman" w:eastAsia="仿宋" w:cs="Times New Roman"/>
          <w:sz w:val="32"/>
          <w:szCs w:val="32"/>
        </w:rPr>
      </w:pPr>
      <w:r>
        <w:rPr>
          <w:rFonts w:hint="eastAsia" w:ascii="方正楷体_GBK" w:hAnsi="方正楷体_GBK" w:eastAsia="方正楷体_GBK" w:cs="方正楷体_GBK"/>
          <w:b/>
          <w:bCs/>
          <w:color w:val="000000"/>
          <w:sz w:val="32"/>
          <w:szCs w:val="32"/>
        </w:rPr>
        <w:t>机构设置：</w:t>
      </w:r>
      <w:r>
        <w:rPr>
          <w:rFonts w:ascii="Times New Roman" w:hAnsi="Times New Roman" w:eastAsia="仿宋" w:cs="Times New Roman"/>
          <w:sz w:val="32"/>
          <w:szCs w:val="32"/>
        </w:rPr>
        <w:t>根据唐机编字【2015】25号文件《唐山市机构编制委员会&lt;关于调整中日唐山曹妃甸生态工业园等3个园区和6个经济功能区管理体制及有关事业单位调整的批复&gt;》文件精神，唐山市曹妃甸区人民政府办公室增设唐山市曹妃甸区政府金融发展服务中心：</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我中心内设2个职能科室：（1）综合处（2）金融合作处</w:t>
      </w:r>
    </w:p>
    <w:p>
      <w:pPr>
        <w:numPr>
          <w:ilvl w:val="0"/>
          <w:numId w:val="0"/>
        </w:numPr>
        <w:spacing w:before="10" w:after="10"/>
        <w:outlineLvl w:val="5"/>
        <w:rPr>
          <w:rFonts w:hint="eastAsia" w:ascii="黑体" w:hAnsi="黑体" w:eastAsia="黑体" w:cs="黑体"/>
          <w:color w:val="000000"/>
          <w:sz w:val="32"/>
          <w:szCs w:val="32"/>
        </w:rPr>
      </w:pPr>
    </w:p>
    <w:p>
      <w:pPr>
        <w:jc w:val="center"/>
      </w:pPr>
      <w:r>
        <w:rPr>
          <w:rFonts w:hint="eastAsia" w:ascii="方正小标宋_GBK" w:hAnsi="方正小标宋_GBK" w:eastAsia="方正小标宋_GBK" w:cs="方正小标宋_GBK"/>
          <w:color w:val="000000"/>
          <w:sz w:val="32"/>
          <w:szCs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rFonts w:cs="Times New Roman"/>
              </w:rPr>
            </w:pPr>
            <w:r>
              <w:rPr>
                <w:rFonts w:hint="eastAsia"/>
              </w:rPr>
              <w:t>单位名称</w:t>
            </w:r>
          </w:p>
        </w:tc>
        <w:tc>
          <w:tcPr>
            <w:tcW w:w="1843" w:type="dxa"/>
            <w:vAlign w:val="center"/>
          </w:tcPr>
          <w:p>
            <w:pPr>
              <w:pStyle w:val="12"/>
              <w:rPr>
                <w:rFonts w:cs="Times New Roman"/>
              </w:rPr>
            </w:pPr>
            <w:r>
              <w:rPr>
                <w:rFonts w:hint="eastAsia"/>
              </w:rPr>
              <w:t>单位性质</w:t>
            </w:r>
          </w:p>
        </w:tc>
        <w:tc>
          <w:tcPr>
            <w:tcW w:w="2126" w:type="dxa"/>
            <w:vAlign w:val="center"/>
          </w:tcPr>
          <w:p>
            <w:pPr>
              <w:pStyle w:val="12"/>
              <w:rPr>
                <w:rFonts w:cs="Times New Roman"/>
              </w:rPr>
            </w:pPr>
            <w:r>
              <w:rPr>
                <w:rFonts w:hint="eastAsia"/>
              </w:rPr>
              <w:t>单位规格</w:t>
            </w:r>
          </w:p>
        </w:tc>
        <w:tc>
          <w:tcPr>
            <w:tcW w:w="3827" w:type="dxa"/>
            <w:vAlign w:val="center"/>
          </w:tcPr>
          <w:p>
            <w:pPr>
              <w:pStyle w:val="12"/>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cs="Times New Roman"/>
              </w:rPr>
            </w:pPr>
            <w:r>
              <w:rPr>
                <w:rFonts w:hint="eastAsia"/>
              </w:rPr>
              <w:t>曹妃甸区政府金融发展服务中心本级</w:t>
            </w:r>
          </w:p>
        </w:tc>
        <w:tc>
          <w:tcPr>
            <w:tcW w:w="1843" w:type="dxa"/>
            <w:vAlign w:val="center"/>
          </w:tcPr>
          <w:p>
            <w:pPr>
              <w:pStyle w:val="15"/>
              <w:rPr>
                <w:rFonts w:cs="Times New Roman"/>
              </w:rPr>
            </w:pPr>
            <w:r>
              <w:rPr>
                <w:rFonts w:hint="eastAsia"/>
              </w:rPr>
              <w:t>事业</w:t>
            </w:r>
          </w:p>
        </w:tc>
        <w:tc>
          <w:tcPr>
            <w:tcW w:w="2126" w:type="dxa"/>
            <w:vAlign w:val="center"/>
          </w:tcPr>
          <w:p>
            <w:pPr>
              <w:pStyle w:val="15"/>
              <w:rPr>
                <w:rFonts w:cs="Times New Roman"/>
              </w:rPr>
            </w:pPr>
            <w:r>
              <w:rPr>
                <w:rFonts w:hint="eastAsia"/>
              </w:rPr>
              <w:t>副科级</w:t>
            </w:r>
          </w:p>
        </w:tc>
        <w:tc>
          <w:tcPr>
            <w:tcW w:w="3827" w:type="dxa"/>
            <w:vAlign w:val="center"/>
          </w:tcPr>
          <w:p>
            <w:pPr>
              <w:pStyle w:val="15"/>
              <w:rPr>
                <w:rFonts w:cs="Times New Roman"/>
              </w:rPr>
            </w:pPr>
            <w:r>
              <w:rPr>
                <w:rFonts w:hint="eastAsia"/>
              </w:rPr>
              <w:t>财政性资金基本保证</w:t>
            </w:r>
          </w:p>
        </w:tc>
      </w:tr>
    </w:tbl>
    <w:p>
      <w:pPr>
        <w:spacing w:before="10" w:after="10"/>
        <w:ind w:firstLine="640"/>
        <w:outlineLvl w:val="5"/>
        <w:rPr>
          <w:rFonts w:hint="eastAsia" w:ascii="黑体" w:hAnsi="黑体" w:eastAsia="黑体" w:cs="黑体"/>
          <w:color w:val="000000"/>
          <w:sz w:val="32"/>
          <w:szCs w:val="32"/>
        </w:rPr>
      </w:pPr>
    </w:p>
    <w:p>
      <w:pPr>
        <w:spacing w:before="10" w:after="10"/>
        <w:ind w:firstLine="640"/>
        <w:outlineLvl w:val="5"/>
      </w:pPr>
      <w:r>
        <w:rPr>
          <w:rFonts w:hint="eastAsia" w:ascii="黑体" w:hAnsi="黑体" w:eastAsia="黑体" w:cs="黑体"/>
          <w:color w:val="000000"/>
          <w:sz w:val="32"/>
          <w:szCs w:val="32"/>
        </w:rPr>
        <w:t>二、单位预算安排的总体情况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按照预算管理有关规定，目前我省部门预算的编制实行综合预算制度，即全部收入和支出都反映的预算中。河北省及所属事业单位的收支包含在部门预算中。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1、收入说明 </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反映本部门当年全部收入，</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年预算收入</w:t>
      </w:r>
      <w:r>
        <w:rPr>
          <w:rFonts w:hint="eastAsia" w:eastAsia="仿宋" w:cs="Times New Roman"/>
          <w:sz w:val="32"/>
          <w:szCs w:val="32"/>
          <w:lang w:val="en-US" w:eastAsia="zh-CN"/>
        </w:rPr>
        <w:t>51.8</w:t>
      </w:r>
      <w:r>
        <w:rPr>
          <w:rFonts w:ascii="Times New Roman" w:hAnsi="Times New Roman" w:eastAsia="仿宋" w:cs="Times New Roman"/>
          <w:sz w:val="32"/>
          <w:szCs w:val="32"/>
        </w:rPr>
        <w:t>万元，其中：一般公共预算收入</w:t>
      </w:r>
      <w:r>
        <w:rPr>
          <w:rFonts w:hint="eastAsia" w:eastAsia="仿宋" w:cs="Times New Roman"/>
          <w:sz w:val="32"/>
          <w:szCs w:val="32"/>
          <w:lang w:val="en-US" w:eastAsia="zh-CN"/>
        </w:rPr>
        <w:t>51.8</w:t>
      </w:r>
      <w:r>
        <w:rPr>
          <w:rFonts w:ascii="Times New Roman" w:hAnsi="Times New Roman" w:eastAsia="仿宋" w:cs="Times New Roman"/>
          <w:sz w:val="32"/>
          <w:szCs w:val="32"/>
        </w:rPr>
        <w:t>万元，基金预算收入0万元，财政专户核拨收入0万元，其他来源收入0万元。</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ind w:firstLine="64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反映唐山市曹妃甸区政府金融发展服务中心年度部门预算中支出预算的总体情况。</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年部门支出预算为</w:t>
      </w:r>
      <w:r>
        <w:rPr>
          <w:rFonts w:hint="eastAsia" w:eastAsia="仿宋" w:cs="Times New Roman"/>
          <w:sz w:val="32"/>
          <w:szCs w:val="32"/>
          <w:lang w:val="en-US" w:eastAsia="zh-CN"/>
        </w:rPr>
        <w:t>51.8</w:t>
      </w:r>
      <w:r>
        <w:rPr>
          <w:rFonts w:ascii="Times New Roman" w:hAnsi="Times New Roman" w:eastAsia="仿宋" w:cs="Times New Roman"/>
          <w:sz w:val="32"/>
          <w:szCs w:val="32"/>
        </w:rPr>
        <w:t>万元均为项目支出，全部为本级支出，主要为</w:t>
      </w:r>
      <w:r>
        <w:rPr>
          <w:rFonts w:hint="eastAsia" w:ascii="Times New Roman" w:hAnsi="Times New Roman" w:eastAsia="仿宋" w:cs="Times New Roman"/>
          <w:sz w:val="32"/>
          <w:szCs w:val="32"/>
        </w:rPr>
        <w:t>招商引资</w:t>
      </w:r>
      <w:r>
        <w:rPr>
          <w:rFonts w:ascii="Times New Roman" w:hAnsi="Times New Roman" w:eastAsia="仿宋" w:cs="Times New Roman"/>
          <w:sz w:val="32"/>
          <w:szCs w:val="32"/>
        </w:rPr>
        <w:t>经费支出</w:t>
      </w:r>
      <w:r>
        <w:rPr>
          <w:rFonts w:hint="eastAsia" w:eastAsia="仿宋" w:cs="Times New Roman"/>
          <w:sz w:val="32"/>
          <w:szCs w:val="32"/>
          <w:lang w:val="en-US" w:eastAsia="zh-CN"/>
        </w:rPr>
        <w:t>51.8</w:t>
      </w:r>
      <w:r>
        <w:rPr>
          <w:rFonts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我单位无具体大型项目支出。</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pStyle w:val="28"/>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年部门预算较202</w:t>
      </w:r>
      <w:r>
        <w:rPr>
          <w:rFonts w:hint="eastAsia" w:eastAsia="仿宋" w:cs="Times New Roman"/>
          <w:sz w:val="32"/>
          <w:szCs w:val="32"/>
          <w:lang w:val="en-US" w:eastAsia="zh-CN"/>
        </w:rPr>
        <w:t>3</w:t>
      </w:r>
      <w:r>
        <w:rPr>
          <w:rFonts w:ascii="Times New Roman" w:hAnsi="Times New Roman" w:eastAsia="仿宋" w:cs="Times New Roman"/>
          <w:sz w:val="32"/>
          <w:szCs w:val="32"/>
        </w:rPr>
        <w:t>年</w:t>
      </w:r>
      <w:r>
        <w:rPr>
          <w:rFonts w:hint="eastAsia" w:eastAsia="仿宋" w:cs="Times New Roman"/>
          <w:sz w:val="32"/>
          <w:szCs w:val="32"/>
          <w:lang w:eastAsia="zh-CN"/>
        </w:rPr>
        <w:t>增加</w:t>
      </w:r>
      <w:r>
        <w:rPr>
          <w:rFonts w:hint="eastAsia" w:ascii="Times New Roman" w:hAnsi="Times New Roman" w:eastAsia="仿宋" w:cs="Times New Roman"/>
          <w:sz w:val="32"/>
          <w:szCs w:val="32"/>
          <w:lang w:val="en-US" w:eastAsia="zh-CN"/>
        </w:rPr>
        <w:t>10.4万元</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由于</w:t>
      </w:r>
      <w:r>
        <w:rPr>
          <w:rFonts w:hint="eastAsia" w:ascii="Times New Roman" w:hAnsi="Times New Roman" w:eastAsia="仿宋" w:cs="Times New Roman"/>
          <w:sz w:val="32"/>
          <w:szCs w:val="32"/>
          <w:lang w:eastAsia="zh-CN"/>
        </w:rPr>
        <w:t>机构改革工作职能增加。</w:t>
      </w:r>
    </w:p>
    <w:p>
      <w:pPr>
        <w:spacing w:before="10" w:after="10"/>
        <w:ind w:firstLine="640"/>
        <w:outlineLvl w:val="5"/>
      </w:pPr>
      <w:r>
        <w:rPr>
          <w:rFonts w:hint="eastAsia" w:ascii="黑体" w:hAnsi="黑体" w:eastAsia="黑体" w:cs="黑体"/>
          <w:color w:val="000000"/>
          <w:sz w:val="32"/>
          <w:szCs w:val="32"/>
        </w:rPr>
        <w:t>三、机关运行经费安排情况</w:t>
      </w:r>
    </w:p>
    <w:p>
      <w:pPr>
        <w:numPr>
          <w:ilvl w:val="0"/>
          <w:numId w:val="0"/>
        </w:numPr>
        <w:ind w:left="640" w:leftChars="0"/>
      </w:pP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年，我部门机关运行经费共计安排0万元。</w:t>
      </w:r>
    </w:p>
    <w:p>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年，财政拨款“三公”经费预算安排</w:t>
      </w:r>
      <w:r>
        <w:rPr>
          <w:rFonts w:hint="eastAsia" w:eastAsia="仿宋" w:cs="Times New Roman"/>
          <w:sz w:val="32"/>
          <w:szCs w:val="32"/>
          <w:lang w:val="en-US" w:eastAsia="zh-CN"/>
        </w:rPr>
        <w:t>0.2</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202</w:t>
      </w:r>
      <w:r>
        <w:rPr>
          <w:rFonts w:hint="eastAsia" w:eastAsia="仿宋" w:cs="Times New Roman"/>
          <w:sz w:val="32"/>
          <w:szCs w:val="32"/>
          <w:lang w:val="en-US" w:eastAsia="zh-CN"/>
        </w:rPr>
        <w:t>3</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0.</w:t>
      </w:r>
      <w:r>
        <w:rPr>
          <w:rFonts w:hint="eastAsia" w:eastAsia="仿宋" w:cs="Times New Roman"/>
          <w:sz w:val="32"/>
          <w:szCs w:val="32"/>
          <w:lang w:val="en-US" w:eastAsia="zh-CN"/>
        </w:rPr>
        <w:t>8</w:t>
      </w:r>
      <w:r>
        <w:rPr>
          <w:rFonts w:hint="eastAsia" w:ascii="Times New Roman" w:hAnsi="Times New Roman" w:eastAsia="仿宋" w:cs="Times New Roman"/>
          <w:sz w:val="32"/>
          <w:szCs w:val="32"/>
          <w:lang w:val="en-US" w:eastAsia="zh-CN"/>
        </w:rPr>
        <w:t>万元，原因是坚持中央八项规定，节约支出</w:t>
      </w:r>
      <w:r>
        <w:rPr>
          <w:rFonts w:ascii="Times New Roman" w:hAnsi="Times New Roman" w:eastAsia="仿宋" w:cs="Times New Roman"/>
          <w:sz w:val="32"/>
          <w:szCs w:val="32"/>
        </w:rPr>
        <w:t>。具体安排情况为：</w:t>
      </w:r>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（一）</w:t>
      </w:r>
      <w:r>
        <w:rPr>
          <w:rFonts w:ascii="Times New Roman" w:hAnsi="Times New Roman" w:eastAsia="仿宋" w:cs="Times New Roman"/>
          <w:sz w:val="32"/>
          <w:szCs w:val="32"/>
        </w:rPr>
        <w:t>公务用车购置及运行费。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年预算安排0万元，与202</w:t>
      </w:r>
      <w:r>
        <w:rPr>
          <w:rFonts w:hint="eastAsia" w:eastAsia="仿宋" w:cs="Times New Roman"/>
          <w:sz w:val="32"/>
          <w:szCs w:val="32"/>
          <w:lang w:val="en-US" w:eastAsia="zh-CN"/>
        </w:rPr>
        <w:t>3</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r>
        <w:rPr>
          <w:rFonts w:ascii="Times New Roman" w:hAnsi="Times New Roman" w:eastAsia="仿宋" w:cs="Times New Roman"/>
          <w:sz w:val="32"/>
          <w:szCs w:val="32"/>
        </w:rPr>
        <w:sym w:font="Wingdings" w:char="F081"/>
      </w:r>
      <w:r>
        <w:rPr>
          <w:rFonts w:ascii="Times New Roman" w:hAnsi="Times New Roman" w:eastAsia="仿宋" w:cs="Times New Roman"/>
          <w:sz w:val="32"/>
          <w:szCs w:val="32"/>
        </w:rPr>
        <w:t>公务用车购置预算安排0万元，与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3</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r>
        <w:rPr>
          <w:rFonts w:ascii="Times New Roman" w:hAnsi="Times New Roman" w:eastAsia="仿宋" w:cs="Times New Roman"/>
          <w:sz w:val="32"/>
          <w:szCs w:val="32"/>
        </w:rPr>
        <w:sym w:font="Wingdings" w:char="F082"/>
      </w:r>
      <w:r>
        <w:rPr>
          <w:rFonts w:ascii="Times New Roman" w:hAnsi="Times New Roman" w:eastAsia="仿宋" w:cs="Times New Roman"/>
          <w:sz w:val="32"/>
          <w:szCs w:val="32"/>
        </w:rPr>
        <w:t>公车运行维护费经费预算安排0万元，与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3</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（二）</w:t>
      </w:r>
      <w:r>
        <w:rPr>
          <w:rFonts w:ascii="Times New Roman" w:hAnsi="Times New Roman" w:eastAsia="仿宋" w:cs="Times New Roman"/>
          <w:sz w:val="32"/>
          <w:szCs w:val="32"/>
        </w:rPr>
        <w:t>公务接待费。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年预算安排</w:t>
      </w:r>
      <w:r>
        <w:rPr>
          <w:rFonts w:hint="eastAsia" w:eastAsia="仿宋" w:cs="Times New Roman"/>
          <w:sz w:val="32"/>
          <w:szCs w:val="32"/>
          <w:lang w:val="en-US" w:eastAsia="zh-CN"/>
        </w:rPr>
        <w:t>0.2</w:t>
      </w:r>
      <w:r>
        <w:rPr>
          <w:rFonts w:ascii="Times New Roman" w:hAnsi="Times New Roman" w:eastAsia="仿宋" w:cs="Times New Roman"/>
          <w:sz w:val="32"/>
          <w:szCs w:val="32"/>
        </w:rPr>
        <w:t>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3</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0.</w:t>
      </w:r>
      <w:r>
        <w:rPr>
          <w:rFonts w:hint="eastAsia" w:eastAsia="仿宋" w:cs="Times New Roman"/>
          <w:sz w:val="32"/>
          <w:szCs w:val="32"/>
          <w:lang w:val="en-US" w:eastAsia="zh-CN"/>
        </w:rPr>
        <w:t>8</w:t>
      </w:r>
      <w:r>
        <w:rPr>
          <w:rFonts w:hint="eastAsia" w:ascii="Times New Roman" w:hAnsi="Times New Roman" w:eastAsia="仿宋" w:cs="Times New Roman"/>
          <w:sz w:val="32"/>
          <w:szCs w:val="32"/>
          <w:lang w:val="en-US" w:eastAsia="zh-CN"/>
        </w:rPr>
        <w:t>万元,原因是坚持中央八项规定，节约支出</w:t>
      </w:r>
      <w:r>
        <w:rPr>
          <w:rFonts w:ascii="Times New Roman" w:hAnsi="Times New Roman" w:eastAsia="仿宋" w:cs="Times New Roman"/>
          <w:sz w:val="32"/>
          <w:szCs w:val="32"/>
        </w:rPr>
        <w:t>。</w:t>
      </w:r>
    </w:p>
    <w:p>
      <w:pPr>
        <w:numPr>
          <w:ilvl w:val="0"/>
          <w:numId w:val="0"/>
        </w:numPr>
        <w:spacing w:before="10" w:after="10" w:line="360" w:lineRule="auto"/>
        <w:ind w:firstLine="640" w:firstLineChars="200"/>
        <w:outlineLvl w:val="2"/>
      </w:pPr>
      <w:r>
        <w:rPr>
          <w:rFonts w:hint="eastAsia" w:ascii="Times New Roman" w:hAnsi="Times New Roman" w:eastAsia="仿宋" w:cs="Times New Roman"/>
          <w:sz w:val="32"/>
          <w:szCs w:val="32"/>
          <w:lang w:eastAsia="zh-CN"/>
        </w:rPr>
        <w:t>（三）</w:t>
      </w:r>
      <w:r>
        <w:rPr>
          <w:rFonts w:ascii="Times New Roman" w:hAnsi="Times New Roman" w:eastAsia="仿宋" w:cs="Times New Roman"/>
          <w:sz w:val="32"/>
          <w:szCs w:val="32"/>
        </w:rPr>
        <w:t>因公出国（境）费。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3</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，原因是本年度无</w:t>
      </w:r>
      <w:r>
        <w:rPr>
          <w:rFonts w:ascii="Times New Roman" w:hAnsi="Times New Roman" w:eastAsia="仿宋" w:cs="Times New Roman"/>
          <w:sz w:val="32"/>
          <w:szCs w:val="32"/>
        </w:rPr>
        <w:t>因公出国（境）</w:t>
      </w:r>
      <w:r>
        <w:rPr>
          <w:rFonts w:hint="eastAsia" w:ascii="Times New Roman" w:hAnsi="Times New Roman" w:eastAsia="仿宋" w:cs="Times New Roman"/>
          <w:sz w:val="32"/>
          <w:szCs w:val="32"/>
          <w:lang w:eastAsia="zh-CN"/>
        </w:rPr>
        <w:t>计划</w:t>
      </w:r>
      <w:r>
        <w:rPr>
          <w:rFonts w:ascii="Times New Roman" w:hAnsi="Times New Roman" w:eastAsia="仿宋" w:cs="Times New Roman"/>
          <w:sz w:val="32"/>
          <w:szCs w:val="32"/>
        </w:rPr>
        <w:t>。</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szCs w:val="32"/>
        </w:rPr>
        <w:t>五、单位项目预算安排情况及绩效目标</w:t>
      </w:r>
    </w:p>
    <w:p>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、招商引资经费绩效目标表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cs="Times New Roman"/>
              </w:rPr>
            </w:pPr>
            <w:r>
              <w:rPr>
                <w:rFonts w:hint="eastAsia"/>
              </w:rPr>
              <w:t>项目编码</w:t>
            </w:r>
          </w:p>
        </w:tc>
        <w:tc>
          <w:tcPr>
            <w:tcW w:w="5102" w:type="dxa"/>
            <w:gridSpan w:val="2"/>
            <w:vAlign w:val="center"/>
          </w:tcPr>
          <w:p>
            <w:pPr>
              <w:pStyle w:val="14"/>
            </w:pPr>
            <w:r>
              <w:t>13020924P00003610004G</w:t>
            </w:r>
          </w:p>
        </w:tc>
        <w:tc>
          <w:tcPr>
            <w:tcW w:w="2835" w:type="dxa"/>
            <w:vAlign w:val="center"/>
          </w:tcPr>
          <w:p>
            <w:pPr>
              <w:pStyle w:val="12"/>
              <w:rPr>
                <w:rFonts w:cs="Times New Roman"/>
              </w:rPr>
            </w:pPr>
            <w:r>
              <w:rPr>
                <w:rFonts w:hint="eastAsia"/>
              </w:rPr>
              <w:t>项目名称</w:t>
            </w:r>
          </w:p>
        </w:tc>
        <w:tc>
          <w:tcPr>
            <w:tcW w:w="6094" w:type="dxa"/>
            <w:gridSpan w:val="3"/>
            <w:vAlign w:val="center"/>
          </w:tcPr>
          <w:p>
            <w:pPr>
              <w:pStyle w:val="14"/>
              <w:rPr>
                <w:rFonts w:cs="Times New Roman"/>
              </w:rPr>
            </w:pPr>
            <w:r>
              <w:rPr>
                <w:rFonts w:hint="eastAsia"/>
              </w:rPr>
              <w:t>招商引资经费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cs="Times New Roman"/>
              </w:rPr>
            </w:pPr>
            <w:r>
              <w:rPr>
                <w:rFonts w:hint="eastAsia"/>
              </w:rPr>
              <w:t>预算规模及资金用途</w:t>
            </w:r>
          </w:p>
        </w:tc>
        <w:tc>
          <w:tcPr>
            <w:tcW w:w="2268" w:type="dxa"/>
            <w:vAlign w:val="center"/>
          </w:tcPr>
          <w:p>
            <w:pPr>
              <w:pStyle w:val="12"/>
              <w:rPr>
                <w:rFonts w:cs="Times New Roman"/>
              </w:rPr>
            </w:pPr>
            <w:r>
              <w:rPr>
                <w:rFonts w:hint="eastAsia"/>
              </w:rPr>
              <w:t>预算数</w:t>
            </w:r>
          </w:p>
        </w:tc>
        <w:tc>
          <w:tcPr>
            <w:tcW w:w="2835" w:type="dxa"/>
            <w:vAlign w:val="center"/>
          </w:tcPr>
          <w:p>
            <w:pPr>
              <w:pStyle w:val="14"/>
            </w:pPr>
            <w:r>
              <w:t>51.80</w:t>
            </w:r>
          </w:p>
        </w:tc>
        <w:tc>
          <w:tcPr>
            <w:tcW w:w="2835" w:type="dxa"/>
            <w:vAlign w:val="center"/>
          </w:tcPr>
          <w:p>
            <w:pPr>
              <w:pStyle w:val="12"/>
              <w:rPr>
                <w:rFonts w:cs="Times New Roman"/>
              </w:rPr>
            </w:pPr>
            <w:r>
              <w:rPr>
                <w:rFonts w:hint="eastAsia"/>
              </w:rPr>
              <w:t>其中：财政</w:t>
            </w:r>
            <w:r>
              <w:t xml:space="preserve">    </w:t>
            </w:r>
            <w:r>
              <w:rPr>
                <w:rFonts w:hint="eastAsia"/>
              </w:rPr>
              <w:t>资金</w:t>
            </w:r>
          </w:p>
        </w:tc>
        <w:tc>
          <w:tcPr>
            <w:tcW w:w="2551" w:type="dxa"/>
            <w:vAlign w:val="center"/>
          </w:tcPr>
          <w:p>
            <w:pPr>
              <w:pStyle w:val="14"/>
            </w:pPr>
            <w:r>
              <w:t>51.80</w:t>
            </w:r>
          </w:p>
        </w:tc>
        <w:tc>
          <w:tcPr>
            <w:tcW w:w="2268" w:type="dxa"/>
            <w:vAlign w:val="center"/>
          </w:tcPr>
          <w:p>
            <w:pPr>
              <w:pStyle w:val="12"/>
              <w:rPr>
                <w:rFonts w:cs="Times New Roman"/>
              </w:rPr>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rPr>
                <w:rFonts w:cs="Times New Roman"/>
              </w:rPr>
            </w:pPr>
            <w:r>
              <w:rPr>
                <w:rFonts w:hint="eastAsia"/>
              </w:rPr>
              <w:t>常态化开展涉嫌非法集资风险排查，企业上市、银企对接活动。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cs="Times New Roman"/>
              </w:rPr>
            </w:pPr>
            <w:r>
              <w:rPr>
                <w:rFonts w:hint="eastAsia"/>
              </w:rPr>
              <w:t>资金支出计划（</w:t>
            </w:r>
            <w:r>
              <w:t>%</w:t>
            </w:r>
            <w:r>
              <w:rPr>
                <w:rFonts w:hint="eastAsia"/>
              </w:rPr>
              <w:t>）</w:t>
            </w:r>
          </w:p>
        </w:tc>
        <w:tc>
          <w:tcPr>
            <w:tcW w:w="5102" w:type="dxa"/>
            <w:gridSpan w:val="2"/>
            <w:vAlign w:val="center"/>
          </w:tcPr>
          <w:p>
            <w:pPr>
              <w:pStyle w:val="12"/>
              <w:rPr>
                <w:rFonts w:cs="Times New Roman"/>
              </w:rPr>
            </w:pPr>
            <w:r>
              <w:t>3</w:t>
            </w:r>
            <w:r>
              <w:rPr>
                <w:rFonts w:hint="eastAsia"/>
              </w:rPr>
              <w:t>月底</w:t>
            </w:r>
          </w:p>
        </w:tc>
        <w:tc>
          <w:tcPr>
            <w:tcW w:w="2835" w:type="dxa"/>
            <w:vAlign w:val="center"/>
          </w:tcPr>
          <w:p>
            <w:pPr>
              <w:pStyle w:val="12"/>
              <w:rPr>
                <w:rFonts w:cs="Times New Roman"/>
              </w:rPr>
            </w:pPr>
            <w:r>
              <w:t>6</w:t>
            </w:r>
            <w:r>
              <w:rPr>
                <w:rFonts w:hint="eastAsia"/>
              </w:rPr>
              <w:t>月底</w:t>
            </w:r>
          </w:p>
        </w:tc>
        <w:tc>
          <w:tcPr>
            <w:tcW w:w="2551" w:type="dxa"/>
            <w:vAlign w:val="center"/>
          </w:tcPr>
          <w:p>
            <w:pPr>
              <w:pStyle w:val="12"/>
              <w:rPr>
                <w:rFonts w:cs="Times New Roman"/>
              </w:rPr>
            </w:pPr>
            <w:r>
              <w:t>10</w:t>
            </w:r>
            <w:r>
              <w:rPr>
                <w:rFonts w:hint="eastAsia"/>
              </w:rPr>
              <w:t>月底</w:t>
            </w:r>
          </w:p>
        </w:tc>
        <w:tc>
          <w:tcPr>
            <w:tcW w:w="3543" w:type="dxa"/>
            <w:gridSpan w:val="2"/>
            <w:vAlign w:val="center"/>
          </w:tcPr>
          <w:p>
            <w:pPr>
              <w:pStyle w:val="12"/>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rPr>
                <w:rFonts w:cs="Times New Roman"/>
              </w:rPr>
            </w:pPr>
            <w:r>
              <w:rPr>
                <w:rFonts w:hint="eastAsia"/>
              </w:rPr>
              <w:t>绩效目标</w:t>
            </w:r>
          </w:p>
        </w:tc>
        <w:tc>
          <w:tcPr>
            <w:tcW w:w="14031" w:type="dxa"/>
            <w:gridSpan w:val="6"/>
            <w:tcBorders>
              <w:bottom w:val="single" w:color="FFFFFF" w:sz="6" w:space="0"/>
            </w:tcBorders>
            <w:vAlign w:val="center"/>
          </w:tcPr>
          <w:p>
            <w:pPr>
              <w:pStyle w:val="14"/>
              <w:rPr>
                <w:rFonts w:cs="Times New Roman"/>
              </w:rPr>
            </w:pPr>
            <w:r>
              <w:t>1.</w:t>
            </w:r>
            <w:r>
              <w:rPr>
                <w:rFonts w:hint="eastAsia"/>
              </w:rPr>
              <w:t>常态化开展涉嫌非法集资风险排查，企业上市、银企对接活动。</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5386" w:type="dxa"/>
            <w:vAlign w:val="center"/>
          </w:tcPr>
          <w:p>
            <w:pPr>
              <w:pStyle w:val="12"/>
              <w:rPr>
                <w:rFonts w:cs="Times New Roman"/>
              </w:rPr>
            </w:pPr>
            <w:r>
              <w:rPr>
                <w:rFonts w:hint="eastAsia"/>
              </w:rPr>
              <w:t>绩效指标描述</w:t>
            </w:r>
          </w:p>
        </w:tc>
        <w:tc>
          <w:tcPr>
            <w:tcW w:w="2268" w:type="dxa"/>
            <w:vAlign w:val="center"/>
          </w:tcPr>
          <w:p>
            <w:pPr>
              <w:pStyle w:val="12"/>
              <w:rPr>
                <w:rFonts w:cs="Times New Roman"/>
              </w:rPr>
            </w:pPr>
            <w:r>
              <w:rPr>
                <w:rFonts w:hint="eastAsia"/>
              </w:rPr>
              <w:t>指标值</w:t>
            </w:r>
          </w:p>
        </w:tc>
        <w:tc>
          <w:tcPr>
            <w:tcW w:w="1276"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完成率</w:t>
            </w:r>
          </w:p>
        </w:tc>
        <w:tc>
          <w:tcPr>
            <w:tcW w:w="5386" w:type="dxa"/>
            <w:vAlign w:val="center"/>
          </w:tcPr>
          <w:p>
            <w:pPr>
              <w:pStyle w:val="14"/>
              <w:rPr>
                <w:rFonts w:cs="Times New Roman"/>
              </w:rPr>
            </w:pPr>
            <w:r>
              <w:rPr>
                <w:rFonts w:hint="eastAsia"/>
              </w:rPr>
              <w:t>引入金融、类金融机构数量</w:t>
            </w:r>
          </w:p>
        </w:tc>
        <w:tc>
          <w:tcPr>
            <w:tcW w:w="2268" w:type="dxa"/>
            <w:vAlign w:val="center"/>
          </w:tcPr>
          <w:p>
            <w:pPr>
              <w:pStyle w:val="14"/>
              <w:rPr>
                <w:rFonts w:cs="Times New Roman"/>
              </w:rPr>
            </w:pPr>
            <w:r>
              <w:rPr>
                <w:rFonts w:hint="eastAsia"/>
              </w:rPr>
              <w:t>≥</w:t>
            </w:r>
            <w:r>
              <w:t>4</w:t>
            </w:r>
            <w:r>
              <w:rPr>
                <w:rFonts w:hint="eastAsia"/>
              </w:rPr>
              <w:t>家</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覆盖率</w:t>
            </w:r>
          </w:p>
        </w:tc>
        <w:tc>
          <w:tcPr>
            <w:tcW w:w="5386" w:type="dxa"/>
            <w:vAlign w:val="center"/>
          </w:tcPr>
          <w:p>
            <w:pPr>
              <w:pStyle w:val="14"/>
              <w:rPr>
                <w:rFonts w:cs="Times New Roman"/>
              </w:rPr>
            </w:pPr>
            <w:r>
              <w:rPr>
                <w:rFonts w:hint="eastAsia"/>
              </w:rPr>
              <w:t>小额贷款公司审计范围覆盖率</w:t>
            </w:r>
          </w:p>
        </w:tc>
        <w:tc>
          <w:tcPr>
            <w:tcW w:w="2268" w:type="dxa"/>
            <w:vAlign w:val="center"/>
          </w:tcPr>
          <w:p>
            <w:pPr>
              <w:pStyle w:val="14"/>
              <w:rPr>
                <w:rFonts w:cs="Times New Roman"/>
              </w:rPr>
            </w:pPr>
            <w:r>
              <w:t>100</w:t>
            </w:r>
            <w:r>
              <w:rPr>
                <w:rFonts w:hint="eastAsia"/>
              </w:rPr>
              <w:t>百分比</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完成工作时间</w:t>
            </w:r>
          </w:p>
        </w:tc>
        <w:tc>
          <w:tcPr>
            <w:tcW w:w="5386" w:type="dxa"/>
            <w:vAlign w:val="center"/>
          </w:tcPr>
          <w:p>
            <w:pPr>
              <w:pStyle w:val="14"/>
              <w:rPr>
                <w:rFonts w:cs="Times New Roman"/>
              </w:rPr>
            </w:pPr>
            <w:r>
              <w:t>2024.12.31</w:t>
            </w:r>
            <w:r>
              <w:rPr>
                <w:rFonts w:hint="eastAsia"/>
              </w:rPr>
              <w:t>之前完成</w:t>
            </w:r>
          </w:p>
        </w:tc>
        <w:tc>
          <w:tcPr>
            <w:tcW w:w="2268" w:type="dxa"/>
            <w:vAlign w:val="center"/>
          </w:tcPr>
          <w:p>
            <w:pPr>
              <w:pStyle w:val="14"/>
              <w:rPr>
                <w:rFonts w:cs="Times New Roman"/>
              </w:rPr>
            </w:pPr>
            <w:r>
              <w:t>100</w:t>
            </w:r>
            <w:r>
              <w:rPr>
                <w:rFonts w:hint="eastAsia"/>
              </w:rPr>
              <w:t>百分比</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项目预算控制数</w:t>
            </w:r>
          </w:p>
        </w:tc>
        <w:tc>
          <w:tcPr>
            <w:tcW w:w="5386" w:type="dxa"/>
            <w:vAlign w:val="center"/>
          </w:tcPr>
          <w:p>
            <w:pPr>
              <w:pStyle w:val="14"/>
              <w:rPr>
                <w:rFonts w:cs="Times New Roman"/>
              </w:rPr>
            </w:pPr>
            <w:r>
              <w:rPr>
                <w:rFonts w:hint="eastAsia"/>
              </w:rPr>
              <w:t>控制在预算资金内</w:t>
            </w:r>
          </w:p>
        </w:tc>
        <w:tc>
          <w:tcPr>
            <w:tcW w:w="2268" w:type="dxa"/>
            <w:vAlign w:val="center"/>
          </w:tcPr>
          <w:p>
            <w:pPr>
              <w:pStyle w:val="14"/>
              <w:rPr>
                <w:rFonts w:cs="Times New Roman"/>
              </w:rPr>
            </w:pPr>
            <w:r>
              <w:rPr>
                <w:rFonts w:hint="eastAsia"/>
              </w:rPr>
              <w:t>≤</w:t>
            </w:r>
            <w:r>
              <w:t>51.8</w:t>
            </w:r>
            <w:r>
              <w:rPr>
                <w:rFonts w:hint="eastAsia"/>
              </w:rPr>
              <w:t>万元</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提高效率</w:t>
            </w:r>
          </w:p>
        </w:tc>
        <w:tc>
          <w:tcPr>
            <w:tcW w:w="5386" w:type="dxa"/>
            <w:vAlign w:val="center"/>
          </w:tcPr>
          <w:p>
            <w:pPr>
              <w:pStyle w:val="14"/>
              <w:rPr>
                <w:rFonts w:cs="Times New Roman"/>
              </w:rPr>
            </w:pPr>
            <w:r>
              <w:rPr>
                <w:rFonts w:hint="eastAsia"/>
              </w:rPr>
              <w:t>银企对接次数</w:t>
            </w:r>
          </w:p>
        </w:tc>
        <w:tc>
          <w:tcPr>
            <w:tcW w:w="2268" w:type="dxa"/>
            <w:vAlign w:val="center"/>
          </w:tcPr>
          <w:p>
            <w:pPr>
              <w:pStyle w:val="14"/>
              <w:rPr>
                <w:rFonts w:cs="Times New Roman"/>
              </w:rPr>
            </w:pPr>
            <w:r>
              <w:rPr>
                <w:rFonts w:hint="eastAsia"/>
              </w:rPr>
              <w:t>≥</w:t>
            </w:r>
            <w:r>
              <w:t>10</w:t>
            </w:r>
            <w:r>
              <w:rPr>
                <w:rFonts w:hint="eastAsia"/>
              </w:rPr>
              <w:t>次</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推进工作开展</w:t>
            </w:r>
          </w:p>
        </w:tc>
        <w:tc>
          <w:tcPr>
            <w:tcW w:w="5386" w:type="dxa"/>
            <w:vAlign w:val="center"/>
          </w:tcPr>
          <w:p>
            <w:pPr>
              <w:pStyle w:val="14"/>
              <w:rPr>
                <w:rFonts w:cs="Times New Roman"/>
              </w:rPr>
            </w:pPr>
            <w:r>
              <w:rPr>
                <w:rFonts w:hint="eastAsia"/>
              </w:rPr>
              <w:t>打击非法集资宣传活动</w:t>
            </w:r>
          </w:p>
        </w:tc>
        <w:tc>
          <w:tcPr>
            <w:tcW w:w="2268" w:type="dxa"/>
            <w:vAlign w:val="center"/>
          </w:tcPr>
          <w:p>
            <w:pPr>
              <w:pStyle w:val="14"/>
              <w:rPr>
                <w:rFonts w:cs="Times New Roman"/>
              </w:rPr>
            </w:pPr>
            <w:r>
              <w:rPr>
                <w:rFonts w:hint="eastAsia"/>
              </w:rPr>
              <w:t>≥</w:t>
            </w:r>
            <w:r>
              <w:t>2</w:t>
            </w:r>
            <w:r>
              <w:rPr>
                <w:rFonts w:hint="eastAsia"/>
              </w:rPr>
              <w:t>次</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满意度</w:t>
            </w:r>
          </w:p>
        </w:tc>
        <w:tc>
          <w:tcPr>
            <w:tcW w:w="5386" w:type="dxa"/>
            <w:vAlign w:val="center"/>
          </w:tcPr>
          <w:p>
            <w:pPr>
              <w:pStyle w:val="14"/>
              <w:rPr>
                <w:rFonts w:cs="Times New Roman"/>
              </w:rPr>
            </w:pPr>
            <w:r>
              <w:rPr>
                <w:rFonts w:hint="eastAsia"/>
              </w:rPr>
              <w:t>金融机构满意度</w:t>
            </w:r>
          </w:p>
        </w:tc>
        <w:tc>
          <w:tcPr>
            <w:tcW w:w="2268" w:type="dxa"/>
            <w:vAlign w:val="center"/>
          </w:tcPr>
          <w:p>
            <w:pPr>
              <w:pStyle w:val="14"/>
              <w:rPr>
                <w:rFonts w:cs="Times New Roman"/>
              </w:rPr>
            </w:pPr>
            <w:r>
              <w:rPr>
                <w:rFonts w:hint="eastAsia"/>
              </w:rPr>
              <w:t>≥</w:t>
            </w:r>
            <w:r>
              <w:t>90</w:t>
            </w:r>
            <w:r>
              <w:rPr>
                <w:rFonts w:hint="eastAsia"/>
              </w:rPr>
              <w:t>百分比</w:t>
            </w:r>
          </w:p>
        </w:tc>
        <w:tc>
          <w:tcPr>
            <w:tcW w:w="1276" w:type="dxa"/>
            <w:vAlign w:val="center"/>
          </w:tcPr>
          <w:p>
            <w:pPr>
              <w:pStyle w:val="14"/>
              <w:rPr>
                <w:rFonts w:cs="Times New Roman"/>
              </w:rPr>
            </w:pPr>
            <w:r>
              <w:rPr>
                <w:rFonts w:hint="eastAsia"/>
              </w:rPr>
              <w:t>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szCs w:val="32"/>
        </w:rPr>
        <w:t>六、政府采购预算情况</w:t>
      </w:r>
    </w:p>
    <w:p>
      <w:pPr>
        <w:jc w:val="center"/>
      </w:pPr>
      <w:r>
        <w:rPr>
          <w:rFonts w:hint="eastAsia" w:ascii="方正小标宋_GBK" w:hAnsi="方正小标宋_GBK" w:eastAsia="方正小标宋_GBK" w:cs="方正小标宋_GBK"/>
          <w:color w:val="000000"/>
          <w:sz w:val="36"/>
          <w:szCs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cs="Times New Roman"/>
              </w:rPr>
            </w:pPr>
            <w:r>
              <w:t>822002</w:t>
            </w:r>
            <w:r>
              <w:rPr>
                <w:rFonts w:hint="eastAsia"/>
              </w:rPr>
              <w:t>曹妃甸区政府金融发展服务中心本级</w:t>
            </w:r>
          </w:p>
        </w:tc>
        <w:tc>
          <w:tcPr>
            <w:tcW w:w="7710" w:type="dxa"/>
            <w:gridSpan w:val="8"/>
            <w:tcBorders>
              <w:top w:val="single" w:color="FFFFFF" w:sz="6" w:space="0"/>
              <w:left w:val="single" w:color="FFFFFF" w:sz="6" w:space="0"/>
              <w:right w:val="single" w:color="FFFFFF" w:sz="6" w:space="0"/>
            </w:tcBorders>
            <w:vAlign w:val="center"/>
          </w:tcPr>
          <w:p>
            <w:pPr>
              <w:pStyle w:val="26"/>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rFonts w:cs="Times New Roman"/>
              </w:rPr>
            </w:pPr>
            <w:r>
              <w:rPr>
                <w:rFonts w:hint="eastAsia"/>
              </w:rPr>
              <w:t>政府采购项目来源</w:t>
            </w:r>
          </w:p>
        </w:tc>
        <w:tc>
          <w:tcPr>
            <w:tcW w:w="1134" w:type="dxa"/>
            <w:vMerge w:val="restart"/>
            <w:vAlign w:val="center"/>
          </w:tcPr>
          <w:p>
            <w:pPr>
              <w:pStyle w:val="12"/>
              <w:rPr>
                <w:rFonts w:cs="Times New Roman"/>
              </w:rPr>
            </w:pPr>
            <w:r>
              <w:rPr>
                <w:rFonts w:hint="eastAsia"/>
              </w:rPr>
              <w:t>采购物品名称</w:t>
            </w:r>
          </w:p>
        </w:tc>
        <w:tc>
          <w:tcPr>
            <w:tcW w:w="1134" w:type="dxa"/>
            <w:vMerge w:val="restart"/>
            <w:vAlign w:val="center"/>
          </w:tcPr>
          <w:p>
            <w:pPr>
              <w:pStyle w:val="12"/>
              <w:rPr>
                <w:rFonts w:cs="Times New Roman"/>
              </w:rPr>
            </w:pPr>
            <w:r>
              <w:rPr>
                <w:rFonts w:hint="eastAsia"/>
              </w:rPr>
              <w:t>政府采购目录序号</w:t>
            </w:r>
          </w:p>
        </w:tc>
        <w:tc>
          <w:tcPr>
            <w:tcW w:w="709" w:type="dxa"/>
            <w:vMerge w:val="restart"/>
            <w:vAlign w:val="center"/>
          </w:tcPr>
          <w:p>
            <w:pPr>
              <w:pStyle w:val="12"/>
              <w:rPr>
                <w:rFonts w:cs="Times New Roman"/>
              </w:rPr>
            </w:pPr>
            <w:r>
              <w:rPr>
                <w:rFonts w:hint="eastAsia"/>
              </w:rPr>
              <w:t>计量</w:t>
            </w:r>
            <w:r>
              <w:t xml:space="preserve">  </w:t>
            </w:r>
            <w:r>
              <w:rPr>
                <w:rFonts w:hint="eastAsia"/>
              </w:rPr>
              <w:t>单位</w:t>
            </w:r>
          </w:p>
        </w:tc>
        <w:tc>
          <w:tcPr>
            <w:tcW w:w="850" w:type="dxa"/>
            <w:vMerge w:val="restart"/>
            <w:vAlign w:val="center"/>
          </w:tcPr>
          <w:p>
            <w:pPr>
              <w:pStyle w:val="12"/>
              <w:rPr>
                <w:rFonts w:cs="Times New Roman"/>
              </w:rPr>
            </w:pPr>
            <w:r>
              <w:rPr>
                <w:rFonts w:hint="eastAsia"/>
              </w:rPr>
              <w:t>数量</w:t>
            </w:r>
          </w:p>
        </w:tc>
        <w:tc>
          <w:tcPr>
            <w:tcW w:w="850" w:type="dxa"/>
            <w:vMerge w:val="restart"/>
            <w:vAlign w:val="center"/>
          </w:tcPr>
          <w:p>
            <w:pPr>
              <w:pStyle w:val="12"/>
              <w:rPr>
                <w:rFonts w:cs="Times New Roman"/>
              </w:rPr>
            </w:pPr>
            <w:r>
              <w:rPr>
                <w:rFonts w:hint="eastAsia"/>
              </w:rPr>
              <w:t>单价</w:t>
            </w:r>
          </w:p>
        </w:tc>
        <w:tc>
          <w:tcPr>
            <w:tcW w:w="6746" w:type="dxa"/>
            <w:gridSpan w:val="7"/>
            <w:vAlign w:val="center"/>
          </w:tcPr>
          <w:p>
            <w:pPr>
              <w:pStyle w:val="12"/>
              <w:rPr>
                <w:rFonts w:cs="Times New Roman"/>
              </w:rPr>
            </w:pPr>
            <w:r>
              <w:rPr>
                <w:rFonts w:hint="eastAsia"/>
              </w:rPr>
              <w:t>政府采购金额（当年部门预算安排资金）</w:t>
            </w:r>
          </w:p>
        </w:tc>
        <w:tc>
          <w:tcPr>
            <w:tcW w:w="964" w:type="dxa"/>
            <w:vMerge w:val="restart"/>
            <w:vAlign w:val="center"/>
          </w:tcPr>
          <w:p>
            <w:pPr>
              <w:pStyle w:val="12"/>
              <w:rPr>
                <w:rFonts w:cs="Times New Roman"/>
              </w:rPr>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cs="Times New Roman"/>
              </w:rPr>
            </w:pPr>
            <w:r>
              <w:rPr>
                <w:rFonts w:hint="eastAsia"/>
              </w:rPr>
              <w:t>项目名称</w:t>
            </w:r>
          </w:p>
        </w:tc>
        <w:tc>
          <w:tcPr>
            <w:tcW w:w="964" w:type="dxa"/>
            <w:vAlign w:val="center"/>
          </w:tcPr>
          <w:p>
            <w:pPr>
              <w:pStyle w:val="12"/>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rPr>
                <w:rFonts w:cs="Times New Roman"/>
              </w:rPr>
            </w:pPr>
            <w:r>
              <w:rPr>
                <w:rFonts w:hint="eastAsia"/>
              </w:rPr>
              <w:t>合计</w:t>
            </w:r>
          </w:p>
        </w:tc>
        <w:tc>
          <w:tcPr>
            <w:tcW w:w="964" w:type="dxa"/>
            <w:vAlign w:val="center"/>
          </w:tcPr>
          <w:p>
            <w:pPr>
              <w:pStyle w:val="12"/>
              <w:rPr>
                <w:rFonts w:cs="Times New Roman"/>
              </w:rPr>
            </w:pPr>
            <w:r>
              <w:rPr>
                <w:rFonts w:hint="eastAsia"/>
              </w:rPr>
              <w:t>一般公共预算拨款</w:t>
            </w:r>
          </w:p>
        </w:tc>
        <w:tc>
          <w:tcPr>
            <w:tcW w:w="964" w:type="dxa"/>
            <w:vAlign w:val="center"/>
          </w:tcPr>
          <w:p>
            <w:pPr>
              <w:pStyle w:val="12"/>
              <w:rPr>
                <w:rFonts w:cs="Times New Roman"/>
              </w:rPr>
            </w:pPr>
            <w:r>
              <w:rPr>
                <w:rFonts w:hint="eastAsia"/>
              </w:rPr>
              <w:t>基金预算拨款</w:t>
            </w:r>
          </w:p>
        </w:tc>
        <w:tc>
          <w:tcPr>
            <w:tcW w:w="964" w:type="dxa"/>
            <w:vAlign w:val="center"/>
          </w:tcPr>
          <w:p>
            <w:pPr>
              <w:pStyle w:val="12"/>
              <w:rPr>
                <w:rFonts w:cs="Times New Roman"/>
              </w:rPr>
            </w:pPr>
            <w:r>
              <w:rPr>
                <w:rFonts w:hint="eastAsia"/>
              </w:rPr>
              <w:t>国有资本经营预算拨款</w:t>
            </w:r>
          </w:p>
        </w:tc>
        <w:tc>
          <w:tcPr>
            <w:tcW w:w="964" w:type="dxa"/>
            <w:vAlign w:val="center"/>
          </w:tcPr>
          <w:p>
            <w:pPr>
              <w:pStyle w:val="12"/>
              <w:rPr>
                <w:rFonts w:cs="Times New Roman"/>
              </w:rPr>
            </w:pPr>
            <w:r>
              <w:rPr>
                <w:rFonts w:hint="eastAsia"/>
              </w:rPr>
              <w:t>财政专户核拨</w:t>
            </w:r>
          </w:p>
        </w:tc>
        <w:tc>
          <w:tcPr>
            <w:tcW w:w="964" w:type="dxa"/>
            <w:vAlign w:val="center"/>
          </w:tcPr>
          <w:p>
            <w:pPr>
              <w:pStyle w:val="12"/>
              <w:rPr>
                <w:rFonts w:cs="Times New Roman"/>
              </w:rPr>
            </w:pPr>
            <w:r>
              <w:rPr>
                <w:rFonts w:hint="eastAsia"/>
              </w:rPr>
              <w:t>单位</w:t>
            </w:r>
            <w:r>
              <w:t xml:space="preserve">    </w:t>
            </w:r>
            <w:r>
              <w:rPr>
                <w:rFonts w:hint="eastAsia"/>
              </w:rPr>
              <w:t>资金</w:t>
            </w:r>
          </w:p>
        </w:tc>
        <w:tc>
          <w:tcPr>
            <w:tcW w:w="964" w:type="dxa"/>
            <w:vAlign w:val="center"/>
          </w:tcPr>
          <w:p>
            <w:pPr>
              <w:pStyle w:val="12"/>
              <w:rPr>
                <w:rFonts w:cs="Times New Roman"/>
              </w:rPr>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cs="Times New Roman"/>
              </w:rPr>
            </w:pPr>
          </w:p>
        </w:tc>
        <w:tc>
          <w:tcPr>
            <w:tcW w:w="964" w:type="dxa"/>
            <w:vAlign w:val="center"/>
          </w:tcPr>
          <w:p>
            <w:pPr>
              <w:pStyle w:val="13"/>
              <w:rPr>
                <w:rFonts w:cs="Times New Roman"/>
              </w:rPr>
            </w:pPr>
          </w:p>
        </w:tc>
        <w:tc>
          <w:tcPr>
            <w:tcW w:w="1134" w:type="dxa"/>
            <w:vAlign w:val="center"/>
          </w:tcPr>
          <w:p>
            <w:pPr>
              <w:pStyle w:val="14"/>
              <w:rPr>
                <w:rFonts w:cs="Times New Roman"/>
              </w:rPr>
            </w:pPr>
          </w:p>
        </w:tc>
        <w:tc>
          <w:tcPr>
            <w:tcW w:w="1134" w:type="dxa"/>
            <w:vAlign w:val="center"/>
          </w:tcPr>
          <w:p>
            <w:pPr>
              <w:pStyle w:val="14"/>
              <w:rPr>
                <w:rFonts w:cs="Times New Roman"/>
              </w:rPr>
            </w:pPr>
          </w:p>
        </w:tc>
        <w:tc>
          <w:tcPr>
            <w:tcW w:w="709" w:type="dxa"/>
            <w:vAlign w:val="center"/>
          </w:tcPr>
          <w:p>
            <w:pPr>
              <w:pStyle w:val="15"/>
              <w:rPr>
                <w:rFonts w:cs="Times New Roman"/>
              </w:rPr>
            </w:pPr>
          </w:p>
        </w:tc>
        <w:tc>
          <w:tcPr>
            <w:tcW w:w="850" w:type="dxa"/>
            <w:vAlign w:val="center"/>
          </w:tcPr>
          <w:p>
            <w:pPr>
              <w:pStyle w:val="13"/>
              <w:rPr>
                <w:rFonts w:cs="Times New Roman"/>
              </w:rPr>
            </w:pPr>
          </w:p>
        </w:tc>
        <w:tc>
          <w:tcPr>
            <w:tcW w:w="850"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szCs w:val="21"/>
        </w:rPr>
        <w:t>注：无政府采购预算，空表列示。</w:t>
      </w:r>
    </w:p>
    <w:p>
      <w:pPr>
        <w:ind w:firstLine="640"/>
      </w:pPr>
      <w:r>
        <w:rPr>
          <w:rFonts w:eastAsia="方正仿宋_GBK"/>
          <w:color w:val="000000"/>
          <w:sz w:val="32"/>
          <w:szCs w:val="32"/>
        </w:rPr>
        <w:t xml:space="preserve"> </w:t>
      </w:r>
    </w:p>
    <w:p>
      <w:pPr>
        <w:spacing w:before="10" w:after="10"/>
        <w:ind w:firstLine="640"/>
        <w:outlineLvl w:val="5"/>
      </w:pPr>
      <w:r>
        <w:rPr>
          <w:rFonts w:hint="eastAsia" w:ascii="黑体" w:hAnsi="黑体" w:eastAsia="黑体" w:cs="黑体"/>
          <w:color w:val="000000"/>
          <w:sz w:val="32"/>
          <w:szCs w:val="32"/>
        </w:rPr>
        <w:t>七、国有资产信息</w:t>
      </w:r>
    </w:p>
    <w:p>
      <w:pPr>
        <w:spacing w:line="500" w:lineRule="exact"/>
        <w:ind w:firstLine="560"/>
      </w:pPr>
      <w:r>
        <w:rPr>
          <w:rFonts w:hint="eastAsia" w:eastAsia="方正仿宋_GBK" w:cs="方正仿宋_GBK"/>
          <w:color w:val="000000"/>
          <w:sz w:val="28"/>
          <w:szCs w:val="28"/>
        </w:rPr>
        <w:t>曹妃甸区政府金融发展服务中心本级上年末固定资产金额为</w:t>
      </w:r>
      <w:r>
        <w:rPr>
          <w:rFonts w:hint="eastAsia" w:eastAsia="方正仿宋_GBK"/>
          <w:color w:val="000000"/>
          <w:sz w:val="28"/>
          <w:szCs w:val="28"/>
          <w:lang w:val="en-US" w:eastAsia="zh-CN"/>
        </w:rPr>
        <w:t>9.7299</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w:t>
      </w:r>
      <w:r>
        <w:rPr>
          <w:rFonts w:hint="eastAsia" w:eastAsia="方正仿宋_GBK"/>
          <w:color w:val="000000"/>
          <w:sz w:val="28"/>
          <w:szCs w:val="28"/>
          <w:lang w:val="en-US" w:eastAsia="zh-CN"/>
        </w:rPr>
        <w:t>5</w:t>
      </w:r>
      <w:r>
        <w:rPr>
          <w:rFonts w:hint="eastAsia" w:eastAsia="方正仿宋_GBK" w:cs="方正仿宋_GBK"/>
          <w:color w:val="000000"/>
          <w:sz w:val="28"/>
          <w:szCs w:val="28"/>
        </w:rPr>
        <w:t>万元</w:t>
      </w:r>
      <w:bookmarkStart w:id="1" w:name="_GoBack"/>
      <w:bookmarkEnd w:id="1"/>
      <w:r>
        <w:rPr>
          <w:rFonts w:hint="eastAsia" w:eastAsia="方正仿宋_GBK" w:cs="方正仿宋_GBK"/>
          <w:color w:val="000000"/>
          <w:sz w:val="28"/>
          <w:szCs w:val="28"/>
        </w:rPr>
        <w:t>。</w:t>
      </w:r>
    </w:p>
    <w:p>
      <w:pPr>
        <w:jc w:val="center"/>
      </w:pPr>
      <w:r>
        <w:rPr>
          <w:rFonts w:hint="eastAsia" w:ascii="方正小标宋_GBK" w:hAnsi="方正小标宋_GBK" w:eastAsia="方正小标宋_GBK" w:cs="方正小标宋_GBK"/>
          <w:color w:val="000000"/>
          <w:sz w:val="36"/>
          <w:szCs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cs="Times New Roman"/>
              </w:rPr>
            </w:pPr>
            <w:r>
              <w:t>822002</w:t>
            </w:r>
            <w:r>
              <w:rPr>
                <w:rFonts w:hint="eastAsia"/>
              </w:rPr>
              <w:t>曹妃甸区政府金融发展服务中心本级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cs="Times New Roman"/>
              </w:rPr>
            </w:pPr>
            <w:r>
              <w:rPr>
                <w:rFonts w:hint="eastAsia"/>
              </w:rPr>
              <w:t>项</w:t>
            </w:r>
            <w:r>
              <w:t xml:space="preserve">   </w:t>
            </w:r>
            <w:r>
              <w:rPr>
                <w:rFonts w:hint="eastAsia"/>
              </w:rPr>
              <w:t>目</w:t>
            </w:r>
          </w:p>
        </w:tc>
        <w:tc>
          <w:tcPr>
            <w:tcW w:w="2835" w:type="dxa"/>
            <w:vAlign w:val="center"/>
          </w:tcPr>
          <w:p>
            <w:pPr>
              <w:pStyle w:val="12"/>
              <w:rPr>
                <w:rFonts w:cs="Times New Roman"/>
              </w:rPr>
            </w:pPr>
            <w:r>
              <w:rPr>
                <w:rFonts w:hint="eastAsia"/>
              </w:rPr>
              <w:t>数量</w:t>
            </w:r>
          </w:p>
        </w:tc>
        <w:tc>
          <w:tcPr>
            <w:tcW w:w="2835" w:type="dxa"/>
            <w:vAlign w:val="center"/>
          </w:tcPr>
          <w:p>
            <w:pPr>
              <w:pStyle w:val="12"/>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cs="Times New Roman"/>
                <w:lang w:eastAsia="zh-CN"/>
              </w:rPr>
            </w:pPr>
            <w:r>
              <w:rPr>
                <w:rFonts w:hint="eastAsia" w:cs="Times New Roman"/>
                <w:lang w:eastAsia="zh-CN"/>
              </w:rPr>
              <w:t>资产总额</w:t>
            </w:r>
          </w:p>
        </w:tc>
        <w:tc>
          <w:tcPr>
            <w:tcW w:w="2835" w:type="dxa"/>
            <w:vAlign w:val="center"/>
          </w:tcPr>
          <w:p>
            <w:pPr>
              <w:pStyle w:val="15"/>
              <w:rPr>
                <w:rFonts w:cs="Times New Roman"/>
              </w:rPr>
            </w:pPr>
          </w:p>
        </w:tc>
        <w:tc>
          <w:tcPr>
            <w:tcW w:w="2835" w:type="dxa"/>
            <w:vAlign w:val="center"/>
          </w:tcPr>
          <w:p>
            <w:pPr>
              <w:pStyle w:val="13"/>
              <w:rPr>
                <w:rFonts w:hint="default" w:eastAsia="方正书宋_GBK" w:cs="Times New Roman"/>
                <w:lang w:val="en-US" w:eastAsia="zh-CN"/>
              </w:rPr>
            </w:pPr>
            <w:r>
              <w:rPr>
                <w:rFonts w:hint="eastAsia" w:cs="Times New Roman"/>
                <w:lang w:val="en-US" w:eastAsia="zh-CN"/>
              </w:rPr>
              <w:t>9.7299</w:t>
            </w:r>
          </w:p>
        </w:tc>
      </w:tr>
    </w:tbl>
    <w:p>
      <w:pPr>
        <w:ind w:firstLine="640"/>
      </w:pPr>
      <w:r>
        <w:rPr>
          <w:rFonts w:eastAsia="方正仿宋_GBK"/>
          <w:color w:val="000000"/>
          <w:sz w:val="32"/>
          <w:szCs w:val="32"/>
        </w:rPr>
        <w:t xml:space="preserve"> </w:t>
      </w:r>
    </w:p>
    <w:p>
      <w:pPr>
        <w:spacing w:before="10" w:after="10"/>
        <w:ind w:firstLine="640"/>
        <w:outlineLvl w:val="5"/>
        <w:rPr>
          <w:rFonts w:hint="eastAsia" w:ascii="黑体" w:hAnsi="黑体" w:eastAsia="黑体" w:cs="黑体"/>
          <w:color w:val="000000"/>
          <w:sz w:val="32"/>
          <w:szCs w:val="32"/>
        </w:rPr>
      </w:pPr>
    </w:p>
    <w:p>
      <w:pPr>
        <w:spacing w:before="10" w:after="10"/>
        <w:ind w:firstLine="640"/>
        <w:outlineLvl w:val="5"/>
        <w:rPr>
          <w:rFonts w:hint="eastAsia" w:ascii="黑体" w:hAnsi="黑体" w:eastAsia="黑体" w:cs="黑体"/>
          <w:color w:val="000000"/>
          <w:sz w:val="32"/>
          <w:szCs w:val="32"/>
        </w:rPr>
      </w:pPr>
    </w:p>
    <w:p>
      <w:pPr>
        <w:spacing w:before="10" w:after="10"/>
        <w:ind w:firstLine="640"/>
        <w:outlineLvl w:val="5"/>
        <w:rPr>
          <w:rFonts w:hint="eastAsia" w:ascii="黑体" w:hAnsi="黑体" w:eastAsia="黑体" w:cs="黑体"/>
          <w:color w:val="000000"/>
          <w:sz w:val="32"/>
          <w:szCs w:val="32"/>
        </w:rPr>
      </w:pPr>
    </w:p>
    <w:p>
      <w:pPr>
        <w:spacing w:before="10" w:after="10"/>
        <w:ind w:firstLine="640"/>
        <w:outlineLvl w:val="5"/>
      </w:pPr>
      <w:r>
        <w:rPr>
          <w:rFonts w:hint="eastAsia" w:ascii="黑体" w:hAnsi="黑体" w:eastAsia="黑体" w:cs="黑体"/>
          <w:color w:val="000000"/>
          <w:sz w:val="32"/>
          <w:szCs w:val="32"/>
        </w:rPr>
        <w:t>八、名词解释</w:t>
      </w:r>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szCs w:val="32"/>
        </w:rPr>
        <w:t>九、其他需要说明的事项</w:t>
      </w:r>
    </w:p>
    <w:p>
      <w:pPr>
        <w:spacing w:line="500" w:lineRule="exact"/>
        <w:ind w:firstLine="560"/>
      </w:pPr>
      <w:r>
        <w:rPr>
          <w:rFonts w:hint="eastAsia" w:eastAsia="方正仿宋_GBK" w:cs="方正仿宋_GBK"/>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A1B32"/>
    <w:multiLevelType w:val="singleLevel"/>
    <w:tmpl w:val="B8EA1B32"/>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doNotHyphenateCaps/>
  <w:evenAndOddHeaders w:val="true"/>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A39"/>
    <w:rsid w:val="000F3EB7"/>
    <w:rsid w:val="00343FA7"/>
    <w:rsid w:val="0037089F"/>
    <w:rsid w:val="00514273"/>
    <w:rsid w:val="00561A39"/>
    <w:rsid w:val="1B77411E"/>
    <w:rsid w:val="1DF45E0B"/>
    <w:rsid w:val="27790A6B"/>
    <w:rsid w:val="3FFFCA36"/>
    <w:rsid w:val="4F3F1025"/>
    <w:rsid w:val="65DCFE60"/>
    <w:rsid w:val="71CB5780"/>
    <w:rsid w:val="73EF8573"/>
    <w:rsid w:val="79BE40BA"/>
    <w:rsid w:val="7F7D1E59"/>
    <w:rsid w:val="7FFFA9D0"/>
    <w:rsid w:val="8CEA2D20"/>
    <w:rsid w:val="A3F7DBE5"/>
    <w:rsid w:val="BDF67220"/>
    <w:rsid w:val="DB7F526B"/>
    <w:rsid w:val="DF9E6A64"/>
    <w:rsid w:val="F7E9D6BC"/>
    <w:rsid w:val="FDF5B043"/>
    <w:rsid w:val="FDFEEB9C"/>
    <w:rsid w:val="FF3D96BB"/>
    <w:rsid w:val="FF7DE22D"/>
    <w:rsid w:val="FFD606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toc 1"/>
    <w:basedOn w:val="1"/>
    <w:next w:val="1"/>
    <w:semiHidden/>
    <w:qFormat/>
    <w:uiPriority w:val="99"/>
    <w:pPr>
      <w:spacing w:before="120"/>
      <w:ind w:firstLine="560"/>
    </w:pPr>
    <w:rPr>
      <w:rFonts w:eastAsia="方正仿宋_GBK"/>
      <w:color w:val="000000"/>
      <w:sz w:val="28"/>
      <w:szCs w:val="28"/>
    </w:rPr>
  </w:style>
  <w:style w:type="paragraph" w:styleId="4">
    <w:name w:val="toc 4"/>
    <w:basedOn w:val="1"/>
    <w:next w:val="1"/>
    <w:semiHidden/>
    <w:qFormat/>
    <w:uiPriority w:val="99"/>
    <w:pPr>
      <w:ind w:left="720"/>
    </w:pPr>
  </w:style>
  <w:style w:type="paragraph" w:styleId="5">
    <w:name w:val="toc 2"/>
    <w:basedOn w:val="1"/>
    <w:next w:val="1"/>
    <w:semiHidden/>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3">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4">
    <w:name w:val="单元格样式2"/>
    <w:basedOn w:val="1"/>
    <w:qFormat/>
    <w:uiPriority w:val="99"/>
    <w:rPr>
      <w:rFonts w:ascii="方正书宋_GBK" w:hAnsi="方正书宋_GBK" w:eastAsia="方正书宋_GBK" w:cs="方正书宋_GBK"/>
      <w:sz w:val="21"/>
      <w:szCs w:val="21"/>
    </w:rPr>
  </w:style>
  <w:style w:type="paragraph" w:customStyle="1" w:styleId="15">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6">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7">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8">
    <w:name w:val="单元格样式5"/>
    <w:basedOn w:val="1"/>
    <w:qFormat/>
    <w:uiPriority w:val="99"/>
    <w:rPr>
      <w:rFonts w:ascii="方正书宋_GBK" w:hAnsi="方正书宋_GBK" w:eastAsia="方正书宋_GBK" w:cs="方正书宋_GBK"/>
      <w:b/>
      <w:bCs/>
      <w:sz w:val="21"/>
      <w:szCs w:val="21"/>
    </w:rPr>
  </w:style>
  <w:style w:type="paragraph" w:customStyle="1" w:styleId="19">
    <w:name w:val="插入文本样式-插入预算公开部门职责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3">
    <w:name w:val="插入文本样式-插入总体目标文件"/>
    <w:basedOn w:val="1"/>
    <w:qFormat/>
    <w:uiPriority w:val="99"/>
    <w:pPr>
      <w:spacing w:line="500" w:lineRule="exact"/>
      <w:ind w:firstLine="560"/>
    </w:pPr>
    <w:rPr>
      <w:rFonts w:eastAsia="方正仿宋_GBK"/>
      <w:sz w:val="28"/>
      <w:szCs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szCs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39</Pages>
  <Words>2150</Words>
  <Characters>12257</Characters>
  <Lines>0</Lines>
  <Paragraphs>0</Paragraphs>
  <TotalTime>5</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2024-04-26T00:15:00Z</dcterms:created>
  <dc:creator>user</dc:creator>
  <cp:lastModifiedBy>user</cp:lastModifiedBy>
  <dcterms:modified xsi:type="dcterms:W3CDTF">2024-08-14T11:14:43Z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