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政府金融发展服务中心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                      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曹妃甸区政府金融发展服务中心编制</w:t>
      </w: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1.招商引资经费绩效目标表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根据《曹妃甸区政府金融发展服务中心职能配置、内设机构和人员编制规定》，曹妃甸区政府金融发展服务中心的主要职责是：正确贯彻执行国家、省、市金融政策、法律法规,开展银企对接，协助推动区内企业融资、协调域外金融机构加快入驻我区；培育指导区内企业上市融资；牵头开展金融领域风险排查及化解工作，组织防范与打击非法集资宣传工作；负责全区小额贷款公司的监督管理，配合上级部门做好融资担保、典当、融资租赁、商业保理、地方交易场所的监督工作。完成区委、区政府交办的其他事项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（一）完善金融服务体系</w:t>
      </w:r>
    </w:p>
    <w:p>
      <w:pPr>
        <w:pStyle w:val="9"/>
      </w:pPr>
      <w:r>
        <w:t>绩效目标：协调金融机构与全区经济社会发展的衔接，引导金融支持实体经济，开展银企对接活动，引导金融机构加大信贷投入，提供各类金融服务，为本区高质量发展提供有力金融支撑。</w:t>
      </w:r>
    </w:p>
    <w:p>
      <w:pPr>
        <w:pStyle w:val="9"/>
      </w:pPr>
      <w:r>
        <w:t>绩效指标：全年组织各类银企对接活动10次以上</w:t>
      </w:r>
    </w:p>
    <w:p>
      <w:pPr>
        <w:pStyle w:val="9"/>
      </w:pPr>
      <w:r>
        <w:t>（二）企业上市服务</w:t>
      </w:r>
    </w:p>
    <w:p>
      <w:pPr>
        <w:pStyle w:val="9"/>
      </w:pPr>
      <w:r>
        <w:t>绩效目标：建立上市后备企业资源库，培育年度上市后备企业，结合市下达任务，推动企业上市挂牌，完成市下达年度企业上市任务。</w:t>
      </w:r>
    </w:p>
    <w:p>
      <w:pPr>
        <w:pStyle w:val="9"/>
      </w:pPr>
      <w:r>
        <w:t>绩效指标：202</w:t>
      </w:r>
      <w:r>
        <w:rPr>
          <w:rFonts w:hint="eastAsia"/>
          <w:lang w:val="en-US" w:eastAsia="zh-CN"/>
        </w:rPr>
        <w:t>4</w:t>
      </w:r>
      <w:r>
        <w:t>年，力争实现1家企业上市挂牌</w:t>
      </w:r>
    </w:p>
    <w:p>
      <w:pPr>
        <w:pStyle w:val="9"/>
      </w:pPr>
      <w:r>
        <w:t>（三）防范和化解地方金融风险</w:t>
      </w:r>
    </w:p>
    <w:p>
      <w:pPr>
        <w:pStyle w:val="9"/>
      </w:pPr>
      <w:r>
        <w:t>绩效目标：突出宣传教育、风险排查两条主线，常态化开展涉嫌非法集资风险排查、金融领域风险排查活动，坚持条块结合、点面兼顾的原则，确保风险排查做到不留死角，实现全覆盖，确保我区金融行业稳定发展。</w:t>
      </w:r>
    </w:p>
    <w:p>
      <w:pPr>
        <w:pStyle w:val="9"/>
      </w:pPr>
      <w:r>
        <w:t>绩效指标：开展金融领域风险排查、打击非法集资宣传活动4次</w:t>
      </w:r>
    </w:p>
    <w:p>
      <w:pPr>
        <w:pStyle w:val="9"/>
      </w:pPr>
      <w:r>
        <w:t>（四）地方金融监管</w:t>
      </w:r>
    </w:p>
    <w:p>
      <w:pPr>
        <w:pStyle w:val="9"/>
      </w:pPr>
      <w:r>
        <w:t>绩效目标：完善我区地方金融监管体系，全面履行监管职责，做好小额贷款公司、典当、融资担保、融资租赁、商业保理、地方交易场所等行业监管工作，促进金融业健康发展。</w:t>
      </w:r>
    </w:p>
    <w:p>
      <w:pPr>
        <w:pStyle w:val="9"/>
      </w:pPr>
      <w:r>
        <w:t>绩效指标：小额贷款公司审计范围全覆盖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推动企业上市工作，服务上市后备企业发展。深入调研企业发展中存在的问题，尤其是上市后备企业发展的资金问题，助力企业发展；加强企业培训力度，引导上市后备企业规范发展，为上市工作打下良好基础；积极走访，深入挖掘上市后备企业，引导企业规范发展、做大做强。</w:t>
      </w:r>
    </w:p>
    <w:p>
      <w:pPr>
        <w:pStyle w:val="10"/>
      </w:pPr>
      <w:r>
        <w:t>（二）做好金融领域风险排查、化解工作和非法集资宣传教育工作。严格落实上级指示要求，做好各类风险排查和化解处置工作，强化对重点地区和重点行业的宣传教育和风险排查，做好风险监测和防控，打早打小，杜绝金融风险事件和非法集资案件发生。</w:t>
      </w:r>
    </w:p>
    <w:p>
      <w:pPr>
        <w:pStyle w:val="10"/>
      </w:pPr>
      <w:r>
        <w:t>（三）强化银企对接，提升金融服务实体经济能力。积极开展各类银企对接活动，围绕区属企业、重点项目、大型贸易企业、小微企业的融资需求，通过召开银企对接会，“一对一”在线对接模式，推动金融服务实体经济发展需求。</w:t>
      </w:r>
    </w:p>
    <w:p>
      <w:pPr>
        <w:pStyle w:val="10"/>
      </w:pPr>
      <w:r>
        <w:t>（四）完善制度建设。制定完善预算绩效管理制度、资金管理办法、工作保障制度等，为全年预算绩效目标的实现奠定制度基础。</w:t>
      </w:r>
    </w:p>
    <w:p>
      <w:pPr>
        <w:pStyle w:val="10"/>
      </w:pPr>
      <w:r>
        <w:t>（五）加强支出管理。通过优化支出结构、编细编实预算、加快履行政府采购手续、尽快启动项目、及时支付资金、按规定及时下达资金等多种措施，确保支出进度达标。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1.招商引资经费绩效目标表</w:t>
      </w:r>
      <w:bookmarkEnd w:id="3"/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822002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招商引资经费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51.8</w:t>
            </w:r>
            <w:r>
              <w:rPr>
                <w:rFonts w:hint="default" w:ascii="方正书宋_GBK" w:eastAsia="方正书宋_GBK"/>
                <w:lang w:val="en"/>
              </w:rPr>
              <w:t>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书宋_GBK" w:eastAsia="方正书宋_GBK"/>
                <w:lang w:val="e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51.8</w:t>
            </w:r>
            <w:r>
              <w:rPr>
                <w:rFonts w:hint="default" w:ascii="方正书宋_GBK" w:eastAsia="方正书宋_GBK"/>
                <w:lang w:val="e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用于金融发展服务中心日常工作运转。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25</w:t>
            </w:r>
            <w:r>
              <w:rPr>
                <w:rFonts w:ascii="方正书宋_GBK" w:eastAsia="方正书宋_GBK"/>
              </w:rPr>
              <w:t>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50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75%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.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协调金融机构与全区经济社会发展的衔接，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引导金融支持实体经济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.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突出宣传教育、风险排查两天主线，常态化开展涉嫌非法集资风险排查、金融领域风险排查活动。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.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完善我区地方金融监管体系，全面履行监管职责，促进金融业健康发展。</w:t>
            </w:r>
          </w:p>
        </w:tc>
      </w:tr>
    </w:tbl>
    <w:p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5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数量指标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完成率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引入金融、类金融机构数量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≥4家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质量指标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覆盖率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小额贷款公司审计范围覆盖率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100百分比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时效指标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完成工作时间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2024.1</w:t>
            </w:r>
            <w:bookmarkStart w:id="4" w:name="_GoBack"/>
            <w:bookmarkEnd w:id="4"/>
            <w:r>
              <w:t>2.31之前完成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100百分比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成本指标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项目预算控制数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控制在预算资金内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≤51.8万元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经济效益指标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提高效率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银企对接次数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≥10次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社会效益指标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推进工作开展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打击非法集资宣传活动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≥2次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服务对象满意度指标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满意度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金融机构满意度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≥90百分比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年初预算安排</w:t>
            </w:r>
          </w:p>
        </w:tc>
      </w:tr>
    </w:tbl>
    <w:p>
      <w:pPr>
        <w:ind w:firstLine="560"/>
        <w:outlineLvl w:val="3"/>
      </w:pPr>
    </w:p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10"/>
    <w:rsid w:val="00065B49"/>
    <w:rsid w:val="003A1B10"/>
    <w:rsid w:val="3F7DE16D"/>
    <w:rsid w:val="67D300D7"/>
    <w:rsid w:val="7BB72C7E"/>
    <w:rsid w:val="7FFFEDA9"/>
    <w:rsid w:val="B4CDA756"/>
    <w:rsid w:val="CEBF703A"/>
    <w:rsid w:val="D7ECEE36"/>
    <w:rsid w:val="DFD7E6FD"/>
    <w:rsid w:val="E7BBA830"/>
    <w:rsid w:val="FB6AC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357</Words>
  <Characters>2037</Characters>
  <Lines>16</Lines>
  <Paragraphs>4</Paragraphs>
  <TotalTime>0</TotalTime>
  <ScaleCrop>false</ScaleCrop>
  <LinksUpToDate>false</LinksUpToDate>
  <CharactersWithSpaces>2390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2024-03-07T02:43:00Z</dcterms:created>
  <dc:creator>cws</dc:creator>
  <cp:lastModifiedBy>user</cp:lastModifiedBy>
  <dcterms:modified xsi:type="dcterms:W3CDTF">2024-08-13T16:36:02Z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