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0E0" w:rsidRDefault="008160E0">
      <w:pPr>
        <w:kinsoku/>
        <w:autoSpaceDE/>
        <w:autoSpaceDN/>
        <w:adjustRightInd/>
        <w:snapToGrid/>
        <w:jc w:val="center"/>
        <w:textAlignment w:val="auto"/>
        <w:rPr>
          <w:rFonts w:ascii="方正小标宋_GBK" w:eastAsia="方正小标宋_GBK" w:hAnsi="方正小标宋_GBK" w:cs="方正小标宋_GBK"/>
          <w:snapToGrid/>
          <w:sz w:val="72"/>
          <w:szCs w:val="24"/>
          <w:lang w:eastAsia="uk-UA"/>
        </w:rPr>
      </w:pPr>
    </w:p>
    <w:p w:rsidR="008160E0" w:rsidRDefault="004A4D81">
      <w:pPr>
        <w:kinsoku/>
        <w:autoSpaceDE/>
        <w:autoSpaceDN/>
        <w:adjustRightInd/>
        <w:snapToGrid/>
        <w:jc w:val="center"/>
        <w:textAlignment w:val="auto"/>
        <w:rPr>
          <w:rFonts w:ascii="方正小标宋_GBK" w:eastAsia="方正小标宋_GBK" w:hAnsi="方正小标宋_GBK" w:cs="方正小标宋_GBK"/>
          <w:snapToGrid/>
          <w:sz w:val="72"/>
          <w:szCs w:val="24"/>
          <w:lang w:eastAsia="uk-UA"/>
        </w:rPr>
      </w:pPr>
      <w:r>
        <w:rPr>
          <w:rFonts w:ascii="方正小标宋_GBK" w:eastAsia="方正小标宋_GBK" w:hAnsi="方正小标宋_GBK" w:cs="方正小标宋_GBK"/>
          <w:snapToGrid/>
          <w:sz w:val="72"/>
          <w:szCs w:val="24"/>
          <w:lang w:eastAsia="uk-UA"/>
        </w:rPr>
        <w:t>曹妃甸装备制造园区管理委员会部门</w:t>
      </w:r>
    </w:p>
    <w:p w:rsidR="008160E0" w:rsidRDefault="004A4D81">
      <w:pPr>
        <w:kinsoku/>
        <w:autoSpaceDE/>
        <w:autoSpaceDN/>
        <w:adjustRightInd/>
        <w:snapToGrid/>
        <w:jc w:val="center"/>
        <w:textAlignment w:val="auto"/>
        <w:rPr>
          <w:rFonts w:ascii="宋体" w:eastAsia="宋体" w:hAnsi="宋体" w:cs="宋体"/>
          <w:sz w:val="71"/>
          <w:szCs w:val="71"/>
        </w:rPr>
      </w:pPr>
      <w:r>
        <w:rPr>
          <w:rFonts w:ascii="方正小标宋_GBK" w:eastAsia="方正小标宋_GBK" w:hAnsi="方正小标宋_GBK" w:cs="方正小标宋_GBK"/>
          <w:snapToGrid/>
          <w:sz w:val="72"/>
          <w:szCs w:val="24"/>
          <w:lang w:eastAsia="uk-UA"/>
        </w:rPr>
        <w:t>2023</w:t>
      </w:r>
      <w:r>
        <w:rPr>
          <w:rFonts w:ascii="方正小标宋_GBK" w:eastAsia="方正小标宋_GBK" w:hAnsi="方正小标宋_GBK" w:cs="方正小标宋_GBK"/>
          <w:snapToGrid/>
          <w:sz w:val="72"/>
          <w:szCs w:val="24"/>
          <w:lang w:eastAsia="uk-UA"/>
        </w:rPr>
        <w:t>年部门预算绩效文本</w:t>
      </w:r>
    </w:p>
    <w:p w:rsidR="008160E0" w:rsidRDefault="008160E0">
      <w:pPr>
        <w:spacing w:line="248" w:lineRule="auto"/>
      </w:pPr>
    </w:p>
    <w:p w:rsidR="008160E0" w:rsidRDefault="008160E0">
      <w:pPr>
        <w:spacing w:line="248" w:lineRule="auto"/>
      </w:pPr>
    </w:p>
    <w:p w:rsidR="008160E0" w:rsidRDefault="008160E0">
      <w:pPr>
        <w:spacing w:line="248" w:lineRule="auto"/>
      </w:pPr>
    </w:p>
    <w:p w:rsidR="008160E0" w:rsidRDefault="008160E0">
      <w:pPr>
        <w:spacing w:line="248" w:lineRule="auto"/>
      </w:pPr>
    </w:p>
    <w:p w:rsidR="008160E0" w:rsidRDefault="008160E0">
      <w:pPr>
        <w:spacing w:line="248" w:lineRule="auto"/>
      </w:pPr>
    </w:p>
    <w:p w:rsidR="008160E0" w:rsidRDefault="008160E0">
      <w:pPr>
        <w:spacing w:line="248" w:lineRule="auto"/>
      </w:pPr>
    </w:p>
    <w:p w:rsidR="008160E0" w:rsidRDefault="008160E0">
      <w:pPr>
        <w:spacing w:line="248" w:lineRule="auto"/>
      </w:pPr>
    </w:p>
    <w:p w:rsidR="008160E0" w:rsidRDefault="008160E0">
      <w:pPr>
        <w:spacing w:line="248" w:lineRule="auto"/>
      </w:pPr>
    </w:p>
    <w:p w:rsidR="008160E0" w:rsidRDefault="008160E0">
      <w:pPr>
        <w:spacing w:line="248" w:lineRule="auto"/>
      </w:pPr>
    </w:p>
    <w:p w:rsidR="008160E0" w:rsidRDefault="008160E0">
      <w:pPr>
        <w:spacing w:line="248" w:lineRule="auto"/>
      </w:pPr>
    </w:p>
    <w:p w:rsidR="008160E0" w:rsidRDefault="008160E0">
      <w:pPr>
        <w:spacing w:line="248" w:lineRule="auto"/>
      </w:pPr>
    </w:p>
    <w:p w:rsidR="008160E0" w:rsidRDefault="008160E0">
      <w:pPr>
        <w:spacing w:line="248" w:lineRule="auto"/>
      </w:pPr>
    </w:p>
    <w:p w:rsidR="008160E0" w:rsidRDefault="008160E0">
      <w:pPr>
        <w:spacing w:line="248" w:lineRule="auto"/>
      </w:pPr>
    </w:p>
    <w:p w:rsidR="008160E0" w:rsidRDefault="008160E0">
      <w:pPr>
        <w:spacing w:line="248" w:lineRule="auto"/>
      </w:pPr>
    </w:p>
    <w:p w:rsidR="008160E0" w:rsidRDefault="008160E0">
      <w:pPr>
        <w:spacing w:line="248" w:lineRule="auto"/>
      </w:pPr>
    </w:p>
    <w:p w:rsidR="008160E0" w:rsidRDefault="008160E0">
      <w:pPr>
        <w:spacing w:line="248" w:lineRule="auto"/>
      </w:pPr>
    </w:p>
    <w:p w:rsidR="008160E0" w:rsidRDefault="008160E0">
      <w:pPr>
        <w:spacing w:line="248" w:lineRule="auto"/>
      </w:pPr>
    </w:p>
    <w:p w:rsidR="008160E0" w:rsidRDefault="008160E0">
      <w:pPr>
        <w:spacing w:line="248" w:lineRule="auto"/>
      </w:pPr>
    </w:p>
    <w:p w:rsidR="008160E0" w:rsidRDefault="008160E0">
      <w:pPr>
        <w:spacing w:line="248" w:lineRule="auto"/>
      </w:pPr>
    </w:p>
    <w:p w:rsidR="008160E0" w:rsidRDefault="008160E0">
      <w:pPr>
        <w:spacing w:line="248" w:lineRule="auto"/>
      </w:pPr>
    </w:p>
    <w:p w:rsidR="008160E0" w:rsidRDefault="008160E0">
      <w:pPr>
        <w:pStyle w:val="a3"/>
      </w:pPr>
    </w:p>
    <w:p w:rsidR="008160E0" w:rsidRDefault="008160E0">
      <w:pPr>
        <w:pStyle w:val="a3"/>
      </w:pPr>
    </w:p>
    <w:p w:rsidR="008160E0" w:rsidRDefault="008160E0">
      <w:pPr>
        <w:spacing w:line="249" w:lineRule="auto"/>
      </w:pPr>
    </w:p>
    <w:p w:rsidR="008160E0" w:rsidRDefault="008160E0">
      <w:pPr>
        <w:pStyle w:val="a3"/>
      </w:pPr>
    </w:p>
    <w:p w:rsidR="008160E0" w:rsidRDefault="008160E0">
      <w:pPr>
        <w:spacing w:line="249" w:lineRule="auto"/>
      </w:pPr>
    </w:p>
    <w:p w:rsidR="008160E0" w:rsidRDefault="008160E0">
      <w:pPr>
        <w:spacing w:line="249" w:lineRule="auto"/>
      </w:pPr>
    </w:p>
    <w:p w:rsidR="008160E0" w:rsidRDefault="008160E0">
      <w:pPr>
        <w:spacing w:line="249" w:lineRule="auto"/>
      </w:pPr>
    </w:p>
    <w:p w:rsidR="008160E0" w:rsidRDefault="008160E0">
      <w:pPr>
        <w:spacing w:line="249" w:lineRule="auto"/>
        <w:rPr>
          <w:rFonts w:eastAsiaTheme="minorEastAsia"/>
        </w:rPr>
      </w:pPr>
    </w:p>
    <w:p w:rsidR="008160E0" w:rsidRDefault="004A4D81">
      <w:pPr>
        <w:kinsoku/>
        <w:autoSpaceDE/>
        <w:autoSpaceDN/>
        <w:adjustRightInd/>
        <w:snapToGrid/>
        <w:jc w:val="center"/>
        <w:textAlignment w:val="auto"/>
        <w:rPr>
          <w:rFonts w:ascii="方正楷体_GBK" w:eastAsia="方正楷体_GBK" w:hAnsi="方正楷体_GBK" w:cs="方正楷体_GBK"/>
          <w:b/>
          <w:snapToGrid/>
          <w:sz w:val="32"/>
          <w:szCs w:val="24"/>
          <w:lang w:eastAsia="uk-UA"/>
        </w:rPr>
      </w:pPr>
      <w:r>
        <w:rPr>
          <w:rFonts w:ascii="方正楷体_GBK" w:eastAsia="方正楷体_GBK" w:hAnsi="方正楷体_GBK" w:cs="方正楷体_GBK" w:hint="eastAsia"/>
          <w:b/>
          <w:snapToGrid/>
          <w:sz w:val="32"/>
          <w:szCs w:val="24"/>
          <w:lang w:eastAsia="uk-UA"/>
        </w:rPr>
        <w:t>曹妃甸</w:t>
      </w:r>
      <w:r>
        <w:rPr>
          <w:rFonts w:ascii="方正楷体_GBK" w:eastAsia="方正楷体_GBK" w:hAnsi="方正楷体_GBK" w:cs="方正楷体_GBK"/>
          <w:b/>
          <w:snapToGrid/>
          <w:sz w:val="32"/>
          <w:szCs w:val="24"/>
          <w:lang w:eastAsia="uk-UA"/>
        </w:rPr>
        <w:t>装备制造园区管理委员会部门编制</w:t>
      </w:r>
    </w:p>
    <w:p w:rsidR="008160E0" w:rsidRDefault="004A4D81">
      <w:pPr>
        <w:kinsoku/>
        <w:autoSpaceDE/>
        <w:autoSpaceDN/>
        <w:adjustRightInd/>
        <w:snapToGrid/>
        <w:jc w:val="center"/>
        <w:textAlignment w:val="auto"/>
        <w:rPr>
          <w:rFonts w:ascii="方正楷体_GBK" w:eastAsia="方正楷体_GBK" w:hAnsi="方正楷体_GBK" w:cs="方正楷体_GBK"/>
          <w:b/>
          <w:snapToGrid/>
          <w:sz w:val="32"/>
          <w:szCs w:val="24"/>
          <w:lang w:eastAsia="uk-UA"/>
        </w:rPr>
      </w:pPr>
      <w:r>
        <w:rPr>
          <w:rFonts w:ascii="方正楷体_GBK" w:eastAsia="方正楷体_GBK" w:hAnsi="方正楷体_GBK" w:cs="方正楷体_GBK" w:hint="eastAsia"/>
          <w:b/>
          <w:snapToGrid/>
          <w:sz w:val="32"/>
          <w:szCs w:val="24"/>
          <w:lang w:eastAsia="uk-UA"/>
        </w:rPr>
        <w:t>2023</w:t>
      </w:r>
      <w:r>
        <w:rPr>
          <w:rFonts w:ascii="方正楷体_GBK" w:eastAsia="方正楷体_GBK" w:hAnsi="方正楷体_GBK" w:cs="方正楷体_GBK" w:hint="eastAsia"/>
          <w:b/>
          <w:snapToGrid/>
          <w:sz w:val="32"/>
          <w:szCs w:val="24"/>
          <w:lang w:eastAsia="uk-UA"/>
        </w:rPr>
        <w:t>年</w:t>
      </w:r>
      <w:r>
        <w:rPr>
          <w:rFonts w:ascii="方正楷体_GBK" w:eastAsia="方正楷体_GBK" w:hAnsi="方正楷体_GBK" w:cs="方正楷体_GBK" w:hint="eastAsia"/>
          <w:b/>
          <w:snapToGrid/>
          <w:sz w:val="32"/>
          <w:szCs w:val="24"/>
          <w:lang w:eastAsia="uk-UA"/>
        </w:rPr>
        <w:t>01</w:t>
      </w:r>
      <w:r>
        <w:rPr>
          <w:rFonts w:ascii="方正楷体_GBK" w:eastAsia="方正楷体_GBK" w:hAnsi="方正楷体_GBK" w:cs="方正楷体_GBK" w:hint="eastAsia"/>
          <w:b/>
          <w:snapToGrid/>
          <w:sz w:val="32"/>
          <w:szCs w:val="24"/>
          <w:lang w:eastAsia="uk-UA"/>
        </w:rPr>
        <w:t>月</w:t>
      </w:r>
      <w:r>
        <w:rPr>
          <w:rFonts w:ascii="方正楷体_GBK" w:eastAsia="方正楷体_GBK" w:hAnsi="方正楷体_GBK" w:cs="方正楷体_GBK" w:hint="eastAsia"/>
          <w:b/>
          <w:snapToGrid/>
          <w:sz w:val="32"/>
          <w:szCs w:val="24"/>
          <w:lang w:eastAsia="uk-UA"/>
        </w:rPr>
        <w:t>03</w:t>
      </w:r>
      <w:r>
        <w:rPr>
          <w:rFonts w:ascii="方正楷体_GBK" w:eastAsia="方正楷体_GBK" w:hAnsi="方正楷体_GBK" w:cs="方正楷体_GBK" w:hint="eastAsia"/>
          <w:b/>
          <w:snapToGrid/>
          <w:sz w:val="32"/>
          <w:szCs w:val="24"/>
          <w:lang w:eastAsia="uk-UA"/>
        </w:rPr>
        <w:t>日</w:t>
      </w:r>
    </w:p>
    <w:p w:rsidR="008160E0" w:rsidRDefault="008160E0">
      <w:pPr>
        <w:spacing w:line="265" w:lineRule="auto"/>
      </w:pPr>
    </w:p>
    <w:p w:rsidR="008160E0" w:rsidRDefault="008160E0">
      <w:pPr>
        <w:spacing w:line="265" w:lineRule="auto"/>
      </w:pPr>
    </w:p>
    <w:p w:rsidR="008160E0" w:rsidRDefault="008160E0">
      <w:pPr>
        <w:spacing w:line="266" w:lineRule="auto"/>
      </w:pPr>
    </w:p>
    <w:p w:rsidR="008160E0" w:rsidRDefault="008160E0">
      <w:pPr>
        <w:spacing w:line="266" w:lineRule="auto"/>
      </w:pPr>
    </w:p>
    <w:p w:rsidR="008160E0" w:rsidRDefault="004A4D81">
      <w:pPr>
        <w:spacing w:before="133" w:line="221" w:lineRule="auto"/>
        <w:ind w:left="3765"/>
        <w:rPr>
          <w:rFonts w:ascii="宋体" w:eastAsia="宋体" w:hAnsi="宋体" w:cs="宋体"/>
          <w:sz w:val="41"/>
          <w:szCs w:val="41"/>
        </w:rPr>
      </w:pPr>
      <w:r>
        <w:rPr>
          <w:rFonts w:ascii="宋体" w:eastAsia="宋体" w:hAnsi="宋体" w:cs="宋体"/>
          <w:b/>
          <w:bCs/>
          <w:spacing w:val="-52"/>
          <w:sz w:val="41"/>
          <w:szCs w:val="41"/>
        </w:rPr>
        <w:lastRenderedPageBreak/>
        <w:t>目</w:t>
      </w:r>
      <w:r>
        <w:rPr>
          <w:rFonts w:ascii="宋体" w:eastAsia="宋体" w:hAnsi="宋体" w:cs="宋体"/>
          <w:spacing w:val="4"/>
          <w:sz w:val="41"/>
          <w:szCs w:val="41"/>
        </w:rPr>
        <w:t xml:space="preserve">    </w:t>
      </w:r>
      <w:r>
        <w:rPr>
          <w:rFonts w:ascii="宋体" w:eastAsia="宋体" w:hAnsi="宋体" w:cs="宋体"/>
          <w:b/>
          <w:bCs/>
          <w:spacing w:val="-52"/>
          <w:sz w:val="41"/>
          <w:szCs w:val="41"/>
        </w:rPr>
        <w:t>录</w:t>
      </w:r>
    </w:p>
    <w:p w:rsidR="008160E0" w:rsidRDefault="008160E0">
      <w:pPr>
        <w:spacing w:line="284" w:lineRule="auto"/>
      </w:pPr>
    </w:p>
    <w:p w:rsidR="008160E0" w:rsidRDefault="008160E0">
      <w:pPr>
        <w:spacing w:line="284" w:lineRule="auto"/>
      </w:pPr>
    </w:p>
    <w:p w:rsidR="008160E0" w:rsidRDefault="008160E0">
      <w:pPr>
        <w:spacing w:line="284" w:lineRule="auto"/>
      </w:pPr>
    </w:p>
    <w:p w:rsidR="008160E0" w:rsidRDefault="004A4D81">
      <w:pPr>
        <w:jc w:val="center"/>
      </w:pPr>
      <w:r>
        <w:rPr>
          <w:rFonts w:ascii="方正小标宋_GBK" w:eastAsia="方正小标宋_GBK" w:hAnsi="方正小标宋_GBK" w:cs="方正小标宋_GBK"/>
          <w:sz w:val="30"/>
        </w:rPr>
        <w:t>第一部分</w:t>
      </w:r>
      <w:r>
        <w:rPr>
          <w:rFonts w:ascii="方正小标宋_GBK" w:eastAsia="方正小标宋_GBK" w:hAnsi="方正小标宋_GBK" w:cs="方正小标宋_GBK"/>
          <w:sz w:val="30"/>
        </w:rPr>
        <w:t xml:space="preserve"> </w:t>
      </w:r>
      <w:r>
        <w:rPr>
          <w:rFonts w:ascii="方正小标宋_GBK" w:eastAsia="方正小标宋_GBK" w:hAnsi="方正小标宋_GBK" w:cs="方正小标宋_GBK"/>
          <w:sz w:val="30"/>
        </w:rPr>
        <w:t>部门整体绩效目标</w:t>
      </w:r>
    </w:p>
    <w:p w:rsidR="008160E0" w:rsidRDefault="004A4D81">
      <w:pPr>
        <w:pStyle w:val="11"/>
        <w:tabs>
          <w:tab w:val="right" w:leader="dot" w:pos="9282"/>
        </w:tabs>
      </w:pPr>
      <w:r>
        <w:fldChar w:fldCharType="begin"/>
      </w:r>
      <w:r>
        <w:instrText>TOC \o "2-2" \h \z \u</w:instrText>
      </w:r>
      <w:r>
        <w:fldChar w:fldCharType="separate"/>
      </w:r>
      <w:hyperlink w:anchor="_Toc_2_2_0000000001" w:history="1">
        <w:r>
          <w:t>一、总体绩效目标</w:t>
        </w:r>
        <w:r>
          <w:tab/>
        </w:r>
        <w:r>
          <w:fldChar w:fldCharType="begin"/>
        </w:r>
        <w:r>
          <w:instrText>PAGEREF _Toc_2_2_0000000001 \h</w:instrText>
        </w:r>
        <w:r>
          <w:fldChar w:fldCharType="separate"/>
        </w:r>
        <w:r>
          <w:t>1</w:t>
        </w:r>
        <w:r>
          <w:fldChar w:fldCharType="end"/>
        </w:r>
      </w:hyperlink>
    </w:p>
    <w:p w:rsidR="008160E0" w:rsidRDefault="004A4D81">
      <w:pPr>
        <w:pStyle w:val="11"/>
        <w:tabs>
          <w:tab w:val="right" w:leader="dot" w:pos="9282"/>
        </w:tabs>
      </w:pPr>
      <w:hyperlink w:anchor="_Toc_2_2_0000000002" w:history="1">
        <w:r>
          <w:t>二、分项绩效目标</w:t>
        </w:r>
        <w:r>
          <w:tab/>
        </w:r>
        <w:r>
          <w:fldChar w:fldCharType="begin"/>
        </w:r>
        <w:r>
          <w:instrText>PAGEREF _Toc_2_2_0000000002 \h</w:instrText>
        </w:r>
        <w:r>
          <w:fldChar w:fldCharType="separate"/>
        </w:r>
        <w:r>
          <w:t>1</w:t>
        </w:r>
        <w:r>
          <w:fldChar w:fldCharType="end"/>
        </w:r>
      </w:hyperlink>
    </w:p>
    <w:p w:rsidR="008160E0" w:rsidRDefault="004A4D81">
      <w:pPr>
        <w:pStyle w:val="11"/>
        <w:tabs>
          <w:tab w:val="right" w:leader="dot" w:pos="9282"/>
        </w:tabs>
      </w:pPr>
      <w:hyperlink w:anchor="_Toc_2_2_0000000003" w:history="1">
        <w:r>
          <w:t>三、工作保障措施</w:t>
        </w:r>
        <w:r>
          <w:tab/>
        </w:r>
        <w:r>
          <w:fldChar w:fldCharType="begin"/>
        </w:r>
        <w:r>
          <w:instrText>PAGEREF _Toc_2_2_0000000003 \h</w:instrText>
        </w:r>
        <w:r>
          <w:fldChar w:fldCharType="separate"/>
        </w:r>
        <w:r>
          <w:t>1</w:t>
        </w:r>
        <w:r>
          <w:fldChar w:fldCharType="end"/>
        </w:r>
      </w:hyperlink>
    </w:p>
    <w:p w:rsidR="008160E0" w:rsidRDefault="004A4D81">
      <w:pPr>
        <w:ind w:firstLine="560"/>
        <w:outlineLvl w:val="3"/>
        <w:rPr>
          <w:rFonts w:ascii="Times New Roman" w:hAnsi="Times New Roman" w:cs="Times New Roman"/>
        </w:rPr>
      </w:pPr>
      <w:r>
        <w:fldChar w:fldCharType="end"/>
      </w:r>
    </w:p>
    <w:p w:rsidR="008160E0" w:rsidRDefault="008160E0">
      <w:pPr>
        <w:ind w:firstLine="560"/>
        <w:outlineLvl w:val="3"/>
      </w:pPr>
    </w:p>
    <w:p w:rsidR="00C50771" w:rsidRDefault="00C50771">
      <w:pPr>
        <w:spacing w:before="143" w:line="219" w:lineRule="auto"/>
        <w:jc w:val="center"/>
        <w:rPr>
          <w:rFonts w:ascii="宋体" w:eastAsia="宋体" w:hAnsi="宋体" w:cs="宋体" w:hint="eastAsia"/>
          <w:b/>
          <w:bCs/>
          <w:spacing w:val="-7"/>
          <w:sz w:val="44"/>
          <w:szCs w:val="44"/>
        </w:rPr>
      </w:pPr>
    </w:p>
    <w:p w:rsidR="00C50771" w:rsidRDefault="00C50771">
      <w:pPr>
        <w:spacing w:before="143" w:line="219" w:lineRule="auto"/>
        <w:jc w:val="center"/>
        <w:rPr>
          <w:rFonts w:ascii="宋体" w:eastAsia="宋体" w:hAnsi="宋体" w:cs="宋体" w:hint="eastAsia"/>
          <w:b/>
          <w:bCs/>
          <w:spacing w:val="-7"/>
          <w:sz w:val="44"/>
          <w:szCs w:val="44"/>
        </w:rPr>
      </w:pPr>
    </w:p>
    <w:p w:rsidR="00C50771" w:rsidRDefault="00C50771">
      <w:pPr>
        <w:spacing w:before="143" w:line="219" w:lineRule="auto"/>
        <w:jc w:val="center"/>
        <w:rPr>
          <w:rFonts w:ascii="宋体" w:eastAsia="宋体" w:hAnsi="宋体" w:cs="宋体" w:hint="eastAsia"/>
          <w:b/>
          <w:bCs/>
          <w:spacing w:val="-7"/>
          <w:sz w:val="44"/>
          <w:szCs w:val="44"/>
        </w:rPr>
      </w:pPr>
    </w:p>
    <w:p w:rsidR="00C50771" w:rsidRDefault="00C50771">
      <w:pPr>
        <w:spacing w:before="143" w:line="219" w:lineRule="auto"/>
        <w:jc w:val="center"/>
        <w:rPr>
          <w:rFonts w:ascii="宋体" w:eastAsia="宋体" w:hAnsi="宋体" w:cs="宋体" w:hint="eastAsia"/>
          <w:b/>
          <w:bCs/>
          <w:spacing w:val="-7"/>
          <w:sz w:val="44"/>
          <w:szCs w:val="44"/>
        </w:rPr>
      </w:pPr>
    </w:p>
    <w:p w:rsidR="00C50771" w:rsidRDefault="00C50771">
      <w:pPr>
        <w:spacing w:before="143" w:line="219" w:lineRule="auto"/>
        <w:jc w:val="center"/>
        <w:rPr>
          <w:rFonts w:ascii="宋体" w:eastAsia="宋体" w:hAnsi="宋体" w:cs="宋体" w:hint="eastAsia"/>
          <w:b/>
          <w:bCs/>
          <w:spacing w:val="-7"/>
          <w:sz w:val="44"/>
          <w:szCs w:val="44"/>
        </w:rPr>
      </w:pPr>
    </w:p>
    <w:p w:rsidR="00C50771" w:rsidRDefault="00C50771">
      <w:pPr>
        <w:spacing w:before="143" w:line="219" w:lineRule="auto"/>
        <w:jc w:val="center"/>
        <w:rPr>
          <w:rFonts w:ascii="宋体" w:eastAsia="宋体" w:hAnsi="宋体" w:cs="宋体" w:hint="eastAsia"/>
          <w:b/>
          <w:bCs/>
          <w:spacing w:val="-7"/>
          <w:sz w:val="44"/>
          <w:szCs w:val="44"/>
        </w:rPr>
      </w:pPr>
    </w:p>
    <w:p w:rsidR="00C50771" w:rsidRDefault="00C50771">
      <w:pPr>
        <w:spacing w:before="143" w:line="219" w:lineRule="auto"/>
        <w:jc w:val="center"/>
        <w:rPr>
          <w:rFonts w:ascii="宋体" w:eastAsia="宋体" w:hAnsi="宋体" w:cs="宋体" w:hint="eastAsia"/>
          <w:b/>
          <w:bCs/>
          <w:spacing w:val="-7"/>
          <w:sz w:val="44"/>
          <w:szCs w:val="44"/>
        </w:rPr>
      </w:pPr>
    </w:p>
    <w:p w:rsidR="00C50771" w:rsidRDefault="00C50771">
      <w:pPr>
        <w:spacing w:before="143" w:line="219" w:lineRule="auto"/>
        <w:jc w:val="center"/>
        <w:rPr>
          <w:rFonts w:ascii="宋体" w:eastAsia="宋体" w:hAnsi="宋体" w:cs="宋体" w:hint="eastAsia"/>
          <w:b/>
          <w:bCs/>
          <w:spacing w:val="-7"/>
          <w:sz w:val="44"/>
          <w:szCs w:val="44"/>
        </w:rPr>
      </w:pPr>
    </w:p>
    <w:p w:rsidR="00C50771" w:rsidRDefault="00C50771">
      <w:pPr>
        <w:spacing w:before="143" w:line="219" w:lineRule="auto"/>
        <w:jc w:val="center"/>
        <w:rPr>
          <w:rFonts w:ascii="宋体" w:eastAsia="宋体" w:hAnsi="宋体" w:cs="宋体" w:hint="eastAsia"/>
          <w:b/>
          <w:bCs/>
          <w:spacing w:val="-7"/>
          <w:sz w:val="44"/>
          <w:szCs w:val="44"/>
        </w:rPr>
      </w:pPr>
    </w:p>
    <w:p w:rsidR="00C50771" w:rsidRDefault="00C50771">
      <w:pPr>
        <w:spacing w:before="143" w:line="219" w:lineRule="auto"/>
        <w:jc w:val="center"/>
        <w:rPr>
          <w:rFonts w:ascii="宋体" w:eastAsia="宋体" w:hAnsi="宋体" w:cs="宋体" w:hint="eastAsia"/>
          <w:b/>
          <w:bCs/>
          <w:spacing w:val="-7"/>
          <w:sz w:val="44"/>
          <w:szCs w:val="44"/>
        </w:rPr>
      </w:pPr>
    </w:p>
    <w:p w:rsidR="00C50771" w:rsidRDefault="00C50771">
      <w:pPr>
        <w:spacing w:before="143" w:line="219" w:lineRule="auto"/>
        <w:jc w:val="center"/>
        <w:rPr>
          <w:rFonts w:ascii="宋体" w:eastAsia="宋体" w:hAnsi="宋体" w:cs="宋体" w:hint="eastAsia"/>
          <w:b/>
          <w:bCs/>
          <w:spacing w:val="-7"/>
          <w:sz w:val="44"/>
          <w:szCs w:val="44"/>
        </w:rPr>
      </w:pPr>
    </w:p>
    <w:p w:rsidR="00C50771" w:rsidRDefault="00C50771">
      <w:pPr>
        <w:spacing w:before="143" w:line="219" w:lineRule="auto"/>
        <w:jc w:val="center"/>
        <w:rPr>
          <w:rFonts w:ascii="宋体" w:eastAsia="宋体" w:hAnsi="宋体" w:cs="宋体" w:hint="eastAsia"/>
          <w:b/>
          <w:bCs/>
          <w:spacing w:val="-7"/>
          <w:sz w:val="44"/>
          <w:szCs w:val="44"/>
        </w:rPr>
      </w:pPr>
    </w:p>
    <w:p w:rsidR="00C50771" w:rsidRDefault="00C50771">
      <w:pPr>
        <w:spacing w:before="143" w:line="219" w:lineRule="auto"/>
        <w:jc w:val="center"/>
        <w:rPr>
          <w:rFonts w:ascii="宋体" w:eastAsia="宋体" w:hAnsi="宋体" w:cs="宋体" w:hint="eastAsia"/>
          <w:b/>
          <w:bCs/>
          <w:spacing w:val="-7"/>
          <w:sz w:val="44"/>
          <w:szCs w:val="44"/>
        </w:rPr>
      </w:pPr>
    </w:p>
    <w:p w:rsidR="00C50771" w:rsidRDefault="00C50771">
      <w:pPr>
        <w:spacing w:before="143" w:line="219" w:lineRule="auto"/>
        <w:jc w:val="center"/>
        <w:rPr>
          <w:rFonts w:ascii="宋体" w:eastAsia="宋体" w:hAnsi="宋体" w:cs="宋体" w:hint="eastAsia"/>
          <w:b/>
          <w:bCs/>
          <w:spacing w:val="-7"/>
          <w:sz w:val="44"/>
          <w:szCs w:val="44"/>
        </w:rPr>
      </w:pPr>
    </w:p>
    <w:p w:rsidR="008160E0" w:rsidRDefault="004A4D81">
      <w:pPr>
        <w:spacing w:before="143" w:line="219" w:lineRule="auto"/>
        <w:jc w:val="center"/>
        <w:rPr>
          <w:rFonts w:ascii="宋体" w:eastAsia="宋体" w:hAnsi="宋体" w:cs="宋体"/>
          <w:sz w:val="44"/>
          <w:szCs w:val="44"/>
        </w:rPr>
      </w:pPr>
      <w:bookmarkStart w:id="0" w:name="_GoBack"/>
      <w:bookmarkEnd w:id="0"/>
      <w:r>
        <w:rPr>
          <w:rFonts w:ascii="宋体" w:eastAsia="宋体" w:hAnsi="宋体" w:cs="宋体"/>
          <w:b/>
          <w:bCs/>
          <w:spacing w:val="-7"/>
          <w:sz w:val="44"/>
          <w:szCs w:val="44"/>
        </w:rPr>
        <w:lastRenderedPageBreak/>
        <w:t>第一部分</w:t>
      </w:r>
    </w:p>
    <w:p w:rsidR="008160E0" w:rsidRDefault="004A4D81">
      <w:pPr>
        <w:spacing w:before="158" w:line="219" w:lineRule="auto"/>
        <w:ind w:left="1976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/>
          <w:b/>
          <w:bCs/>
          <w:spacing w:val="5"/>
          <w:sz w:val="44"/>
          <w:szCs w:val="44"/>
        </w:rPr>
        <w:t>2023</w:t>
      </w:r>
      <w:r>
        <w:rPr>
          <w:rFonts w:ascii="宋体" w:eastAsia="宋体" w:hAnsi="宋体" w:cs="宋体"/>
          <w:b/>
          <w:bCs/>
          <w:spacing w:val="5"/>
          <w:sz w:val="44"/>
          <w:szCs w:val="44"/>
        </w:rPr>
        <w:t>年部门整体绩效目标</w:t>
      </w:r>
    </w:p>
    <w:p w:rsidR="008160E0" w:rsidRDefault="008160E0">
      <w:pPr>
        <w:spacing w:line="312" w:lineRule="auto"/>
      </w:pPr>
    </w:p>
    <w:p w:rsidR="008160E0" w:rsidRDefault="008160E0">
      <w:pPr>
        <w:spacing w:line="312" w:lineRule="auto"/>
      </w:pPr>
    </w:p>
    <w:p w:rsidR="008160E0" w:rsidRDefault="008160E0">
      <w:pPr>
        <w:spacing w:line="312" w:lineRule="auto"/>
      </w:pPr>
    </w:p>
    <w:p w:rsidR="008160E0" w:rsidRDefault="004A4D81">
      <w:pPr>
        <w:kinsoku/>
        <w:autoSpaceDE/>
        <w:autoSpaceDN/>
        <w:adjustRightInd/>
        <w:snapToGrid/>
        <w:spacing w:line="570" w:lineRule="exact"/>
        <w:ind w:firstLineChars="200" w:firstLine="560"/>
        <w:jc w:val="both"/>
        <w:textAlignment w:val="auto"/>
        <w:rPr>
          <w:rFonts w:ascii="方正黑体_GBK" w:eastAsia="方正黑体_GBK" w:hAnsi="方正黑体_GBK" w:cs="方正黑体_GBK"/>
          <w:snapToGrid/>
          <w:sz w:val="28"/>
          <w:szCs w:val="24"/>
          <w:lang w:eastAsia="uk-UA"/>
        </w:rPr>
      </w:pPr>
      <w:r>
        <w:rPr>
          <w:rFonts w:ascii="方正黑体_GBK" w:eastAsia="方正黑体_GBK" w:hAnsi="方正黑体_GBK" w:cs="方正黑体_GBK" w:hint="eastAsia"/>
          <w:snapToGrid/>
          <w:sz w:val="28"/>
          <w:szCs w:val="24"/>
          <w:lang w:eastAsia="uk-UA"/>
        </w:rPr>
        <w:t>一、总体绩效目标</w:t>
      </w:r>
    </w:p>
    <w:p w:rsidR="008160E0" w:rsidRDefault="004A4D81">
      <w:pPr>
        <w:kinsoku/>
        <w:autoSpaceDE/>
        <w:autoSpaceDN/>
        <w:adjustRightInd/>
        <w:snapToGrid/>
        <w:spacing w:line="570" w:lineRule="exact"/>
        <w:ind w:firstLineChars="200" w:firstLine="560"/>
        <w:jc w:val="both"/>
        <w:textAlignment w:val="auto"/>
        <w:rPr>
          <w:rFonts w:ascii="方正黑体_GBK" w:eastAsia="方正黑体_GBK" w:hAnsi="方正黑体_GBK" w:cs="方正黑体_GBK"/>
          <w:snapToGrid/>
          <w:sz w:val="28"/>
          <w:szCs w:val="24"/>
          <w:lang w:eastAsia="uk-UA"/>
        </w:rPr>
      </w:pPr>
      <w:r>
        <w:rPr>
          <w:rFonts w:ascii="方正黑体_GBK" w:eastAsia="方正黑体_GBK" w:hAnsi="方正黑体_GBK" w:cs="方正黑体_GBK" w:hint="eastAsia"/>
          <w:snapToGrid/>
          <w:sz w:val="28"/>
          <w:szCs w:val="24"/>
          <w:lang w:eastAsia="uk-UA"/>
        </w:rPr>
        <w:t>装备园区坚定“抓招商、上项目、促运营”工作主线不放松，一步一个脚印，扎实推进园区各项工作再上新台阶。</w:t>
      </w:r>
      <w:r>
        <w:rPr>
          <w:rFonts w:ascii="方正黑体_GBK" w:eastAsia="方正黑体_GBK" w:hAnsi="方正黑体_GBK" w:cs="方正黑体_GBK" w:hint="eastAsia"/>
          <w:snapToGrid/>
          <w:sz w:val="28"/>
          <w:szCs w:val="24"/>
          <w:lang w:eastAsia="uk-UA"/>
        </w:rPr>
        <w:t>2023</w:t>
      </w:r>
      <w:r>
        <w:rPr>
          <w:rFonts w:ascii="方正黑体_GBK" w:eastAsia="方正黑体_GBK" w:hAnsi="方正黑体_GBK" w:cs="方正黑体_GBK" w:hint="eastAsia"/>
          <w:snapToGrid/>
          <w:sz w:val="28"/>
          <w:szCs w:val="24"/>
          <w:lang w:eastAsia="uk-UA"/>
        </w:rPr>
        <w:t>年主要经济指标预期</w:t>
      </w:r>
      <w:r>
        <w:rPr>
          <w:rFonts w:ascii="方正黑体_GBK" w:eastAsia="方正黑体_GBK" w:hAnsi="方正黑体_GBK" w:cs="方正黑体_GBK" w:hint="eastAsia"/>
          <w:snapToGrid/>
          <w:sz w:val="28"/>
          <w:szCs w:val="24"/>
          <w:lang w:eastAsia="uk-UA"/>
        </w:rPr>
        <w:t>:</w:t>
      </w:r>
      <w:r>
        <w:rPr>
          <w:rFonts w:ascii="方正黑体_GBK" w:eastAsia="方正黑体_GBK" w:hAnsi="方正黑体_GBK" w:cs="方正黑体_GBK" w:hint="eastAsia"/>
          <w:snapToGrid/>
          <w:sz w:val="28"/>
          <w:szCs w:val="24"/>
          <w:lang w:eastAsia="uk-UA"/>
        </w:rPr>
        <w:t>预计完成新开工亿元以上项目</w:t>
      </w:r>
      <w:r>
        <w:rPr>
          <w:rFonts w:ascii="方正黑体_GBK" w:eastAsia="方正黑体_GBK" w:hAnsi="方正黑体_GBK" w:cs="方正黑体_GBK" w:hint="eastAsia"/>
          <w:snapToGrid/>
          <w:sz w:val="28"/>
          <w:szCs w:val="24"/>
          <w:lang w:eastAsia="uk-UA"/>
        </w:rPr>
        <w:t>16</w:t>
      </w:r>
      <w:r>
        <w:rPr>
          <w:rFonts w:ascii="方正黑体_GBK" w:eastAsia="方正黑体_GBK" w:hAnsi="方正黑体_GBK" w:cs="方正黑体_GBK" w:hint="eastAsia"/>
          <w:snapToGrid/>
          <w:sz w:val="28"/>
          <w:szCs w:val="24"/>
          <w:lang w:eastAsia="uk-UA"/>
        </w:rPr>
        <w:t>个以上；新竣工亿元以上项目</w:t>
      </w:r>
      <w:r>
        <w:rPr>
          <w:rFonts w:ascii="方正黑体_GBK" w:eastAsia="方正黑体_GBK" w:hAnsi="方正黑体_GBK" w:cs="方正黑体_GBK" w:hint="eastAsia"/>
          <w:snapToGrid/>
          <w:sz w:val="28"/>
          <w:szCs w:val="24"/>
          <w:lang w:eastAsia="uk-UA"/>
        </w:rPr>
        <w:t>15</w:t>
      </w:r>
      <w:r>
        <w:rPr>
          <w:rFonts w:ascii="方正黑体_GBK" w:eastAsia="方正黑体_GBK" w:hAnsi="方正黑体_GBK" w:cs="方正黑体_GBK" w:hint="eastAsia"/>
          <w:snapToGrid/>
          <w:sz w:val="28"/>
          <w:szCs w:val="24"/>
          <w:lang w:eastAsia="uk-UA"/>
        </w:rPr>
        <w:t>个以上；固定资产投资额</w:t>
      </w:r>
      <w:r>
        <w:rPr>
          <w:rFonts w:ascii="方正黑体_GBK" w:eastAsia="方正黑体_GBK" w:hAnsi="方正黑体_GBK" w:cs="方正黑体_GBK" w:hint="eastAsia"/>
          <w:snapToGrid/>
          <w:sz w:val="28"/>
          <w:szCs w:val="24"/>
          <w:lang w:eastAsia="uk-UA"/>
        </w:rPr>
        <w:t>150</w:t>
      </w:r>
      <w:r>
        <w:rPr>
          <w:rFonts w:ascii="方正黑体_GBK" w:eastAsia="方正黑体_GBK" w:hAnsi="方正黑体_GBK" w:cs="方正黑体_GBK" w:hint="eastAsia"/>
          <w:snapToGrid/>
          <w:sz w:val="28"/>
          <w:szCs w:val="24"/>
          <w:lang w:eastAsia="uk-UA"/>
        </w:rPr>
        <w:t>亿元；新增高新技术企业</w:t>
      </w:r>
      <w:r>
        <w:rPr>
          <w:rFonts w:ascii="方正黑体_GBK" w:eastAsia="方正黑体_GBK" w:hAnsi="方正黑体_GBK" w:cs="方正黑体_GBK" w:hint="eastAsia"/>
          <w:snapToGrid/>
          <w:sz w:val="28"/>
          <w:szCs w:val="24"/>
          <w:lang w:eastAsia="uk-UA"/>
        </w:rPr>
        <w:t>10</w:t>
      </w:r>
      <w:r>
        <w:rPr>
          <w:rFonts w:ascii="方正黑体_GBK" w:eastAsia="方正黑体_GBK" w:hAnsi="方正黑体_GBK" w:cs="方正黑体_GBK" w:hint="eastAsia"/>
          <w:snapToGrid/>
          <w:sz w:val="28"/>
          <w:szCs w:val="24"/>
          <w:lang w:eastAsia="uk-UA"/>
        </w:rPr>
        <w:t>家；新增规上工业企业</w:t>
      </w:r>
      <w:r>
        <w:rPr>
          <w:rFonts w:ascii="方正黑体_GBK" w:eastAsia="方正黑体_GBK" w:hAnsi="方正黑体_GBK" w:cs="方正黑体_GBK" w:hint="eastAsia"/>
          <w:snapToGrid/>
          <w:sz w:val="28"/>
          <w:szCs w:val="24"/>
          <w:lang w:eastAsia="uk-UA"/>
        </w:rPr>
        <w:t>8</w:t>
      </w:r>
      <w:r>
        <w:rPr>
          <w:rFonts w:ascii="方正黑体_GBK" w:eastAsia="方正黑体_GBK" w:hAnsi="方正黑体_GBK" w:cs="方正黑体_GBK" w:hint="eastAsia"/>
          <w:snapToGrid/>
          <w:sz w:val="28"/>
          <w:szCs w:val="24"/>
          <w:lang w:eastAsia="uk-UA"/>
        </w:rPr>
        <w:t>家，科小</w:t>
      </w:r>
      <w:r>
        <w:rPr>
          <w:rFonts w:ascii="方正黑体_GBK" w:eastAsia="方正黑体_GBK" w:hAnsi="方正黑体_GBK" w:cs="方正黑体_GBK" w:hint="eastAsia"/>
          <w:snapToGrid/>
          <w:sz w:val="28"/>
          <w:szCs w:val="24"/>
          <w:lang w:eastAsia="uk-UA"/>
        </w:rPr>
        <w:t>20</w:t>
      </w:r>
      <w:r>
        <w:rPr>
          <w:rFonts w:ascii="方正黑体_GBK" w:eastAsia="方正黑体_GBK" w:hAnsi="方正黑体_GBK" w:cs="方正黑体_GBK" w:hint="eastAsia"/>
          <w:snapToGrid/>
          <w:sz w:val="28"/>
          <w:szCs w:val="24"/>
          <w:lang w:eastAsia="uk-UA"/>
        </w:rPr>
        <w:t>家以上，规上工业增加值增速</w:t>
      </w:r>
      <w:r>
        <w:rPr>
          <w:rFonts w:ascii="方正黑体_GBK" w:eastAsia="方正黑体_GBK" w:hAnsi="方正黑体_GBK" w:cs="方正黑体_GBK" w:hint="eastAsia"/>
          <w:snapToGrid/>
          <w:sz w:val="28"/>
          <w:szCs w:val="24"/>
          <w:lang w:eastAsia="uk-UA"/>
        </w:rPr>
        <w:t>15%</w:t>
      </w:r>
      <w:r>
        <w:rPr>
          <w:rFonts w:ascii="方正黑体_GBK" w:eastAsia="方正黑体_GBK" w:hAnsi="方正黑体_GBK" w:cs="方正黑体_GBK" w:hint="eastAsia"/>
          <w:snapToGrid/>
          <w:sz w:val="28"/>
          <w:szCs w:val="24"/>
          <w:lang w:eastAsia="uk-UA"/>
        </w:rPr>
        <w:t>以上。一</w:t>
      </w:r>
      <w:r>
        <w:rPr>
          <w:rFonts w:ascii="方正黑体_GBK" w:eastAsia="方正黑体_GBK" w:hAnsi="方正黑体_GBK" w:cs="方正黑体_GBK" w:hint="eastAsia"/>
          <w:snapToGrid/>
          <w:sz w:val="28"/>
          <w:szCs w:val="24"/>
        </w:rPr>
        <w:t>、</w:t>
      </w:r>
      <w:r>
        <w:rPr>
          <w:rFonts w:ascii="方正黑体_GBK" w:eastAsia="方正黑体_GBK" w:hAnsi="方正黑体_GBK" w:cs="方正黑体_GBK" w:hint="eastAsia"/>
          <w:snapToGrid/>
          <w:sz w:val="28"/>
          <w:szCs w:val="24"/>
          <w:lang w:eastAsia="uk-UA"/>
        </w:rPr>
        <w:t>坚持项目带动，为园区发展提供有力支撑。（一）签约项目促开工。（二）续建项目促投产。二</w:t>
      </w:r>
      <w:r>
        <w:rPr>
          <w:rFonts w:ascii="方正黑体_GBK" w:eastAsia="方正黑体_GBK" w:hAnsi="方正黑体_GBK" w:cs="方正黑体_GBK" w:hint="eastAsia"/>
          <w:snapToGrid/>
          <w:sz w:val="28"/>
          <w:szCs w:val="24"/>
        </w:rPr>
        <w:t>、</w:t>
      </w:r>
      <w:r>
        <w:rPr>
          <w:rFonts w:ascii="方正黑体_GBK" w:eastAsia="方正黑体_GBK" w:hAnsi="方正黑体_GBK" w:cs="方正黑体_GBK" w:hint="eastAsia"/>
          <w:snapToGrid/>
          <w:sz w:val="28"/>
          <w:szCs w:val="24"/>
          <w:lang w:eastAsia="uk-UA"/>
        </w:rPr>
        <w:t>强化招商引资，加快产业聚集。全年力争完成新签项目协议投资</w:t>
      </w:r>
      <w:r>
        <w:rPr>
          <w:rFonts w:ascii="方正黑体_GBK" w:eastAsia="方正黑体_GBK" w:hAnsi="方正黑体_GBK" w:cs="方正黑体_GBK" w:hint="eastAsia"/>
          <w:snapToGrid/>
          <w:sz w:val="28"/>
          <w:szCs w:val="24"/>
          <w:lang w:eastAsia="uk-UA"/>
        </w:rPr>
        <w:t>200</w:t>
      </w:r>
      <w:r>
        <w:rPr>
          <w:rFonts w:ascii="方正黑体_GBK" w:eastAsia="方正黑体_GBK" w:hAnsi="方正黑体_GBK" w:cs="方正黑体_GBK" w:hint="eastAsia"/>
          <w:snapToGrid/>
          <w:sz w:val="28"/>
          <w:szCs w:val="24"/>
          <w:lang w:eastAsia="uk-UA"/>
        </w:rPr>
        <w:t>亿元以上，新引进亿元以上工业项目</w:t>
      </w:r>
      <w:r>
        <w:rPr>
          <w:rFonts w:ascii="方正黑体_GBK" w:eastAsia="方正黑体_GBK" w:hAnsi="方正黑体_GBK" w:cs="方正黑体_GBK" w:hint="eastAsia"/>
          <w:snapToGrid/>
          <w:sz w:val="28"/>
          <w:szCs w:val="24"/>
          <w:lang w:eastAsia="uk-UA"/>
        </w:rPr>
        <w:t>30</w:t>
      </w:r>
      <w:r>
        <w:rPr>
          <w:rFonts w:ascii="方正黑体_GBK" w:eastAsia="方正黑体_GBK" w:hAnsi="方正黑体_GBK" w:cs="方正黑体_GBK" w:hint="eastAsia"/>
          <w:snapToGrid/>
          <w:sz w:val="28"/>
          <w:szCs w:val="24"/>
          <w:lang w:eastAsia="uk-UA"/>
        </w:rPr>
        <w:t>个。（一）</w:t>
      </w:r>
      <w:r>
        <w:rPr>
          <w:rFonts w:ascii="方正黑体_GBK" w:eastAsia="方正黑体_GBK" w:hAnsi="方正黑体_GBK" w:cs="方正黑体_GBK" w:hint="eastAsia"/>
          <w:snapToGrid/>
          <w:sz w:val="28"/>
          <w:szCs w:val="24"/>
          <w:lang w:eastAsia="uk-UA"/>
        </w:rPr>
        <w:t>全力推动新能源装备制造项目引进。（二）继续延伸钢铁深加工产业链条。（三）推动木材深加工产业升级。（四）注重引进配套产业项目。三</w:t>
      </w:r>
      <w:r>
        <w:rPr>
          <w:rFonts w:ascii="方正黑体_GBK" w:eastAsia="方正黑体_GBK" w:hAnsi="方正黑体_GBK" w:cs="方正黑体_GBK" w:hint="eastAsia"/>
          <w:snapToGrid/>
          <w:sz w:val="28"/>
          <w:szCs w:val="24"/>
        </w:rPr>
        <w:t>、</w:t>
      </w:r>
      <w:r>
        <w:rPr>
          <w:rFonts w:ascii="方正黑体_GBK" w:eastAsia="方正黑体_GBK" w:hAnsi="方正黑体_GBK" w:cs="方正黑体_GBK" w:hint="eastAsia"/>
          <w:snapToGrid/>
          <w:sz w:val="28"/>
          <w:szCs w:val="24"/>
          <w:lang w:eastAsia="uk-UA"/>
        </w:rPr>
        <w:t>补齐短板，稳步推进配套基础设施建设。（一）积极推动道路设施建设。（二）积极推动给排水建设。（三）积极推动园区电力设施建设。</w:t>
      </w:r>
    </w:p>
    <w:p w:rsidR="008160E0" w:rsidRDefault="004A4D81">
      <w:pPr>
        <w:kinsoku/>
        <w:autoSpaceDE/>
        <w:autoSpaceDN/>
        <w:adjustRightInd/>
        <w:snapToGrid/>
        <w:spacing w:line="570" w:lineRule="exact"/>
        <w:ind w:firstLineChars="200" w:firstLine="560"/>
        <w:jc w:val="both"/>
        <w:textAlignment w:val="auto"/>
        <w:rPr>
          <w:rFonts w:ascii="方正黑体_GBK" w:eastAsia="方正黑体_GBK" w:hAnsi="方正黑体_GBK" w:cs="方正黑体_GBK"/>
          <w:snapToGrid/>
          <w:sz w:val="28"/>
          <w:szCs w:val="24"/>
          <w:lang w:eastAsia="uk-UA"/>
        </w:rPr>
      </w:pPr>
      <w:r>
        <w:rPr>
          <w:rFonts w:ascii="方正黑体_GBK" w:eastAsia="方正黑体_GBK" w:hAnsi="方正黑体_GBK" w:cs="方正黑体_GBK" w:hint="eastAsia"/>
          <w:snapToGrid/>
          <w:sz w:val="28"/>
          <w:szCs w:val="24"/>
          <w:lang w:eastAsia="uk-UA"/>
        </w:rPr>
        <w:t>二、</w:t>
      </w:r>
      <w:r>
        <w:rPr>
          <w:rFonts w:ascii="方正黑体_GBK" w:eastAsia="方正黑体_GBK" w:hAnsi="方正黑体_GBK" w:cs="方正黑体_GBK" w:hint="eastAsia"/>
          <w:snapToGrid/>
          <w:sz w:val="28"/>
          <w:szCs w:val="24"/>
          <w:lang w:eastAsia="uk-UA"/>
        </w:rPr>
        <w:t xml:space="preserve"> </w:t>
      </w:r>
      <w:r>
        <w:rPr>
          <w:rFonts w:ascii="方正黑体_GBK" w:eastAsia="方正黑体_GBK" w:hAnsi="方正黑体_GBK" w:cs="方正黑体_GBK" w:hint="eastAsia"/>
          <w:snapToGrid/>
          <w:sz w:val="28"/>
          <w:szCs w:val="24"/>
          <w:lang w:eastAsia="uk-UA"/>
        </w:rPr>
        <w:t>分项绩效目标</w:t>
      </w:r>
    </w:p>
    <w:p w:rsidR="008160E0" w:rsidRDefault="004A4D81">
      <w:pPr>
        <w:kinsoku/>
        <w:autoSpaceDE/>
        <w:autoSpaceDN/>
        <w:adjustRightInd/>
        <w:snapToGrid/>
        <w:spacing w:line="570" w:lineRule="exact"/>
        <w:ind w:firstLineChars="200" w:firstLine="560"/>
        <w:jc w:val="both"/>
        <w:textAlignment w:val="auto"/>
        <w:rPr>
          <w:rFonts w:ascii="方正黑体_GBK" w:eastAsia="方正黑体_GBK" w:hAnsi="方正黑体_GBK" w:cs="方正黑体_GBK"/>
          <w:snapToGrid/>
          <w:sz w:val="28"/>
          <w:szCs w:val="24"/>
        </w:rPr>
      </w:pPr>
      <w:r>
        <w:rPr>
          <w:rFonts w:ascii="方正黑体_GBK" w:eastAsia="方正黑体_GBK" w:hAnsi="方正黑体_GBK" w:cs="方正黑体_GBK" w:hint="eastAsia"/>
          <w:snapToGrid/>
          <w:sz w:val="28"/>
          <w:szCs w:val="24"/>
        </w:rPr>
        <w:t>（一）、</w:t>
      </w:r>
      <w:proofErr w:type="gramStart"/>
      <w:r>
        <w:rPr>
          <w:rFonts w:ascii="方正黑体_GBK" w:eastAsia="方正黑体_GBK" w:hAnsi="方正黑体_GBK" w:cs="方正黑体_GBK" w:hint="eastAsia"/>
          <w:snapToGrid/>
          <w:sz w:val="28"/>
          <w:szCs w:val="24"/>
        </w:rPr>
        <w:t>园区专项</w:t>
      </w:r>
      <w:proofErr w:type="gramEnd"/>
      <w:r>
        <w:rPr>
          <w:rFonts w:ascii="方正黑体_GBK" w:eastAsia="方正黑体_GBK" w:hAnsi="方正黑体_GBK" w:cs="方正黑体_GBK" w:hint="eastAsia"/>
          <w:snapToGrid/>
          <w:sz w:val="28"/>
          <w:szCs w:val="24"/>
        </w:rPr>
        <w:t>业务经费</w:t>
      </w:r>
    </w:p>
    <w:p w:rsidR="008160E0" w:rsidRDefault="004A4D81">
      <w:pPr>
        <w:kinsoku/>
        <w:autoSpaceDE/>
        <w:autoSpaceDN/>
        <w:adjustRightInd/>
        <w:snapToGrid/>
        <w:spacing w:line="570" w:lineRule="exact"/>
        <w:ind w:firstLineChars="200" w:firstLine="560"/>
        <w:jc w:val="both"/>
        <w:textAlignment w:val="auto"/>
        <w:rPr>
          <w:rFonts w:ascii="方正黑体_GBK" w:eastAsia="方正黑体_GBK" w:hAnsi="方正黑体_GBK" w:cs="方正黑体_GBK"/>
          <w:snapToGrid/>
          <w:sz w:val="28"/>
          <w:szCs w:val="24"/>
        </w:rPr>
      </w:pPr>
      <w:r>
        <w:rPr>
          <w:rFonts w:ascii="方正黑体_GBK" w:eastAsia="方正黑体_GBK" w:hAnsi="方正黑体_GBK" w:cs="方正黑体_GBK" w:hint="eastAsia"/>
          <w:snapToGrid/>
          <w:sz w:val="28"/>
          <w:szCs w:val="24"/>
        </w:rPr>
        <w:t>绩效目标：保证园区正常运转，为园区招商引资提供更好服务，对园区企业人员进行安全环保培训。</w:t>
      </w:r>
    </w:p>
    <w:p w:rsidR="008160E0" w:rsidRDefault="004A4D81">
      <w:pPr>
        <w:kinsoku/>
        <w:autoSpaceDE/>
        <w:autoSpaceDN/>
        <w:adjustRightInd/>
        <w:snapToGrid/>
        <w:spacing w:line="570" w:lineRule="exact"/>
        <w:ind w:firstLineChars="200" w:firstLine="560"/>
        <w:jc w:val="both"/>
        <w:textAlignment w:val="auto"/>
        <w:rPr>
          <w:rFonts w:ascii="方正黑体_GBK" w:eastAsia="方正黑体_GBK" w:hAnsi="方正黑体_GBK" w:cs="方正黑体_GBK"/>
          <w:snapToGrid/>
          <w:sz w:val="28"/>
          <w:szCs w:val="24"/>
        </w:rPr>
      </w:pPr>
      <w:r>
        <w:rPr>
          <w:rFonts w:ascii="方正黑体_GBK" w:eastAsia="方正黑体_GBK" w:hAnsi="方正黑体_GBK" w:cs="方正黑体_GBK" w:hint="eastAsia"/>
          <w:snapToGrid/>
          <w:sz w:val="28"/>
          <w:szCs w:val="24"/>
        </w:rPr>
        <w:t>绩效指标：参照年初任务指标工作任务完成率</w:t>
      </w:r>
      <w:r>
        <w:rPr>
          <w:rFonts w:ascii="方正黑体_GBK" w:eastAsia="方正黑体_GBK" w:hAnsi="方正黑体_GBK" w:cs="方正黑体_GBK" w:hint="eastAsia"/>
          <w:snapToGrid/>
          <w:sz w:val="28"/>
          <w:szCs w:val="24"/>
        </w:rPr>
        <w:t>达到</w:t>
      </w:r>
      <w:r>
        <w:rPr>
          <w:rFonts w:ascii="方正黑体_GBK" w:eastAsia="方正黑体_GBK" w:hAnsi="方正黑体_GBK" w:cs="方正黑体_GBK" w:hint="eastAsia"/>
          <w:snapToGrid/>
          <w:sz w:val="28"/>
          <w:szCs w:val="24"/>
        </w:rPr>
        <w:t>100%</w:t>
      </w:r>
      <w:r>
        <w:rPr>
          <w:rFonts w:ascii="方正黑体_GBK" w:eastAsia="方正黑体_GBK" w:hAnsi="方正黑体_GBK" w:cs="方正黑体_GBK" w:hint="eastAsia"/>
          <w:snapToGrid/>
          <w:sz w:val="28"/>
          <w:szCs w:val="24"/>
        </w:rPr>
        <w:t>。</w:t>
      </w:r>
    </w:p>
    <w:p w:rsidR="008160E0" w:rsidRDefault="004A4D81">
      <w:pPr>
        <w:kinsoku/>
        <w:autoSpaceDE/>
        <w:autoSpaceDN/>
        <w:adjustRightInd/>
        <w:snapToGrid/>
        <w:spacing w:line="570" w:lineRule="exact"/>
        <w:ind w:firstLineChars="200" w:firstLine="560"/>
        <w:jc w:val="both"/>
        <w:textAlignment w:val="auto"/>
        <w:rPr>
          <w:rFonts w:ascii="方正黑体_GBK" w:eastAsia="方正黑体_GBK" w:hAnsi="方正黑体_GBK" w:cs="方正黑体_GBK"/>
          <w:snapToGrid/>
          <w:sz w:val="28"/>
          <w:szCs w:val="24"/>
        </w:rPr>
      </w:pPr>
      <w:r>
        <w:rPr>
          <w:rFonts w:ascii="方正黑体_GBK" w:eastAsia="方正黑体_GBK" w:hAnsi="方正黑体_GBK" w:cs="方正黑体_GBK" w:hint="eastAsia"/>
          <w:snapToGrid/>
          <w:sz w:val="28"/>
          <w:szCs w:val="24"/>
        </w:rPr>
        <w:t>（二）、招商引资专项业务经费</w:t>
      </w:r>
    </w:p>
    <w:p w:rsidR="008160E0" w:rsidRDefault="004A4D81">
      <w:pPr>
        <w:kinsoku/>
        <w:autoSpaceDE/>
        <w:autoSpaceDN/>
        <w:adjustRightInd/>
        <w:snapToGrid/>
        <w:spacing w:line="570" w:lineRule="exact"/>
        <w:ind w:firstLineChars="200" w:firstLine="560"/>
        <w:jc w:val="both"/>
        <w:textAlignment w:val="auto"/>
        <w:rPr>
          <w:rFonts w:ascii="方正黑体_GBK" w:eastAsia="方正黑体_GBK" w:hAnsi="方正黑体_GBK" w:cs="方正黑体_GBK"/>
          <w:snapToGrid/>
          <w:sz w:val="28"/>
          <w:szCs w:val="24"/>
        </w:rPr>
      </w:pPr>
      <w:r>
        <w:rPr>
          <w:rFonts w:ascii="方正黑体_GBK" w:eastAsia="方正黑体_GBK" w:hAnsi="方正黑体_GBK" w:cs="方正黑体_GBK" w:hint="eastAsia"/>
          <w:snapToGrid/>
          <w:sz w:val="28"/>
          <w:szCs w:val="24"/>
        </w:rPr>
        <w:lastRenderedPageBreak/>
        <w:t>绩效目标：完成年度招商任务，提高园区投</w:t>
      </w:r>
      <w:r>
        <w:rPr>
          <w:rFonts w:ascii="方正黑体_GBK" w:eastAsia="方正黑体_GBK" w:hAnsi="方正黑体_GBK" w:cs="方正黑体_GBK" w:hint="eastAsia"/>
          <w:snapToGrid/>
          <w:sz w:val="28"/>
          <w:szCs w:val="24"/>
        </w:rPr>
        <w:t>资环境，企业满意度达到</w:t>
      </w:r>
      <w:r>
        <w:rPr>
          <w:rFonts w:ascii="方正黑体_GBK" w:eastAsia="方正黑体_GBK" w:hAnsi="方正黑体_GBK" w:cs="方正黑体_GBK" w:hint="eastAsia"/>
          <w:snapToGrid/>
          <w:sz w:val="28"/>
          <w:szCs w:val="24"/>
        </w:rPr>
        <w:t>100%</w:t>
      </w:r>
      <w:r>
        <w:rPr>
          <w:rFonts w:ascii="方正黑体_GBK" w:eastAsia="方正黑体_GBK" w:hAnsi="方正黑体_GBK" w:cs="方正黑体_GBK" w:hint="eastAsia"/>
          <w:snapToGrid/>
          <w:sz w:val="28"/>
          <w:szCs w:val="24"/>
        </w:rPr>
        <w:t>。</w:t>
      </w:r>
    </w:p>
    <w:p w:rsidR="008160E0" w:rsidRDefault="004A4D81">
      <w:pPr>
        <w:kinsoku/>
        <w:autoSpaceDE/>
        <w:autoSpaceDN/>
        <w:adjustRightInd/>
        <w:snapToGrid/>
        <w:spacing w:line="570" w:lineRule="exact"/>
        <w:ind w:firstLineChars="200" w:firstLine="560"/>
        <w:jc w:val="both"/>
        <w:textAlignment w:val="auto"/>
        <w:rPr>
          <w:rFonts w:ascii="方正黑体_GBK" w:eastAsia="方正黑体_GBK" w:hAnsi="方正黑体_GBK" w:cs="方正黑体_GBK"/>
          <w:snapToGrid/>
          <w:sz w:val="28"/>
          <w:szCs w:val="24"/>
        </w:rPr>
      </w:pPr>
      <w:r>
        <w:rPr>
          <w:rFonts w:ascii="方正黑体_GBK" w:eastAsia="方正黑体_GBK" w:hAnsi="方正黑体_GBK" w:cs="方正黑体_GBK" w:hint="eastAsia"/>
          <w:snapToGrid/>
          <w:sz w:val="28"/>
          <w:szCs w:val="24"/>
        </w:rPr>
        <w:t>绩效指标：按照年初招商引资任务，完成招商活动签约项目大于</w:t>
      </w:r>
      <w:r>
        <w:rPr>
          <w:rFonts w:ascii="方正黑体_GBK" w:eastAsia="方正黑体_GBK" w:hAnsi="方正黑体_GBK" w:cs="方正黑体_GBK" w:hint="eastAsia"/>
          <w:snapToGrid/>
          <w:sz w:val="28"/>
          <w:szCs w:val="24"/>
        </w:rPr>
        <w:t>30</w:t>
      </w:r>
      <w:r>
        <w:rPr>
          <w:rFonts w:ascii="方正黑体_GBK" w:eastAsia="方正黑体_GBK" w:hAnsi="方正黑体_GBK" w:cs="方正黑体_GBK" w:hint="eastAsia"/>
          <w:snapToGrid/>
          <w:sz w:val="28"/>
          <w:szCs w:val="24"/>
        </w:rPr>
        <w:t>个。</w:t>
      </w:r>
    </w:p>
    <w:p w:rsidR="008160E0" w:rsidRDefault="004A4D81">
      <w:pPr>
        <w:kinsoku/>
        <w:autoSpaceDE/>
        <w:autoSpaceDN/>
        <w:adjustRightInd/>
        <w:snapToGrid/>
        <w:spacing w:line="570" w:lineRule="exact"/>
        <w:ind w:firstLineChars="200" w:firstLine="560"/>
        <w:jc w:val="both"/>
        <w:textAlignment w:val="auto"/>
        <w:rPr>
          <w:rFonts w:ascii="方正黑体_GBK" w:eastAsia="方正黑体_GBK" w:hAnsi="方正黑体_GBK" w:cs="方正黑体_GBK"/>
          <w:snapToGrid/>
          <w:sz w:val="28"/>
          <w:szCs w:val="24"/>
        </w:rPr>
      </w:pPr>
      <w:r>
        <w:rPr>
          <w:rFonts w:ascii="方正黑体_GBK" w:eastAsia="方正黑体_GBK" w:hAnsi="方正黑体_GBK" w:cs="方正黑体_GBK" w:hint="eastAsia"/>
          <w:snapToGrid/>
          <w:sz w:val="28"/>
          <w:szCs w:val="24"/>
        </w:rPr>
        <w:t>（三）、原中小</w:t>
      </w:r>
      <w:proofErr w:type="gramStart"/>
      <w:r>
        <w:rPr>
          <w:rFonts w:ascii="方正黑体_GBK" w:eastAsia="方正黑体_GBK" w:hAnsi="方正黑体_GBK" w:cs="方正黑体_GBK" w:hint="eastAsia"/>
          <w:snapToGrid/>
          <w:sz w:val="28"/>
          <w:szCs w:val="24"/>
        </w:rPr>
        <w:t>园区专项</w:t>
      </w:r>
      <w:proofErr w:type="gramEnd"/>
      <w:r>
        <w:rPr>
          <w:rFonts w:ascii="方正黑体_GBK" w:eastAsia="方正黑体_GBK" w:hAnsi="方正黑体_GBK" w:cs="方正黑体_GBK" w:hint="eastAsia"/>
          <w:snapToGrid/>
          <w:sz w:val="28"/>
          <w:szCs w:val="24"/>
        </w:rPr>
        <w:t>业务经费</w:t>
      </w:r>
    </w:p>
    <w:p w:rsidR="008160E0" w:rsidRDefault="004A4D81">
      <w:pPr>
        <w:kinsoku/>
        <w:autoSpaceDE/>
        <w:autoSpaceDN/>
        <w:adjustRightInd/>
        <w:snapToGrid/>
        <w:spacing w:line="570" w:lineRule="exact"/>
        <w:ind w:firstLineChars="200" w:firstLine="560"/>
        <w:jc w:val="both"/>
        <w:textAlignment w:val="auto"/>
        <w:rPr>
          <w:rFonts w:ascii="方正黑体_GBK" w:eastAsia="方正黑体_GBK" w:hAnsi="方正黑体_GBK" w:cs="方正黑体_GBK"/>
          <w:snapToGrid/>
          <w:sz w:val="28"/>
          <w:szCs w:val="24"/>
        </w:rPr>
      </w:pPr>
      <w:r>
        <w:rPr>
          <w:rFonts w:ascii="方正黑体_GBK" w:eastAsia="方正黑体_GBK" w:hAnsi="方正黑体_GBK" w:cs="方正黑体_GBK" w:hint="eastAsia"/>
          <w:snapToGrid/>
          <w:sz w:val="28"/>
          <w:szCs w:val="24"/>
        </w:rPr>
        <w:t>绩效目标：维护原中小园区正常运转、为园区招商引资提供更好环境，维护园区稳定。</w:t>
      </w:r>
    </w:p>
    <w:p w:rsidR="008160E0" w:rsidRDefault="004A4D81">
      <w:pPr>
        <w:kinsoku/>
        <w:autoSpaceDE/>
        <w:autoSpaceDN/>
        <w:adjustRightInd/>
        <w:snapToGrid/>
        <w:spacing w:line="570" w:lineRule="exact"/>
        <w:ind w:firstLineChars="200" w:firstLine="560"/>
        <w:jc w:val="both"/>
        <w:textAlignment w:val="auto"/>
        <w:rPr>
          <w:rFonts w:ascii="方正黑体_GBK" w:eastAsia="方正黑体_GBK" w:hAnsi="方正黑体_GBK" w:cs="方正黑体_GBK"/>
          <w:snapToGrid/>
          <w:sz w:val="28"/>
          <w:szCs w:val="24"/>
        </w:rPr>
      </w:pPr>
      <w:r>
        <w:rPr>
          <w:rFonts w:ascii="方正黑体_GBK" w:eastAsia="方正黑体_GBK" w:hAnsi="方正黑体_GBK" w:cs="方正黑体_GBK" w:hint="eastAsia"/>
          <w:snapToGrid/>
          <w:sz w:val="28"/>
          <w:szCs w:val="24"/>
        </w:rPr>
        <w:t>绩效指标：按照年初安排，提高园区环境质量。</w:t>
      </w:r>
    </w:p>
    <w:p w:rsidR="008160E0" w:rsidRDefault="004A4D81">
      <w:pPr>
        <w:kinsoku/>
        <w:autoSpaceDE/>
        <w:autoSpaceDN/>
        <w:adjustRightInd/>
        <w:snapToGrid/>
        <w:spacing w:line="570" w:lineRule="exact"/>
        <w:ind w:firstLineChars="200" w:firstLine="560"/>
        <w:jc w:val="both"/>
        <w:textAlignment w:val="auto"/>
        <w:rPr>
          <w:rFonts w:ascii="方正黑体_GBK" w:eastAsia="方正黑体_GBK" w:hAnsi="方正黑体_GBK" w:cs="方正黑体_GBK"/>
          <w:snapToGrid/>
          <w:sz w:val="28"/>
          <w:szCs w:val="24"/>
        </w:rPr>
      </w:pPr>
      <w:r>
        <w:rPr>
          <w:rFonts w:ascii="方正黑体_GBK" w:eastAsia="方正黑体_GBK" w:hAnsi="方正黑体_GBK" w:cs="方正黑体_GBK" w:hint="eastAsia"/>
          <w:snapToGrid/>
          <w:sz w:val="28"/>
          <w:szCs w:val="24"/>
        </w:rPr>
        <w:t>（四）、长三角驻外招商专项经费</w:t>
      </w:r>
    </w:p>
    <w:p w:rsidR="008160E0" w:rsidRDefault="004A4D81">
      <w:pPr>
        <w:kinsoku/>
        <w:autoSpaceDE/>
        <w:autoSpaceDN/>
        <w:adjustRightInd/>
        <w:snapToGrid/>
        <w:spacing w:line="570" w:lineRule="exact"/>
        <w:ind w:firstLineChars="200" w:firstLine="560"/>
        <w:jc w:val="both"/>
        <w:textAlignment w:val="auto"/>
        <w:rPr>
          <w:rFonts w:ascii="方正黑体_GBK" w:eastAsia="方正黑体_GBK" w:hAnsi="方正黑体_GBK" w:cs="方正黑体_GBK"/>
          <w:snapToGrid/>
          <w:sz w:val="28"/>
          <w:szCs w:val="24"/>
        </w:rPr>
      </w:pPr>
      <w:r>
        <w:rPr>
          <w:rFonts w:ascii="方正黑体_GBK" w:eastAsia="方正黑体_GBK" w:hAnsi="方正黑体_GBK" w:cs="方正黑体_GBK" w:hint="eastAsia"/>
          <w:snapToGrid/>
          <w:sz w:val="28"/>
          <w:szCs w:val="24"/>
        </w:rPr>
        <w:t>绩效目标：完成年度招商任务。</w:t>
      </w:r>
    </w:p>
    <w:p w:rsidR="008160E0" w:rsidRDefault="004A4D81">
      <w:pPr>
        <w:kinsoku/>
        <w:autoSpaceDE/>
        <w:autoSpaceDN/>
        <w:adjustRightInd/>
        <w:snapToGrid/>
        <w:spacing w:line="570" w:lineRule="exact"/>
        <w:ind w:firstLineChars="200" w:firstLine="560"/>
        <w:jc w:val="both"/>
        <w:textAlignment w:val="auto"/>
        <w:rPr>
          <w:rFonts w:ascii="方正黑体_GBK" w:eastAsia="方正黑体_GBK" w:hAnsi="方正黑体_GBK" w:cs="方正黑体_GBK"/>
          <w:snapToGrid/>
          <w:sz w:val="28"/>
          <w:szCs w:val="24"/>
        </w:rPr>
      </w:pPr>
      <w:r>
        <w:rPr>
          <w:rFonts w:ascii="方正黑体_GBK" w:eastAsia="方正黑体_GBK" w:hAnsi="方正黑体_GBK" w:cs="方正黑体_GBK" w:hint="eastAsia"/>
          <w:snapToGrid/>
          <w:sz w:val="28"/>
          <w:szCs w:val="24"/>
        </w:rPr>
        <w:t>绩效指标：按照年初招商引资任务，完成招商活动签约项目大于</w:t>
      </w:r>
      <w:r>
        <w:rPr>
          <w:rFonts w:ascii="方正黑体_GBK" w:eastAsia="方正黑体_GBK" w:hAnsi="方正黑体_GBK" w:cs="方正黑体_GBK" w:hint="eastAsia"/>
          <w:snapToGrid/>
          <w:sz w:val="28"/>
          <w:szCs w:val="24"/>
        </w:rPr>
        <w:t>3</w:t>
      </w:r>
      <w:r>
        <w:rPr>
          <w:rFonts w:ascii="方正黑体_GBK" w:eastAsia="方正黑体_GBK" w:hAnsi="方正黑体_GBK" w:cs="方正黑体_GBK" w:hint="eastAsia"/>
          <w:snapToGrid/>
          <w:sz w:val="28"/>
          <w:szCs w:val="24"/>
        </w:rPr>
        <w:t>个。</w:t>
      </w:r>
    </w:p>
    <w:p w:rsidR="008160E0" w:rsidRDefault="004A4D81">
      <w:pPr>
        <w:kinsoku/>
        <w:autoSpaceDE/>
        <w:autoSpaceDN/>
        <w:adjustRightInd/>
        <w:snapToGrid/>
        <w:spacing w:line="570" w:lineRule="exact"/>
        <w:ind w:firstLineChars="200" w:firstLine="560"/>
        <w:jc w:val="both"/>
        <w:textAlignment w:val="auto"/>
        <w:rPr>
          <w:rFonts w:ascii="方正黑体_GBK" w:eastAsia="方正黑体_GBK" w:hAnsi="方正黑体_GBK" w:cs="方正黑体_GBK"/>
          <w:snapToGrid/>
          <w:sz w:val="28"/>
          <w:szCs w:val="24"/>
          <w:lang w:eastAsia="uk-UA"/>
        </w:rPr>
      </w:pPr>
      <w:r>
        <w:rPr>
          <w:rFonts w:ascii="方正黑体_GBK" w:eastAsia="方正黑体_GBK" w:hAnsi="方正黑体_GBK" w:cs="方正黑体_GBK" w:hint="eastAsia"/>
          <w:snapToGrid/>
          <w:sz w:val="28"/>
          <w:szCs w:val="24"/>
          <w:lang w:eastAsia="uk-UA"/>
        </w:rPr>
        <w:t>三、</w:t>
      </w:r>
      <w:r>
        <w:rPr>
          <w:rFonts w:ascii="方正黑体_GBK" w:eastAsia="方正黑体_GBK" w:hAnsi="方正黑体_GBK" w:cs="方正黑体_GBK" w:hint="eastAsia"/>
          <w:snapToGrid/>
          <w:sz w:val="28"/>
          <w:szCs w:val="24"/>
          <w:lang w:eastAsia="uk-UA"/>
        </w:rPr>
        <w:t xml:space="preserve"> </w:t>
      </w:r>
      <w:r>
        <w:rPr>
          <w:rFonts w:ascii="方正黑体_GBK" w:eastAsia="方正黑体_GBK" w:hAnsi="方正黑体_GBK" w:cs="方正黑体_GBK" w:hint="eastAsia"/>
          <w:snapToGrid/>
          <w:sz w:val="28"/>
          <w:szCs w:val="24"/>
          <w:lang w:eastAsia="uk-UA"/>
        </w:rPr>
        <w:t>工作保障措施</w:t>
      </w:r>
    </w:p>
    <w:p w:rsidR="008160E0" w:rsidRDefault="004A4D81">
      <w:pPr>
        <w:kinsoku/>
        <w:autoSpaceDE/>
        <w:autoSpaceDN/>
        <w:adjustRightInd/>
        <w:snapToGrid/>
        <w:spacing w:line="570" w:lineRule="exact"/>
        <w:ind w:firstLineChars="200" w:firstLine="560"/>
        <w:jc w:val="both"/>
        <w:textAlignment w:val="auto"/>
        <w:rPr>
          <w:rFonts w:ascii="方正黑体_GBK" w:eastAsia="方正黑体_GBK" w:hAnsi="方正黑体_GBK" w:cs="方正黑体_GBK"/>
          <w:snapToGrid/>
          <w:sz w:val="28"/>
          <w:szCs w:val="24"/>
          <w:lang w:eastAsia="uk-UA"/>
        </w:rPr>
      </w:pPr>
      <w:r>
        <w:rPr>
          <w:rFonts w:ascii="方正黑体_GBK" w:eastAsia="方正黑体_GBK" w:hAnsi="方正黑体_GBK" w:cs="方正黑体_GBK" w:hint="eastAsia"/>
          <w:snapToGrid/>
          <w:sz w:val="28"/>
          <w:szCs w:val="24"/>
          <w:lang w:eastAsia="uk-UA"/>
        </w:rPr>
        <w:t>（一）</w:t>
      </w:r>
      <w:r>
        <w:rPr>
          <w:rFonts w:ascii="方正黑体_GBK" w:eastAsia="方正黑体_GBK" w:hAnsi="方正黑体_GBK" w:cs="方正黑体_GBK" w:hint="eastAsia"/>
          <w:snapToGrid/>
          <w:sz w:val="28"/>
          <w:szCs w:val="24"/>
          <w:lang w:eastAsia="uk-UA"/>
        </w:rPr>
        <w:t>2023</w:t>
      </w:r>
      <w:r>
        <w:rPr>
          <w:rFonts w:ascii="方正黑体_GBK" w:eastAsia="方正黑体_GBK" w:hAnsi="方正黑体_GBK" w:cs="方正黑体_GBK" w:hint="eastAsia"/>
          <w:snapToGrid/>
          <w:sz w:val="28"/>
          <w:szCs w:val="24"/>
          <w:lang w:eastAsia="uk-UA"/>
        </w:rPr>
        <w:t>年主要经济指标预期。</w:t>
      </w:r>
    </w:p>
    <w:p w:rsidR="008160E0" w:rsidRDefault="004A4D81">
      <w:pPr>
        <w:kinsoku/>
        <w:autoSpaceDE/>
        <w:autoSpaceDN/>
        <w:adjustRightInd/>
        <w:snapToGrid/>
        <w:spacing w:line="570" w:lineRule="exact"/>
        <w:ind w:firstLineChars="200" w:firstLine="560"/>
        <w:jc w:val="both"/>
        <w:textAlignment w:val="auto"/>
        <w:rPr>
          <w:rFonts w:ascii="方正黑体_GBK" w:eastAsia="方正黑体_GBK" w:hAnsi="方正黑体_GBK" w:cs="方正黑体_GBK"/>
          <w:snapToGrid/>
          <w:sz w:val="28"/>
          <w:szCs w:val="24"/>
          <w:lang w:eastAsia="uk-UA"/>
        </w:rPr>
      </w:pPr>
      <w:r>
        <w:rPr>
          <w:rFonts w:ascii="方正黑体_GBK" w:eastAsia="方正黑体_GBK" w:hAnsi="方正黑体_GBK" w:cs="方正黑体_GBK" w:hint="eastAsia"/>
          <w:snapToGrid/>
          <w:sz w:val="28"/>
          <w:szCs w:val="24"/>
          <w:lang w:eastAsia="uk-UA"/>
        </w:rPr>
        <w:t>预计完成新开工亿元以上项目</w:t>
      </w:r>
      <w:r>
        <w:rPr>
          <w:rFonts w:ascii="方正黑体_GBK" w:eastAsia="方正黑体_GBK" w:hAnsi="方正黑体_GBK" w:cs="方正黑体_GBK" w:hint="eastAsia"/>
          <w:snapToGrid/>
          <w:sz w:val="28"/>
          <w:szCs w:val="24"/>
          <w:lang w:eastAsia="uk-UA"/>
        </w:rPr>
        <w:t>16</w:t>
      </w:r>
      <w:r>
        <w:rPr>
          <w:rFonts w:ascii="方正黑体_GBK" w:eastAsia="方正黑体_GBK" w:hAnsi="方正黑体_GBK" w:cs="方正黑体_GBK" w:hint="eastAsia"/>
          <w:snapToGrid/>
          <w:sz w:val="28"/>
          <w:szCs w:val="24"/>
          <w:lang w:eastAsia="uk-UA"/>
        </w:rPr>
        <w:t>个以上；新竣工亿元以上项目</w:t>
      </w:r>
      <w:r>
        <w:rPr>
          <w:rFonts w:ascii="方正黑体_GBK" w:eastAsia="方正黑体_GBK" w:hAnsi="方正黑体_GBK" w:cs="方正黑体_GBK" w:hint="eastAsia"/>
          <w:snapToGrid/>
          <w:sz w:val="28"/>
          <w:szCs w:val="24"/>
          <w:lang w:eastAsia="uk-UA"/>
        </w:rPr>
        <w:t>15</w:t>
      </w:r>
      <w:r>
        <w:rPr>
          <w:rFonts w:ascii="方正黑体_GBK" w:eastAsia="方正黑体_GBK" w:hAnsi="方正黑体_GBK" w:cs="方正黑体_GBK" w:hint="eastAsia"/>
          <w:snapToGrid/>
          <w:sz w:val="28"/>
          <w:szCs w:val="24"/>
          <w:lang w:eastAsia="uk-UA"/>
        </w:rPr>
        <w:t>个以上；固定资产投资额</w:t>
      </w:r>
      <w:r>
        <w:rPr>
          <w:rFonts w:ascii="方正黑体_GBK" w:eastAsia="方正黑体_GBK" w:hAnsi="方正黑体_GBK" w:cs="方正黑体_GBK" w:hint="eastAsia"/>
          <w:snapToGrid/>
          <w:sz w:val="28"/>
          <w:szCs w:val="24"/>
          <w:lang w:eastAsia="uk-UA"/>
        </w:rPr>
        <w:t>150</w:t>
      </w:r>
      <w:r>
        <w:rPr>
          <w:rFonts w:ascii="方正黑体_GBK" w:eastAsia="方正黑体_GBK" w:hAnsi="方正黑体_GBK" w:cs="方正黑体_GBK" w:hint="eastAsia"/>
          <w:snapToGrid/>
          <w:sz w:val="28"/>
          <w:szCs w:val="24"/>
          <w:lang w:eastAsia="uk-UA"/>
        </w:rPr>
        <w:t>亿元；新增高新技术企业</w:t>
      </w:r>
      <w:r>
        <w:rPr>
          <w:rFonts w:ascii="方正黑体_GBK" w:eastAsia="方正黑体_GBK" w:hAnsi="方正黑体_GBK" w:cs="方正黑体_GBK" w:hint="eastAsia"/>
          <w:snapToGrid/>
          <w:sz w:val="28"/>
          <w:szCs w:val="24"/>
          <w:lang w:eastAsia="uk-UA"/>
        </w:rPr>
        <w:t>10</w:t>
      </w:r>
      <w:r>
        <w:rPr>
          <w:rFonts w:ascii="方正黑体_GBK" w:eastAsia="方正黑体_GBK" w:hAnsi="方正黑体_GBK" w:cs="方正黑体_GBK" w:hint="eastAsia"/>
          <w:snapToGrid/>
          <w:sz w:val="28"/>
          <w:szCs w:val="24"/>
          <w:lang w:eastAsia="uk-UA"/>
        </w:rPr>
        <w:t>家；新增规上工业企业</w:t>
      </w:r>
      <w:r>
        <w:rPr>
          <w:rFonts w:ascii="方正黑体_GBK" w:eastAsia="方正黑体_GBK" w:hAnsi="方正黑体_GBK" w:cs="方正黑体_GBK" w:hint="eastAsia"/>
          <w:snapToGrid/>
          <w:sz w:val="28"/>
          <w:szCs w:val="24"/>
          <w:lang w:eastAsia="uk-UA"/>
        </w:rPr>
        <w:t>8</w:t>
      </w:r>
      <w:r>
        <w:rPr>
          <w:rFonts w:ascii="方正黑体_GBK" w:eastAsia="方正黑体_GBK" w:hAnsi="方正黑体_GBK" w:cs="方正黑体_GBK" w:hint="eastAsia"/>
          <w:snapToGrid/>
          <w:sz w:val="28"/>
          <w:szCs w:val="24"/>
          <w:lang w:eastAsia="uk-UA"/>
        </w:rPr>
        <w:t>家，科小</w:t>
      </w:r>
      <w:r>
        <w:rPr>
          <w:rFonts w:ascii="方正黑体_GBK" w:eastAsia="方正黑体_GBK" w:hAnsi="方正黑体_GBK" w:cs="方正黑体_GBK" w:hint="eastAsia"/>
          <w:snapToGrid/>
          <w:sz w:val="28"/>
          <w:szCs w:val="24"/>
          <w:lang w:eastAsia="uk-UA"/>
        </w:rPr>
        <w:t>20</w:t>
      </w:r>
      <w:r>
        <w:rPr>
          <w:rFonts w:ascii="方正黑体_GBK" w:eastAsia="方正黑体_GBK" w:hAnsi="方正黑体_GBK" w:cs="方正黑体_GBK" w:hint="eastAsia"/>
          <w:snapToGrid/>
          <w:sz w:val="28"/>
          <w:szCs w:val="24"/>
          <w:lang w:eastAsia="uk-UA"/>
        </w:rPr>
        <w:t>家以上，规上工业增加值增速</w:t>
      </w:r>
      <w:r>
        <w:rPr>
          <w:rFonts w:ascii="方正黑体_GBK" w:eastAsia="方正黑体_GBK" w:hAnsi="方正黑体_GBK" w:cs="方正黑体_GBK" w:hint="eastAsia"/>
          <w:snapToGrid/>
          <w:sz w:val="28"/>
          <w:szCs w:val="24"/>
          <w:lang w:eastAsia="uk-UA"/>
        </w:rPr>
        <w:t>15%</w:t>
      </w:r>
      <w:r>
        <w:rPr>
          <w:rFonts w:ascii="方正黑体_GBK" w:eastAsia="方正黑体_GBK" w:hAnsi="方正黑体_GBK" w:cs="方正黑体_GBK" w:hint="eastAsia"/>
          <w:snapToGrid/>
          <w:sz w:val="28"/>
          <w:szCs w:val="24"/>
          <w:lang w:eastAsia="uk-UA"/>
        </w:rPr>
        <w:t>以上。</w:t>
      </w:r>
    </w:p>
    <w:p w:rsidR="008160E0" w:rsidRDefault="004A4D81">
      <w:pPr>
        <w:kinsoku/>
        <w:autoSpaceDE/>
        <w:autoSpaceDN/>
        <w:adjustRightInd/>
        <w:snapToGrid/>
        <w:spacing w:line="570" w:lineRule="exact"/>
        <w:ind w:firstLineChars="200" w:firstLine="560"/>
        <w:jc w:val="both"/>
        <w:textAlignment w:val="auto"/>
        <w:rPr>
          <w:rFonts w:ascii="方正黑体_GBK" w:eastAsia="方正黑体_GBK" w:hAnsi="方正黑体_GBK" w:cs="方正黑体_GBK"/>
          <w:snapToGrid/>
          <w:sz w:val="28"/>
          <w:szCs w:val="24"/>
          <w:lang w:eastAsia="uk-UA"/>
        </w:rPr>
      </w:pPr>
      <w:r>
        <w:rPr>
          <w:rFonts w:ascii="方正黑体_GBK" w:eastAsia="方正黑体_GBK" w:hAnsi="方正黑体_GBK" w:cs="方正黑体_GBK" w:hint="eastAsia"/>
          <w:snapToGrid/>
          <w:sz w:val="28"/>
          <w:szCs w:val="24"/>
          <w:lang w:eastAsia="uk-UA"/>
        </w:rPr>
        <w:t>（二）坚持项目带动，为园区发展提供有力支撑。</w:t>
      </w:r>
    </w:p>
    <w:p w:rsidR="008160E0" w:rsidRDefault="004A4D81">
      <w:pPr>
        <w:kinsoku/>
        <w:autoSpaceDE/>
        <w:autoSpaceDN/>
        <w:adjustRightInd/>
        <w:snapToGrid/>
        <w:spacing w:line="570" w:lineRule="exact"/>
        <w:ind w:firstLineChars="200" w:firstLine="560"/>
        <w:jc w:val="both"/>
        <w:textAlignment w:val="auto"/>
        <w:rPr>
          <w:rFonts w:ascii="方正黑体_GBK" w:eastAsia="方正黑体_GBK" w:hAnsi="方正黑体_GBK" w:cs="方正黑体_GBK"/>
          <w:snapToGrid/>
          <w:sz w:val="28"/>
          <w:szCs w:val="24"/>
          <w:lang w:eastAsia="uk-UA"/>
        </w:rPr>
      </w:pPr>
      <w:r>
        <w:rPr>
          <w:rFonts w:ascii="方正黑体_GBK" w:eastAsia="方正黑体_GBK" w:hAnsi="方正黑体_GBK" w:cs="方正黑体_GBK" w:hint="eastAsia"/>
          <w:snapToGrid/>
          <w:sz w:val="28"/>
          <w:szCs w:val="24"/>
          <w:lang w:eastAsia="uk-UA"/>
        </w:rPr>
        <w:t>一是签约项目促开工。</w:t>
      </w:r>
      <w:r>
        <w:rPr>
          <w:rFonts w:ascii="方正黑体_GBK" w:eastAsia="方正黑体_GBK" w:hAnsi="方正黑体_GBK" w:cs="方正黑体_GBK" w:hint="eastAsia"/>
          <w:snapToGrid/>
          <w:sz w:val="28"/>
          <w:szCs w:val="24"/>
          <w:lang w:eastAsia="uk-UA"/>
        </w:rPr>
        <w:t>2023</w:t>
      </w:r>
      <w:r>
        <w:rPr>
          <w:rFonts w:ascii="方正黑体_GBK" w:eastAsia="方正黑体_GBK" w:hAnsi="方正黑体_GBK" w:cs="方正黑体_GBK" w:hint="eastAsia"/>
          <w:snapToGrid/>
          <w:sz w:val="28"/>
          <w:szCs w:val="24"/>
          <w:lang w:eastAsia="uk-UA"/>
        </w:rPr>
        <w:t>年计划新开工项目</w:t>
      </w:r>
      <w:r>
        <w:rPr>
          <w:rFonts w:ascii="方正黑体_GBK" w:eastAsia="方正黑体_GBK" w:hAnsi="方正黑体_GBK" w:cs="方正黑体_GBK" w:hint="eastAsia"/>
          <w:snapToGrid/>
          <w:sz w:val="28"/>
          <w:szCs w:val="24"/>
          <w:lang w:eastAsia="uk-UA"/>
        </w:rPr>
        <w:t>16</w:t>
      </w:r>
      <w:r>
        <w:rPr>
          <w:rFonts w:ascii="方正黑体_GBK" w:eastAsia="方正黑体_GBK" w:hAnsi="方正黑体_GBK" w:cs="方正黑体_GBK" w:hint="eastAsia"/>
          <w:snapToGrid/>
          <w:sz w:val="28"/>
          <w:szCs w:val="24"/>
          <w:lang w:eastAsia="uk-UA"/>
        </w:rPr>
        <w:t>个，总投资</w:t>
      </w:r>
      <w:r>
        <w:rPr>
          <w:rFonts w:ascii="方正黑体_GBK" w:eastAsia="方正黑体_GBK" w:hAnsi="方正黑体_GBK" w:cs="方正黑体_GBK" w:hint="eastAsia"/>
          <w:snapToGrid/>
          <w:sz w:val="28"/>
          <w:szCs w:val="24"/>
          <w:lang w:eastAsia="uk-UA"/>
        </w:rPr>
        <w:t>60.92</w:t>
      </w:r>
      <w:r>
        <w:rPr>
          <w:rFonts w:ascii="方正黑体_GBK" w:eastAsia="方正黑体_GBK" w:hAnsi="方正黑体_GBK" w:cs="方正黑体_GBK" w:hint="eastAsia"/>
          <w:snapToGrid/>
          <w:sz w:val="28"/>
          <w:szCs w:val="24"/>
          <w:lang w:eastAsia="uk-UA"/>
        </w:rPr>
        <w:t>亿元。进一步加大项目协调、调度和督导力度，加快推进前期手续跑办速度，加紧协调推进供水、供电、道路等基础设施配套，力促项目尽快开工建设，重点确保投资</w:t>
      </w:r>
      <w:r>
        <w:rPr>
          <w:rFonts w:ascii="方正黑体_GBK" w:eastAsia="方正黑体_GBK" w:hAnsi="方正黑体_GBK" w:cs="方正黑体_GBK" w:hint="eastAsia"/>
          <w:snapToGrid/>
          <w:sz w:val="28"/>
          <w:szCs w:val="24"/>
          <w:lang w:eastAsia="uk-UA"/>
        </w:rPr>
        <w:t>3.72</w:t>
      </w:r>
      <w:r>
        <w:rPr>
          <w:rFonts w:ascii="方正黑体_GBK" w:eastAsia="方正黑体_GBK" w:hAnsi="方正黑体_GBK" w:cs="方正黑体_GBK" w:hint="eastAsia"/>
          <w:snapToGrid/>
          <w:sz w:val="28"/>
          <w:szCs w:val="24"/>
          <w:lang w:eastAsia="uk-UA"/>
        </w:rPr>
        <w:t>亿元的麒泰机械零部件、投资</w:t>
      </w:r>
      <w:r>
        <w:rPr>
          <w:rFonts w:ascii="方正黑体_GBK" w:eastAsia="方正黑体_GBK" w:hAnsi="方正黑体_GBK" w:cs="方正黑体_GBK" w:hint="eastAsia"/>
          <w:snapToGrid/>
          <w:sz w:val="28"/>
          <w:szCs w:val="24"/>
          <w:lang w:eastAsia="uk-UA"/>
        </w:rPr>
        <w:t>7.66</w:t>
      </w:r>
      <w:r>
        <w:rPr>
          <w:rFonts w:ascii="方正黑体_GBK" w:eastAsia="方正黑体_GBK" w:hAnsi="方正黑体_GBK" w:cs="方正黑体_GBK" w:hint="eastAsia"/>
          <w:snapToGrid/>
          <w:sz w:val="28"/>
          <w:szCs w:val="24"/>
          <w:lang w:eastAsia="uk-UA"/>
        </w:rPr>
        <w:t>亿元的大唐高氏二期、投</w:t>
      </w:r>
      <w:r>
        <w:rPr>
          <w:rFonts w:ascii="方正黑体_GBK" w:eastAsia="方正黑体_GBK" w:hAnsi="方正黑体_GBK" w:cs="方正黑体_GBK" w:hint="eastAsia"/>
          <w:snapToGrid/>
          <w:sz w:val="28"/>
          <w:szCs w:val="24"/>
          <w:lang w:eastAsia="uk-UA"/>
        </w:rPr>
        <w:t>资</w:t>
      </w:r>
      <w:r>
        <w:rPr>
          <w:rFonts w:ascii="方正黑体_GBK" w:eastAsia="方正黑体_GBK" w:hAnsi="方正黑体_GBK" w:cs="方正黑体_GBK" w:hint="eastAsia"/>
          <w:snapToGrid/>
          <w:sz w:val="28"/>
          <w:szCs w:val="24"/>
          <w:lang w:eastAsia="uk-UA"/>
        </w:rPr>
        <w:t>2.2</w:t>
      </w:r>
      <w:r>
        <w:rPr>
          <w:rFonts w:ascii="方正黑体_GBK" w:eastAsia="方正黑体_GBK" w:hAnsi="方正黑体_GBK" w:cs="方正黑体_GBK" w:hint="eastAsia"/>
          <w:snapToGrid/>
          <w:sz w:val="28"/>
          <w:szCs w:val="24"/>
          <w:lang w:eastAsia="uk-UA"/>
        </w:rPr>
        <w:t>亿元的美钢钢构等项目尽</w:t>
      </w:r>
      <w:r>
        <w:rPr>
          <w:rFonts w:ascii="方正黑体_GBK" w:eastAsia="方正黑体_GBK" w:hAnsi="方正黑体_GBK" w:cs="方正黑体_GBK" w:hint="eastAsia"/>
          <w:snapToGrid/>
          <w:sz w:val="28"/>
          <w:szCs w:val="24"/>
          <w:lang w:eastAsia="uk-UA"/>
        </w:rPr>
        <w:lastRenderedPageBreak/>
        <w:t>早开工建设。其中，一季度开工</w:t>
      </w:r>
      <w:r>
        <w:rPr>
          <w:rFonts w:ascii="方正黑体_GBK" w:eastAsia="方正黑体_GBK" w:hAnsi="方正黑体_GBK" w:cs="方正黑体_GBK" w:hint="eastAsia"/>
          <w:snapToGrid/>
          <w:sz w:val="28"/>
          <w:szCs w:val="24"/>
          <w:lang w:eastAsia="uk-UA"/>
        </w:rPr>
        <w:t>8</w:t>
      </w:r>
      <w:r>
        <w:rPr>
          <w:rFonts w:ascii="方正黑体_GBK" w:eastAsia="方正黑体_GBK" w:hAnsi="方正黑体_GBK" w:cs="方正黑体_GBK" w:hint="eastAsia"/>
          <w:snapToGrid/>
          <w:sz w:val="28"/>
          <w:szCs w:val="24"/>
          <w:lang w:eastAsia="uk-UA"/>
        </w:rPr>
        <w:t>个、二季度开工</w:t>
      </w:r>
      <w:r>
        <w:rPr>
          <w:rFonts w:ascii="方正黑体_GBK" w:eastAsia="方正黑体_GBK" w:hAnsi="方正黑体_GBK" w:cs="方正黑体_GBK" w:hint="eastAsia"/>
          <w:snapToGrid/>
          <w:sz w:val="28"/>
          <w:szCs w:val="24"/>
          <w:lang w:eastAsia="uk-UA"/>
        </w:rPr>
        <w:t>4</w:t>
      </w:r>
      <w:r>
        <w:rPr>
          <w:rFonts w:ascii="方正黑体_GBK" w:eastAsia="方正黑体_GBK" w:hAnsi="方正黑体_GBK" w:cs="方正黑体_GBK" w:hint="eastAsia"/>
          <w:snapToGrid/>
          <w:sz w:val="28"/>
          <w:szCs w:val="24"/>
          <w:lang w:eastAsia="uk-UA"/>
        </w:rPr>
        <w:t>个，三季度开工</w:t>
      </w:r>
      <w:r>
        <w:rPr>
          <w:rFonts w:ascii="方正黑体_GBK" w:eastAsia="方正黑体_GBK" w:hAnsi="方正黑体_GBK" w:cs="方正黑体_GBK" w:hint="eastAsia"/>
          <w:snapToGrid/>
          <w:sz w:val="28"/>
          <w:szCs w:val="24"/>
          <w:lang w:eastAsia="uk-UA"/>
        </w:rPr>
        <w:t>3</w:t>
      </w:r>
      <w:r>
        <w:rPr>
          <w:rFonts w:ascii="方正黑体_GBK" w:eastAsia="方正黑体_GBK" w:hAnsi="方正黑体_GBK" w:cs="方正黑体_GBK" w:hint="eastAsia"/>
          <w:snapToGrid/>
          <w:sz w:val="28"/>
          <w:szCs w:val="24"/>
          <w:lang w:eastAsia="uk-UA"/>
        </w:rPr>
        <w:t>个。二是续建项目促投产。精确制定项目施工进度表，每月调度一次，确保吉跃焊管、硬木码头、文海钢结构高频焊管等</w:t>
      </w:r>
      <w:r>
        <w:rPr>
          <w:rFonts w:ascii="方正黑体_GBK" w:eastAsia="方正黑体_GBK" w:hAnsi="方正黑体_GBK" w:cs="方正黑体_GBK" w:hint="eastAsia"/>
          <w:snapToGrid/>
          <w:sz w:val="28"/>
          <w:szCs w:val="24"/>
          <w:lang w:eastAsia="uk-UA"/>
        </w:rPr>
        <w:t>18</w:t>
      </w:r>
      <w:r>
        <w:rPr>
          <w:rFonts w:ascii="方正黑体_GBK" w:eastAsia="方正黑体_GBK" w:hAnsi="方正黑体_GBK" w:cs="方正黑体_GBK" w:hint="eastAsia"/>
          <w:snapToGrid/>
          <w:sz w:val="28"/>
          <w:szCs w:val="24"/>
          <w:lang w:eastAsia="uk-UA"/>
        </w:rPr>
        <w:t>个项目顺利竣工投产。</w:t>
      </w:r>
    </w:p>
    <w:p w:rsidR="008160E0" w:rsidRDefault="004A4D81">
      <w:pPr>
        <w:kinsoku/>
        <w:autoSpaceDE/>
        <w:autoSpaceDN/>
        <w:adjustRightInd/>
        <w:snapToGrid/>
        <w:spacing w:line="570" w:lineRule="exact"/>
        <w:ind w:firstLineChars="200" w:firstLine="560"/>
        <w:jc w:val="both"/>
        <w:textAlignment w:val="auto"/>
        <w:rPr>
          <w:rFonts w:ascii="方正黑体_GBK" w:eastAsia="方正黑体_GBK" w:hAnsi="方正黑体_GBK" w:cs="方正黑体_GBK"/>
          <w:snapToGrid/>
          <w:sz w:val="28"/>
          <w:szCs w:val="24"/>
          <w:lang w:eastAsia="uk-UA"/>
        </w:rPr>
      </w:pPr>
      <w:r>
        <w:rPr>
          <w:rFonts w:ascii="方正黑体_GBK" w:eastAsia="方正黑体_GBK" w:hAnsi="方正黑体_GBK" w:cs="方正黑体_GBK" w:hint="eastAsia"/>
          <w:snapToGrid/>
          <w:sz w:val="28"/>
          <w:szCs w:val="24"/>
          <w:lang w:eastAsia="uk-UA"/>
        </w:rPr>
        <w:t>（三）强化招商引资，加快产业聚集。</w:t>
      </w:r>
    </w:p>
    <w:p w:rsidR="008160E0" w:rsidRDefault="004A4D81">
      <w:pPr>
        <w:kinsoku/>
        <w:autoSpaceDE/>
        <w:autoSpaceDN/>
        <w:adjustRightInd/>
        <w:snapToGrid/>
        <w:spacing w:line="570" w:lineRule="exact"/>
        <w:ind w:firstLineChars="200" w:firstLine="560"/>
        <w:jc w:val="both"/>
        <w:textAlignment w:val="auto"/>
        <w:rPr>
          <w:rFonts w:ascii="方正黑体_GBK" w:eastAsia="方正黑体_GBK" w:hAnsi="方正黑体_GBK" w:cs="方正黑体_GBK"/>
          <w:snapToGrid/>
          <w:sz w:val="28"/>
          <w:szCs w:val="24"/>
          <w:lang w:eastAsia="uk-UA"/>
        </w:rPr>
      </w:pPr>
      <w:r>
        <w:rPr>
          <w:rFonts w:ascii="方正黑体_GBK" w:eastAsia="方正黑体_GBK" w:hAnsi="方正黑体_GBK" w:cs="方正黑体_GBK" w:hint="eastAsia"/>
          <w:snapToGrid/>
          <w:sz w:val="28"/>
          <w:szCs w:val="24"/>
          <w:lang w:eastAsia="uk-UA"/>
        </w:rPr>
        <w:t>继续以产业链招商、以招商为主要手段，以央企、国企和行业龙头企业为主要招商对象，注重主导产业链的培育，强化延链、补链、强链项目招商。全年力争完成新签项目协议投资</w:t>
      </w:r>
      <w:r>
        <w:rPr>
          <w:rFonts w:ascii="方正黑体_GBK" w:eastAsia="方正黑体_GBK" w:hAnsi="方正黑体_GBK" w:cs="方正黑体_GBK" w:hint="eastAsia"/>
          <w:snapToGrid/>
          <w:sz w:val="28"/>
          <w:szCs w:val="24"/>
          <w:lang w:eastAsia="uk-UA"/>
        </w:rPr>
        <w:t>200</w:t>
      </w:r>
      <w:r>
        <w:rPr>
          <w:rFonts w:ascii="方正黑体_GBK" w:eastAsia="方正黑体_GBK" w:hAnsi="方正黑体_GBK" w:cs="方正黑体_GBK" w:hint="eastAsia"/>
          <w:snapToGrid/>
          <w:sz w:val="28"/>
          <w:szCs w:val="24"/>
          <w:lang w:eastAsia="uk-UA"/>
        </w:rPr>
        <w:t>亿元以上，新引进亿元以上工业项目</w:t>
      </w:r>
      <w:r>
        <w:rPr>
          <w:rFonts w:ascii="方正黑体_GBK" w:eastAsia="方正黑体_GBK" w:hAnsi="方正黑体_GBK" w:cs="方正黑体_GBK" w:hint="eastAsia"/>
          <w:snapToGrid/>
          <w:sz w:val="28"/>
          <w:szCs w:val="24"/>
          <w:lang w:eastAsia="uk-UA"/>
        </w:rPr>
        <w:t>30</w:t>
      </w:r>
      <w:r>
        <w:rPr>
          <w:rFonts w:ascii="方正黑体_GBK" w:eastAsia="方正黑体_GBK" w:hAnsi="方正黑体_GBK" w:cs="方正黑体_GBK" w:hint="eastAsia"/>
          <w:snapToGrid/>
          <w:sz w:val="28"/>
          <w:szCs w:val="24"/>
          <w:lang w:eastAsia="uk-UA"/>
        </w:rPr>
        <w:t>个。其中：引进</w:t>
      </w:r>
      <w:r>
        <w:rPr>
          <w:rFonts w:ascii="方正黑体_GBK" w:eastAsia="方正黑体_GBK" w:hAnsi="方正黑体_GBK" w:cs="方正黑体_GBK" w:hint="eastAsia"/>
          <w:snapToGrid/>
          <w:sz w:val="28"/>
          <w:szCs w:val="24"/>
          <w:lang w:eastAsia="uk-UA"/>
        </w:rPr>
        <w:t>50</w:t>
      </w:r>
      <w:r>
        <w:rPr>
          <w:rFonts w:ascii="方正黑体_GBK" w:eastAsia="方正黑体_GBK" w:hAnsi="方正黑体_GBK" w:cs="方正黑体_GBK" w:hint="eastAsia"/>
          <w:snapToGrid/>
          <w:sz w:val="28"/>
          <w:szCs w:val="24"/>
          <w:lang w:eastAsia="uk-UA"/>
        </w:rPr>
        <w:t>亿元以上重大项目</w:t>
      </w:r>
      <w:r>
        <w:rPr>
          <w:rFonts w:ascii="方正黑体_GBK" w:eastAsia="方正黑体_GBK" w:hAnsi="方正黑体_GBK" w:cs="方正黑体_GBK" w:hint="eastAsia"/>
          <w:snapToGrid/>
          <w:sz w:val="28"/>
          <w:szCs w:val="24"/>
          <w:lang w:eastAsia="uk-UA"/>
        </w:rPr>
        <w:t>1</w:t>
      </w:r>
      <w:r>
        <w:rPr>
          <w:rFonts w:ascii="方正黑体_GBK" w:eastAsia="方正黑体_GBK" w:hAnsi="方正黑体_GBK" w:cs="方正黑体_GBK" w:hint="eastAsia"/>
          <w:snapToGrid/>
          <w:sz w:val="28"/>
          <w:szCs w:val="24"/>
          <w:lang w:eastAsia="uk-UA"/>
        </w:rPr>
        <w:t>个；引进高端装备</w:t>
      </w:r>
      <w:r>
        <w:rPr>
          <w:rFonts w:ascii="方正黑体_GBK" w:eastAsia="方正黑体_GBK" w:hAnsi="方正黑体_GBK" w:cs="方正黑体_GBK" w:hint="eastAsia"/>
          <w:snapToGrid/>
          <w:sz w:val="28"/>
          <w:szCs w:val="24"/>
          <w:lang w:eastAsia="uk-UA"/>
        </w:rPr>
        <w:t>制造项目</w:t>
      </w:r>
      <w:r>
        <w:rPr>
          <w:rFonts w:ascii="方正黑体_GBK" w:eastAsia="方正黑体_GBK" w:hAnsi="方正黑体_GBK" w:cs="方正黑体_GBK" w:hint="eastAsia"/>
          <w:snapToGrid/>
          <w:sz w:val="28"/>
          <w:szCs w:val="24"/>
          <w:lang w:eastAsia="uk-UA"/>
        </w:rPr>
        <w:t>5</w:t>
      </w:r>
      <w:r>
        <w:rPr>
          <w:rFonts w:ascii="方正黑体_GBK" w:eastAsia="方正黑体_GBK" w:hAnsi="方正黑体_GBK" w:cs="方正黑体_GBK" w:hint="eastAsia"/>
          <w:snapToGrid/>
          <w:sz w:val="28"/>
          <w:szCs w:val="24"/>
          <w:lang w:eastAsia="uk-UA"/>
        </w:rPr>
        <w:t>个以上，钢铁深加工项目</w:t>
      </w:r>
      <w:r>
        <w:rPr>
          <w:rFonts w:ascii="方正黑体_GBK" w:eastAsia="方正黑体_GBK" w:hAnsi="方正黑体_GBK" w:cs="方正黑体_GBK" w:hint="eastAsia"/>
          <w:snapToGrid/>
          <w:sz w:val="28"/>
          <w:szCs w:val="24"/>
          <w:lang w:eastAsia="uk-UA"/>
        </w:rPr>
        <w:t>10</w:t>
      </w:r>
      <w:r>
        <w:rPr>
          <w:rFonts w:ascii="方正黑体_GBK" w:eastAsia="方正黑体_GBK" w:hAnsi="方正黑体_GBK" w:cs="方正黑体_GBK" w:hint="eastAsia"/>
          <w:snapToGrid/>
          <w:sz w:val="28"/>
          <w:szCs w:val="24"/>
          <w:lang w:eastAsia="uk-UA"/>
        </w:rPr>
        <w:t>个以上。一是全力推动新能源装备制造项目引进。二是继续延伸钢铁深加工产业链条。三是推动木材深加工产业升级。四是注重引进配套产业项目。根据园区实际需求，重点引进一批仓储物流、设备维修再制造、贸易类项目，夯实园区产业发展基础。</w:t>
      </w:r>
    </w:p>
    <w:p w:rsidR="008160E0" w:rsidRDefault="004A4D81">
      <w:pPr>
        <w:kinsoku/>
        <w:autoSpaceDE/>
        <w:autoSpaceDN/>
        <w:adjustRightInd/>
        <w:snapToGrid/>
        <w:spacing w:line="570" w:lineRule="exact"/>
        <w:ind w:firstLineChars="200" w:firstLine="560"/>
        <w:jc w:val="both"/>
        <w:textAlignment w:val="auto"/>
        <w:rPr>
          <w:rFonts w:ascii="方正黑体_GBK" w:eastAsia="方正黑体_GBK" w:hAnsi="方正黑体_GBK" w:cs="方正黑体_GBK"/>
          <w:snapToGrid/>
          <w:sz w:val="28"/>
          <w:szCs w:val="24"/>
          <w:lang w:eastAsia="uk-UA"/>
        </w:rPr>
      </w:pPr>
      <w:r>
        <w:rPr>
          <w:rFonts w:ascii="方正黑体_GBK" w:eastAsia="方正黑体_GBK" w:hAnsi="方正黑体_GBK" w:cs="方正黑体_GBK" w:hint="eastAsia"/>
          <w:snapToGrid/>
          <w:sz w:val="28"/>
          <w:szCs w:val="24"/>
          <w:lang w:eastAsia="uk-UA"/>
        </w:rPr>
        <w:t>（四）补齐短板，稳步推进配套基础设施建设。</w:t>
      </w:r>
    </w:p>
    <w:p w:rsidR="008160E0" w:rsidRDefault="004A4D81">
      <w:pPr>
        <w:kinsoku/>
        <w:autoSpaceDE/>
        <w:autoSpaceDN/>
        <w:adjustRightInd/>
        <w:snapToGrid/>
        <w:spacing w:line="570" w:lineRule="exact"/>
        <w:ind w:firstLineChars="200" w:firstLine="560"/>
        <w:jc w:val="both"/>
        <w:textAlignment w:val="auto"/>
        <w:rPr>
          <w:rFonts w:ascii="方正黑体_GBK" w:eastAsia="方正黑体_GBK" w:hAnsi="方正黑体_GBK" w:cs="方正黑体_GBK"/>
          <w:snapToGrid/>
          <w:sz w:val="28"/>
          <w:szCs w:val="24"/>
          <w:lang w:eastAsia="uk-UA"/>
        </w:rPr>
      </w:pPr>
      <w:r>
        <w:rPr>
          <w:rFonts w:ascii="方正黑体_GBK" w:eastAsia="方正黑体_GBK" w:hAnsi="方正黑体_GBK" w:cs="方正黑体_GBK" w:hint="eastAsia"/>
          <w:snapToGrid/>
          <w:sz w:val="28"/>
          <w:szCs w:val="24"/>
          <w:lang w:eastAsia="uk-UA"/>
        </w:rPr>
        <w:t>一是积极推动道路设施建设。协调住建局加快推动十里海中路、十里海北路及十里海中一路的建设，力争</w:t>
      </w:r>
      <w:r>
        <w:rPr>
          <w:rFonts w:ascii="方正黑体_GBK" w:eastAsia="方正黑体_GBK" w:hAnsi="方正黑体_GBK" w:cs="方正黑体_GBK" w:hint="eastAsia"/>
          <w:snapToGrid/>
          <w:sz w:val="28"/>
          <w:szCs w:val="24"/>
          <w:lang w:eastAsia="uk-UA"/>
        </w:rPr>
        <w:t>2023</w:t>
      </w:r>
      <w:r>
        <w:rPr>
          <w:rFonts w:ascii="方正黑体_GBK" w:eastAsia="方正黑体_GBK" w:hAnsi="方正黑体_GBK" w:cs="方正黑体_GBK" w:hint="eastAsia"/>
          <w:snapToGrid/>
          <w:sz w:val="28"/>
          <w:szCs w:val="24"/>
          <w:lang w:eastAsia="uk-UA"/>
        </w:rPr>
        <w:t>年达到通行条件；</w:t>
      </w:r>
      <w:r>
        <w:rPr>
          <w:rFonts w:ascii="方正黑体_GBK" w:eastAsia="方正黑体_GBK" w:hAnsi="方正黑体_GBK" w:cs="方正黑体_GBK" w:hint="eastAsia"/>
          <w:snapToGrid/>
          <w:sz w:val="28"/>
          <w:szCs w:val="24"/>
          <w:lang w:eastAsia="uk-UA"/>
        </w:rPr>
        <w:t>协调</w:t>
      </w:r>
      <w:proofErr w:type="gramStart"/>
      <w:r>
        <w:rPr>
          <w:rFonts w:ascii="方正黑体_GBK" w:eastAsia="方正黑体_GBK" w:hAnsi="方正黑体_GBK" w:cs="方正黑体_GBK" w:hint="eastAsia"/>
          <w:snapToGrid/>
          <w:sz w:val="28"/>
          <w:szCs w:val="24"/>
        </w:rPr>
        <w:t>曹</w:t>
      </w:r>
      <w:r>
        <w:rPr>
          <w:rFonts w:ascii="方正黑体_GBK" w:eastAsia="方正黑体_GBK" w:hAnsi="方正黑体_GBK" w:cs="方正黑体_GBK" w:hint="eastAsia"/>
          <w:snapToGrid/>
          <w:sz w:val="28"/>
          <w:szCs w:val="24"/>
          <w:lang w:eastAsia="uk-UA"/>
        </w:rPr>
        <w:t>发展</w:t>
      </w:r>
      <w:proofErr w:type="gramEnd"/>
      <w:r>
        <w:rPr>
          <w:rFonts w:ascii="方正黑体_GBK" w:eastAsia="方正黑体_GBK" w:hAnsi="方正黑体_GBK" w:cs="方正黑体_GBK" w:hint="eastAsia"/>
          <w:snapToGrid/>
          <w:sz w:val="28"/>
          <w:szCs w:val="24"/>
          <w:lang w:eastAsia="uk-UA"/>
        </w:rPr>
        <w:t>加快推进庙中路东延工程污水管网修复工程、污水处理厂及中水回用等城市更新工程建设进度</w:t>
      </w:r>
      <w:r>
        <w:rPr>
          <w:rFonts w:ascii="方正黑体_GBK" w:eastAsia="方正黑体_GBK" w:hAnsi="方正黑体_GBK" w:cs="方正黑体_GBK" w:hint="eastAsia"/>
          <w:snapToGrid/>
          <w:sz w:val="28"/>
          <w:szCs w:val="24"/>
        </w:rPr>
        <w:t>，</w:t>
      </w:r>
      <w:r>
        <w:rPr>
          <w:rFonts w:ascii="方正黑体_GBK" w:eastAsia="方正黑体_GBK" w:hAnsi="方正黑体_GBK" w:cs="方正黑体_GBK" w:hint="eastAsia"/>
          <w:snapToGrid/>
          <w:sz w:val="28"/>
          <w:szCs w:val="24"/>
          <w:lang w:eastAsia="uk-UA"/>
        </w:rPr>
        <w:t>确保园区基础设施配套不影响项目建设及企业运营。二是积极推动给排水建设。协调曹发展集团复工曹妃甸城区再生水回用及污水输送管网工程，力争</w:t>
      </w:r>
      <w:r>
        <w:rPr>
          <w:rFonts w:ascii="方正黑体_GBK" w:eastAsia="方正黑体_GBK" w:hAnsi="方正黑体_GBK" w:cs="方正黑体_GBK" w:hint="eastAsia"/>
          <w:snapToGrid/>
          <w:sz w:val="28"/>
          <w:szCs w:val="24"/>
          <w:lang w:eastAsia="uk-UA"/>
        </w:rPr>
        <w:t>2023</w:t>
      </w:r>
      <w:r>
        <w:rPr>
          <w:rFonts w:ascii="方正黑体_GBK" w:eastAsia="方正黑体_GBK" w:hAnsi="方正黑体_GBK" w:cs="方正黑体_GBK" w:hint="eastAsia"/>
          <w:snapToGrid/>
          <w:sz w:val="28"/>
          <w:szCs w:val="24"/>
          <w:lang w:eastAsia="uk-UA"/>
        </w:rPr>
        <w:t>年使用。三是积极推动园区电力设施建设。结合电力公司加快办理磷酸铁锂项目、三一重工等新进办理用电手续，跟踪装备园</w:t>
      </w:r>
      <w:r>
        <w:rPr>
          <w:rFonts w:ascii="方正黑体_GBK" w:eastAsia="方正黑体_GBK" w:hAnsi="方正黑体_GBK" w:cs="方正黑体_GBK" w:hint="eastAsia"/>
          <w:snapToGrid/>
          <w:sz w:val="28"/>
          <w:szCs w:val="24"/>
          <w:lang w:eastAsia="uk-UA"/>
        </w:rPr>
        <w:t>区</w:t>
      </w:r>
      <w:r>
        <w:rPr>
          <w:rFonts w:ascii="方正黑体_GBK" w:eastAsia="方正黑体_GBK" w:hAnsi="方正黑体_GBK" w:cs="方正黑体_GBK" w:hint="eastAsia"/>
          <w:snapToGrid/>
          <w:sz w:val="28"/>
          <w:szCs w:val="24"/>
          <w:lang w:eastAsia="uk-UA"/>
        </w:rPr>
        <w:t>220kV</w:t>
      </w:r>
      <w:r>
        <w:rPr>
          <w:rFonts w:ascii="方正黑体_GBK" w:eastAsia="方正黑体_GBK" w:hAnsi="方正黑体_GBK" w:cs="方正黑体_GBK" w:hint="eastAsia"/>
          <w:snapToGrid/>
          <w:sz w:val="28"/>
          <w:szCs w:val="24"/>
          <w:lang w:eastAsia="uk-UA"/>
        </w:rPr>
        <w:t>变电站项目进展，协调解决相关问题。</w:t>
      </w:r>
    </w:p>
    <w:p w:rsidR="008160E0" w:rsidRDefault="004A4D81">
      <w:pPr>
        <w:kinsoku/>
        <w:autoSpaceDE/>
        <w:autoSpaceDN/>
        <w:adjustRightInd/>
        <w:snapToGrid/>
        <w:spacing w:line="570" w:lineRule="exact"/>
        <w:ind w:firstLineChars="200" w:firstLine="560"/>
        <w:jc w:val="both"/>
        <w:textAlignment w:val="auto"/>
        <w:rPr>
          <w:rFonts w:ascii="方正黑体_GBK" w:eastAsia="方正黑体_GBK" w:hAnsi="方正黑体_GBK" w:cs="方正黑体_GBK"/>
          <w:snapToGrid/>
          <w:sz w:val="28"/>
          <w:szCs w:val="24"/>
          <w:lang w:eastAsia="uk-UA"/>
        </w:rPr>
      </w:pPr>
      <w:r>
        <w:rPr>
          <w:rFonts w:ascii="方正黑体_GBK" w:eastAsia="方正黑体_GBK" w:hAnsi="方正黑体_GBK" w:cs="方正黑体_GBK" w:hint="eastAsia"/>
          <w:snapToGrid/>
          <w:sz w:val="28"/>
          <w:szCs w:val="24"/>
          <w:lang w:eastAsia="uk-UA"/>
        </w:rPr>
        <w:lastRenderedPageBreak/>
        <w:t>（五）完善制度建设。包括制定完善预算绩效管理制度、资金管理办法、工作保障制度等，为全年预算绩效目标的实现奠定制度基础。</w:t>
      </w:r>
    </w:p>
    <w:p w:rsidR="008160E0" w:rsidRDefault="004A4D81">
      <w:pPr>
        <w:kinsoku/>
        <w:autoSpaceDE/>
        <w:autoSpaceDN/>
        <w:adjustRightInd/>
        <w:snapToGrid/>
        <w:spacing w:line="570" w:lineRule="exact"/>
        <w:ind w:firstLineChars="200" w:firstLine="560"/>
        <w:jc w:val="both"/>
        <w:textAlignment w:val="auto"/>
        <w:rPr>
          <w:rFonts w:ascii="方正黑体_GBK" w:eastAsia="方正黑体_GBK" w:hAnsi="方正黑体_GBK" w:cs="方正黑体_GBK"/>
          <w:snapToGrid/>
          <w:sz w:val="28"/>
          <w:szCs w:val="24"/>
          <w:lang w:eastAsia="uk-UA"/>
        </w:rPr>
      </w:pPr>
      <w:r>
        <w:rPr>
          <w:rFonts w:ascii="方正黑体_GBK" w:eastAsia="方正黑体_GBK" w:hAnsi="方正黑体_GBK" w:cs="方正黑体_GBK" w:hint="eastAsia"/>
          <w:snapToGrid/>
          <w:sz w:val="28"/>
          <w:szCs w:val="24"/>
          <w:lang w:eastAsia="uk-UA"/>
        </w:rPr>
        <w:t>（六）加强支出管理。通过优化支出结构、编细编实预算、加快履行政府采购手续、尽快启动项目、及时支</w:t>
      </w:r>
      <w:r>
        <w:rPr>
          <w:rFonts w:ascii="方正黑体_GBK" w:eastAsia="方正黑体_GBK" w:hAnsi="方正黑体_GBK" w:cs="方正黑体_GBK" w:hint="eastAsia"/>
          <w:snapToGrid/>
          <w:sz w:val="28"/>
          <w:szCs w:val="24"/>
          <w:lang w:eastAsia="uk-UA"/>
        </w:rPr>
        <w:t>付资金、</w:t>
      </w:r>
      <w:r>
        <w:rPr>
          <w:rFonts w:ascii="方正黑体_GBK" w:eastAsia="方正黑体_GBK" w:hAnsi="方正黑体_GBK" w:cs="方正黑体_GBK" w:hint="eastAsia"/>
          <w:snapToGrid/>
          <w:sz w:val="28"/>
          <w:szCs w:val="24"/>
          <w:lang w:eastAsia="uk-UA"/>
        </w:rPr>
        <w:t>6</w:t>
      </w:r>
      <w:r>
        <w:rPr>
          <w:rFonts w:ascii="方正黑体_GBK" w:eastAsia="方正黑体_GBK" w:hAnsi="方正黑体_GBK" w:cs="方正黑体_GBK" w:hint="eastAsia"/>
          <w:snapToGrid/>
          <w:sz w:val="28"/>
          <w:szCs w:val="24"/>
          <w:lang w:eastAsia="uk-UA"/>
        </w:rPr>
        <w:t>月底前细化代编预算、按规定及时下达资金等多种措施</w:t>
      </w:r>
      <w:r>
        <w:rPr>
          <w:rFonts w:ascii="方正黑体_GBK" w:eastAsia="方正黑体_GBK" w:hAnsi="方正黑体_GBK" w:cs="方正黑体_GBK" w:hint="eastAsia"/>
          <w:snapToGrid/>
          <w:sz w:val="28"/>
          <w:szCs w:val="24"/>
          <w:lang w:eastAsia="uk-UA"/>
        </w:rPr>
        <w:t>,</w:t>
      </w:r>
      <w:r>
        <w:rPr>
          <w:rFonts w:ascii="方正黑体_GBK" w:eastAsia="方正黑体_GBK" w:hAnsi="方正黑体_GBK" w:cs="方正黑体_GBK" w:hint="eastAsia"/>
          <w:snapToGrid/>
          <w:sz w:val="28"/>
          <w:szCs w:val="24"/>
          <w:lang w:eastAsia="uk-UA"/>
        </w:rPr>
        <w:t>确保支出进度达标。加强绩效运行监控。</w:t>
      </w:r>
      <w:r>
        <w:rPr>
          <w:rFonts w:ascii="方正黑体_GBK" w:eastAsia="方正黑体_GBK" w:hAnsi="方正黑体_GBK" w:cs="方正黑体_GBK" w:hint="eastAsia"/>
          <w:snapToGrid/>
          <w:sz w:val="28"/>
          <w:szCs w:val="24"/>
          <w:lang w:eastAsia="uk-UA"/>
        </w:rPr>
        <w:t xml:space="preserve"> </w:t>
      </w:r>
      <w:r>
        <w:rPr>
          <w:rFonts w:ascii="方正黑体_GBK" w:eastAsia="方正黑体_GBK" w:hAnsi="方正黑体_GBK" w:cs="方正黑体_GBK" w:hint="eastAsia"/>
          <w:snapToGrid/>
          <w:sz w:val="28"/>
          <w:szCs w:val="24"/>
          <w:lang w:eastAsia="uk-UA"/>
        </w:rPr>
        <w:t>按要求开展绩效运行监控</w:t>
      </w:r>
      <w:r>
        <w:rPr>
          <w:rFonts w:ascii="方正黑体_GBK" w:eastAsia="方正黑体_GBK" w:hAnsi="方正黑体_GBK" w:cs="方正黑体_GBK" w:hint="eastAsia"/>
          <w:snapToGrid/>
          <w:sz w:val="28"/>
          <w:szCs w:val="24"/>
          <w:lang w:eastAsia="uk-UA"/>
        </w:rPr>
        <w:t>,</w:t>
      </w:r>
      <w:r>
        <w:rPr>
          <w:rFonts w:ascii="方正黑体_GBK" w:eastAsia="方正黑体_GBK" w:hAnsi="方正黑体_GBK" w:cs="方正黑体_GBK" w:hint="eastAsia"/>
          <w:snapToGrid/>
          <w:sz w:val="28"/>
          <w:szCs w:val="24"/>
          <w:lang w:eastAsia="uk-UA"/>
        </w:rPr>
        <w:t>发现问题及时采取措施，确保绩效目标如期保质实现。</w:t>
      </w:r>
    </w:p>
    <w:p w:rsidR="008160E0" w:rsidRDefault="004A4D81">
      <w:pPr>
        <w:kinsoku/>
        <w:autoSpaceDE/>
        <w:autoSpaceDN/>
        <w:adjustRightInd/>
        <w:snapToGrid/>
        <w:spacing w:line="570" w:lineRule="exact"/>
        <w:ind w:firstLineChars="200" w:firstLine="560"/>
        <w:jc w:val="both"/>
        <w:textAlignment w:val="auto"/>
        <w:rPr>
          <w:rFonts w:ascii="方正黑体_GBK" w:eastAsia="方正黑体_GBK" w:hAnsi="方正黑体_GBK" w:cs="方正黑体_GBK"/>
          <w:snapToGrid/>
          <w:sz w:val="28"/>
          <w:szCs w:val="24"/>
          <w:lang w:eastAsia="uk-UA"/>
        </w:rPr>
      </w:pPr>
      <w:r>
        <w:rPr>
          <w:rFonts w:ascii="方正黑体_GBK" w:eastAsia="方正黑体_GBK" w:hAnsi="方正黑体_GBK" w:cs="方正黑体_GBK" w:hint="eastAsia"/>
          <w:snapToGrid/>
          <w:sz w:val="28"/>
          <w:szCs w:val="24"/>
          <w:lang w:eastAsia="uk-UA"/>
        </w:rPr>
        <w:t>（七）做好绩效自评。按要求开展上年度部门预算绩效自评和重点评价工作，对评价中发现的问题及时整改，调整优化支出结构，提高财政资金使用效益。</w:t>
      </w:r>
    </w:p>
    <w:p w:rsidR="008160E0" w:rsidRDefault="004A4D81">
      <w:pPr>
        <w:kinsoku/>
        <w:autoSpaceDE/>
        <w:autoSpaceDN/>
        <w:adjustRightInd/>
        <w:snapToGrid/>
        <w:spacing w:line="570" w:lineRule="exact"/>
        <w:ind w:firstLineChars="200" w:firstLine="560"/>
        <w:jc w:val="both"/>
        <w:textAlignment w:val="auto"/>
        <w:rPr>
          <w:rFonts w:ascii="方正黑体_GBK" w:eastAsia="方正黑体_GBK" w:hAnsi="方正黑体_GBK" w:cs="方正黑体_GBK"/>
          <w:snapToGrid/>
          <w:sz w:val="28"/>
          <w:szCs w:val="24"/>
          <w:lang w:eastAsia="uk-UA"/>
        </w:rPr>
      </w:pPr>
      <w:r>
        <w:rPr>
          <w:rFonts w:ascii="方正黑体_GBK" w:eastAsia="方正黑体_GBK" w:hAnsi="方正黑体_GBK" w:cs="方正黑体_GBK" w:hint="eastAsia"/>
          <w:snapToGrid/>
          <w:sz w:val="28"/>
          <w:szCs w:val="24"/>
          <w:lang w:eastAsia="uk-UA"/>
        </w:rPr>
        <w:t>（八）规范财务资产管理。完善财务管理制度，严格审批程序，加强固定资产登记、使用和报废处置管理，做到支出合理，物尽其用。加强内部监督。</w:t>
      </w:r>
      <w:r>
        <w:rPr>
          <w:rFonts w:ascii="方正黑体_GBK" w:eastAsia="方正黑体_GBK" w:hAnsi="方正黑体_GBK" w:cs="方正黑体_GBK" w:hint="eastAsia"/>
          <w:snapToGrid/>
          <w:sz w:val="28"/>
          <w:szCs w:val="24"/>
          <w:lang w:eastAsia="uk-UA"/>
        </w:rPr>
        <w:t xml:space="preserve"> </w:t>
      </w:r>
      <w:r>
        <w:rPr>
          <w:rFonts w:ascii="方正黑体_GBK" w:eastAsia="方正黑体_GBK" w:hAnsi="方正黑体_GBK" w:cs="方正黑体_GBK" w:hint="eastAsia"/>
          <w:snapToGrid/>
          <w:sz w:val="28"/>
          <w:szCs w:val="24"/>
          <w:lang w:eastAsia="uk-UA"/>
        </w:rPr>
        <w:t>加强内部监督制度建设，对绩效运行情况、重大支出决策、对外投资、资产处置及其他重要经济业务事项的决策和执行进行督导，对会计资料进行内部审计，并配合做好审计、财政监督等外部监督工作，确保财政资金安全有效。加强宣传培训调研等。加强人员培训，提高本部门职工业务素质；加强调研，提出优化财政资金配置、提高资金使用效益的意见；加大宣传力度，强化预算绩效管理意识，促进预算绩效管理水平进一步提升。</w:t>
      </w:r>
    </w:p>
    <w:p w:rsidR="008160E0" w:rsidRDefault="008160E0">
      <w:pPr>
        <w:spacing w:before="143" w:line="219" w:lineRule="auto"/>
        <w:jc w:val="center"/>
        <w:rPr>
          <w:rFonts w:ascii="宋体" w:eastAsia="宋体" w:hAnsi="宋体" w:cs="宋体"/>
          <w:b/>
          <w:bCs/>
          <w:spacing w:val="6"/>
          <w:sz w:val="44"/>
          <w:szCs w:val="44"/>
        </w:rPr>
      </w:pPr>
    </w:p>
    <w:p w:rsidR="008160E0" w:rsidRDefault="008160E0">
      <w:pPr>
        <w:spacing w:before="143" w:line="219" w:lineRule="auto"/>
        <w:jc w:val="center"/>
        <w:rPr>
          <w:rFonts w:ascii="宋体" w:eastAsia="宋体" w:hAnsi="宋体" w:cs="宋体"/>
          <w:b/>
          <w:bCs/>
          <w:spacing w:val="6"/>
          <w:sz w:val="44"/>
          <w:szCs w:val="44"/>
        </w:rPr>
      </w:pPr>
    </w:p>
    <w:p w:rsidR="008160E0" w:rsidRDefault="008160E0">
      <w:pPr>
        <w:spacing w:before="143" w:line="219" w:lineRule="auto"/>
        <w:jc w:val="center"/>
        <w:rPr>
          <w:rFonts w:ascii="宋体" w:eastAsia="宋体" w:hAnsi="宋体" w:cs="宋体"/>
          <w:b/>
          <w:bCs/>
          <w:spacing w:val="6"/>
          <w:sz w:val="44"/>
          <w:szCs w:val="44"/>
        </w:rPr>
      </w:pPr>
    </w:p>
    <w:sectPr w:rsidR="008160E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D81" w:rsidRDefault="004A4D81">
      <w:r>
        <w:separator/>
      </w:r>
    </w:p>
  </w:endnote>
  <w:endnote w:type="continuationSeparator" w:id="0">
    <w:p w:rsidR="004A4D81" w:rsidRDefault="004A4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书宋_GBK">
    <w:altName w:val="宋体"/>
    <w:charset w:val="86"/>
    <w:family w:val="roman"/>
    <w:pitch w:val="default"/>
  </w:font>
  <w:font w:name="方正小标宋_GBK">
    <w:altName w:val="宋体"/>
    <w:charset w:val="86"/>
    <w:family w:val="roman"/>
    <w:pitch w:val="default"/>
  </w:font>
  <w:font w:name="方正楷体_GBK">
    <w:altName w:val="宋体"/>
    <w:charset w:val="86"/>
    <w:family w:val="roman"/>
    <w:pitch w:val="default"/>
  </w:font>
  <w:font w:name="方正黑体_GBK">
    <w:altName w:val="宋体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0E0" w:rsidRDefault="008160E0">
    <w:pPr>
      <w:rPr>
        <w:rFonts w:ascii="宋体" w:eastAsia="宋体" w:hAnsi="宋体" w:cs="宋体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D81" w:rsidRDefault="004A4D81">
      <w:r>
        <w:separator/>
      </w:r>
    </w:p>
  </w:footnote>
  <w:footnote w:type="continuationSeparator" w:id="0">
    <w:p w:rsidR="004A4D81" w:rsidRDefault="004A4D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kZWVlYzc0NzUyNzU5YThhYWRmOGUxZDQxNjhkMWEifQ=="/>
  </w:docVars>
  <w:rsids>
    <w:rsidRoot w:val="23986050"/>
    <w:rsid w:val="000A7AA8"/>
    <w:rsid w:val="000D3113"/>
    <w:rsid w:val="0027487B"/>
    <w:rsid w:val="002C393B"/>
    <w:rsid w:val="00324E4B"/>
    <w:rsid w:val="00394550"/>
    <w:rsid w:val="004A4D81"/>
    <w:rsid w:val="006170D1"/>
    <w:rsid w:val="006D005B"/>
    <w:rsid w:val="007621A5"/>
    <w:rsid w:val="007632AD"/>
    <w:rsid w:val="008160E0"/>
    <w:rsid w:val="00A00DC1"/>
    <w:rsid w:val="00A30F26"/>
    <w:rsid w:val="00BA523D"/>
    <w:rsid w:val="00C50771"/>
    <w:rsid w:val="00CC4838"/>
    <w:rsid w:val="00D96BF0"/>
    <w:rsid w:val="00E40653"/>
    <w:rsid w:val="00F043D0"/>
    <w:rsid w:val="00F42763"/>
    <w:rsid w:val="0B5A630E"/>
    <w:rsid w:val="0D065DD9"/>
    <w:rsid w:val="121E2634"/>
    <w:rsid w:val="14C42A10"/>
    <w:rsid w:val="166C6DA1"/>
    <w:rsid w:val="1CF364F8"/>
    <w:rsid w:val="23986050"/>
    <w:rsid w:val="2B8822C5"/>
    <w:rsid w:val="32035B5F"/>
    <w:rsid w:val="38EC66A3"/>
    <w:rsid w:val="3D3D3DDC"/>
    <w:rsid w:val="42164802"/>
    <w:rsid w:val="4AF70B77"/>
    <w:rsid w:val="501E0C85"/>
    <w:rsid w:val="512D27F4"/>
    <w:rsid w:val="51937451"/>
    <w:rsid w:val="52D55FAC"/>
    <w:rsid w:val="588B7C7B"/>
    <w:rsid w:val="5DA13858"/>
    <w:rsid w:val="6A82045A"/>
    <w:rsid w:val="6D194857"/>
    <w:rsid w:val="6EEC1F63"/>
    <w:rsid w:val="71A46427"/>
    <w:rsid w:val="781756C1"/>
    <w:rsid w:val="7A17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next w:val="5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paragraph" w:styleId="5">
    <w:name w:val="index 5"/>
    <w:basedOn w:val="a"/>
    <w:next w:val="a"/>
    <w:qFormat/>
    <w:pPr>
      <w:ind w:leftChars="800" w:left="800"/>
    </w:pPr>
    <w:rPr>
      <w:rFonts w:ascii="Calibri" w:hAnsi="Calibri" w:cs="Calibri"/>
      <w:kern w:val="2"/>
    </w:rPr>
  </w:style>
  <w:style w:type="paragraph" w:styleId="a3">
    <w:name w:val="Body Text"/>
    <w:basedOn w:val="a"/>
    <w:uiPriority w:val="99"/>
    <w:unhideWhenUsed/>
    <w:qFormat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-">
    <w:name w:val="插入文本样式-插入职责分类绩效目标文件"/>
    <w:basedOn w:val="a"/>
    <w:qFormat/>
    <w:pPr>
      <w:kinsoku/>
      <w:autoSpaceDE/>
      <w:autoSpaceDN/>
      <w:adjustRightInd/>
      <w:snapToGrid/>
      <w:spacing w:line="500" w:lineRule="exact"/>
      <w:ind w:firstLine="560"/>
      <w:textAlignment w:val="auto"/>
    </w:pPr>
    <w:rPr>
      <w:rFonts w:ascii="Times New Roman" w:eastAsia="方正仿宋_GBK" w:hAnsi="Times New Roman" w:cs="Times New Roman"/>
      <w:snapToGrid/>
      <w:color w:val="auto"/>
      <w:sz w:val="28"/>
      <w:szCs w:val="24"/>
      <w:lang w:eastAsia="uk-UA"/>
    </w:rPr>
  </w:style>
  <w:style w:type="paragraph" w:customStyle="1" w:styleId="4">
    <w:name w:val="单元格样式4"/>
    <w:basedOn w:val="a"/>
    <w:qFormat/>
    <w:pPr>
      <w:kinsoku/>
      <w:autoSpaceDE/>
      <w:autoSpaceDN/>
      <w:adjustRightInd/>
      <w:snapToGrid/>
      <w:jc w:val="right"/>
      <w:textAlignment w:val="auto"/>
    </w:pPr>
    <w:rPr>
      <w:rFonts w:ascii="方正书宋_GBK" w:eastAsia="方正书宋_GBK" w:hAnsi="方正书宋_GBK" w:cs="方正书宋_GBK"/>
      <w:snapToGrid/>
      <w:color w:val="auto"/>
      <w:szCs w:val="24"/>
      <w:lang w:eastAsia="uk-UA"/>
    </w:rPr>
  </w:style>
  <w:style w:type="paragraph" w:customStyle="1" w:styleId="50">
    <w:name w:val="单元格样式5"/>
    <w:basedOn w:val="a"/>
    <w:qFormat/>
    <w:pPr>
      <w:kinsoku/>
      <w:autoSpaceDE/>
      <w:autoSpaceDN/>
      <w:adjustRightInd/>
      <w:snapToGrid/>
      <w:textAlignment w:val="auto"/>
    </w:pPr>
    <w:rPr>
      <w:rFonts w:ascii="方正书宋_GBK" w:eastAsia="方正书宋_GBK" w:hAnsi="方正书宋_GBK" w:cs="方正书宋_GBK"/>
      <w:b/>
      <w:snapToGrid/>
      <w:color w:val="auto"/>
      <w:szCs w:val="24"/>
      <w:lang w:eastAsia="uk-UA"/>
    </w:rPr>
  </w:style>
  <w:style w:type="paragraph" w:customStyle="1" w:styleId="2">
    <w:name w:val="单元格样式2"/>
    <w:basedOn w:val="a"/>
    <w:qFormat/>
    <w:pPr>
      <w:kinsoku/>
      <w:autoSpaceDE/>
      <w:autoSpaceDN/>
      <w:adjustRightInd/>
      <w:snapToGrid/>
      <w:textAlignment w:val="auto"/>
    </w:pPr>
    <w:rPr>
      <w:rFonts w:ascii="方正书宋_GBK" w:eastAsia="方正书宋_GBK" w:hAnsi="方正书宋_GBK" w:cs="方正书宋_GBK"/>
      <w:snapToGrid/>
      <w:color w:val="auto"/>
      <w:szCs w:val="24"/>
      <w:lang w:eastAsia="uk-UA"/>
    </w:rPr>
  </w:style>
  <w:style w:type="paragraph" w:customStyle="1" w:styleId="1">
    <w:name w:val="单元格样式1"/>
    <w:basedOn w:val="a"/>
    <w:qFormat/>
    <w:pPr>
      <w:kinsoku/>
      <w:autoSpaceDE/>
      <w:autoSpaceDN/>
      <w:adjustRightInd/>
      <w:snapToGrid/>
      <w:jc w:val="center"/>
      <w:textAlignment w:val="auto"/>
    </w:pPr>
    <w:rPr>
      <w:rFonts w:ascii="方正书宋_GBK" w:eastAsia="方正书宋_GBK" w:hAnsi="方正书宋_GBK" w:cs="方正书宋_GBK"/>
      <w:b/>
      <w:snapToGrid/>
      <w:color w:val="auto"/>
      <w:szCs w:val="24"/>
      <w:lang w:eastAsia="uk-UA"/>
    </w:rPr>
  </w:style>
  <w:style w:type="paragraph" w:customStyle="1" w:styleId="3">
    <w:name w:val="单元格样式3"/>
    <w:basedOn w:val="a"/>
    <w:qFormat/>
    <w:pPr>
      <w:kinsoku/>
      <w:autoSpaceDE/>
      <w:autoSpaceDN/>
      <w:adjustRightInd/>
      <w:snapToGrid/>
      <w:jc w:val="center"/>
      <w:textAlignment w:val="auto"/>
    </w:pPr>
    <w:rPr>
      <w:rFonts w:ascii="方正书宋_GBK" w:eastAsia="方正书宋_GBK" w:hAnsi="方正书宋_GBK" w:cs="方正书宋_GBK"/>
      <w:snapToGrid/>
      <w:color w:val="auto"/>
      <w:szCs w:val="24"/>
      <w:lang w:eastAsia="uk-UA"/>
    </w:rPr>
  </w:style>
  <w:style w:type="paragraph" w:customStyle="1" w:styleId="11">
    <w:name w:val="目录 11"/>
    <w:basedOn w:val="a"/>
    <w:qFormat/>
    <w:pPr>
      <w:spacing w:before="120"/>
    </w:pPr>
    <w:rPr>
      <w:rFonts w:eastAsia="方正仿宋_GBK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next w:val="5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paragraph" w:styleId="5">
    <w:name w:val="index 5"/>
    <w:basedOn w:val="a"/>
    <w:next w:val="a"/>
    <w:qFormat/>
    <w:pPr>
      <w:ind w:leftChars="800" w:left="800"/>
    </w:pPr>
    <w:rPr>
      <w:rFonts w:ascii="Calibri" w:hAnsi="Calibri" w:cs="Calibri"/>
      <w:kern w:val="2"/>
    </w:rPr>
  </w:style>
  <w:style w:type="paragraph" w:styleId="a3">
    <w:name w:val="Body Text"/>
    <w:basedOn w:val="a"/>
    <w:uiPriority w:val="99"/>
    <w:unhideWhenUsed/>
    <w:qFormat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-">
    <w:name w:val="插入文本样式-插入职责分类绩效目标文件"/>
    <w:basedOn w:val="a"/>
    <w:qFormat/>
    <w:pPr>
      <w:kinsoku/>
      <w:autoSpaceDE/>
      <w:autoSpaceDN/>
      <w:adjustRightInd/>
      <w:snapToGrid/>
      <w:spacing w:line="500" w:lineRule="exact"/>
      <w:ind w:firstLine="560"/>
      <w:textAlignment w:val="auto"/>
    </w:pPr>
    <w:rPr>
      <w:rFonts w:ascii="Times New Roman" w:eastAsia="方正仿宋_GBK" w:hAnsi="Times New Roman" w:cs="Times New Roman"/>
      <w:snapToGrid/>
      <w:color w:val="auto"/>
      <w:sz w:val="28"/>
      <w:szCs w:val="24"/>
      <w:lang w:eastAsia="uk-UA"/>
    </w:rPr>
  </w:style>
  <w:style w:type="paragraph" w:customStyle="1" w:styleId="4">
    <w:name w:val="单元格样式4"/>
    <w:basedOn w:val="a"/>
    <w:qFormat/>
    <w:pPr>
      <w:kinsoku/>
      <w:autoSpaceDE/>
      <w:autoSpaceDN/>
      <w:adjustRightInd/>
      <w:snapToGrid/>
      <w:jc w:val="right"/>
      <w:textAlignment w:val="auto"/>
    </w:pPr>
    <w:rPr>
      <w:rFonts w:ascii="方正书宋_GBK" w:eastAsia="方正书宋_GBK" w:hAnsi="方正书宋_GBK" w:cs="方正书宋_GBK"/>
      <w:snapToGrid/>
      <w:color w:val="auto"/>
      <w:szCs w:val="24"/>
      <w:lang w:eastAsia="uk-UA"/>
    </w:rPr>
  </w:style>
  <w:style w:type="paragraph" w:customStyle="1" w:styleId="50">
    <w:name w:val="单元格样式5"/>
    <w:basedOn w:val="a"/>
    <w:qFormat/>
    <w:pPr>
      <w:kinsoku/>
      <w:autoSpaceDE/>
      <w:autoSpaceDN/>
      <w:adjustRightInd/>
      <w:snapToGrid/>
      <w:textAlignment w:val="auto"/>
    </w:pPr>
    <w:rPr>
      <w:rFonts w:ascii="方正书宋_GBK" w:eastAsia="方正书宋_GBK" w:hAnsi="方正书宋_GBK" w:cs="方正书宋_GBK"/>
      <w:b/>
      <w:snapToGrid/>
      <w:color w:val="auto"/>
      <w:szCs w:val="24"/>
      <w:lang w:eastAsia="uk-UA"/>
    </w:rPr>
  </w:style>
  <w:style w:type="paragraph" w:customStyle="1" w:styleId="2">
    <w:name w:val="单元格样式2"/>
    <w:basedOn w:val="a"/>
    <w:qFormat/>
    <w:pPr>
      <w:kinsoku/>
      <w:autoSpaceDE/>
      <w:autoSpaceDN/>
      <w:adjustRightInd/>
      <w:snapToGrid/>
      <w:textAlignment w:val="auto"/>
    </w:pPr>
    <w:rPr>
      <w:rFonts w:ascii="方正书宋_GBK" w:eastAsia="方正书宋_GBK" w:hAnsi="方正书宋_GBK" w:cs="方正书宋_GBK"/>
      <w:snapToGrid/>
      <w:color w:val="auto"/>
      <w:szCs w:val="24"/>
      <w:lang w:eastAsia="uk-UA"/>
    </w:rPr>
  </w:style>
  <w:style w:type="paragraph" w:customStyle="1" w:styleId="1">
    <w:name w:val="单元格样式1"/>
    <w:basedOn w:val="a"/>
    <w:qFormat/>
    <w:pPr>
      <w:kinsoku/>
      <w:autoSpaceDE/>
      <w:autoSpaceDN/>
      <w:adjustRightInd/>
      <w:snapToGrid/>
      <w:jc w:val="center"/>
      <w:textAlignment w:val="auto"/>
    </w:pPr>
    <w:rPr>
      <w:rFonts w:ascii="方正书宋_GBK" w:eastAsia="方正书宋_GBK" w:hAnsi="方正书宋_GBK" w:cs="方正书宋_GBK"/>
      <w:b/>
      <w:snapToGrid/>
      <w:color w:val="auto"/>
      <w:szCs w:val="24"/>
      <w:lang w:eastAsia="uk-UA"/>
    </w:rPr>
  </w:style>
  <w:style w:type="paragraph" w:customStyle="1" w:styleId="3">
    <w:name w:val="单元格样式3"/>
    <w:basedOn w:val="a"/>
    <w:qFormat/>
    <w:pPr>
      <w:kinsoku/>
      <w:autoSpaceDE/>
      <w:autoSpaceDN/>
      <w:adjustRightInd/>
      <w:snapToGrid/>
      <w:jc w:val="center"/>
      <w:textAlignment w:val="auto"/>
    </w:pPr>
    <w:rPr>
      <w:rFonts w:ascii="方正书宋_GBK" w:eastAsia="方正书宋_GBK" w:hAnsi="方正书宋_GBK" w:cs="方正书宋_GBK"/>
      <w:snapToGrid/>
      <w:color w:val="auto"/>
      <w:szCs w:val="24"/>
      <w:lang w:eastAsia="uk-UA"/>
    </w:rPr>
  </w:style>
  <w:style w:type="paragraph" w:customStyle="1" w:styleId="11">
    <w:name w:val="目录 11"/>
    <w:basedOn w:val="a"/>
    <w:qFormat/>
    <w:pPr>
      <w:spacing w:before="120"/>
    </w:pPr>
    <w:rPr>
      <w:rFonts w:eastAsia="方正仿宋_GBK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84E1F-061C-4287-93D0-2134F2ADA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390</Words>
  <Characters>2223</Characters>
  <Application>Microsoft Office Word</Application>
  <DocSecurity>0</DocSecurity>
  <Lines>18</Lines>
  <Paragraphs>5</Paragraphs>
  <ScaleCrop>false</ScaleCrop>
  <Company>Microsoft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微信用户</dc:creator>
  <cp:lastModifiedBy>PC</cp:lastModifiedBy>
  <cp:revision>3</cp:revision>
  <cp:lastPrinted>2023-01-03T07:09:00Z</cp:lastPrinted>
  <dcterms:created xsi:type="dcterms:W3CDTF">2023-01-30T01:41:00Z</dcterms:created>
  <dcterms:modified xsi:type="dcterms:W3CDTF">2023-04-12T08:06:00Z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F00AC450702949F0AABB73FD70EDBB94</vt:lpwstr>
  </property>
</Properties>
</file>