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曹妃甸区装备制造园区管理委员会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曹妃甸区装备制造园区管理委员会编制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7" w:history="1">
        <w:r>
          <w:rPr/>
          <w:t xml:space="preserve">一、曹妃甸区装备制造园区管理委员会本级收支预算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根据《曹妃甸区装备制造园区管理委员会职能配置、内设机构和人员编制规定》，曹妃甸区装备制造园区管理委员会的主要职责是：</w:t>
      </w:r>
    </w:p>
    <w:p>
      <w:pPr>
        <w:pStyle w:val="插入文本样式-插入部门职责文件"/>
      </w:pPr>
      <w:r>
        <w:t xml:space="preserve">根据《曹妃甸区装备制造园区管理委员会职能配置、内设机构和人员编制规定》，曹妃甸区装备制造园区管理委员会的主要职责是：</w:t>
      </w:r>
    </w:p>
    <w:p>
      <w:pPr>
        <w:pStyle w:val="插入文本样式-插入部门职责文件"/>
      </w:pPr>
      <w:r>
        <w:t xml:space="preserve">根据《曹妃甸区装备制造园区管理委员会职能配置、内设机构和人员编制规定》， 曹妃甸区装备制造园区管理委员会的主要职责是：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编制辖区的总体规划和经济发展规划，经批准后组织实施；组织对区域城市发展规划、建设规划提出建议，并协助组织实施；负责（或协助）做好辖区基础设施和公用设施的维护及管理；负责辖区项目谋划、招商引资、投资促进和企业服务；负责辖区生态建设、环境管理与保护；负责辖区装备制造产业的培育与协调联系行业管理；负责辖区财务管理、国有资产管理和财务监督工作；负责辖区安全生产监督、管理；负责协调辖区内上级有关部门派驻机构的工作；负责唐山市曹妃甸区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860.22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389.32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389.32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389.28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389.28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248.20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248.20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103.14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103.14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16.87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16.87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37.78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37.78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470.90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470.90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468.57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468.57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254.31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254.31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119.07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119.07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21.44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21.44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19.43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19.43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43.31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43.31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2.33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2.33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44.99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44.99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842.19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842.19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44.99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44.99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5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61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37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一、曹妃甸区装备制造园区管理委员会本级收支预算</w:t>
      </w:r>
      <w:bookmarkEnd w:id="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905.21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860.22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389.32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389.32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389.28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389.28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248.20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248.20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103.14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103.14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16.87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16.87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468.57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468.57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254.31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254.31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119.07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119.07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21.44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21.44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19.43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19.43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44.99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44.99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905.21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842.19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842.19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44.99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44.99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15.66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2023-02-27T11:48:52Z</dcterms:created>
  <dcterms:modified xsi:type="dcterms:W3CDTF">2023-02-27T03:48:52Z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2023-02-27T11:48:53Z</dcterms:created>
  <dcterms:modified xsi:type="dcterms:W3CDTF">2023-02-27T03:48:53Z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2023-02-27T11:48:58Z</dcterms:created>
  <dcterms:modified xsi:type="dcterms:W3CDTF">2023-02-27T03:48:58Z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2023-02-27T11:48:58Z</dcterms:created>
  <dcterms:modified xsi:type="dcterms:W3CDTF">2023-02-27T03:49:11Z</dcterms:modified>
</cp:coreProperties>
</file>