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C5F07" w:rsidRDefault="0012706B">
      <w:pPr>
        <w:spacing w:line="57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曹妃甸化学工业园区管理委员会2023年部门预算信息公开</w:t>
      </w:r>
    </w:p>
    <w:p w:rsidR="006C5F07" w:rsidRDefault="006C5F07">
      <w:pPr>
        <w:spacing w:line="570" w:lineRule="exact"/>
        <w:ind w:firstLineChars="200" w:firstLine="640"/>
        <w:rPr>
          <w:rFonts w:ascii="Times New Roman" w:eastAsia="方正仿宋简体" w:hAnsi="Times New Roman" w:cs="Times New Roman"/>
          <w:sz w:val="32"/>
          <w:szCs w:val="32"/>
        </w:rPr>
      </w:pPr>
    </w:p>
    <w:p w:rsidR="006C5F07" w:rsidRDefault="0012706B">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按照《预算法》、《河北省预决算公开操作规程实施细则》规定，现将2023年部门预算公开如下：</w:t>
      </w:r>
    </w:p>
    <w:p w:rsidR="006C5F07" w:rsidRDefault="0012706B">
      <w:pPr>
        <w:spacing w:line="57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一、部门职责及机构设置情况</w:t>
      </w:r>
    </w:p>
    <w:p w:rsidR="006C5F07" w:rsidRDefault="0012706B">
      <w:pPr>
        <w:spacing w:line="57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（一）部门职责</w:t>
      </w:r>
    </w:p>
    <w:p w:rsidR="006C5F07" w:rsidRDefault="0012706B">
      <w:pPr>
        <w:spacing w:line="570" w:lineRule="exact"/>
        <w:ind w:firstLineChars="200" w:firstLine="640"/>
        <w:rPr>
          <w:rFonts w:ascii="仿宋" w:eastAsia="仿宋" w:hAnsi="仿宋" w:cs="仿宋"/>
          <w:sz w:val="32"/>
          <w:szCs w:val="32"/>
        </w:rPr>
      </w:pPr>
      <w:r>
        <w:rPr>
          <w:rFonts w:ascii="仿宋" w:eastAsia="仿宋" w:hAnsi="仿宋" w:cs="仿宋"/>
          <w:sz w:val="32"/>
          <w:szCs w:val="32"/>
        </w:rPr>
        <w:t>1、中共曹妃甸化学工业园区工作委员会主要职责。贯彻落实党的路线、方针、政策和上级党委的决议、指示；研究辖区内重大社会经济发展问题；负责辖区内党的建设、纪检监察和群团工作；按照授权和干部管理权限负责辖区内干部管理；负责宣传和精神文明建设工作；组织协调辖区内社会管理综合治理和维护稳定工作；完成中共唐山市曹妃甸区委交办的其他任务。</w:t>
      </w:r>
    </w:p>
    <w:p w:rsidR="006C5F07" w:rsidRDefault="0012706B">
      <w:pPr>
        <w:spacing w:line="570" w:lineRule="exact"/>
        <w:ind w:firstLineChars="200" w:firstLine="640"/>
        <w:rPr>
          <w:rFonts w:ascii="仿宋" w:eastAsia="仿宋" w:hAnsi="仿宋" w:cs="仿宋"/>
          <w:sz w:val="32"/>
          <w:szCs w:val="32"/>
        </w:rPr>
      </w:pPr>
      <w:r>
        <w:rPr>
          <w:rFonts w:ascii="仿宋" w:eastAsia="仿宋" w:hAnsi="仿宋" w:cs="仿宋"/>
          <w:sz w:val="32"/>
          <w:szCs w:val="32"/>
        </w:rPr>
        <w:t>2、曹妃甸化学工业园区管理委员会主要职责。根据《曹妃甸化学工业园区管理委员会职能配置、内设机构和人员编制规定》， 曹妃甸化学工业园区管理委员会</w:t>
      </w:r>
      <w:r>
        <w:rPr>
          <w:rFonts w:ascii="仿宋" w:eastAsia="仿宋" w:hAnsi="仿宋" w:cs="仿宋" w:hint="eastAsia"/>
          <w:sz w:val="32"/>
          <w:szCs w:val="32"/>
        </w:rPr>
        <w:t>有以下职责：</w:t>
      </w:r>
    </w:p>
    <w:p w:rsidR="006C5F07" w:rsidRDefault="0012706B">
      <w:pPr>
        <w:spacing w:line="570" w:lineRule="exact"/>
        <w:ind w:firstLineChars="200" w:firstLine="640"/>
        <w:rPr>
          <w:rFonts w:ascii="仿宋" w:eastAsia="仿宋" w:hAnsi="仿宋" w:cs="仿宋"/>
          <w:sz w:val="32"/>
          <w:szCs w:val="32"/>
        </w:rPr>
      </w:pPr>
      <w:r>
        <w:rPr>
          <w:rFonts w:ascii="仿宋" w:eastAsia="仿宋" w:hAnsi="仿宋" w:cs="仿宋"/>
          <w:sz w:val="32"/>
          <w:szCs w:val="32"/>
        </w:rPr>
        <w:t>（1）贸易管理。包括招商引资及园区发展配套费用。招商引资包括辖区项目谋划、招商引资、</w:t>
      </w:r>
      <w:r>
        <w:rPr>
          <w:rFonts w:ascii="仿宋" w:eastAsia="仿宋" w:hAnsi="仿宋" w:cs="仿宋"/>
          <w:sz w:val="32"/>
          <w:szCs w:val="32"/>
        </w:rPr>
        <w:lastRenderedPageBreak/>
        <w:t>投资促进和企业服务，负责辖区化学产业的培育与协调联系行业管理。园区发展配套费用包括聘请专家及法律顾问费用，以及中国石油和化学工业联合会会员费用。</w:t>
      </w:r>
    </w:p>
    <w:p w:rsidR="006C5F07" w:rsidRDefault="0012706B">
      <w:pPr>
        <w:spacing w:line="570" w:lineRule="exact"/>
        <w:ind w:firstLineChars="200" w:firstLine="640"/>
        <w:rPr>
          <w:rFonts w:ascii="仿宋" w:eastAsia="仿宋" w:hAnsi="仿宋" w:cs="仿宋"/>
          <w:sz w:val="32"/>
          <w:szCs w:val="32"/>
        </w:rPr>
      </w:pPr>
      <w:r>
        <w:rPr>
          <w:rFonts w:ascii="仿宋" w:eastAsia="仿宋" w:hAnsi="仿宋" w:cs="仿宋"/>
          <w:sz w:val="32"/>
          <w:szCs w:val="32"/>
        </w:rPr>
        <w:t>（2）负责党的建设、党风廉政建设、人力资源和社会保障、社会事业、精神文明建设工作；负责经济运行，固定资产投资、建设及管理，国有资产监管、融资、财务管理；负责招商引资、规划、工程建设监管工作。贯彻落实党的路线、方针、政策和上级党委的决议、指示，研究辖区内重大社会经济发展问题，负责辖区内党的建设、纪检监察和群团工作；按照授权和干部管理权限负责辖区内干部管理；负责宣传和精神文明建设工作；组织协调辖区内社会管理综合治理和维护稳定工作；完成中共唐山市曹妃甸区委交办的其他任务。编制基地管理中长期发展规划和年度计划并组织实施。规划建设管理，协助基地新建项目对规划、建设等各项手续进行报批。负责园区各项基础设施、公共设施的维护及管理，协调解决园区内水、电、路、讯等基础设施建设中的问题。负责就项目选址提出要求与建议。负责协助区国土局管理区域国土（海洋）资源。负责辖区安全生产监督管理工作。负责辖区化学产业的培育与协调联系行业管理。负责辖区财务管理、国有资产管理和财务监管工作；负责协调辖区内上级有关部门派驻机构的工作；负责唐山市曹妃甸区政府和党工委、管委会领导交</w:t>
      </w:r>
      <w:r>
        <w:rPr>
          <w:rFonts w:ascii="仿宋" w:eastAsia="仿宋" w:hAnsi="仿宋" w:cs="仿宋"/>
          <w:sz w:val="32"/>
          <w:szCs w:val="32"/>
        </w:rPr>
        <w:lastRenderedPageBreak/>
        <w:t>办的其他工作任务。</w:t>
      </w:r>
    </w:p>
    <w:p w:rsidR="006C5F07" w:rsidRDefault="0012706B">
      <w:pPr>
        <w:spacing w:line="570" w:lineRule="exact"/>
        <w:ind w:firstLineChars="200" w:firstLine="640"/>
        <w:rPr>
          <w:rFonts w:ascii="仿宋" w:eastAsia="仿宋" w:hAnsi="仿宋" w:cs="仿宋"/>
          <w:sz w:val="32"/>
          <w:szCs w:val="32"/>
        </w:rPr>
      </w:pPr>
      <w:r>
        <w:rPr>
          <w:rFonts w:ascii="仿宋" w:eastAsia="仿宋" w:hAnsi="仿宋" w:cs="仿宋"/>
          <w:sz w:val="32"/>
          <w:szCs w:val="32"/>
        </w:rPr>
        <w:t>（3）机关政务管理。主要是综合事务管理，包括园区房租水电及物业费，做好内部信息化建设与维护等工作，保证机关正常运转。</w:t>
      </w:r>
    </w:p>
    <w:p w:rsidR="006C5F07" w:rsidRDefault="0012706B">
      <w:pPr>
        <w:spacing w:line="57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（二）机构设置</w:t>
      </w:r>
    </w:p>
    <w:tbl>
      <w:tblPr>
        <w:tblpPr w:leftFromText="180" w:rightFromText="180" w:vertAnchor="text" w:horzAnchor="page" w:tblpXSpec="center" w:tblpY="323"/>
        <w:tblOverlap w:val="neve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2283"/>
        <w:gridCol w:w="3116"/>
        <w:gridCol w:w="3880"/>
      </w:tblGrid>
      <w:tr w:rsidR="006C5F07">
        <w:trPr>
          <w:trHeight w:hRule="exact" w:val="567"/>
          <w:jc w:val="center"/>
        </w:trPr>
        <w:tc>
          <w:tcPr>
            <w:tcW w:w="1682" w:type="pct"/>
            <w:vAlign w:val="center"/>
          </w:tcPr>
          <w:p w:rsidR="006C5F07" w:rsidRDefault="0012706B">
            <w:pPr>
              <w:jc w:val="center"/>
            </w:pPr>
            <w:r>
              <w:rPr>
                <w:rFonts w:hint="eastAsia"/>
              </w:rPr>
              <w:t>单位名称</w:t>
            </w:r>
          </w:p>
        </w:tc>
        <w:tc>
          <w:tcPr>
            <w:tcW w:w="816" w:type="pct"/>
            <w:vAlign w:val="center"/>
          </w:tcPr>
          <w:p w:rsidR="006C5F07" w:rsidRDefault="0012706B">
            <w:pPr>
              <w:jc w:val="center"/>
            </w:pPr>
            <w:r>
              <w:rPr>
                <w:rFonts w:hint="eastAsia"/>
              </w:rPr>
              <w:t>单位性质</w:t>
            </w:r>
          </w:p>
        </w:tc>
        <w:tc>
          <w:tcPr>
            <w:tcW w:w="1114" w:type="pct"/>
            <w:vAlign w:val="center"/>
          </w:tcPr>
          <w:p w:rsidR="006C5F07" w:rsidRDefault="0012706B">
            <w:pPr>
              <w:jc w:val="center"/>
            </w:pPr>
            <w:r>
              <w:rPr>
                <w:rFonts w:hint="eastAsia"/>
              </w:rPr>
              <w:t>单位规格</w:t>
            </w:r>
          </w:p>
        </w:tc>
        <w:tc>
          <w:tcPr>
            <w:tcW w:w="1386" w:type="pct"/>
            <w:vAlign w:val="center"/>
          </w:tcPr>
          <w:p w:rsidR="006C5F07" w:rsidRDefault="0012706B">
            <w:pPr>
              <w:jc w:val="center"/>
            </w:pPr>
            <w:r>
              <w:rPr>
                <w:rFonts w:hint="eastAsia"/>
              </w:rPr>
              <w:t>经费保障形式</w:t>
            </w:r>
          </w:p>
        </w:tc>
      </w:tr>
      <w:tr w:rsidR="006C5F07">
        <w:trPr>
          <w:trHeight w:hRule="exact" w:val="567"/>
          <w:jc w:val="center"/>
        </w:trPr>
        <w:tc>
          <w:tcPr>
            <w:tcW w:w="1682" w:type="pct"/>
            <w:vAlign w:val="center"/>
          </w:tcPr>
          <w:p w:rsidR="006C5F07" w:rsidRDefault="0012706B">
            <w:pPr>
              <w:jc w:val="center"/>
            </w:pPr>
            <w:r>
              <w:rPr>
                <w:rFonts w:hint="eastAsia"/>
              </w:rPr>
              <w:t>曹妃甸化学工业园区管理委员会（本级）</w:t>
            </w:r>
          </w:p>
        </w:tc>
        <w:tc>
          <w:tcPr>
            <w:tcW w:w="816" w:type="pct"/>
            <w:vAlign w:val="center"/>
          </w:tcPr>
          <w:p w:rsidR="006C5F07" w:rsidRDefault="0012706B">
            <w:pPr>
              <w:jc w:val="center"/>
            </w:pPr>
            <w:r>
              <w:rPr>
                <w:rFonts w:hint="eastAsia"/>
              </w:rPr>
              <w:t>行政</w:t>
            </w:r>
          </w:p>
        </w:tc>
        <w:tc>
          <w:tcPr>
            <w:tcW w:w="1114" w:type="pct"/>
            <w:vAlign w:val="center"/>
          </w:tcPr>
          <w:p w:rsidR="006C5F07" w:rsidRDefault="0012706B">
            <w:pPr>
              <w:jc w:val="center"/>
            </w:pPr>
            <w:r>
              <w:rPr>
                <w:rFonts w:hint="eastAsia"/>
              </w:rPr>
              <w:t>正处级</w:t>
            </w:r>
          </w:p>
        </w:tc>
        <w:tc>
          <w:tcPr>
            <w:tcW w:w="1386" w:type="pct"/>
            <w:vAlign w:val="center"/>
          </w:tcPr>
          <w:p w:rsidR="006C5F07" w:rsidRDefault="0012706B">
            <w:pPr>
              <w:jc w:val="center"/>
            </w:pPr>
            <w:r>
              <w:rPr>
                <w:rFonts w:hint="eastAsia"/>
              </w:rPr>
              <w:t>财政拨款</w:t>
            </w:r>
          </w:p>
        </w:tc>
      </w:tr>
    </w:tbl>
    <w:p w:rsidR="006C5F07" w:rsidRDefault="0012706B">
      <w:r>
        <w:rPr>
          <w:rFonts w:hint="eastAsia"/>
        </w:rPr>
        <w:t xml:space="preserve">  </w:t>
      </w:r>
    </w:p>
    <w:p w:rsidR="006C5F07" w:rsidRDefault="006C5F07"/>
    <w:p w:rsidR="006C5F07" w:rsidRDefault="0012706B">
      <w:pPr>
        <w:spacing w:line="570" w:lineRule="exact"/>
        <w:ind w:firstLineChars="200" w:firstLine="640"/>
        <w:rPr>
          <w:rFonts w:ascii="黑体" w:eastAsia="黑体" w:hAnsi="黑体"/>
          <w:sz w:val="32"/>
          <w:szCs w:val="32"/>
        </w:rPr>
      </w:pPr>
      <w:r>
        <w:rPr>
          <w:rFonts w:ascii="黑体" w:eastAsia="黑体" w:hAnsi="黑体" w:hint="eastAsia"/>
          <w:sz w:val="32"/>
          <w:szCs w:val="32"/>
        </w:rPr>
        <w:t>二、部门预算安排的总体情况</w:t>
      </w:r>
    </w:p>
    <w:p w:rsidR="006C5F07" w:rsidRDefault="0012706B">
      <w:pPr>
        <w:spacing w:line="570" w:lineRule="exact"/>
        <w:ind w:firstLineChars="200" w:firstLine="643"/>
        <w:rPr>
          <w:rFonts w:ascii="仿宋" w:eastAsia="仿宋" w:hAnsi="仿宋" w:cs="仿宋"/>
          <w:sz w:val="32"/>
          <w:szCs w:val="32"/>
        </w:rPr>
      </w:pPr>
      <w:r>
        <w:rPr>
          <w:rFonts w:ascii="楷体" w:eastAsia="楷体" w:hAnsi="楷体" w:cs="楷体" w:hint="eastAsia"/>
          <w:b/>
          <w:bCs/>
          <w:sz w:val="32"/>
          <w:szCs w:val="32"/>
        </w:rPr>
        <w:t>（一）收入说明</w:t>
      </w:r>
      <w:r>
        <w:rPr>
          <w:rFonts w:ascii="仿宋" w:eastAsia="仿宋" w:hAnsi="仿宋" w:cs="仿宋" w:hint="eastAsia"/>
          <w:sz w:val="32"/>
          <w:szCs w:val="32"/>
        </w:rPr>
        <w:t xml:space="preserve"> </w:t>
      </w:r>
    </w:p>
    <w:p w:rsidR="006C5F07" w:rsidRDefault="0012706B">
      <w:pPr>
        <w:spacing w:line="570" w:lineRule="exact"/>
        <w:ind w:firstLineChars="200" w:firstLine="640"/>
        <w:rPr>
          <w:rFonts w:ascii="仿宋" w:eastAsia="仿宋" w:hAnsi="仿宋" w:cs="仿宋"/>
          <w:sz w:val="32"/>
          <w:szCs w:val="32"/>
        </w:rPr>
      </w:pPr>
      <w:r>
        <w:rPr>
          <w:rFonts w:ascii="仿宋" w:eastAsia="仿宋" w:hAnsi="仿宋" w:cs="仿宋"/>
          <w:sz w:val="32"/>
          <w:szCs w:val="32"/>
        </w:rPr>
        <w:t>本部门当年全部收入，202</w:t>
      </w:r>
      <w:r>
        <w:rPr>
          <w:rFonts w:ascii="仿宋" w:eastAsia="仿宋" w:hAnsi="仿宋" w:cs="仿宋" w:hint="eastAsia"/>
          <w:sz w:val="32"/>
          <w:szCs w:val="32"/>
        </w:rPr>
        <w:t>3</w:t>
      </w:r>
      <w:r>
        <w:rPr>
          <w:rFonts w:ascii="仿宋" w:eastAsia="仿宋" w:hAnsi="仿宋" w:cs="仿宋"/>
          <w:sz w:val="32"/>
          <w:szCs w:val="32"/>
        </w:rPr>
        <w:t>年预算收入</w:t>
      </w:r>
      <w:r>
        <w:rPr>
          <w:rFonts w:ascii="仿宋" w:eastAsia="仿宋" w:hAnsi="仿宋" w:cs="仿宋" w:hint="eastAsia"/>
          <w:sz w:val="32"/>
          <w:szCs w:val="32"/>
        </w:rPr>
        <w:t>541.28</w:t>
      </w:r>
      <w:r>
        <w:rPr>
          <w:rFonts w:ascii="仿宋" w:eastAsia="仿宋" w:hAnsi="仿宋" w:cs="仿宋"/>
          <w:sz w:val="32"/>
          <w:szCs w:val="32"/>
        </w:rPr>
        <w:t>万元,全部为一般公共预算收入。</w:t>
      </w:r>
    </w:p>
    <w:p w:rsidR="006C5F07" w:rsidRDefault="0012706B">
      <w:pPr>
        <w:spacing w:line="57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（二）支出说明</w:t>
      </w:r>
    </w:p>
    <w:p w:rsidR="006C5F07" w:rsidRDefault="0012706B">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收支预算总表支出栏、基本支出表、项目支出表按经济分类和支出功能分类科目编制，反映曹妃甸化学工业园区管理委员会年度部门预算中支出预算的总体情况。2023年部门支出预算为541.28</w:t>
      </w:r>
      <w:r>
        <w:rPr>
          <w:rFonts w:ascii="仿宋" w:eastAsia="仿宋" w:hAnsi="仿宋" w:cs="仿宋" w:hint="eastAsia"/>
          <w:sz w:val="32"/>
          <w:szCs w:val="32"/>
        </w:rPr>
        <w:lastRenderedPageBreak/>
        <w:t>万元，其中基本支出541.28万元，包括人员经费512.41万元和公用经费28.87万元；项目支出0万元，全部为本级支出。</w:t>
      </w:r>
    </w:p>
    <w:p w:rsidR="006C5F07" w:rsidRDefault="0012706B">
      <w:pPr>
        <w:spacing w:line="57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（三）比上年增减情况</w:t>
      </w:r>
    </w:p>
    <w:p w:rsidR="006C5F07" w:rsidRDefault="0012706B">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2023年部门预算较2022年减少567.32万元，其中：基本支出增加51.62万元，项目支出减少618.94万元。主要是因为落实“过紧日子”要求，厉行节约，压减预算。</w:t>
      </w:r>
    </w:p>
    <w:p w:rsidR="006C5F07" w:rsidRDefault="0012706B">
      <w:pPr>
        <w:spacing w:line="570" w:lineRule="exact"/>
        <w:ind w:firstLineChars="200" w:firstLine="640"/>
        <w:rPr>
          <w:rFonts w:ascii="黑体" w:eastAsia="黑体" w:hAnsi="黑体"/>
          <w:sz w:val="32"/>
          <w:szCs w:val="32"/>
        </w:rPr>
      </w:pPr>
      <w:r>
        <w:rPr>
          <w:rFonts w:ascii="黑体" w:eastAsia="黑体" w:hAnsi="黑体" w:hint="eastAsia"/>
          <w:sz w:val="32"/>
          <w:szCs w:val="32"/>
        </w:rPr>
        <w:t>三、机关运行经费安排情况</w:t>
      </w:r>
    </w:p>
    <w:p w:rsidR="006C5F07" w:rsidRDefault="0012706B">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机关运行经费共计安排28.87万元，主要用于保证机关正常运转的办公及邮电费、手续费、福利费、工会经费、公务员交通补贴、公务用车运行维护费等支出。</w:t>
      </w:r>
    </w:p>
    <w:p w:rsidR="006C5F07" w:rsidRDefault="0012706B">
      <w:pPr>
        <w:spacing w:line="570" w:lineRule="exact"/>
        <w:ind w:firstLineChars="200" w:firstLine="640"/>
        <w:rPr>
          <w:rFonts w:ascii="黑体" w:eastAsia="黑体" w:hAnsi="黑体"/>
          <w:sz w:val="32"/>
          <w:szCs w:val="32"/>
        </w:rPr>
      </w:pPr>
      <w:r>
        <w:rPr>
          <w:rFonts w:ascii="黑体" w:eastAsia="黑体" w:hAnsi="黑体" w:hint="eastAsia"/>
          <w:sz w:val="32"/>
          <w:szCs w:val="32"/>
        </w:rPr>
        <w:t>四、财政拨款“三公”经费预算情况及增减变化原因</w:t>
      </w:r>
    </w:p>
    <w:p w:rsidR="006C5F07" w:rsidRDefault="0012706B">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2023年，财政拨款“三公”经费预算安排2.1万元，同比去年减少6.9万元。原因是落实“过紧日子”要求，压减预算。其中：公务用车购置及运维费2.1万元（无公务用车购置费，2.1万元均为公务用车运行维护费），同比去年减少0.9万元，原因是落实“过紧日子”要求，压减预算；公务接待费0万元，同比去年减少6万元。因公出国（境）费无预算安排，同比去年无增减变化。</w:t>
      </w:r>
    </w:p>
    <w:p w:rsidR="006C5F07" w:rsidRDefault="0012706B">
      <w:pPr>
        <w:spacing w:line="570" w:lineRule="exact"/>
        <w:ind w:firstLineChars="200" w:firstLine="640"/>
        <w:rPr>
          <w:rFonts w:ascii="黑体" w:eastAsia="黑体" w:hAnsi="黑体"/>
          <w:sz w:val="32"/>
          <w:szCs w:val="32"/>
        </w:rPr>
      </w:pPr>
      <w:r>
        <w:rPr>
          <w:rFonts w:ascii="黑体" w:eastAsia="黑体" w:hAnsi="黑体" w:hint="eastAsia"/>
          <w:sz w:val="32"/>
          <w:szCs w:val="32"/>
        </w:rPr>
        <w:lastRenderedPageBreak/>
        <w:t>五、绩效预算信息</w:t>
      </w:r>
    </w:p>
    <w:p w:rsidR="006C5F07" w:rsidRDefault="0012706B">
      <w:pPr>
        <w:spacing w:line="570" w:lineRule="exact"/>
        <w:ind w:firstLineChars="200" w:firstLine="643"/>
        <w:rPr>
          <w:rFonts w:ascii="楷体" w:eastAsia="楷体" w:hAnsi="楷体" w:cs="楷体"/>
          <w:b/>
          <w:bCs/>
          <w:sz w:val="32"/>
          <w:szCs w:val="32"/>
        </w:rPr>
      </w:pPr>
      <w:bookmarkStart w:id="0" w:name="_Toc65079860"/>
      <w:bookmarkStart w:id="1" w:name="_Toc478031148"/>
      <w:r>
        <w:rPr>
          <w:rFonts w:ascii="楷体" w:eastAsia="楷体" w:hAnsi="楷体" w:cs="楷体" w:hint="eastAsia"/>
          <w:b/>
          <w:bCs/>
          <w:sz w:val="32"/>
          <w:szCs w:val="32"/>
        </w:rPr>
        <w:t>（一）总体绩效目标</w:t>
      </w:r>
      <w:bookmarkEnd w:id="0"/>
    </w:p>
    <w:p w:rsidR="006C5F07" w:rsidRDefault="0012706B">
      <w:pPr>
        <w:pStyle w:val="-"/>
      </w:pPr>
      <w:r>
        <w:t>依据区委区政府工作部署以及我园区</w:t>
      </w:r>
      <w:r>
        <w:t>“</w:t>
      </w:r>
      <w:r>
        <w:t>三定方案</w:t>
      </w:r>
      <w:r>
        <w:t>”</w:t>
      </w:r>
      <w:r>
        <w:t>和部门战略发展规划、年度工作计划与工作要点等，设立以下部门总体绩效目标。</w:t>
      </w:r>
    </w:p>
    <w:p w:rsidR="006C5F07" w:rsidRDefault="0012706B">
      <w:pPr>
        <w:pStyle w:val="-"/>
        <w:jc w:val="both"/>
      </w:pPr>
      <w:r>
        <w:rPr>
          <w:rFonts w:hint="eastAsia"/>
        </w:rPr>
        <w:t>一是</w:t>
      </w:r>
      <w:r>
        <w:t>主要经济指标计划。完成</w:t>
      </w:r>
      <w:r>
        <w:rPr>
          <w:rFonts w:hint="eastAsia"/>
        </w:rPr>
        <w:t>公共财政税收，完成公共财政税收</w:t>
      </w:r>
      <w:r>
        <w:rPr>
          <w:rFonts w:hint="eastAsia"/>
        </w:rPr>
        <w:t>14448</w:t>
      </w:r>
      <w:r>
        <w:rPr>
          <w:rFonts w:hint="eastAsia"/>
        </w:rPr>
        <w:t>万元，增长</w:t>
      </w:r>
      <w:r>
        <w:rPr>
          <w:rFonts w:hint="eastAsia"/>
        </w:rPr>
        <w:t>5%</w:t>
      </w:r>
      <w:r>
        <w:rPr>
          <w:rFonts w:hint="eastAsia"/>
        </w:rPr>
        <w:t>；新开工亿元以上项目</w:t>
      </w:r>
      <w:r>
        <w:rPr>
          <w:rFonts w:hint="eastAsia"/>
        </w:rPr>
        <w:t>6</w:t>
      </w:r>
      <w:r>
        <w:rPr>
          <w:rFonts w:hint="eastAsia"/>
        </w:rPr>
        <w:t>个、竣工项目</w:t>
      </w:r>
      <w:r>
        <w:rPr>
          <w:rFonts w:hint="eastAsia"/>
        </w:rPr>
        <w:t>2</w:t>
      </w:r>
      <w:r>
        <w:rPr>
          <w:rFonts w:hint="eastAsia"/>
        </w:rPr>
        <w:t>个；固定资产投资额完成</w:t>
      </w:r>
      <w:r>
        <w:rPr>
          <w:rFonts w:hint="eastAsia"/>
        </w:rPr>
        <w:t>30</w:t>
      </w:r>
      <w:r>
        <w:rPr>
          <w:rFonts w:hint="eastAsia"/>
        </w:rPr>
        <w:t>亿元，增长</w:t>
      </w:r>
      <w:r>
        <w:rPr>
          <w:rFonts w:hint="eastAsia"/>
        </w:rPr>
        <w:t>50%</w:t>
      </w:r>
      <w:r>
        <w:rPr>
          <w:rFonts w:hint="eastAsia"/>
        </w:rPr>
        <w:t>；规上工业增加值增速</w:t>
      </w:r>
      <w:r>
        <w:rPr>
          <w:rFonts w:hint="eastAsia"/>
        </w:rPr>
        <w:t>10%</w:t>
      </w:r>
      <w:r>
        <w:rPr>
          <w:rFonts w:hint="eastAsia"/>
        </w:rPr>
        <w:t>；规上服务业营业收入增速</w:t>
      </w:r>
      <w:r>
        <w:rPr>
          <w:rFonts w:hint="eastAsia"/>
        </w:rPr>
        <w:t>15%</w:t>
      </w:r>
      <w:r>
        <w:rPr>
          <w:rFonts w:hint="eastAsia"/>
        </w:rPr>
        <w:t>；引进亿元以上项目</w:t>
      </w:r>
      <w:r>
        <w:rPr>
          <w:rFonts w:hint="eastAsia"/>
        </w:rPr>
        <w:t>15</w:t>
      </w:r>
      <w:r>
        <w:rPr>
          <w:rFonts w:hint="eastAsia"/>
        </w:rPr>
        <w:t>个；引进外资</w:t>
      </w:r>
      <w:r>
        <w:rPr>
          <w:rFonts w:hint="eastAsia"/>
        </w:rPr>
        <w:t>3500</w:t>
      </w:r>
      <w:r>
        <w:rPr>
          <w:rFonts w:hint="eastAsia"/>
        </w:rPr>
        <w:t>万美元以上；限额以上贸易额完成</w:t>
      </w:r>
      <w:r>
        <w:rPr>
          <w:rFonts w:hint="eastAsia"/>
        </w:rPr>
        <w:t>50</w:t>
      </w:r>
      <w:r>
        <w:rPr>
          <w:rFonts w:hint="eastAsia"/>
        </w:rPr>
        <w:t>亿元以上。</w:t>
      </w:r>
    </w:p>
    <w:p w:rsidR="006C5F07" w:rsidRDefault="0012706B">
      <w:pPr>
        <w:pStyle w:val="-"/>
      </w:pPr>
      <w:r>
        <w:rPr>
          <w:rFonts w:hint="eastAsia"/>
        </w:rPr>
        <w:t>二是全力推进，争取打好项目建设翻身仗；</w:t>
      </w:r>
    </w:p>
    <w:p w:rsidR="006C5F07" w:rsidRDefault="0012706B">
      <w:pPr>
        <w:pStyle w:val="-"/>
      </w:pPr>
      <w:r>
        <w:rPr>
          <w:rFonts w:hint="eastAsia"/>
        </w:rPr>
        <w:t>三是</w:t>
      </w:r>
      <w:r>
        <w:t>推动招商引资取得新进展</w:t>
      </w:r>
      <w:r>
        <w:rPr>
          <w:rFonts w:hint="eastAsia"/>
        </w:rPr>
        <w:t>；</w:t>
      </w:r>
    </w:p>
    <w:p w:rsidR="006C5F07" w:rsidRDefault="0012706B">
      <w:pPr>
        <w:pStyle w:val="-"/>
      </w:pPr>
      <w:r>
        <w:rPr>
          <w:rFonts w:hint="eastAsia"/>
        </w:rPr>
        <w:t>四是进一步</w:t>
      </w:r>
      <w:r>
        <w:t>提升基础设施</w:t>
      </w:r>
      <w:r>
        <w:rPr>
          <w:rFonts w:hint="eastAsia"/>
        </w:rPr>
        <w:t>和</w:t>
      </w:r>
      <w:r>
        <w:t>公用工程</w:t>
      </w:r>
      <w:r>
        <w:rPr>
          <w:rFonts w:hint="eastAsia"/>
        </w:rPr>
        <w:t>配套水平；</w:t>
      </w:r>
    </w:p>
    <w:p w:rsidR="006C5F07" w:rsidRDefault="0012706B">
      <w:pPr>
        <w:pStyle w:val="-"/>
      </w:pPr>
      <w:r>
        <w:rPr>
          <w:rFonts w:hint="eastAsia"/>
        </w:rPr>
        <w:t>五是</w:t>
      </w:r>
      <w:r>
        <w:t>加强</w:t>
      </w:r>
      <w:r>
        <w:rPr>
          <w:rFonts w:hint="eastAsia"/>
        </w:rPr>
        <w:t>生态建设和环境保护工作；</w:t>
      </w:r>
    </w:p>
    <w:p w:rsidR="006C5F07" w:rsidRDefault="0012706B">
      <w:pPr>
        <w:pStyle w:val="-"/>
        <w:rPr>
          <w:rFonts w:ascii="楷体" w:eastAsia="楷体" w:hAnsi="楷体" w:cs="楷体"/>
          <w:b/>
          <w:bCs/>
          <w:sz w:val="32"/>
          <w:szCs w:val="32"/>
        </w:rPr>
      </w:pPr>
      <w:r>
        <w:rPr>
          <w:rFonts w:hint="eastAsia"/>
        </w:rPr>
        <w:t>六是</w:t>
      </w:r>
      <w:r>
        <w:t>加强</w:t>
      </w:r>
      <w:r>
        <w:rPr>
          <w:rFonts w:hint="eastAsia"/>
        </w:rPr>
        <w:t>安全生产、信访维稳工作。</w:t>
      </w:r>
    </w:p>
    <w:p w:rsidR="006C5F07" w:rsidRDefault="0012706B">
      <w:pPr>
        <w:numPr>
          <w:ilvl w:val="0"/>
          <w:numId w:val="1"/>
        </w:numPr>
        <w:spacing w:line="57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职责分类绩效目标：</w:t>
      </w:r>
      <w:bookmarkEnd w:id="1"/>
    </w:p>
    <w:p w:rsidR="006C5F07" w:rsidRDefault="0012706B">
      <w:pPr>
        <w:spacing w:line="570" w:lineRule="exact"/>
        <w:ind w:firstLineChars="200" w:firstLine="560"/>
        <w:rPr>
          <w:rFonts w:ascii="Times New Roman" w:eastAsia="方正仿宋_GBK" w:hAnsi="Times New Roman" w:cs="Times New Roman"/>
          <w:sz w:val="28"/>
        </w:rPr>
      </w:pPr>
      <w:r>
        <w:rPr>
          <w:rFonts w:ascii="Times New Roman" w:eastAsia="方正仿宋_GBK" w:hAnsi="Times New Roman" w:cs="Times New Roman" w:hint="eastAsia"/>
          <w:sz w:val="28"/>
        </w:rPr>
        <w:t>无。</w:t>
      </w:r>
    </w:p>
    <w:p w:rsidR="006C5F07" w:rsidRDefault="0012706B">
      <w:pPr>
        <w:spacing w:line="570" w:lineRule="exact"/>
        <w:ind w:firstLineChars="200" w:firstLine="640"/>
      </w:pPr>
      <w:r>
        <w:rPr>
          <w:rFonts w:ascii="黑体" w:eastAsia="黑体" w:hAnsi="黑体" w:hint="eastAsia"/>
          <w:sz w:val="32"/>
          <w:szCs w:val="32"/>
        </w:rPr>
        <w:lastRenderedPageBreak/>
        <w:t>六、政府采购预算情况</w:t>
      </w:r>
    </w:p>
    <w:p w:rsidR="006C5F07" w:rsidRDefault="0012706B">
      <w:pPr>
        <w:spacing w:line="570" w:lineRule="exact"/>
        <w:ind w:firstLineChars="200" w:firstLine="640"/>
      </w:pPr>
      <w:r>
        <w:rPr>
          <w:rFonts w:ascii="仿宋" w:eastAsia="仿宋" w:hAnsi="仿宋" w:cs="仿宋"/>
          <w:sz w:val="32"/>
          <w:szCs w:val="32"/>
        </w:rPr>
        <w:t>202</w:t>
      </w:r>
      <w:r>
        <w:rPr>
          <w:rFonts w:ascii="仿宋" w:eastAsia="仿宋" w:hAnsi="仿宋" w:cs="仿宋" w:hint="eastAsia"/>
          <w:sz w:val="32"/>
          <w:szCs w:val="32"/>
        </w:rPr>
        <w:t>3</w:t>
      </w:r>
      <w:r>
        <w:rPr>
          <w:rFonts w:ascii="仿宋" w:eastAsia="仿宋" w:hAnsi="仿宋" w:cs="仿宋"/>
          <w:sz w:val="32"/>
          <w:szCs w:val="32"/>
        </w:rPr>
        <w:t>年，</w:t>
      </w:r>
      <w:bookmarkStart w:id="2" w:name="_Toc64969369"/>
      <w:r>
        <w:rPr>
          <w:rFonts w:ascii="仿宋" w:eastAsia="仿宋" w:hAnsi="仿宋" w:cs="仿宋" w:hint="eastAsia"/>
          <w:sz w:val="32"/>
          <w:szCs w:val="32"/>
        </w:rPr>
        <w:t>我部门安排政府采购预算0万元。</w:t>
      </w:r>
      <w:bookmarkEnd w:id="2"/>
    </w:p>
    <w:p w:rsidR="006C5F07" w:rsidRDefault="0012706B">
      <w:pPr>
        <w:spacing w:line="570" w:lineRule="exact"/>
        <w:ind w:firstLineChars="200" w:firstLine="640"/>
        <w:rPr>
          <w:rFonts w:ascii="黑体" w:eastAsia="黑体" w:hAnsi="黑体"/>
          <w:sz w:val="32"/>
          <w:szCs w:val="32"/>
        </w:rPr>
      </w:pPr>
      <w:r>
        <w:rPr>
          <w:rFonts w:ascii="黑体" w:eastAsia="黑体" w:hAnsi="黑体" w:hint="eastAsia"/>
          <w:sz w:val="32"/>
          <w:szCs w:val="32"/>
        </w:rPr>
        <w:t>七、国有资产信息</w:t>
      </w:r>
    </w:p>
    <w:p w:rsidR="006C5F07" w:rsidRDefault="0012706B">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上年末固定资产金额为</w:t>
      </w:r>
      <w:r w:rsidR="00AB68A7">
        <w:rPr>
          <w:rFonts w:ascii="仿宋" w:eastAsia="仿宋" w:hAnsi="仿宋" w:cs="仿宋" w:hint="eastAsia"/>
          <w:sz w:val="32"/>
          <w:szCs w:val="32"/>
        </w:rPr>
        <w:t>218.22</w:t>
      </w:r>
      <w:r>
        <w:rPr>
          <w:rFonts w:ascii="仿宋" w:eastAsia="仿宋" w:hAnsi="仿宋" w:cs="仿宋" w:hint="eastAsia"/>
          <w:sz w:val="32"/>
          <w:szCs w:val="32"/>
        </w:rPr>
        <w:t>万元（详见下表）。本年度无资产购置计划。</w:t>
      </w:r>
    </w:p>
    <w:p w:rsidR="006C5F07" w:rsidRDefault="006C5F07">
      <w:pPr>
        <w:spacing w:line="570" w:lineRule="exact"/>
        <w:ind w:firstLineChars="200" w:firstLine="640"/>
        <w:rPr>
          <w:rFonts w:ascii="仿宋" w:eastAsia="仿宋" w:hAnsi="仿宋" w:cs="仿宋"/>
          <w:sz w:val="32"/>
          <w:szCs w:val="32"/>
        </w:rPr>
      </w:pPr>
      <w:bookmarkStart w:id="3" w:name="_GoBack"/>
      <w:bookmarkEnd w:id="3"/>
    </w:p>
    <w:tbl>
      <w:tblPr>
        <w:tblW w:w="13482" w:type="dxa"/>
        <w:tblInd w:w="93" w:type="dxa"/>
        <w:tblLayout w:type="fixed"/>
        <w:tblLook w:val="04A0" w:firstRow="1" w:lastRow="0" w:firstColumn="1" w:lastColumn="0" w:noHBand="0" w:noVBand="1"/>
      </w:tblPr>
      <w:tblGrid>
        <w:gridCol w:w="5224"/>
        <w:gridCol w:w="3155"/>
        <w:gridCol w:w="5103"/>
      </w:tblGrid>
      <w:tr w:rsidR="006C5F07">
        <w:trPr>
          <w:trHeight w:val="705"/>
        </w:trPr>
        <w:tc>
          <w:tcPr>
            <w:tcW w:w="13482" w:type="dxa"/>
            <w:gridSpan w:val="3"/>
            <w:tcBorders>
              <w:top w:val="nil"/>
              <w:left w:val="nil"/>
              <w:bottom w:val="nil"/>
              <w:right w:val="nil"/>
            </w:tcBorders>
            <w:vAlign w:val="center"/>
          </w:tcPr>
          <w:p w:rsidR="006C5F07" w:rsidRDefault="0012706B">
            <w:pPr>
              <w:jc w:val="center"/>
            </w:pPr>
            <w:r>
              <w:rPr>
                <w:rFonts w:hint="eastAsia"/>
                <w:sz w:val="32"/>
                <w:szCs w:val="32"/>
              </w:rPr>
              <w:t>曹妃甸化学工业园区管理委员会固定资产占用情况表</w:t>
            </w:r>
          </w:p>
        </w:tc>
      </w:tr>
      <w:tr w:rsidR="006C5F07">
        <w:trPr>
          <w:trHeight w:val="510"/>
        </w:trPr>
        <w:tc>
          <w:tcPr>
            <w:tcW w:w="8379" w:type="dxa"/>
            <w:gridSpan w:val="2"/>
            <w:tcBorders>
              <w:top w:val="nil"/>
              <w:left w:val="nil"/>
              <w:bottom w:val="nil"/>
              <w:right w:val="nil"/>
            </w:tcBorders>
            <w:vAlign w:val="center"/>
          </w:tcPr>
          <w:p w:rsidR="006C5F07" w:rsidRDefault="0012706B">
            <w:r>
              <w:rPr>
                <w:rFonts w:hint="eastAsia"/>
              </w:rPr>
              <w:t>编制部门：曹妃甸化学工业园区管理委员会</w:t>
            </w:r>
          </w:p>
        </w:tc>
        <w:tc>
          <w:tcPr>
            <w:tcW w:w="5103" w:type="dxa"/>
            <w:tcBorders>
              <w:top w:val="nil"/>
              <w:left w:val="nil"/>
              <w:bottom w:val="nil"/>
              <w:right w:val="nil"/>
            </w:tcBorders>
            <w:vAlign w:val="center"/>
          </w:tcPr>
          <w:p w:rsidR="006C5F07" w:rsidRDefault="0012706B">
            <w:r>
              <w:rPr>
                <w:rFonts w:hint="eastAsia"/>
              </w:rPr>
              <w:t>截止时间：</w:t>
            </w:r>
            <w:r>
              <w:rPr>
                <w:rFonts w:hint="eastAsia"/>
              </w:rPr>
              <w:t>2022</w:t>
            </w:r>
            <w:r>
              <w:rPr>
                <w:rFonts w:hint="eastAsia"/>
              </w:rPr>
              <w:t>年</w:t>
            </w:r>
            <w:r>
              <w:rPr>
                <w:rFonts w:hint="eastAsia"/>
              </w:rPr>
              <w:t>12</w:t>
            </w:r>
            <w:r>
              <w:rPr>
                <w:rFonts w:hint="eastAsia"/>
              </w:rPr>
              <w:t>月</w:t>
            </w:r>
            <w:r>
              <w:rPr>
                <w:rFonts w:hint="eastAsia"/>
              </w:rPr>
              <w:t>31</w:t>
            </w:r>
            <w:r>
              <w:rPr>
                <w:rFonts w:hint="eastAsia"/>
              </w:rPr>
              <w:t>日</w:t>
            </w:r>
            <w:r>
              <w:rPr>
                <w:rFonts w:hint="eastAsia"/>
              </w:rPr>
              <w:t xml:space="preserve">  </w:t>
            </w:r>
          </w:p>
        </w:tc>
      </w:tr>
      <w:tr w:rsidR="006C5F07">
        <w:trPr>
          <w:trHeight w:val="504"/>
        </w:trPr>
        <w:tc>
          <w:tcPr>
            <w:tcW w:w="5224" w:type="dxa"/>
            <w:tcBorders>
              <w:top w:val="single" w:sz="4" w:space="0" w:color="auto"/>
              <w:left w:val="single" w:sz="4" w:space="0" w:color="auto"/>
              <w:bottom w:val="single" w:sz="4" w:space="0" w:color="auto"/>
              <w:right w:val="single" w:sz="4" w:space="0" w:color="auto"/>
            </w:tcBorders>
            <w:vAlign w:val="center"/>
          </w:tcPr>
          <w:p w:rsidR="006C5F07" w:rsidRDefault="0012706B">
            <w:r>
              <w:rPr>
                <w:rFonts w:hint="eastAsia"/>
              </w:rPr>
              <w:t>项</w:t>
            </w:r>
            <w:r>
              <w:rPr>
                <w:rFonts w:hint="eastAsia"/>
              </w:rPr>
              <w:t xml:space="preserve">   </w:t>
            </w:r>
            <w:r>
              <w:rPr>
                <w:rFonts w:hint="eastAsia"/>
              </w:rPr>
              <w:t>目</w:t>
            </w:r>
          </w:p>
        </w:tc>
        <w:tc>
          <w:tcPr>
            <w:tcW w:w="3155" w:type="dxa"/>
            <w:tcBorders>
              <w:top w:val="single" w:sz="4" w:space="0" w:color="auto"/>
              <w:left w:val="nil"/>
              <w:bottom w:val="single" w:sz="4" w:space="0" w:color="auto"/>
              <w:right w:val="single" w:sz="4" w:space="0" w:color="auto"/>
            </w:tcBorders>
            <w:vAlign w:val="center"/>
          </w:tcPr>
          <w:p w:rsidR="006C5F07" w:rsidRDefault="0012706B">
            <w:r>
              <w:rPr>
                <w:rFonts w:hint="eastAsia"/>
              </w:rPr>
              <w:t>数量</w:t>
            </w:r>
          </w:p>
        </w:tc>
        <w:tc>
          <w:tcPr>
            <w:tcW w:w="5103" w:type="dxa"/>
            <w:tcBorders>
              <w:top w:val="single" w:sz="4" w:space="0" w:color="auto"/>
              <w:left w:val="nil"/>
              <w:bottom w:val="single" w:sz="4" w:space="0" w:color="auto"/>
              <w:right w:val="single" w:sz="4" w:space="0" w:color="auto"/>
            </w:tcBorders>
            <w:vAlign w:val="center"/>
          </w:tcPr>
          <w:p w:rsidR="006C5F07" w:rsidRDefault="0012706B">
            <w:r>
              <w:rPr>
                <w:rFonts w:hint="eastAsia"/>
              </w:rPr>
              <w:t>价值（金额单位：万元）</w:t>
            </w:r>
          </w:p>
        </w:tc>
      </w:tr>
      <w:tr w:rsidR="006C5F07">
        <w:trPr>
          <w:trHeight w:val="645"/>
        </w:trPr>
        <w:tc>
          <w:tcPr>
            <w:tcW w:w="5224" w:type="dxa"/>
            <w:tcBorders>
              <w:top w:val="nil"/>
              <w:left w:val="single" w:sz="4" w:space="0" w:color="auto"/>
              <w:bottom w:val="single" w:sz="4" w:space="0" w:color="auto"/>
              <w:right w:val="single" w:sz="4" w:space="0" w:color="auto"/>
            </w:tcBorders>
            <w:vAlign w:val="center"/>
          </w:tcPr>
          <w:p w:rsidR="006C5F07" w:rsidRDefault="0012706B">
            <w:r>
              <w:rPr>
                <w:rFonts w:hint="eastAsia"/>
              </w:rPr>
              <w:t>资产总额</w:t>
            </w:r>
          </w:p>
        </w:tc>
        <w:tc>
          <w:tcPr>
            <w:tcW w:w="3155" w:type="dxa"/>
            <w:tcBorders>
              <w:top w:val="nil"/>
              <w:left w:val="nil"/>
              <w:bottom w:val="single" w:sz="4" w:space="0" w:color="auto"/>
              <w:right w:val="single" w:sz="4" w:space="0" w:color="auto"/>
            </w:tcBorders>
            <w:vAlign w:val="center"/>
          </w:tcPr>
          <w:p w:rsidR="006C5F07" w:rsidRDefault="0012706B">
            <w:r>
              <w:rPr>
                <w:rFonts w:hint="eastAsia"/>
              </w:rPr>
              <w:t>262</w:t>
            </w:r>
          </w:p>
        </w:tc>
        <w:tc>
          <w:tcPr>
            <w:tcW w:w="5103" w:type="dxa"/>
            <w:tcBorders>
              <w:top w:val="nil"/>
              <w:left w:val="nil"/>
              <w:bottom w:val="single" w:sz="4" w:space="0" w:color="auto"/>
              <w:right w:val="single" w:sz="4" w:space="0" w:color="auto"/>
            </w:tcBorders>
            <w:vAlign w:val="center"/>
          </w:tcPr>
          <w:p w:rsidR="006C5F07" w:rsidRDefault="00AB68A7">
            <w:r>
              <w:rPr>
                <w:rFonts w:hint="eastAsia"/>
              </w:rPr>
              <w:t>218.22</w:t>
            </w:r>
          </w:p>
        </w:tc>
      </w:tr>
      <w:tr w:rsidR="006C5F07">
        <w:trPr>
          <w:trHeight w:val="645"/>
        </w:trPr>
        <w:tc>
          <w:tcPr>
            <w:tcW w:w="5224" w:type="dxa"/>
            <w:tcBorders>
              <w:top w:val="nil"/>
              <w:left w:val="single" w:sz="4" w:space="0" w:color="auto"/>
              <w:bottom w:val="single" w:sz="4" w:space="0" w:color="auto"/>
              <w:right w:val="single" w:sz="4" w:space="0" w:color="auto"/>
            </w:tcBorders>
            <w:vAlign w:val="center"/>
          </w:tcPr>
          <w:p w:rsidR="006C5F07" w:rsidRDefault="0012706B">
            <w:r>
              <w:rPr>
                <w:rFonts w:hint="eastAsia"/>
              </w:rPr>
              <w:t>1</w:t>
            </w:r>
            <w:r>
              <w:rPr>
                <w:rFonts w:hint="eastAsia"/>
              </w:rPr>
              <w:t>、房屋（平方米）</w:t>
            </w:r>
          </w:p>
        </w:tc>
        <w:tc>
          <w:tcPr>
            <w:tcW w:w="3155" w:type="dxa"/>
            <w:tcBorders>
              <w:top w:val="nil"/>
              <w:left w:val="nil"/>
              <w:bottom w:val="single" w:sz="4" w:space="0" w:color="auto"/>
              <w:right w:val="single" w:sz="4" w:space="0" w:color="auto"/>
            </w:tcBorders>
            <w:vAlign w:val="center"/>
          </w:tcPr>
          <w:p w:rsidR="006C5F07" w:rsidRDefault="0012706B">
            <w:r>
              <w:rPr>
                <w:rFonts w:hint="eastAsia"/>
              </w:rPr>
              <w:t>0</w:t>
            </w:r>
          </w:p>
        </w:tc>
        <w:tc>
          <w:tcPr>
            <w:tcW w:w="5103" w:type="dxa"/>
            <w:tcBorders>
              <w:top w:val="nil"/>
              <w:left w:val="nil"/>
              <w:bottom w:val="single" w:sz="4" w:space="0" w:color="auto"/>
              <w:right w:val="single" w:sz="4" w:space="0" w:color="auto"/>
            </w:tcBorders>
            <w:vAlign w:val="center"/>
          </w:tcPr>
          <w:p w:rsidR="006C5F07" w:rsidRDefault="0012706B">
            <w:r>
              <w:rPr>
                <w:rFonts w:hint="eastAsia"/>
              </w:rPr>
              <w:t>0</w:t>
            </w:r>
          </w:p>
        </w:tc>
      </w:tr>
      <w:tr w:rsidR="006C5F07">
        <w:trPr>
          <w:trHeight w:val="645"/>
        </w:trPr>
        <w:tc>
          <w:tcPr>
            <w:tcW w:w="5224" w:type="dxa"/>
            <w:tcBorders>
              <w:top w:val="nil"/>
              <w:left w:val="single" w:sz="4" w:space="0" w:color="auto"/>
              <w:bottom w:val="single" w:sz="4" w:space="0" w:color="auto"/>
              <w:right w:val="single" w:sz="4" w:space="0" w:color="auto"/>
            </w:tcBorders>
            <w:vAlign w:val="center"/>
          </w:tcPr>
          <w:p w:rsidR="006C5F07" w:rsidRDefault="0012706B">
            <w:r>
              <w:rPr>
                <w:rFonts w:hint="eastAsia"/>
              </w:rPr>
              <w:t xml:space="preserve">  </w:t>
            </w:r>
            <w:r>
              <w:rPr>
                <w:rFonts w:hint="eastAsia"/>
              </w:rPr>
              <w:t>其中：办公用房（平方米）</w:t>
            </w:r>
          </w:p>
        </w:tc>
        <w:tc>
          <w:tcPr>
            <w:tcW w:w="3155" w:type="dxa"/>
            <w:tcBorders>
              <w:top w:val="nil"/>
              <w:left w:val="nil"/>
              <w:bottom w:val="single" w:sz="4" w:space="0" w:color="auto"/>
              <w:right w:val="single" w:sz="4" w:space="0" w:color="auto"/>
            </w:tcBorders>
            <w:vAlign w:val="center"/>
          </w:tcPr>
          <w:p w:rsidR="006C5F07" w:rsidRDefault="0012706B">
            <w:r>
              <w:rPr>
                <w:rFonts w:hint="eastAsia"/>
              </w:rPr>
              <w:t>0</w:t>
            </w:r>
          </w:p>
        </w:tc>
        <w:tc>
          <w:tcPr>
            <w:tcW w:w="5103" w:type="dxa"/>
            <w:tcBorders>
              <w:top w:val="nil"/>
              <w:left w:val="nil"/>
              <w:bottom w:val="single" w:sz="4" w:space="0" w:color="auto"/>
              <w:right w:val="single" w:sz="4" w:space="0" w:color="auto"/>
            </w:tcBorders>
            <w:vAlign w:val="center"/>
          </w:tcPr>
          <w:p w:rsidR="006C5F07" w:rsidRDefault="0012706B">
            <w:r>
              <w:rPr>
                <w:rFonts w:hint="eastAsia"/>
              </w:rPr>
              <w:t>0</w:t>
            </w:r>
          </w:p>
        </w:tc>
      </w:tr>
      <w:tr w:rsidR="006C5F07">
        <w:trPr>
          <w:trHeight w:val="645"/>
        </w:trPr>
        <w:tc>
          <w:tcPr>
            <w:tcW w:w="5224" w:type="dxa"/>
            <w:tcBorders>
              <w:top w:val="nil"/>
              <w:left w:val="single" w:sz="4" w:space="0" w:color="auto"/>
              <w:bottom w:val="single" w:sz="4" w:space="0" w:color="auto"/>
              <w:right w:val="single" w:sz="4" w:space="0" w:color="auto"/>
            </w:tcBorders>
            <w:vAlign w:val="center"/>
          </w:tcPr>
          <w:p w:rsidR="006C5F07" w:rsidRDefault="0012706B">
            <w:r>
              <w:rPr>
                <w:rFonts w:hint="eastAsia"/>
              </w:rPr>
              <w:t>2</w:t>
            </w:r>
            <w:r>
              <w:rPr>
                <w:rFonts w:hint="eastAsia"/>
              </w:rPr>
              <w:t>、车辆（台、辆）</w:t>
            </w:r>
          </w:p>
        </w:tc>
        <w:tc>
          <w:tcPr>
            <w:tcW w:w="3155" w:type="dxa"/>
            <w:tcBorders>
              <w:top w:val="nil"/>
              <w:left w:val="nil"/>
              <w:bottom w:val="single" w:sz="4" w:space="0" w:color="auto"/>
              <w:right w:val="single" w:sz="4" w:space="0" w:color="auto"/>
            </w:tcBorders>
            <w:vAlign w:val="center"/>
          </w:tcPr>
          <w:p w:rsidR="006C5F07" w:rsidRDefault="0012706B">
            <w:r>
              <w:rPr>
                <w:rFonts w:hint="eastAsia"/>
              </w:rPr>
              <w:t>1</w:t>
            </w:r>
          </w:p>
        </w:tc>
        <w:tc>
          <w:tcPr>
            <w:tcW w:w="5103" w:type="dxa"/>
            <w:tcBorders>
              <w:top w:val="nil"/>
              <w:left w:val="nil"/>
              <w:bottom w:val="single" w:sz="4" w:space="0" w:color="auto"/>
              <w:right w:val="single" w:sz="4" w:space="0" w:color="auto"/>
            </w:tcBorders>
            <w:vAlign w:val="center"/>
          </w:tcPr>
          <w:p w:rsidR="006C5F07" w:rsidRDefault="00AB68A7">
            <w:r>
              <w:rPr>
                <w:rFonts w:hint="eastAsia"/>
              </w:rPr>
              <w:t>17.98</w:t>
            </w:r>
          </w:p>
        </w:tc>
      </w:tr>
      <w:tr w:rsidR="006C5F07">
        <w:trPr>
          <w:trHeight w:val="645"/>
        </w:trPr>
        <w:tc>
          <w:tcPr>
            <w:tcW w:w="5224" w:type="dxa"/>
            <w:tcBorders>
              <w:top w:val="nil"/>
              <w:left w:val="single" w:sz="4" w:space="0" w:color="auto"/>
              <w:bottom w:val="single" w:sz="4" w:space="0" w:color="auto"/>
              <w:right w:val="single" w:sz="4" w:space="0" w:color="auto"/>
            </w:tcBorders>
            <w:vAlign w:val="center"/>
          </w:tcPr>
          <w:p w:rsidR="006C5F07" w:rsidRDefault="0012706B">
            <w:r>
              <w:rPr>
                <w:rFonts w:hint="eastAsia"/>
              </w:rPr>
              <w:lastRenderedPageBreak/>
              <w:t>3</w:t>
            </w:r>
            <w:r>
              <w:rPr>
                <w:rFonts w:hint="eastAsia"/>
              </w:rPr>
              <w:t>、单价在</w:t>
            </w:r>
            <w:r>
              <w:rPr>
                <w:rFonts w:hint="eastAsia"/>
              </w:rPr>
              <w:t>20</w:t>
            </w:r>
            <w:r>
              <w:rPr>
                <w:rFonts w:hint="eastAsia"/>
              </w:rPr>
              <w:t>万元以上设备</w:t>
            </w:r>
          </w:p>
        </w:tc>
        <w:tc>
          <w:tcPr>
            <w:tcW w:w="3155" w:type="dxa"/>
            <w:tcBorders>
              <w:top w:val="nil"/>
              <w:left w:val="nil"/>
              <w:bottom w:val="single" w:sz="4" w:space="0" w:color="auto"/>
              <w:right w:val="single" w:sz="4" w:space="0" w:color="auto"/>
            </w:tcBorders>
            <w:vAlign w:val="center"/>
          </w:tcPr>
          <w:p w:rsidR="006C5F07" w:rsidRDefault="0012706B">
            <w:r>
              <w:rPr>
                <w:rFonts w:hint="eastAsia"/>
              </w:rPr>
              <w:t>——</w:t>
            </w:r>
          </w:p>
        </w:tc>
        <w:tc>
          <w:tcPr>
            <w:tcW w:w="5103" w:type="dxa"/>
            <w:tcBorders>
              <w:top w:val="nil"/>
              <w:left w:val="nil"/>
              <w:bottom w:val="single" w:sz="4" w:space="0" w:color="auto"/>
              <w:right w:val="single" w:sz="4" w:space="0" w:color="auto"/>
            </w:tcBorders>
            <w:vAlign w:val="center"/>
          </w:tcPr>
          <w:p w:rsidR="006C5F07" w:rsidRDefault="0012706B">
            <w:r>
              <w:rPr>
                <w:rFonts w:hint="eastAsia"/>
              </w:rPr>
              <w:t>0</w:t>
            </w:r>
          </w:p>
        </w:tc>
      </w:tr>
      <w:tr w:rsidR="006C5F07">
        <w:trPr>
          <w:trHeight w:val="645"/>
        </w:trPr>
        <w:tc>
          <w:tcPr>
            <w:tcW w:w="5224" w:type="dxa"/>
            <w:tcBorders>
              <w:top w:val="nil"/>
              <w:left w:val="single" w:sz="4" w:space="0" w:color="auto"/>
              <w:bottom w:val="single" w:sz="4" w:space="0" w:color="auto"/>
              <w:right w:val="single" w:sz="4" w:space="0" w:color="auto"/>
            </w:tcBorders>
            <w:vAlign w:val="center"/>
          </w:tcPr>
          <w:p w:rsidR="006C5F07" w:rsidRDefault="0012706B">
            <w:r>
              <w:rPr>
                <w:rFonts w:hint="eastAsia"/>
              </w:rPr>
              <w:t>4</w:t>
            </w:r>
            <w:r>
              <w:rPr>
                <w:rFonts w:hint="eastAsia"/>
              </w:rPr>
              <w:t>、其他固定资产</w:t>
            </w:r>
          </w:p>
        </w:tc>
        <w:tc>
          <w:tcPr>
            <w:tcW w:w="3155" w:type="dxa"/>
            <w:tcBorders>
              <w:top w:val="nil"/>
              <w:left w:val="nil"/>
              <w:bottom w:val="single" w:sz="4" w:space="0" w:color="auto"/>
              <w:right w:val="single" w:sz="4" w:space="0" w:color="auto"/>
            </w:tcBorders>
            <w:vAlign w:val="center"/>
          </w:tcPr>
          <w:p w:rsidR="006C5F07" w:rsidRDefault="0012706B">
            <w:r>
              <w:rPr>
                <w:rFonts w:hint="eastAsia"/>
              </w:rPr>
              <w:t>261</w:t>
            </w:r>
          </w:p>
        </w:tc>
        <w:tc>
          <w:tcPr>
            <w:tcW w:w="5103" w:type="dxa"/>
            <w:tcBorders>
              <w:top w:val="nil"/>
              <w:left w:val="nil"/>
              <w:bottom w:val="single" w:sz="4" w:space="0" w:color="auto"/>
              <w:right w:val="single" w:sz="4" w:space="0" w:color="auto"/>
            </w:tcBorders>
            <w:vAlign w:val="center"/>
          </w:tcPr>
          <w:p w:rsidR="006C5F07" w:rsidRDefault="00AB68A7">
            <w:r>
              <w:rPr>
                <w:rFonts w:hint="eastAsia"/>
              </w:rPr>
              <w:t>218.22</w:t>
            </w:r>
          </w:p>
        </w:tc>
      </w:tr>
    </w:tbl>
    <w:p w:rsidR="006C5F07" w:rsidRDefault="0012706B">
      <w:pPr>
        <w:spacing w:line="570" w:lineRule="exact"/>
        <w:ind w:firstLineChars="200" w:firstLine="640"/>
        <w:rPr>
          <w:rFonts w:ascii="黑体" w:eastAsia="黑体" w:hAnsi="黑体"/>
          <w:sz w:val="32"/>
          <w:szCs w:val="32"/>
        </w:rPr>
      </w:pPr>
      <w:r>
        <w:rPr>
          <w:rFonts w:ascii="黑体" w:eastAsia="黑体" w:hAnsi="黑体" w:hint="eastAsia"/>
          <w:sz w:val="32"/>
          <w:szCs w:val="32"/>
        </w:rPr>
        <w:t>八、名词解释</w:t>
      </w:r>
    </w:p>
    <w:p w:rsidR="006C5F07" w:rsidRDefault="0012706B">
      <w:pPr>
        <w:spacing w:line="570" w:lineRule="exact"/>
        <w:ind w:firstLineChars="200" w:firstLine="640"/>
        <w:rPr>
          <w:rFonts w:ascii="仿宋" w:eastAsia="仿宋" w:hAnsi="仿宋" w:cs="仿宋"/>
          <w:sz w:val="32"/>
          <w:szCs w:val="32"/>
        </w:rPr>
      </w:pPr>
      <w:r>
        <w:rPr>
          <w:rFonts w:ascii="仿宋" w:eastAsia="仿宋" w:hAnsi="仿宋" w:cs="仿宋"/>
          <w:sz w:val="32"/>
          <w:szCs w:val="32"/>
        </w:rPr>
        <w:t>1、一般预算收入：财政当年拨付的资金。</w:t>
      </w:r>
    </w:p>
    <w:p w:rsidR="006C5F07" w:rsidRDefault="0012706B">
      <w:pPr>
        <w:spacing w:line="570" w:lineRule="exact"/>
        <w:ind w:firstLineChars="200" w:firstLine="640"/>
        <w:rPr>
          <w:rFonts w:ascii="仿宋" w:eastAsia="仿宋" w:hAnsi="仿宋" w:cs="仿宋"/>
          <w:sz w:val="32"/>
          <w:szCs w:val="32"/>
        </w:rPr>
      </w:pPr>
      <w:r>
        <w:rPr>
          <w:rFonts w:ascii="仿宋" w:eastAsia="仿宋" w:hAnsi="仿宋" w:cs="仿宋"/>
          <w:sz w:val="32"/>
          <w:szCs w:val="32"/>
        </w:rPr>
        <w:t>2、基本支出：为保障机构正常运转，完成日常工作任务，而发生的人员支出和公用支出。</w:t>
      </w:r>
    </w:p>
    <w:p w:rsidR="006C5F07" w:rsidRDefault="0012706B">
      <w:pPr>
        <w:spacing w:line="570" w:lineRule="exact"/>
        <w:ind w:firstLineChars="200" w:firstLine="640"/>
        <w:rPr>
          <w:rFonts w:ascii="仿宋" w:eastAsia="仿宋" w:hAnsi="仿宋" w:cs="仿宋"/>
          <w:sz w:val="32"/>
          <w:szCs w:val="32"/>
        </w:rPr>
      </w:pPr>
      <w:r>
        <w:rPr>
          <w:rFonts w:ascii="仿宋" w:eastAsia="仿宋" w:hAnsi="仿宋" w:cs="仿宋"/>
          <w:sz w:val="32"/>
          <w:szCs w:val="32"/>
        </w:rPr>
        <w:t>3、项目支出：是指在基本支出之外，为完成特定行政任务和事业发展目标，而发生的支出。</w:t>
      </w:r>
    </w:p>
    <w:p w:rsidR="006C5F07" w:rsidRDefault="0012706B">
      <w:pPr>
        <w:spacing w:line="570" w:lineRule="exact"/>
        <w:ind w:firstLineChars="200" w:firstLine="640"/>
        <w:rPr>
          <w:rFonts w:ascii="仿宋" w:eastAsia="仿宋" w:hAnsi="仿宋" w:cs="仿宋"/>
          <w:sz w:val="32"/>
          <w:szCs w:val="32"/>
        </w:rPr>
      </w:pPr>
      <w:r>
        <w:rPr>
          <w:rFonts w:ascii="仿宋" w:eastAsia="仿宋" w:hAnsi="仿宋" w:cs="仿宋"/>
          <w:sz w:val="32"/>
          <w:szCs w:val="32"/>
        </w:rPr>
        <w:t>4、机关运行费：是指为保证行政单位（包括参照公务员管理的事业单位）运行，用于购买货物和服务的各项资金。主要包括：办公费、印刷费，水费、电费、邮电费、福利费、日常维修费、办公物业服务费、房租费、公务车运行维护费等。</w:t>
      </w:r>
    </w:p>
    <w:p w:rsidR="006C5F07" w:rsidRDefault="0012706B">
      <w:pPr>
        <w:spacing w:line="570" w:lineRule="exact"/>
        <w:ind w:firstLineChars="200" w:firstLine="640"/>
        <w:rPr>
          <w:rFonts w:ascii="黑体" w:eastAsia="黑体" w:hAnsi="黑体"/>
          <w:sz w:val="32"/>
          <w:szCs w:val="32"/>
        </w:rPr>
      </w:pPr>
      <w:r>
        <w:rPr>
          <w:rFonts w:ascii="黑体" w:eastAsia="黑体" w:hAnsi="黑体"/>
          <w:sz w:val="32"/>
          <w:szCs w:val="32"/>
        </w:rPr>
        <w:t>九、其他需要说明的事项</w:t>
      </w:r>
    </w:p>
    <w:p w:rsidR="006C5F07" w:rsidRDefault="0012706B">
      <w:pPr>
        <w:spacing w:line="570" w:lineRule="exact"/>
        <w:ind w:firstLineChars="200" w:firstLine="640"/>
        <w:rPr>
          <w:rFonts w:ascii="仿宋" w:eastAsia="仿宋" w:hAnsi="仿宋" w:cs="仿宋"/>
          <w:sz w:val="32"/>
          <w:szCs w:val="32"/>
        </w:rPr>
        <w:sectPr w:rsidR="006C5F07">
          <w:pgSz w:w="16839" w:h="11907" w:orient="landscape"/>
          <w:pgMar w:top="2098" w:right="1474" w:bottom="1984" w:left="1587" w:header="851" w:footer="992" w:gutter="0"/>
          <w:cols w:space="0"/>
          <w:docGrid w:type="lines" w:linePitch="312"/>
        </w:sectPr>
      </w:pPr>
      <w:r>
        <w:rPr>
          <w:rFonts w:ascii="仿宋" w:eastAsia="仿宋" w:hAnsi="仿宋" w:cs="仿宋"/>
          <w:sz w:val="32"/>
          <w:szCs w:val="32"/>
        </w:rPr>
        <w:t>无</w:t>
      </w:r>
      <w:r>
        <w:rPr>
          <w:rFonts w:ascii="仿宋" w:eastAsia="仿宋" w:hAnsi="仿宋" w:cs="仿宋" w:hint="eastAsia"/>
          <w:sz w:val="32"/>
          <w:szCs w:val="32"/>
        </w:rPr>
        <w:t>。</w:t>
      </w:r>
    </w:p>
    <w:p w:rsidR="006C5F07" w:rsidRDefault="006C5F07">
      <w:pPr>
        <w:tabs>
          <w:tab w:val="left" w:pos="4345"/>
        </w:tabs>
        <w:jc w:val="left"/>
      </w:pPr>
    </w:p>
    <w:sectPr w:rsidR="006C5F07">
      <w:pgSz w:w="16838" w:h="11906" w:orient="landscape"/>
      <w:pgMar w:top="1803" w:right="1440" w:bottom="1803" w:left="1440"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仿宋_GBK">
    <w:altName w:val="微软雅黑"/>
    <w:charset w:val="86"/>
    <w:family w:val="script"/>
    <w:pitch w:val="fixed"/>
    <w:sig w:usb0="00000000"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方正书宋_GBK">
    <w:altName w:val="宋体"/>
    <w:panose1 w:val="00000000000000000000"/>
    <w:charset w:val="86"/>
    <w:family w:val="roman"/>
    <w:notTrueType/>
    <w:pitch w:val="default"/>
  </w:font>
  <w:font w:name="方正小标宋简体">
    <w:panose1 w:val="02000000000000000000"/>
    <w:charset w:val="86"/>
    <w:family w:val="auto"/>
    <w:pitch w:val="variable"/>
    <w:sig w:usb0="A00002BF" w:usb1="184F6CFA" w:usb2="00000012" w:usb3="00000000" w:csb0="00040001"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F17164"/>
    <w:multiLevelType w:val="singleLevel"/>
    <w:tmpl w:val="CCF17164"/>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HorizontalSpacing w:val="105"/>
  <w:drawingGridVerticalSpacing w:val="159"/>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yZjg1N2I4ZDVjNjg5NGRkZWJkYzU0YTQ0M2M3MzgifQ=="/>
  </w:docVars>
  <w:rsids>
    <w:rsidRoot w:val="00172A27"/>
    <w:rsid w:val="0012706B"/>
    <w:rsid w:val="00172A27"/>
    <w:rsid w:val="004F1F3E"/>
    <w:rsid w:val="00502F02"/>
    <w:rsid w:val="006C5F07"/>
    <w:rsid w:val="00AB68A7"/>
    <w:rsid w:val="021E3518"/>
    <w:rsid w:val="02335EF2"/>
    <w:rsid w:val="034C68AC"/>
    <w:rsid w:val="037A69EE"/>
    <w:rsid w:val="05E91CD6"/>
    <w:rsid w:val="07C75CF2"/>
    <w:rsid w:val="081465EC"/>
    <w:rsid w:val="08B872E5"/>
    <w:rsid w:val="08DB6D42"/>
    <w:rsid w:val="0B9E1E2C"/>
    <w:rsid w:val="0C1D3BB3"/>
    <w:rsid w:val="0D3D7863"/>
    <w:rsid w:val="0DD42848"/>
    <w:rsid w:val="0E1B5359"/>
    <w:rsid w:val="0F207DDD"/>
    <w:rsid w:val="11B14DCE"/>
    <w:rsid w:val="11BD51BB"/>
    <w:rsid w:val="132A2D31"/>
    <w:rsid w:val="13AF005F"/>
    <w:rsid w:val="13FE75A2"/>
    <w:rsid w:val="1498058C"/>
    <w:rsid w:val="16242B16"/>
    <w:rsid w:val="173E1959"/>
    <w:rsid w:val="17B27C12"/>
    <w:rsid w:val="182B5206"/>
    <w:rsid w:val="185F08CB"/>
    <w:rsid w:val="18E406CF"/>
    <w:rsid w:val="19600062"/>
    <w:rsid w:val="19866A85"/>
    <w:rsid w:val="1A6C0E84"/>
    <w:rsid w:val="1A7C3068"/>
    <w:rsid w:val="1B6C046B"/>
    <w:rsid w:val="1C6D28A3"/>
    <w:rsid w:val="1CC5044C"/>
    <w:rsid w:val="1D61021D"/>
    <w:rsid w:val="1DC43078"/>
    <w:rsid w:val="1F2645B5"/>
    <w:rsid w:val="1F436A91"/>
    <w:rsid w:val="20462F3C"/>
    <w:rsid w:val="20490F69"/>
    <w:rsid w:val="20880B42"/>
    <w:rsid w:val="20A90C23"/>
    <w:rsid w:val="20D06600"/>
    <w:rsid w:val="234B194C"/>
    <w:rsid w:val="23B427C0"/>
    <w:rsid w:val="24861897"/>
    <w:rsid w:val="24877185"/>
    <w:rsid w:val="253476E6"/>
    <w:rsid w:val="2573511A"/>
    <w:rsid w:val="261F137C"/>
    <w:rsid w:val="26A175C9"/>
    <w:rsid w:val="26B55F79"/>
    <w:rsid w:val="28B67BF3"/>
    <w:rsid w:val="2A52539E"/>
    <w:rsid w:val="2B2D036C"/>
    <w:rsid w:val="2B5E4084"/>
    <w:rsid w:val="2C334BD1"/>
    <w:rsid w:val="2C343CEB"/>
    <w:rsid w:val="2C973BA3"/>
    <w:rsid w:val="2CD91EE1"/>
    <w:rsid w:val="2D3D47D0"/>
    <w:rsid w:val="2D9F209F"/>
    <w:rsid w:val="2DFA07EA"/>
    <w:rsid w:val="2F126410"/>
    <w:rsid w:val="2FAF2DC0"/>
    <w:rsid w:val="30022493"/>
    <w:rsid w:val="30CC0E88"/>
    <w:rsid w:val="327B0820"/>
    <w:rsid w:val="34A74AFB"/>
    <w:rsid w:val="37346343"/>
    <w:rsid w:val="376059F1"/>
    <w:rsid w:val="37DD0423"/>
    <w:rsid w:val="380F4AA5"/>
    <w:rsid w:val="382A7DD3"/>
    <w:rsid w:val="382F0FF4"/>
    <w:rsid w:val="39B624A1"/>
    <w:rsid w:val="39C1666C"/>
    <w:rsid w:val="3A285312"/>
    <w:rsid w:val="3AFD76D7"/>
    <w:rsid w:val="3B9D05E2"/>
    <w:rsid w:val="3B9D3F7B"/>
    <w:rsid w:val="3BC06A63"/>
    <w:rsid w:val="3CF77604"/>
    <w:rsid w:val="3D02519B"/>
    <w:rsid w:val="3F675A63"/>
    <w:rsid w:val="417B1318"/>
    <w:rsid w:val="425D4776"/>
    <w:rsid w:val="42646472"/>
    <w:rsid w:val="42D7324A"/>
    <w:rsid w:val="44E3632B"/>
    <w:rsid w:val="460974D0"/>
    <w:rsid w:val="468F035E"/>
    <w:rsid w:val="470C599E"/>
    <w:rsid w:val="477E5776"/>
    <w:rsid w:val="47E52DBD"/>
    <w:rsid w:val="47F578BA"/>
    <w:rsid w:val="482A60AC"/>
    <w:rsid w:val="48912E87"/>
    <w:rsid w:val="49356CBC"/>
    <w:rsid w:val="4A4A2E2B"/>
    <w:rsid w:val="4A6E0F02"/>
    <w:rsid w:val="4A75218D"/>
    <w:rsid w:val="4C032F86"/>
    <w:rsid w:val="4CDB29C9"/>
    <w:rsid w:val="4D667939"/>
    <w:rsid w:val="4D8634E2"/>
    <w:rsid w:val="4E0E4ECC"/>
    <w:rsid w:val="4EA909C0"/>
    <w:rsid w:val="4EE17C73"/>
    <w:rsid w:val="4F1F5FEC"/>
    <w:rsid w:val="4F762266"/>
    <w:rsid w:val="507B57E7"/>
    <w:rsid w:val="516D3442"/>
    <w:rsid w:val="5175055B"/>
    <w:rsid w:val="525A132C"/>
    <w:rsid w:val="52F74406"/>
    <w:rsid w:val="531E5F69"/>
    <w:rsid w:val="53934B54"/>
    <w:rsid w:val="557A547F"/>
    <w:rsid w:val="56412769"/>
    <w:rsid w:val="56A439CF"/>
    <w:rsid w:val="56D07708"/>
    <w:rsid w:val="572E241F"/>
    <w:rsid w:val="57A75B6B"/>
    <w:rsid w:val="588958A6"/>
    <w:rsid w:val="591C20C7"/>
    <w:rsid w:val="592451FA"/>
    <w:rsid w:val="5A564D1D"/>
    <w:rsid w:val="5AB81A22"/>
    <w:rsid w:val="5B0C2332"/>
    <w:rsid w:val="5BF2127B"/>
    <w:rsid w:val="5C026E53"/>
    <w:rsid w:val="5C5C3E00"/>
    <w:rsid w:val="5CF32068"/>
    <w:rsid w:val="5FC55562"/>
    <w:rsid w:val="5FD023BD"/>
    <w:rsid w:val="60D766F9"/>
    <w:rsid w:val="610C1348"/>
    <w:rsid w:val="6115685C"/>
    <w:rsid w:val="6266314D"/>
    <w:rsid w:val="64D240BB"/>
    <w:rsid w:val="66C035A4"/>
    <w:rsid w:val="66F169E7"/>
    <w:rsid w:val="67C9021A"/>
    <w:rsid w:val="68126713"/>
    <w:rsid w:val="689200A7"/>
    <w:rsid w:val="6A5F7DDD"/>
    <w:rsid w:val="6ADD5EC5"/>
    <w:rsid w:val="6BD11985"/>
    <w:rsid w:val="6BDC690F"/>
    <w:rsid w:val="6BF81301"/>
    <w:rsid w:val="6C324FD3"/>
    <w:rsid w:val="6C935271"/>
    <w:rsid w:val="6D3762BC"/>
    <w:rsid w:val="6DAB5FC1"/>
    <w:rsid w:val="6EB702C5"/>
    <w:rsid w:val="6F123BFA"/>
    <w:rsid w:val="7056117F"/>
    <w:rsid w:val="709D3667"/>
    <w:rsid w:val="712552E9"/>
    <w:rsid w:val="71F37E73"/>
    <w:rsid w:val="73222F4A"/>
    <w:rsid w:val="76F90057"/>
    <w:rsid w:val="779F354D"/>
    <w:rsid w:val="787243FB"/>
    <w:rsid w:val="78B04C6D"/>
    <w:rsid w:val="78C33E9F"/>
    <w:rsid w:val="7944331F"/>
    <w:rsid w:val="7A3D7C5E"/>
    <w:rsid w:val="7AEC23D6"/>
    <w:rsid w:val="7B4D7341"/>
    <w:rsid w:val="7BBC722B"/>
    <w:rsid w:val="7C2B0EF9"/>
    <w:rsid w:val="7C68326B"/>
    <w:rsid w:val="7C6A2950"/>
    <w:rsid w:val="7C9A7756"/>
    <w:rsid w:val="7D201722"/>
    <w:rsid w:val="7E940337"/>
    <w:rsid w:val="7EB1124C"/>
    <w:rsid w:val="7F752A34"/>
    <w:rsid w:val="7FB80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annotation text"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rFonts w:ascii="Times New Roman" w:hAnsi="Times New Roman" w:cs="Times New Roman"/>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0">
    <w:name w:val="toc 1"/>
    <w:basedOn w:val="a"/>
    <w:next w:val="a"/>
    <w:qFormat/>
    <w:rPr>
      <w:rFonts w:ascii="Times New Roman" w:hAnsi="Times New Roman" w:cs="Times New Roman"/>
      <w:szCs w:val="24"/>
    </w:rPr>
  </w:style>
  <w:style w:type="paragraph" w:styleId="2">
    <w:name w:val="toc 2"/>
    <w:basedOn w:val="a"/>
    <w:next w:val="a"/>
    <w:qFormat/>
    <w:pPr>
      <w:ind w:leftChars="200" w:left="420"/>
    </w:pPr>
    <w:rPr>
      <w:rFonts w:ascii="Times New Roman" w:hAnsi="Times New Roman" w:cs="Times New Roman"/>
      <w:szCs w:val="24"/>
    </w:rPr>
  </w:style>
  <w:style w:type="paragraph" w:styleId="a6">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7">
    <w:name w:val="Title"/>
    <w:basedOn w:val="a"/>
    <w:next w:val="a"/>
    <w:qFormat/>
    <w:pPr>
      <w:spacing w:before="240" w:after="60"/>
      <w:jc w:val="center"/>
      <w:outlineLvl w:val="0"/>
    </w:pPr>
    <w:rPr>
      <w:rFonts w:ascii="Cambria" w:hAnsi="Cambria" w:cs="Times New Roman"/>
      <w:b/>
      <w:bCs/>
      <w:sz w:val="32"/>
      <w:szCs w:val="32"/>
    </w:rPr>
  </w:style>
  <w:style w:type="character" w:styleId="a8">
    <w:name w:val="Hyperlink"/>
    <w:qFormat/>
    <w:rPr>
      <w:color w:val="0000FF"/>
      <w:u w:val="single"/>
    </w:rPr>
  </w:style>
  <w:style w:type="character" w:customStyle="1" w:styleId="Char">
    <w:name w:val="页脚 Char"/>
    <w:basedOn w:val="a0"/>
    <w:link w:val="a4"/>
    <w:semiHidden/>
    <w:qFormat/>
    <w:rPr>
      <w:rFonts w:ascii="Times New Roman" w:eastAsia="宋体" w:hAnsi="Times New Roman" w:cs="Times New Roman"/>
      <w:sz w:val="18"/>
      <w:szCs w:val="18"/>
    </w:rPr>
  </w:style>
  <w:style w:type="character" w:customStyle="1" w:styleId="Char0">
    <w:name w:val="页眉 Char"/>
    <w:basedOn w:val="a0"/>
    <w:link w:val="a5"/>
    <w:semiHidden/>
    <w:qFormat/>
    <w:rPr>
      <w:rFonts w:ascii="Times New Roman" w:eastAsia="宋体" w:hAnsi="Times New Roman" w:cs="Times New Roman"/>
      <w:sz w:val="18"/>
      <w:szCs w:val="18"/>
    </w:rPr>
  </w:style>
  <w:style w:type="character" w:customStyle="1" w:styleId="11">
    <w:name w:val="页码1"/>
    <w:basedOn w:val="a0"/>
    <w:qFormat/>
  </w:style>
  <w:style w:type="character" w:customStyle="1" w:styleId="font11">
    <w:name w:val="font11"/>
    <w:basedOn w:val="a0"/>
    <w:qFormat/>
    <w:rPr>
      <w:rFonts w:ascii="宋体" w:eastAsia="宋体" w:hAnsi="宋体" w:cs="宋体" w:hint="eastAsia"/>
      <w:color w:val="000000"/>
      <w:sz w:val="18"/>
      <w:szCs w:val="18"/>
      <w:u w:val="none"/>
    </w:rPr>
  </w:style>
  <w:style w:type="character" w:customStyle="1" w:styleId="font01">
    <w:name w:val="font01"/>
    <w:basedOn w:val="a0"/>
    <w:qFormat/>
    <w:rPr>
      <w:rFonts w:ascii="宋体" w:eastAsia="宋体" w:hAnsi="宋体" w:cs="宋体" w:hint="eastAsia"/>
      <w:color w:val="000000"/>
      <w:sz w:val="36"/>
      <w:szCs w:val="36"/>
      <w:u w:val="none"/>
    </w:rPr>
  </w:style>
  <w:style w:type="paragraph" w:customStyle="1" w:styleId="-">
    <w:name w:val="插入文本样式-插入总体目标文件"/>
    <w:basedOn w:val="a"/>
    <w:qFormat/>
    <w:pPr>
      <w:spacing w:line="500" w:lineRule="exact"/>
      <w:ind w:firstLine="560"/>
      <w:jc w:val="left"/>
    </w:pPr>
    <w:rPr>
      <w:rFonts w:ascii="Times New Roman" w:eastAsia="方正仿宋_GBK" w:hAnsi="Times New Roman" w:cs="Times New Roman"/>
      <w:sz w:val="28"/>
    </w:rPr>
  </w:style>
  <w:style w:type="paragraph" w:customStyle="1" w:styleId="20">
    <w:name w:val="单元格样式20"/>
    <w:basedOn w:val="a"/>
    <w:qFormat/>
    <w:pPr>
      <w:jc w:val="left"/>
    </w:pPr>
    <w:rPr>
      <w:rFonts w:ascii="方正小标宋_GBK" w:eastAsia="方正小标宋_GBK" w:hAnsi="方正小标宋_GBK" w:cs="方正小标宋_GBK"/>
      <w:sz w:val="24"/>
    </w:rPr>
  </w:style>
  <w:style w:type="paragraph" w:customStyle="1" w:styleId="23">
    <w:name w:val="单元格样式23"/>
    <w:basedOn w:val="a"/>
    <w:qFormat/>
    <w:pPr>
      <w:jc w:val="right"/>
    </w:pPr>
    <w:rPr>
      <w:rFonts w:ascii="方正书宋_GBK" w:eastAsia="方正书宋_GBK" w:hAnsi="方正书宋_GBK" w:cs="方正书宋_GBK"/>
      <w:sz w:val="24"/>
    </w:rPr>
  </w:style>
  <w:style w:type="paragraph" w:customStyle="1" w:styleId="12">
    <w:name w:val="单元格样式1"/>
    <w:basedOn w:val="a"/>
    <w:qFormat/>
    <w:pPr>
      <w:jc w:val="center"/>
    </w:pPr>
    <w:rPr>
      <w:rFonts w:ascii="方正书宋_GBK" w:eastAsia="方正书宋_GBK" w:hAnsi="方正书宋_GBK" w:cs="方正书宋_GBK"/>
      <w:b/>
    </w:rPr>
  </w:style>
  <w:style w:type="paragraph" w:customStyle="1" w:styleId="6">
    <w:name w:val="单元格样式6"/>
    <w:basedOn w:val="a"/>
    <w:qFormat/>
    <w:pPr>
      <w:jc w:val="center"/>
    </w:pPr>
    <w:rPr>
      <w:rFonts w:ascii="方正书宋_GBK" w:eastAsia="方正书宋_GBK" w:hAnsi="方正书宋_GBK" w:cs="方正书宋_GBK"/>
      <w:b/>
    </w:rPr>
  </w:style>
  <w:style w:type="paragraph" w:customStyle="1" w:styleId="7">
    <w:name w:val="单元格样式7"/>
    <w:basedOn w:val="a"/>
    <w:qFormat/>
    <w:pPr>
      <w:jc w:val="right"/>
    </w:pPr>
    <w:rPr>
      <w:rFonts w:ascii="方正书宋_GBK" w:eastAsia="方正书宋_GBK" w:hAnsi="方正书宋_GBK" w:cs="方正书宋_GBK"/>
      <w:b/>
    </w:rPr>
  </w:style>
  <w:style w:type="paragraph" w:customStyle="1" w:styleId="5">
    <w:name w:val="单元格样式5"/>
    <w:basedOn w:val="a"/>
    <w:qFormat/>
    <w:pPr>
      <w:jc w:val="left"/>
    </w:pPr>
    <w:rPr>
      <w:rFonts w:ascii="方正书宋_GBK" w:eastAsia="方正书宋_GBK" w:hAnsi="方正书宋_GBK" w:cs="方正书宋_GBK"/>
      <w:b/>
    </w:rPr>
  </w:style>
  <w:style w:type="paragraph" w:customStyle="1" w:styleId="21">
    <w:name w:val="单元格样式2"/>
    <w:basedOn w:val="a"/>
    <w:qFormat/>
    <w:pPr>
      <w:jc w:val="left"/>
    </w:pPr>
    <w:rPr>
      <w:rFonts w:ascii="方正书宋_GBK" w:eastAsia="方正书宋_GBK" w:hAnsi="方正书宋_GBK" w:cs="方正书宋_GBK"/>
    </w:rPr>
  </w:style>
  <w:style w:type="paragraph" w:customStyle="1" w:styleId="4">
    <w:name w:val="单元格样式4"/>
    <w:basedOn w:val="a"/>
    <w:qFormat/>
    <w:pPr>
      <w:jc w:val="right"/>
    </w:pPr>
    <w:rPr>
      <w:rFonts w:ascii="方正书宋_GBK" w:eastAsia="方正书宋_GBK" w:hAnsi="方正书宋_GBK" w:cs="方正书宋_GBK"/>
    </w:rPr>
  </w:style>
  <w:style w:type="paragraph" w:customStyle="1" w:styleId="3">
    <w:name w:val="单元格样式3"/>
    <w:basedOn w:val="a"/>
    <w:qFormat/>
    <w:pPr>
      <w:jc w:val="center"/>
    </w:pPr>
    <w:rPr>
      <w:rFonts w:ascii="方正书宋_GBK" w:eastAsia="方正书宋_GBK" w:hAnsi="方正书宋_GBK" w:cs="方正书宋_GB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annotation text"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rFonts w:ascii="Times New Roman" w:hAnsi="Times New Roman" w:cs="Times New Roman"/>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0">
    <w:name w:val="toc 1"/>
    <w:basedOn w:val="a"/>
    <w:next w:val="a"/>
    <w:qFormat/>
    <w:rPr>
      <w:rFonts w:ascii="Times New Roman" w:hAnsi="Times New Roman" w:cs="Times New Roman"/>
      <w:szCs w:val="24"/>
    </w:rPr>
  </w:style>
  <w:style w:type="paragraph" w:styleId="2">
    <w:name w:val="toc 2"/>
    <w:basedOn w:val="a"/>
    <w:next w:val="a"/>
    <w:qFormat/>
    <w:pPr>
      <w:ind w:leftChars="200" w:left="420"/>
    </w:pPr>
    <w:rPr>
      <w:rFonts w:ascii="Times New Roman" w:hAnsi="Times New Roman" w:cs="Times New Roman"/>
      <w:szCs w:val="24"/>
    </w:rPr>
  </w:style>
  <w:style w:type="paragraph" w:styleId="a6">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7">
    <w:name w:val="Title"/>
    <w:basedOn w:val="a"/>
    <w:next w:val="a"/>
    <w:qFormat/>
    <w:pPr>
      <w:spacing w:before="240" w:after="60"/>
      <w:jc w:val="center"/>
      <w:outlineLvl w:val="0"/>
    </w:pPr>
    <w:rPr>
      <w:rFonts w:ascii="Cambria" w:hAnsi="Cambria" w:cs="Times New Roman"/>
      <w:b/>
      <w:bCs/>
      <w:sz w:val="32"/>
      <w:szCs w:val="32"/>
    </w:rPr>
  </w:style>
  <w:style w:type="character" w:styleId="a8">
    <w:name w:val="Hyperlink"/>
    <w:qFormat/>
    <w:rPr>
      <w:color w:val="0000FF"/>
      <w:u w:val="single"/>
    </w:rPr>
  </w:style>
  <w:style w:type="character" w:customStyle="1" w:styleId="Char">
    <w:name w:val="页脚 Char"/>
    <w:basedOn w:val="a0"/>
    <w:link w:val="a4"/>
    <w:semiHidden/>
    <w:qFormat/>
    <w:rPr>
      <w:rFonts w:ascii="Times New Roman" w:eastAsia="宋体" w:hAnsi="Times New Roman" w:cs="Times New Roman"/>
      <w:sz w:val="18"/>
      <w:szCs w:val="18"/>
    </w:rPr>
  </w:style>
  <w:style w:type="character" w:customStyle="1" w:styleId="Char0">
    <w:name w:val="页眉 Char"/>
    <w:basedOn w:val="a0"/>
    <w:link w:val="a5"/>
    <w:semiHidden/>
    <w:qFormat/>
    <w:rPr>
      <w:rFonts w:ascii="Times New Roman" w:eastAsia="宋体" w:hAnsi="Times New Roman" w:cs="Times New Roman"/>
      <w:sz w:val="18"/>
      <w:szCs w:val="18"/>
    </w:rPr>
  </w:style>
  <w:style w:type="character" w:customStyle="1" w:styleId="11">
    <w:name w:val="页码1"/>
    <w:basedOn w:val="a0"/>
    <w:qFormat/>
  </w:style>
  <w:style w:type="character" w:customStyle="1" w:styleId="font11">
    <w:name w:val="font11"/>
    <w:basedOn w:val="a0"/>
    <w:qFormat/>
    <w:rPr>
      <w:rFonts w:ascii="宋体" w:eastAsia="宋体" w:hAnsi="宋体" w:cs="宋体" w:hint="eastAsia"/>
      <w:color w:val="000000"/>
      <w:sz w:val="18"/>
      <w:szCs w:val="18"/>
      <w:u w:val="none"/>
    </w:rPr>
  </w:style>
  <w:style w:type="character" w:customStyle="1" w:styleId="font01">
    <w:name w:val="font01"/>
    <w:basedOn w:val="a0"/>
    <w:qFormat/>
    <w:rPr>
      <w:rFonts w:ascii="宋体" w:eastAsia="宋体" w:hAnsi="宋体" w:cs="宋体" w:hint="eastAsia"/>
      <w:color w:val="000000"/>
      <w:sz w:val="36"/>
      <w:szCs w:val="36"/>
      <w:u w:val="none"/>
    </w:rPr>
  </w:style>
  <w:style w:type="paragraph" w:customStyle="1" w:styleId="-">
    <w:name w:val="插入文本样式-插入总体目标文件"/>
    <w:basedOn w:val="a"/>
    <w:qFormat/>
    <w:pPr>
      <w:spacing w:line="500" w:lineRule="exact"/>
      <w:ind w:firstLine="560"/>
      <w:jc w:val="left"/>
    </w:pPr>
    <w:rPr>
      <w:rFonts w:ascii="Times New Roman" w:eastAsia="方正仿宋_GBK" w:hAnsi="Times New Roman" w:cs="Times New Roman"/>
      <w:sz w:val="28"/>
    </w:rPr>
  </w:style>
  <w:style w:type="paragraph" w:customStyle="1" w:styleId="20">
    <w:name w:val="单元格样式20"/>
    <w:basedOn w:val="a"/>
    <w:qFormat/>
    <w:pPr>
      <w:jc w:val="left"/>
    </w:pPr>
    <w:rPr>
      <w:rFonts w:ascii="方正小标宋_GBK" w:eastAsia="方正小标宋_GBK" w:hAnsi="方正小标宋_GBK" w:cs="方正小标宋_GBK"/>
      <w:sz w:val="24"/>
    </w:rPr>
  </w:style>
  <w:style w:type="paragraph" w:customStyle="1" w:styleId="23">
    <w:name w:val="单元格样式23"/>
    <w:basedOn w:val="a"/>
    <w:qFormat/>
    <w:pPr>
      <w:jc w:val="right"/>
    </w:pPr>
    <w:rPr>
      <w:rFonts w:ascii="方正书宋_GBK" w:eastAsia="方正书宋_GBK" w:hAnsi="方正书宋_GBK" w:cs="方正书宋_GBK"/>
      <w:sz w:val="24"/>
    </w:rPr>
  </w:style>
  <w:style w:type="paragraph" w:customStyle="1" w:styleId="12">
    <w:name w:val="单元格样式1"/>
    <w:basedOn w:val="a"/>
    <w:qFormat/>
    <w:pPr>
      <w:jc w:val="center"/>
    </w:pPr>
    <w:rPr>
      <w:rFonts w:ascii="方正书宋_GBK" w:eastAsia="方正书宋_GBK" w:hAnsi="方正书宋_GBK" w:cs="方正书宋_GBK"/>
      <w:b/>
    </w:rPr>
  </w:style>
  <w:style w:type="paragraph" w:customStyle="1" w:styleId="6">
    <w:name w:val="单元格样式6"/>
    <w:basedOn w:val="a"/>
    <w:qFormat/>
    <w:pPr>
      <w:jc w:val="center"/>
    </w:pPr>
    <w:rPr>
      <w:rFonts w:ascii="方正书宋_GBK" w:eastAsia="方正书宋_GBK" w:hAnsi="方正书宋_GBK" w:cs="方正书宋_GBK"/>
      <w:b/>
    </w:rPr>
  </w:style>
  <w:style w:type="paragraph" w:customStyle="1" w:styleId="7">
    <w:name w:val="单元格样式7"/>
    <w:basedOn w:val="a"/>
    <w:qFormat/>
    <w:pPr>
      <w:jc w:val="right"/>
    </w:pPr>
    <w:rPr>
      <w:rFonts w:ascii="方正书宋_GBK" w:eastAsia="方正书宋_GBK" w:hAnsi="方正书宋_GBK" w:cs="方正书宋_GBK"/>
      <w:b/>
    </w:rPr>
  </w:style>
  <w:style w:type="paragraph" w:customStyle="1" w:styleId="5">
    <w:name w:val="单元格样式5"/>
    <w:basedOn w:val="a"/>
    <w:qFormat/>
    <w:pPr>
      <w:jc w:val="left"/>
    </w:pPr>
    <w:rPr>
      <w:rFonts w:ascii="方正书宋_GBK" w:eastAsia="方正书宋_GBK" w:hAnsi="方正书宋_GBK" w:cs="方正书宋_GBK"/>
      <w:b/>
    </w:rPr>
  </w:style>
  <w:style w:type="paragraph" w:customStyle="1" w:styleId="21">
    <w:name w:val="单元格样式2"/>
    <w:basedOn w:val="a"/>
    <w:qFormat/>
    <w:pPr>
      <w:jc w:val="left"/>
    </w:pPr>
    <w:rPr>
      <w:rFonts w:ascii="方正书宋_GBK" w:eastAsia="方正书宋_GBK" w:hAnsi="方正书宋_GBK" w:cs="方正书宋_GBK"/>
    </w:rPr>
  </w:style>
  <w:style w:type="paragraph" w:customStyle="1" w:styleId="4">
    <w:name w:val="单元格样式4"/>
    <w:basedOn w:val="a"/>
    <w:qFormat/>
    <w:pPr>
      <w:jc w:val="right"/>
    </w:pPr>
    <w:rPr>
      <w:rFonts w:ascii="方正书宋_GBK" w:eastAsia="方正书宋_GBK" w:hAnsi="方正书宋_GBK" w:cs="方正书宋_GBK"/>
    </w:rPr>
  </w:style>
  <w:style w:type="paragraph" w:customStyle="1" w:styleId="3">
    <w:name w:val="单元格样式3"/>
    <w:basedOn w:val="a"/>
    <w:qFormat/>
    <w:pPr>
      <w:jc w:val="center"/>
    </w:pPr>
    <w:rPr>
      <w:rFonts w:ascii="方正书宋_GBK" w:eastAsia="方正书宋_GBK" w:hAnsi="方正书宋_GBK" w:cs="方正书宋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8</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guest</dc:creator>
  <cp:lastModifiedBy>xb21cn</cp:lastModifiedBy>
  <cp:revision>3</cp:revision>
  <cp:lastPrinted>2023-03-28T01:12:00Z</cp:lastPrinted>
  <dcterms:created xsi:type="dcterms:W3CDTF">2017-01-22T17:29:00Z</dcterms:created>
  <dcterms:modified xsi:type="dcterms:W3CDTF">2024-08-14T07:04:00Z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16687400_btnclosed</vt:lpwstr>
  </property>
  <property fmtid="{D5CDD505-2E9C-101B-9397-08002B2CF9AE}" pid="4" name="ICV">
    <vt:lpwstr>DB07E9BE6F464D4AAA1DFFFBA407B8B8</vt:lpwstr>
  </property>
</Properties>
</file>