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曹妃甸临港商务区管理委员会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23</w:t>
      </w:r>
      <w:r>
        <w:rPr>
          <w:rFonts w:ascii="Times New Roman" w:hAnsi="Times New Roman" w:eastAsia="方正小标宋_GBK" w:cs="Times New Roman"/>
          <w:sz w:val="44"/>
          <w:szCs w:val="44"/>
        </w:rPr>
        <w:t>年部门预算信息公开</w:t>
      </w:r>
    </w:p>
    <w:p>
      <w:pPr>
        <w:jc w:val="center"/>
        <w:rPr>
          <w:rFonts w:hint="eastAsia" w:ascii="仿宋" w:hAnsi="仿宋" w:eastAsia="仿宋" w:cs="仿宋"/>
          <w:sz w:val="32"/>
          <w:szCs w:val="32"/>
          <w:lang w:eastAsia="zh-CN"/>
        </w:rPr>
      </w:pPr>
    </w:p>
    <w:p>
      <w:pPr>
        <w:pStyle w:val="2"/>
        <w:rPr>
          <w:rFonts w:hint="eastAsia"/>
          <w:lang w:eastAsia="zh-CN"/>
        </w:rPr>
      </w:pPr>
    </w:p>
    <w:p>
      <w:pPr>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按照《预算法》、《河北省预决算公开操作规程实施细则》规定，现将20</w:t>
      </w:r>
      <w:r>
        <w:rPr>
          <w:rFonts w:hint="eastAsia" w:ascii="仿宋" w:hAnsi="仿宋" w:eastAsia="仿宋" w:cs="仿宋"/>
          <w:sz w:val="32"/>
          <w:szCs w:val="32"/>
          <w:lang w:val="en-US" w:eastAsia="zh-CN"/>
        </w:rPr>
        <w:t>23</w:t>
      </w:r>
      <w:r>
        <w:rPr>
          <w:rFonts w:hint="eastAsia" w:ascii="仿宋" w:hAnsi="仿宋" w:eastAsia="仿宋" w:cs="仿宋"/>
          <w:sz w:val="32"/>
          <w:szCs w:val="32"/>
        </w:rPr>
        <w:t>年部门预算公开如下：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textAlignment w:val="auto"/>
        <w:rPr>
          <w:rFonts w:ascii="黑体" w:hAnsi="黑体" w:eastAsia="黑体" w:cs="Times New Roman"/>
          <w:sz w:val="32"/>
          <w:szCs w:val="32"/>
        </w:rPr>
      </w:pPr>
      <w:r>
        <w:rPr>
          <w:rFonts w:hint="eastAsia" w:ascii="黑体" w:hAnsi="黑体" w:eastAsia="黑体" w:cs="Times New Roman"/>
          <w:sz w:val="32"/>
          <w:szCs w:val="32"/>
        </w:rPr>
        <w:t>部门职责及机构设置情况</w:t>
      </w:r>
    </w:p>
    <w:p>
      <w:pPr>
        <w:rPr>
          <w:rFonts w:ascii="仿宋_GB2312" w:hAnsi="仿宋_GB2312" w:eastAsia="仿宋_GB2312" w:cs="宋体"/>
          <w:sz w:val="32"/>
          <w:szCs w:val="32"/>
        </w:rPr>
      </w:pPr>
      <w:r>
        <w:rPr>
          <w:rFonts w:hint="eastAsia" w:ascii="Times New Roman" w:hAnsi="Times New Roman" w:eastAsia="方正仿宋_GBK" w:cs="Times New Roman"/>
          <w:b/>
          <w:sz w:val="32"/>
          <w:szCs w:val="32"/>
        </w:rPr>
        <w:t xml:space="preserve">   部门</w:t>
      </w:r>
      <w:r>
        <w:rPr>
          <w:rFonts w:ascii="Times New Roman" w:hAnsi="Times New Roman" w:eastAsia="方正仿宋_GBK" w:cs="Times New Roman"/>
          <w:b/>
          <w:sz w:val="32"/>
          <w:szCs w:val="32"/>
        </w:rPr>
        <w:t>职责：</w:t>
      </w:r>
      <w:r>
        <w:rPr>
          <w:rFonts w:hint="eastAsia" w:ascii="仿宋_GB2312" w:hAnsi="仿宋_GB2312"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宋体"/>
          <w:sz w:val="32"/>
          <w:szCs w:val="32"/>
        </w:rPr>
      </w:pPr>
      <w:r>
        <w:rPr>
          <w:rFonts w:hint="eastAsia" w:ascii="仿宋_GB2312" w:hAnsi="仿宋_GB2312" w:eastAsia="仿宋_GB2312" w:cs="宋体"/>
          <w:sz w:val="32"/>
          <w:szCs w:val="32"/>
        </w:rPr>
        <w:t xml:space="preserve">    1、编制辖区的总体规划和经济发展规划，经批准后组织实施。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2、组织对区域城市发展规划、建设规划提出建议，并协助组织实施。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3、负责（或协助）做好辖区城市基础设施和公用设施的维护及管理。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宋体"/>
          <w:sz w:val="32"/>
          <w:szCs w:val="32"/>
          <w:lang w:val="en-US" w:eastAsia="zh-CN"/>
        </w:rPr>
      </w:pPr>
      <w:r>
        <w:rPr>
          <w:rFonts w:hint="eastAsia" w:ascii="仿宋_GB2312" w:hAnsi="仿宋_GB2312" w:eastAsia="仿宋_GB2312" w:cs="宋体"/>
          <w:sz w:val="32"/>
          <w:szCs w:val="32"/>
        </w:rPr>
        <w:t>4、负责辖区项目谋划、招商引资、投资促进和企业服务。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5、负责辖区生态建设、环境管理与保护。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6、负责辖区第三产业发展和协调联系行业管理。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7、负责辖区财务管理、国有资产管理和财务监督工作。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8、负责辖区安全生产监督、管理。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宋体"/>
          <w:sz w:val="32"/>
          <w:szCs w:val="32"/>
        </w:rPr>
      </w:pPr>
      <w:r>
        <w:rPr>
          <w:rFonts w:hint="eastAsia" w:ascii="仿宋_GB2312" w:hAnsi="仿宋_GB2312" w:eastAsia="仿宋_GB2312" w:cs="宋体"/>
          <w:sz w:val="32"/>
          <w:szCs w:val="32"/>
        </w:rPr>
        <w:t>9、负责协调辖区内上级有关部门派驻机构的工作。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0"/>
          <w:szCs w:val="30"/>
        </w:rPr>
      </w:pPr>
      <w:r>
        <w:rPr>
          <w:rFonts w:hint="eastAsia" w:ascii="仿宋_GB2312" w:hAnsi="仿宋_GB2312" w:eastAsia="仿宋_GB2312" w:cs="宋体"/>
          <w:sz w:val="32"/>
          <w:szCs w:val="32"/>
        </w:rPr>
        <w:t>10、负责唐山市曹妃甸区政府交办的其他事项。</w:t>
      </w: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12"/>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单位性质</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单位规格</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曹妃甸临港商务区管理委员会</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行政</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正处级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2214" w:type="dxa"/>
            <w:vAlign w:val="center"/>
          </w:tcPr>
          <w:p>
            <w:pPr>
              <w:ind w:firstLine="140" w:firstLineChars="50"/>
              <w:rPr>
                <w:rFonts w:ascii="仿宋" w:hAnsi="仿宋" w:eastAsia="仿宋" w:cs="仿宋"/>
                <w:sz w:val="28"/>
                <w:szCs w:val="28"/>
              </w:rPr>
            </w:pPr>
            <w:r>
              <w:rPr>
                <w:rFonts w:hint="eastAsia" w:ascii="仿宋" w:hAnsi="仿宋" w:eastAsia="仿宋" w:cs="仿宋"/>
                <w:sz w:val="28"/>
                <w:szCs w:val="28"/>
              </w:rPr>
              <w:t>综合办公室</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行政</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城市管理局</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行政</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曹妃甸临港商务区投资贸易促进中心</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事业</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曹妃甸临港商务区经济发展局（安监执法大队）</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事业</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财政性资金基本保证</w:t>
            </w:r>
          </w:p>
        </w:tc>
      </w:tr>
    </w:tbl>
    <w:p>
      <w:pPr>
        <w:autoSpaceDE w:val="0"/>
        <w:autoSpaceDN w:val="0"/>
        <w:adjustRightInd w:val="0"/>
        <w:jc w:val="left"/>
        <w:rPr>
          <w:rFonts w:ascii="方正仿宋_GBK" w:hAnsi="Times New Roman" w:eastAsia="方正仿宋_GBK" w:cs="Times New Roman"/>
          <w:b/>
          <w:sz w:val="32"/>
          <w:szCs w:val="32"/>
        </w:rPr>
      </w:pPr>
    </w:p>
    <w:p>
      <w:pPr>
        <w:rPr>
          <w:rFonts w:ascii="黑体" w:hAnsi="黑体" w:eastAsia="黑体" w:cs="Times New Roman"/>
          <w:sz w:val="32"/>
          <w:szCs w:val="32"/>
        </w:rPr>
      </w:pPr>
      <w:r>
        <w:rPr>
          <w:rFonts w:hint="eastAsia"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二、部门预算安排的总体情况</w:t>
      </w:r>
    </w:p>
    <w:p>
      <w:pPr>
        <w:keepNext w:val="0"/>
        <w:keepLines w:val="0"/>
        <w:pageBreakBefore w:val="0"/>
        <w:widowControl w:val="0"/>
        <w:kinsoku/>
        <w:wordWrap/>
        <w:overflowPunct/>
        <w:topLinePunct w:val="0"/>
        <w:bidi w:val="0"/>
        <w:snapToGrid/>
        <w:spacing w:line="360" w:lineRule="auto"/>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bidi w:val="0"/>
        <w:snapToGrid/>
        <w:spacing w:line="360" w:lineRule="auto"/>
        <w:ind w:firstLine="960" w:firstLineChars="3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本部门当年全部收入，20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1337.46</w:t>
      </w:r>
      <w:r>
        <w:rPr>
          <w:rFonts w:hint="eastAsia" w:ascii="仿宋_GB2312" w:hAnsi="仿宋_GB2312" w:eastAsia="仿宋_GB2312" w:cs="仿宋_GB2312"/>
          <w:sz w:val="32"/>
          <w:szCs w:val="32"/>
        </w:rPr>
        <w:t>万元，全部为一般公共预算收入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bidi w:val="0"/>
        <w:snapToGrid/>
        <w:spacing w:line="360" w:lineRule="auto"/>
        <w:ind w:left="410" w:leftChars="0" w:firstLine="640" w:firstLineChars="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支出说明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收支预算总表支出栏、基本支出表、项目支出表按经济分类和支出功能分类科目编制，反映曹妃甸临港商务区管理委员会年度部门预算中支出预算的总体情况。20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年部门支出预算为</w:t>
      </w:r>
      <w:r>
        <w:rPr>
          <w:rFonts w:hint="eastAsia" w:ascii="仿宋_GB2312" w:hAnsi="仿宋_GB2312" w:eastAsia="仿宋_GB2312" w:cs="仿宋_GB2312"/>
          <w:sz w:val="32"/>
          <w:szCs w:val="32"/>
          <w:lang w:val="en-US" w:eastAsia="zh-CN"/>
        </w:rPr>
        <w:t>1337.46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715.95</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680.58</w:t>
      </w:r>
      <w:r>
        <w:rPr>
          <w:rFonts w:hint="eastAsia" w:ascii="仿宋_GB2312" w:hAnsi="仿宋_GB2312" w:eastAsia="仿宋_GB2312" w:cs="仿宋_GB2312"/>
          <w:sz w:val="32"/>
          <w:szCs w:val="32"/>
        </w:rPr>
        <w:t>万元和公用经费</w:t>
      </w:r>
      <w:r>
        <w:rPr>
          <w:rFonts w:hint="eastAsia" w:ascii="仿宋_GB2312" w:hAnsi="仿宋_GB2312" w:eastAsia="仿宋_GB2312" w:cs="仿宋_GB2312"/>
          <w:sz w:val="32"/>
          <w:szCs w:val="32"/>
          <w:lang w:val="en-US" w:eastAsia="zh-CN"/>
        </w:rPr>
        <w:t>35.37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621.51</w:t>
      </w:r>
      <w:r>
        <w:rPr>
          <w:rFonts w:hint="eastAsia" w:ascii="仿宋_GB2312" w:hAnsi="仿宋_GB2312" w:eastAsia="仿宋_GB2312" w:cs="仿宋_GB2312"/>
          <w:sz w:val="32"/>
          <w:szCs w:val="32"/>
        </w:rPr>
        <w:t>万元，全部为本级支出。</w:t>
      </w:r>
    </w:p>
    <w:p>
      <w:pPr>
        <w:keepNext w:val="0"/>
        <w:keepLines w:val="0"/>
        <w:pageBreakBefore w:val="0"/>
        <w:widowControl w:val="0"/>
        <w:numPr>
          <w:ilvl w:val="0"/>
          <w:numId w:val="2"/>
        </w:numPr>
        <w:kinsoku/>
        <w:wordWrap/>
        <w:overflowPunct/>
        <w:topLinePunct w:val="0"/>
        <w:bidi w:val="0"/>
        <w:snapToGrid/>
        <w:spacing w:line="360" w:lineRule="auto"/>
        <w:ind w:left="410" w:leftChars="0" w:firstLine="640" w:firstLineChars="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比上年增减情况</w:t>
      </w:r>
    </w:p>
    <w:p>
      <w:pPr>
        <w:keepNext w:val="0"/>
        <w:keepLines w:val="0"/>
        <w:pageBreakBefore w:val="0"/>
        <w:widowControl w:val="0"/>
        <w:kinsoku/>
        <w:wordWrap/>
        <w:overflowPunct/>
        <w:topLinePunct w:val="0"/>
        <w:bidi w:val="0"/>
        <w:snapToGrid/>
        <w:spacing w:line="360" w:lineRule="auto"/>
        <w:textAlignment w:val="auto"/>
        <w:rPr>
          <w:rFonts w:ascii="仿宋_GB2312" w:hAnsi="仿宋_GB2312" w:eastAsia="仿宋_GB2312" w:cs="仿宋_GB2312"/>
          <w:color w:val="0000FF"/>
          <w:sz w:val="32"/>
          <w:szCs w:val="32"/>
          <w:highlight w:val="none"/>
        </w:rPr>
      </w:pPr>
      <w:r>
        <w:rPr>
          <w:rFonts w:hint="eastAsia" w:ascii="Times New Roman" w:hAnsi="Times New Roman" w:eastAsia="方正仿宋_GBK" w:cs="Times New Roman"/>
          <w:color w:val="auto"/>
          <w:sz w:val="32"/>
          <w:szCs w:val="32"/>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年部门预算较20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减少1056.13</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102.51</w:t>
      </w:r>
      <w:r>
        <w:rPr>
          <w:rFonts w:hint="eastAsia" w:ascii="仿宋_GB2312" w:hAnsi="仿宋_GB2312" w:eastAsia="仿宋_GB2312" w:cs="仿宋_GB2312"/>
          <w:color w:val="auto"/>
          <w:sz w:val="32"/>
          <w:szCs w:val="32"/>
        </w:rPr>
        <w:t>万元；项目支出较上年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1158.64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rPr>
        <w:t>主要</w:t>
      </w:r>
      <w:r>
        <w:rPr>
          <w:rFonts w:hint="eastAsia" w:ascii="仿宋_GB2312" w:hAnsi="仿宋_GB2312" w:eastAsia="仿宋_GB2312" w:cs="仿宋_GB2312"/>
          <w:color w:val="auto"/>
          <w:sz w:val="32"/>
          <w:szCs w:val="32"/>
          <w:highlight w:val="none"/>
          <w:lang w:val="en-US" w:eastAsia="zh-CN"/>
        </w:rPr>
        <w:t>原因是年初预算列支项目减少</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机关运行经费安排情况</w:t>
      </w:r>
    </w:p>
    <w:p>
      <w:pPr>
        <w:keepNext w:val="0"/>
        <w:keepLines w:val="0"/>
        <w:pageBreakBefore w:val="0"/>
        <w:widowControl w:val="0"/>
        <w:kinsoku/>
        <w:wordWrap/>
        <w:overflowPunct/>
        <w:topLinePunct w:val="0"/>
        <w:autoSpaceDE w:val="0"/>
        <w:autoSpaceDN w:val="0"/>
        <w:bidi w:val="0"/>
        <w:adjustRightInd w:val="0"/>
        <w:snapToGrid/>
        <w:spacing w:line="360" w:lineRule="auto"/>
        <w:ind w:left="198"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机关运行经费共计安排 </w:t>
      </w:r>
      <w:r>
        <w:rPr>
          <w:rFonts w:hint="eastAsia" w:ascii="仿宋_GB2312" w:hAnsi="仿宋_GB2312" w:eastAsia="仿宋_GB2312" w:cs="仿宋_GB2312"/>
          <w:sz w:val="32"/>
          <w:szCs w:val="32"/>
          <w:lang w:val="en-US" w:eastAsia="zh-CN"/>
        </w:rPr>
        <w:t>35.37</w:t>
      </w:r>
      <w:r>
        <w:rPr>
          <w:rFonts w:hint="eastAsia" w:ascii="仿宋_GB2312" w:hAnsi="仿宋_GB2312" w:eastAsia="仿宋_GB2312" w:cs="仿宋_GB2312"/>
          <w:sz w:val="32"/>
          <w:szCs w:val="32"/>
        </w:rPr>
        <w:t>万元，主要用于保证机关正常运转的办公及印刷费、邮电费、差旅费、培训费、会议费、福利费、办公设备购置费、日常维修费、办公楼取暖费、公务车运行维护费等支出。</w:t>
      </w:r>
    </w:p>
    <w:p>
      <w:pPr>
        <w:keepNext w:val="0"/>
        <w:keepLines w:val="0"/>
        <w:pageBreakBefore w:val="0"/>
        <w:widowControl w:val="0"/>
        <w:kinsoku/>
        <w:wordWrap/>
        <w:overflowPunct/>
        <w:topLinePunct w:val="0"/>
        <w:autoSpaceDE w:val="0"/>
        <w:autoSpaceDN w:val="0"/>
        <w:bidi w:val="0"/>
        <w:adjustRightInd w:val="0"/>
        <w:snapToGrid/>
        <w:spacing w:line="360" w:lineRule="auto"/>
        <w:ind w:left="198"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360" w:lineRule="auto"/>
        <w:ind w:left="198" w:firstLine="640" w:firstLineChars="200"/>
        <w:jc w:val="left"/>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年我部门财政拨款“三公”经费预算安排</w:t>
      </w:r>
      <w:r>
        <w:rPr>
          <w:rFonts w:hint="eastAsia" w:ascii="仿宋_GB2312" w:hAnsi="仿宋_GB2312" w:eastAsia="仿宋_GB2312" w:cs="仿宋_GB2312"/>
          <w:color w:val="auto"/>
          <w:sz w:val="32"/>
          <w:szCs w:val="32"/>
          <w:lang w:val="en-US" w:eastAsia="zh-CN"/>
        </w:rPr>
        <w:t>3.95</w:t>
      </w:r>
      <w:r>
        <w:rPr>
          <w:rFonts w:hint="eastAsia" w:ascii="仿宋_GB2312" w:hAnsi="仿宋_GB2312" w:eastAsia="仿宋_GB2312" w:cs="仿宋_GB2312"/>
          <w:color w:val="auto"/>
          <w:sz w:val="32"/>
          <w:szCs w:val="32"/>
        </w:rPr>
        <w:t>万元，比20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年“三公”经费</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25.41</w:t>
      </w:r>
      <w:r>
        <w:rPr>
          <w:rFonts w:hint="eastAsia" w:ascii="仿宋_GB2312" w:hAnsi="仿宋_GB2312" w:eastAsia="仿宋_GB2312" w:cs="仿宋_GB2312"/>
          <w:color w:val="auto"/>
          <w:sz w:val="32"/>
          <w:szCs w:val="32"/>
        </w:rPr>
        <w:t>万元，其中：因公出国（境）费0万元，比20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年无增减变化；公务用车购置及运行维护费</w:t>
      </w:r>
      <w:r>
        <w:rPr>
          <w:rFonts w:hint="eastAsia" w:ascii="仿宋_GB2312" w:hAnsi="仿宋_GB2312" w:eastAsia="仿宋_GB2312" w:cs="仿宋_GB2312"/>
          <w:color w:val="auto"/>
          <w:sz w:val="32"/>
          <w:szCs w:val="32"/>
          <w:lang w:val="en-US" w:eastAsia="zh-CN"/>
        </w:rPr>
        <w:t>3.95</w:t>
      </w:r>
      <w:r>
        <w:rPr>
          <w:rFonts w:hint="eastAsia" w:ascii="仿宋_GB2312" w:hAnsi="仿宋_GB2312" w:eastAsia="仿宋_GB2312" w:cs="仿宋_GB2312"/>
          <w:color w:val="auto"/>
          <w:sz w:val="32"/>
          <w:szCs w:val="32"/>
        </w:rPr>
        <w:t>万元（其中：公务用车购置费为0万元，公务用车运行维护费为</w:t>
      </w:r>
      <w:r>
        <w:rPr>
          <w:rFonts w:hint="eastAsia" w:ascii="仿宋_GB2312" w:hAnsi="仿宋_GB2312" w:eastAsia="仿宋_GB2312" w:cs="仿宋_GB2312"/>
          <w:color w:val="auto"/>
          <w:sz w:val="32"/>
          <w:szCs w:val="32"/>
          <w:lang w:val="en-US" w:eastAsia="zh-CN"/>
        </w:rPr>
        <w:t>3.95</w:t>
      </w:r>
      <w:r>
        <w:rPr>
          <w:rFonts w:hint="eastAsia" w:ascii="仿宋_GB2312" w:hAnsi="仿宋_GB2312" w:eastAsia="仿宋_GB2312" w:cs="仿宋_GB2312"/>
          <w:color w:val="auto"/>
          <w:sz w:val="32"/>
          <w:szCs w:val="32"/>
        </w:rPr>
        <w:t>万元），比上年减</w:t>
      </w:r>
      <w:r>
        <w:rPr>
          <w:rFonts w:hint="eastAsia" w:ascii="仿宋_GB2312" w:hAnsi="仿宋_GB2312" w:eastAsia="仿宋_GB2312" w:cs="仿宋_GB2312"/>
          <w:color w:val="auto"/>
          <w:sz w:val="32"/>
          <w:szCs w:val="32"/>
          <w:lang w:eastAsia="zh-CN"/>
        </w:rPr>
        <w:t>少</w:t>
      </w:r>
      <w:r>
        <w:rPr>
          <w:rFonts w:hint="eastAsia" w:ascii="仿宋_GB2312" w:hAnsi="仿宋_GB2312" w:eastAsia="仿宋_GB2312" w:cs="仿宋_GB2312"/>
          <w:color w:val="auto"/>
          <w:sz w:val="32"/>
          <w:szCs w:val="32"/>
          <w:lang w:val="en-US" w:eastAsia="zh-CN"/>
        </w:rPr>
        <w:t>2.05万元</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比上年</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23.36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，主要是因为公务接待费原计划安排在项目支出中，但最终预算未安排此项目支出。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五、绩效预算信息</w:t>
      </w:r>
    </w:p>
    <w:p>
      <w:pPr>
        <w:keepNext w:val="0"/>
        <w:keepLines w:val="0"/>
        <w:pageBreakBefore w:val="0"/>
        <w:widowControl w:val="0"/>
        <w:kinsoku/>
        <w:wordWrap/>
        <w:overflowPunct/>
        <w:topLinePunct w:val="0"/>
        <w:autoSpaceDE w:val="0"/>
        <w:autoSpaceDN w:val="0"/>
        <w:bidi w:val="0"/>
        <w:adjustRightInd w:val="0"/>
        <w:snapToGrid/>
        <w:spacing w:line="360" w:lineRule="auto"/>
        <w:ind w:left="198" w:firstLine="640" w:firstLineChars="200"/>
        <w:jc w:val="left"/>
        <w:textAlignment w:val="auto"/>
        <w:rPr>
          <w:rFonts w:hint="eastAsia" w:ascii="仿宋_GB2312" w:hAnsi="仿宋_GB2312" w:eastAsia="仿宋_GB2312" w:cs="仿宋_GB2312"/>
          <w:sz w:val="32"/>
          <w:szCs w:val="32"/>
        </w:rPr>
      </w:pPr>
      <w:bookmarkStart w:id="0" w:name="_Toc65227540"/>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总体绩效目标</w:t>
      </w:r>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198"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区委区政府坚强领导下，临港商务区紧扣“12344”（一个核心：园区绩效指标；两个定位：现代生产服务业、现代生活服务业；三个抓手：抓招商、上项目、促运营；四个方向：大宗商品贸易、金融科技、仓储物流、商业综合体；四项目标：增税收、促繁荣、保稳定、快发展）工作思路，全面贯彻落实区委三届五次全会精神，撸起袖子加油干，风雨无阻向前行，在大战大考中赢得疫情防控与经济社会发展的“双胜利”，在曹妃甸高质量发展中迈出了坚实的步伐。</w:t>
      </w:r>
    </w:p>
    <w:p>
      <w:pPr>
        <w:keepNext w:val="0"/>
        <w:keepLines w:val="0"/>
        <w:pageBreakBefore w:val="0"/>
        <w:widowControl w:val="0"/>
        <w:kinsoku/>
        <w:wordWrap/>
        <w:overflowPunct/>
        <w:topLinePunct w:val="0"/>
        <w:autoSpaceDE w:val="0"/>
        <w:autoSpaceDN w:val="0"/>
        <w:bidi w:val="0"/>
        <w:adjustRightInd w:val="0"/>
        <w:snapToGrid/>
        <w:spacing w:line="360" w:lineRule="auto"/>
        <w:ind w:left="198" w:firstLine="640" w:firstLineChars="200"/>
        <w:jc w:val="left"/>
        <w:textAlignment w:val="auto"/>
        <w:rPr>
          <w:rFonts w:hint="eastAsia" w:ascii="仿宋_GB2312" w:hAnsi="仿宋_GB2312" w:eastAsia="仿宋_GB2312" w:cs="仿宋_GB2312"/>
          <w:color w:val="auto"/>
          <w:sz w:val="32"/>
          <w:szCs w:val="32"/>
        </w:rPr>
      </w:pPr>
    </w:p>
    <w:p>
      <w:pPr>
        <w:autoSpaceDE w:val="0"/>
        <w:autoSpaceDN w:val="0"/>
        <w:adjustRightInd w:val="0"/>
        <w:ind w:left="198" w:firstLine="640" w:firstLineChars="200"/>
        <w:jc w:val="left"/>
        <w:rPr>
          <w:rFonts w:hint="eastAsia" w:ascii="仿宋_GB2312" w:hAnsi="仿宋_GB2312" w:eastAsia="仿宋_GB2312" w:cs="仿宋_GB2312"/>
          <w:sz w:val="32"/>
          <w:szCs w:val="32"/>
        </w:rPr>
      </w:pPr>
    </w:p>
    <w:p>
      <w:pPr>
        <w:jc w:val="center"/>
        <w:outlineLvl w:val="0"/>
        <w:rPr>
          <w:rFonts w:hint="eastAsia" w:ascii="仿宋" w:hAnsi="仿宋" w:eastAsia="仿宋" w:cs="仿宋"/>
          <w:color w:val="auto"/>
          <w:sz w:val="32"/>
          <w:szCs w:val="32"/>
        </w:rPr>
      </w:pPr>
      <w:bookmarkStart w:id="1" w:name="_Toc1641566"/>
      <w:r>
        <w:rPr>
          <w:rFonts w:hint="eastAsia" w:ascii="方正小标宋_GBK" w:eastAsia="方正小标宋_GBK"/>
          <w:color w:val="auto"/>
          <w:sz w:val="32"/>
        </w:rPr>
        <w:t>部门职责-工作活动绩效目标</w:t>
      </w:r>
      <w:r>
        <w:rPr>
          <w:rStyle w:val="17"/>
          <w:rFonts w:ascii="方正小标宋_GBK" w:eastAsia="方正小标宋_GBK"/>
          <w:color w:val="auto"/>
          <w:sz w:val="32"/>
        </w:rPr>
        <w:footnoteReference w:id="0" w:customMarkFollows="1"/>
        <w:sym w:font="Symbol" w:char="F020"/>
      </w:r>
      <w:bookmarkEnd w:id="1"/>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803</w:t>
            </w:r>
            <w:r>
              <w:rPr>
                <w:rFonts w:hint="eastAsia" w:ascii="方正小标宋_GBK" w:eastAsia="方正小标宋_GBK"/>
                <w:sz w:val="24"/>
              </w:rPr>
              <w:t>临港商务区管理委员会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一、海域使用管理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编制海域论证报告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做好海域使用论证评估工作</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海域使用论证报告数量</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4</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3</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2</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、企业服务</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编制海域论证报告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全程为企业服务，办理前期手续，加快项目早日落地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海域使用论证报告数量</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4</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3</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2</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eastAsia="zh-CN"/>
              </w:rPr>
              <w:t>二</w:t>
            </w:r>
            <w:r>
              <w:rPr>
                <w:rFonts w:hint="eastAsia" w:ascii="方正书宋_GBK" w:eastAsia="方正书宋_GBK"/>
                <w:b/>
              </w:rPr>
              <w:t>、城市养护</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472.10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指导实施城市市政设施、园林、垃圾处理、道路清扫等设施建设，指导临港商务区的绿化和生物多样性工作；指导临港商务区城镇绿道绿廊建设；指导市政公用设施安全和应急管理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加强管理，提高城市承载能力和宜居度，改善人居环境，实现统筹发展。</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配套设备完善程度</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、养护经费</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472.10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支付养护人员费用及购买养护车辆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完善养护工作配套设备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配套设备完善程度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eastAsia="zh-CN"/>
              </w:rPr>
              <w:t>三</w:t>
            </w:r>
            <w:r>
              <w:rPr>
                <w:rFonts w:hint="eastAsia" w:ascii="方正书宋_GBK" w:eastAsia="方正书宋_GBK"/>
                <w:b/>
              </w:rPr>
              <w:t>、机关政务管理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69.41</w:t>
            </w:r>
          </w:p>
        </w:tc>
        <w:tc>
          <w:tcPr>
            <w:tcW w:w="29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负责机关综合业务管理和机关综合事务管理</w:t>
            </w:r>
            <w:r>
              <w:rPr>
                <w:rFonts w:hint="eastAsia" w:ascii="方正书宋_GBK" w:eastAsia="方正书宋_GBK"/>
                <w:lang w:eastAsia="zh-CN"/>
              </w:rPr>
              <w:t>、社区管理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机关运行顺畅</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69.41</w:t>
            </w:r>
          </w:p>
        </w:tc>
        <w:tc>
          <w:tcPr>
            <w:tcW w:w="29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做好会议培训组织，内部信息化建设与维护，人事、党务管理等工作。</w:t>
            </w:r>
            <w:r>
              <w:rPr>
                <w:rFonts w:hint="eastAsia" w:ascii="方正书宋_GBK" w:eastAsia="方正书宋_GBK"/>
                <w:lang w:eastAsia="zh-CN"/>
              </w:rPr>
              <w:t>社区管理工作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保障机关正常工作有效运转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val="en-US" w:eastAsia="zh-CN"/>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23</w:t>
      </w:r>
      <w:r>
        <w:rPr>
          <w:rFonts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80</w:t>
      </w:r>
      <w:r>
        <w:rPr>
          <w:rFonts w:ascii="Times New Roman" w:hAnsi="Times New Roman" w:eastAsia="方正仿宋_GBK" w:cs="Times New Roman"/>
          <w:sz w:val="32"/>
          <w:szCs w:val="24"/>
        </w:rPr>
        <w:t>万元。具体内容见下表。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3"/>
            </w:pPr>
            <w:r>
              <w:t>803临港商务区管理委员会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5"/>
            </w:pPr>
            <w:r>
              <w:t>政府采购项目来源</w:t>
            </w:r>
          </w:p>
        </w:tc>
        <w:tc>
          <w:tcPr>
            <w:tcW w:w="1134" w:type="dxa"/>
            <w:vMerge w:val="restart"/>
            <w:vAlign w:val="center"/>
          </w:tcPr>
          <w:p>
            <w:pPr>
              <w:pStyle w:val="25"/>
            </w:pPr>
            <w:r>
              <w:t>采购物品名称</w:t>
            </w:r>
          </w:p>
        </w:tc>
        <w:tc>
          <w:tcPr>
            <w:tcW w:w="1276" w:type="dxa"/>
            <w:vMerge w:val="restart"/>
            <w:vAlign w:val="center"/>
          </w:tcPr>
          <w:p>
            <w:pPr>
              <w:pStyle w:val="25"/>
            </w:pPr>
            <w:r>
              <w:t>政府采购目录序号</w:t>
            </w:r>
          </w:p>
        </w:tc>
        <w:tc>
          <w:tcPr>
            <w:tcW w:w="709" w:type="dxa"/>
            <w:vMerge w:val="restart"/>
            <w:vAlign w:val="center"/>
          </w:tcPr>
          <w:p>
            <w:pPr>
              <w:pStyle w:val="25"/>
            </w:pPr>
            <w:r>
              <w:t>计量  单位</w:t>
            </w:r>
          </w:p>
        </w:tc>
        <w:tc>
          <w:tcPr>
            <w:tcW w:w="709" w:type="dxa"/>
            <w:vMerge w:val="restart"/>
            <w:vAlign w:val="center"/>
          </w:tcPr>
          <w:p>
            <w:pPr>
              <w:pStyle w:val="25"/>
            </w:pPr>
            <w:r>
              <w:t>数量</w:t>
            </w:r>
          </w:p>
        </w:tc>
        <w:tc>
          <w:tcPr>
            <w:tcW w:w="850" w:type="dxa"/>
            <w:vMerge w:val="restart"/>
            <w:vAlign w:val="center"/>
          </w:tcPr>
          <w:p>
            <w:pPr>
              <w:pStyle w:val="25"/>
            </w:pPr>
            <w:r>
              <w:t>单价</w:t>
            </w:r>
          </w:p>
        </w:tc>
        <w:tc>
          <w:tcPr>
            <w:tcW w:w="7710" w:type="dxa"/>
            <w:gridSpan w:val="8"/>
            <w:vAlign w:val="center"/>
          </w:tcPr>
          <w:p>
            <w:pPr>
              <w:pStyle w:val="25"/>
            </w:pPr>
            <w:r>
              <w:t>政府采购金额（当年部门预算安排资金）</w:t>
            </w:r>
          </w:p>
        </w:tc>
        <w:tc>
          <w:tcPr>
            <w:tcW w:w="964" w:type="dxa"/>
            <w:vMerge w:val="restart"/>
            <w:vAlign w:val="center"/>
          </w:tcPr>
          <w:p>
            <w:pPr>
              <w:pStyle w:val="2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5"/>
            </w:pPr>
            <w:r>
              <w:t>项目名称</w:t>
            </w:r>
          </w:p>
        </w:tc>
        <w:tc>
          <w:tcPr>
            <w:tcW w:w="964" w:type="dxa"/>
            <w:vAlign w:val="center"/>
          </w:tcPr>
          <w:p>
            <w:pPr>
              <w:pStyle w:val="25"/>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25"/>
            </w:pPr>
            <w:r>
              <w:t>合计</w:t>
            </w:r>
          </w:p>
        </w:tc>
        <w:tc>
          <w:tcPr>
            <w:tcW w:w="964" w:type="dxa"/>
            <w:vAlign w:val="center"/>
          </w:tcPr>
          <w:p>
            <w:pPr>
              <w:pStyle w:val="25"/>
            </w:pPr>
            <w:r>
              <w:t>一般公共预算拨款</w:t>
            </w:r>
          </w:p>
        </w:tc>
        <w:tc>
          <w:tcPr>
            <w:tcW w:w="964" w:type="dxa"/>
            <w:vAlign w:val="center"/>
          </w:tcPr>
          <w:p>
            <w:pPr>
              <w:pStyle w:val="25"/>
            </w:pPr>
            <w:r>
              <w:t>基金预算拨款</w:t>
            </w:r>
          </w:p>
        </w:tc>
        <w:tc>
          <w:tcPr>
            <w:tcW w:w="964" w:type="dxa"/>
            <w:vAlign w:val="center"/>
          </w:tcPr>
          <w:p>
            <w:pPr>
              <w:pStyle w:val="25"/>
            </w:pPr>
            <w:r>
              <w:t>国有资本经营预算拨款</w:t>
            </w:r>
          </w:p>
        </w:tc>
        <w:tc>
          <w:tcPr>
            <w:tcW w:w="964" w:type="dxa"/>
            <w:vAlign w:val="center"/>
          </w:tcPr>
          <w:p>
            <w:pPr>
              <w:pStyle w:val="25"/>
            </w:pPr>
            <w:r>
              <w:t>财政专户核拨</w:t>
            </w:r>
          </w:p>
        </w:tc>
        <w:tc>
          <w:tcPr>
            <w:tcW w:w="964" w:type="dxa"/>
            <w:vAlign w:val="center"/>
          </w:tcPr>
          <w:p>
            <w:pPr>
              <w:pStyle w:val="25"/>
            </w:pPr>
            <w:r>
              <w:t>单位    资金</w:t>
            </w:r>
          </w:p>
        </w:tc>
        <w:tc>
          <w:tcPr>
            <w:tcW w:w="964" w:type="dxa"/>
            <w:vAlign w:val="center"/>
          </w:tcPr>
          <w:p>
            <w:pPr>
              <w:pStyle w:val="25"/>
            </w:pPr>
            <w:r>
              <w:t>财政拨    款结转</w:t>
            </w:r>
          </w:p>
        </w:tc>
        <w:tc>
          <w:tcPr>
            <w:tcW w:w="964" w:type="dxa"/>
            <w:vAlign w:val="center"/>
          </w:tcPr>
          <w:p>
            <w:pPr>
              <w:pStyle w:val="2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6"/>
            </w:pPr>
            <w:r>
              <w:t>合  计</w:t>
            </w:r>
          </w:p>
        </w:tc>
        <w:tc>
          <w:tcPr>
            <w:tcW w:w="964" w:type="dxa"/>
            <w:vAlign w:val="center"/>
          </w:tcPr>
          <w:p>
            <w:pPr>
              <w:pStyle w:val="27"/>
            </w:pPr>
          </w:p>
        </w:tc>
        <w:tc>
          <w:tcPr>
            <w:tcW w:w="1134" w:type="dxa"/>
            <w:vAlign w:val="center"/>
          </w:tcPr>
          <w:p>
            <w:pPr>
              <w:pStyle w:val="28"/>
            </w:pPr>
          </w:p>
        </w:tc>
        <w:tc>
          <w:tcPr>
            <w:tcW w:w="1276" w:type="dxa"/>
            <w:vAlign w:val="center"/>
          </w:tcPr>
          <w:p>
            <w:pPr>
              <w:pStyle w:val="28"/>
            </w:pPr>
          </w:p>
        </w:tc>
        <w:tc>
          <w:tcPr>
            <w:tcW w:w="709" w:type="dxa"/>
            <w:vAlign w:val="center"/>
          </w:tcPr>
          <w:p>
            <w:pPr>
              <w:pStyle w:val="26"/>
            </w:pPr>
          </w:p>
        </w:tc>
        <w:tc>
          <w:tcPr>
            <w:tcW w:w="709" w:type="dxa"/>
            <w:vAlign w:val="center"/>
          </w:tcPr>
          <w:p>
            <w:pPr>
              <w:pStyle w:val="27"/>
            </w:pPr>
          </w:p>
        </w:tc>
        <w:tc>
          <w:tcPr>
            <w:tcW w:w="850" w:type="dxa"/>
            <w:vAlign w:val="center"/>
          </w:tcPr>
          <w:p>
            <w:pPr>
              <w:pStyle w:val="27"/>
            </w:pPr>
          </w:p>
        </w:tc>
        <w:tc>
          <w:tcPr>
            <w:tcW w:w="964" w:type="dxa"/>
            <w:vAlign w:val="center"/>
          </w:tcPr>
          <w:p>
            <w:pPr>
              <w:pStyle w:val="27"/>
            </w:pPr>
            <w:r>
              <w:t>80.00</w:t>
            </w:r>
          </w:p>
        </w:tc>
        <w:tc>
          <w:tcPr>
            <w:tcW w:w="964" w:type="dxa"/>
            <w:vAlign w:val="center"/>
          </w:tcPr>
          <w:p>
            <w:pPr>
              <w:pStyle w:val="27"/>
            </w:pPr>
            <w:r>
              <w:t>80.00</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6"/>
            </w:pPr>
            <w:r>
              <w:t>临港商务区管理委员会本级小计</w:t>
            </w:r>
          </w:p>
        </w:tc>
        <w:tc>
          <w:tcPr>
            <w:tcW w:w="964" w:type="dxa"/>
            <w:vAlign w:val="center"/>
          </w:tcPr>
          <w:p>
            <w:pPr>
              <w:pStyle w:val="27"/>
            </w:pPr>
          </w:p>
        </w:tc>
        <w:tc>
          <w:tcPr>
            <w:tcW w:w="1134" w:type="dxa"/>
            <w:vAlign w:val="center"/>
          </w:tcPr>
          <w:p>
            <w:pPr>
              <w:pStyle w:val="28"/>
            </w:pPr>
          </w:p>
        </w:tc>
        <w:tc>
          <w:tcPr>
            <w:tcW w:w="1276" w:type="dxa"/>
            <w:vAlign w:val="center"/>
          </w:tcPr>
          <w:p>
            <w:pPr>
              <w:pStyle w:val="28"/>
            </w:pPr>
          </w:p>
        </w:tc>
        <w:tc>
          <w:tcPr>
            <w:tcW w:w="709" w:type="dxa"/>
            <w:vAlign w:val="center"/>
          </w:tcPr>
          <w:p>
            <w:pPr>
              <w:pStyle w:val="26"/>
            </w:pPr>
          </w:p>
        </w:tc>
        <w:tc>
          <w:tcPr>
            <w:tcW w:w="709" w:type="dxa"/>
            <w:vAlign w:val="center"/>
          </w:tcPr>
          <w:p>
            <w:pPr>
              <w:pStyle w:val="27"/>
            </w:pPr>
          </w:p>
        </w:tc>
        <w:tc>
          <w:tcPr>
            <w:tcW w:w="850" w:type="dxa"/>
            <w:vAlign w:val="center"/>
          </w:tcPr>
          <w:p>
            <w:pPr>
              <w:pStyle w:val="27"/>
            </w:pPr>
          </w:p>
        </w:tc>
        <w:tc>
          <w:tcPr>
            <w:tcW w:w="964" w:type="dxa"/>
            <w:vAlign w:val="center"/>
          </w:tcPr>
          <w:p>
            <w:pPr>
              <w:pStyle w:val="27"/>
            </w:pPr>
            <w:r>
              <w:t>80.00</w:t>
            </w:r>
          </w:p>
        </w:tc>
        <w:tc>
          <w:tcPr>
            <w:tcW w:w="964" w:type="dxa"/>
            <w:vAlign w:val="center"/>
          </w:tcPr>
          <w:p>
            <w:pPr>
              <w:pStyle w:val="27"/>
            </w:pPr>
            <w:r>
              <w:t>80.00</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r>
              <w:t>入区项目用海预审手续办理费用2023</w:t>
            </w:r>
          </w:p>
        </w:tc>
        <w:tc>
          <w:tcPr>
            <w:tcW w:w="964" w:type="dxa"/>
            <w:vAlign w:val="center"/>
          </w:tcPr>
          <w:p>
            <w:pPr>
              <w:pStyle w:val="30"/>
            </w:pPr>
            <w:r>
              <w:t>80.00</w:t>
            </w:r>
          </w:p>
        </w:tc>
        <w:tc>
          <w:tcPr>
            <w:tcW w:w="1134" w:type="dxa"/>
            <w:vAlign w:val="center"/>
          </w:tcPr>
          <w:p>
            <w:pPr>
              <w:pStyle w:val="29"/>
            </w:pPr>
            <w:r>
              <w:t>海洋服务</w:t>
            </w:r>
          </w:p>
        </w:tc>
        <w:tc>
          <w:tcPr>
            <w:tcW w:w="1276" w:type="dxa"/>
            <w:vAlign w:val="center"/>
          </w:tcPr>
          <w:p>
            <w:pPr>
              <w:pStyle w:val="29"/>
            </w:pPr>
            <w:r>
              <w:t>C19050000</w:t>
            </w:r>
          </w:p>
        </w:tc>
        <w:tc>
          <w:tcPr>
            <w:tcW w:w="709" w:type="dxa"/>
            <w:vAlign w:val="center"/>
          </w:tcPr>
          <w:p>
            <w:pPr>
              <w:pStyle w:val="31"/>
            </w:pPr>
            <w:r>
              <w:t>个</w:t>
            </w:r>
          </w:p>
        </w:tc>
        <w:tc>
          <w:tcPr>
            <w:tcW w:w="709" w:type="dxa"/>
            <w:vAlign w:val="center"/>
          </w:tcPr>
          <w:p>
            <w:pPr>
              <w:pStyle w:val="30"/>
            </w:pPr>
            <w:r>
              <w:t>2</w:t>
            </w:r>
          </w:p>
        </w:tc>
        <w:tc>
          <w:tcPr>
            <w:tcW w:w="850" w:type="dxa"/>
            <w:vAlign w:val="center"/>
          </w:tcPr>
          <w:p>
            <w:pPr>
              <w:pStyle w:val="30"/>
            </w:pPr>
            <w:r>
              <w:t>40.00</w:t>
            </w:r>
          </w:p>
        </w:tc>
        <w:tc>
          <w:tcPr>
            <w:tcW w:w="964" w:type="dxa"/>
            <w:vAlign w:val="center"/>
          </w:tcPr>
          <w:p>
            <w:pPr>
              <w:pStyle w:val="30"/>
            </w:pPr>
            <w:r>
              <w:t>80.00</w:t>
            </w:r>
          </w:p>
        </w:tc>
        <w:tc>
          <w:tcPr>
            <w:tcW w:w="964" w:type="dxa"/>
            <w:vAlign w:val="center"/>
          </w:tcPr>
          <w:p>
            <w:pPr>
              <w:pStyle w:val="30"/>
            </w:pPr>
            <w:r>
              <w:t>80.00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80.00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left"/>
        <w:rPr>
          <w:color w:val="FF0000"/>
        </w:rPr>
      </w:pPr>
      <w:r>
        <w:t xml:space="preserve">          </w:t>
      </w:r>
      <w:r>
        <w:rPr>
          <w:color w:val="FF0000"/>
        </w:rPr>
        <w:t xml:space="preserve">                                    </w:t>
      </w:r>
    </w:p>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rPr>
        <w:t xml:space="preserve">    </w:t>
      </w:r>
      <w:r>
        <w:rPr>
          <w:rFonts w:hint="eastAsia" w:ascii="黑体" w:hAnsi="黑体" w:eastAsia="黑体" w:cs="Times New Roman"/>
          <w:color w:val="auto"/>
          <w:sz w:val="32"/>
          <w:szCs w:val="32"/>
          <w:lang w:eastAsia="zh-CN"/>
        </w:rPr>
        <w:t>七</w:t>
      </w:r>
      <w:r>
        <w:rPr>
          <w:rFonts w:hint="eastAsia" w:ascii="黑体" w:hAnsi="黑体" w:eastAsia="黑体" w:cs="Times New Roman"/>
          <w:color w:val="auto"/>
          <w:sz w:val="32"/>
          <w:szCs w:val="32"/>
        </w:rPr>
        <w:t>、国有资产信息</w:t>
      </w:r>
    </w:p>
    <w:p>
      <w:pPr>
        <w:ind w:firstLine="640"/>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226.12</w:t>
      </w:r>
      <w:r>
        <w:rPr>
          <w:rFonts w:hint="eastAsia" w:ascii="仿宋_GB2312" w:hAnsi="黑体" w:eastAsia="仿宋_GB2312" w:cs="Times New Roman"/>
          <w:sz w:val="32"/>
          <w:szCs w:val="32"/>
        </w:rPr>
        <w:t>万元（详见下表），本年度拟购置固定资产</w:t>
      </w:r>
      <w:r>
        <w:rPr>
          <w:rFonts w:hint="eastAsia" w:ascii="仿宋_GB2312" w:hAnsi="黑体" w:eastAsia="仿宋_GB2312" w:cs="Times New Roman"/>
          <w:sz w:val="32"/>
          <w:szCs w:val="32"/>
          <w:lang w:eastAsia="zh-CN"/>
        </w:rPr>
        <w:t>为</w:t>
      </w:r>
      <w:r>
        <w:rPr>
          <w:rFonts w:hint="eastAsia" w:ascii="仿宋_GB2312" w:hAnsi="黑体" w:eastAsia="仿宋_GB2312" w:cs="Times New Roman"/>
          <w:sz w:val="32"/>
          <w:szCs w:val="32"/>
          <w:lang w:val="en-US" w:eastAsia="zh-CN"/>
        </w:rPr>
        <w:t>0万元。</w:t>
      </w:r>
    </w:p>
    <w:p>
      <w:pPr>
        <w:pStyle w:val="2"/>
      </w:pPr>
    </w:p>
    <w:tbl>
      <w:tblPr>
        <w:tblStyle w:val="12"/>
        <w:tblpPr w:leftFromText="180" w:rightFromText="180" w:vertAnchor="text" w:horzAnchor="page" w:tblpX="1516" w:tblpY="46"/>
        <w:tblOverlap w:val="never"/>
        <w:tblW w:w="13482" w:type="dxa"/>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曹妃甸临港商务区管理委员会固定资产占用情况表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曹妃甸临港商务区管理委员会</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22</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226.12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color w:val="auto"/>
                <w:kern w:val="0"/>
                <w:sz w:val="22"/>
                <w:lang w:val="en-US" w:eastAsia="zh-CN"/>
              </w:rPr>
              <w:t>40.38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185.74</w:t>
            </w:r>
            <w:bookmarkStart w:id="2" w:name="_GoBack"/>
            <w:bookmarkEnd w:id="2"/>
          </w:p>
        </w:tc>
      </w:tr>
    </w:tbl>
    <w:p>
      <w:pPr>
        <w:ind w:firstLine="640"/>
        <w:rPr>
          <w:rFonts w:ascii="仿宋_GB2312" w:hAnsi="黑体" w:eastAsia="仿宋_GB2312" w:cs="Times New Roman"/>
          <w:color w:val="FF0000"/>
          <w:sz w:val="32"/>
          <w:szCs w:val="32"/>
        </w:rPr>
      </w:pPr>
    </w:p>
    <w:p>
      <w:pPr>
        <w:rPr>
          <w:rFonts w:ascii="仿宋_GB2312" w:hAnsi="黑体" w:eastAsia="仿宋_GB2312" w:cs="Times New Roman"/>
          <w:sz w:val="32"/>
          <w:szCs w:val="32"/>
        </w:rPr>
      </w:pPr>
    </w:p>
    <w:p>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1、一般预算收入：区级财政当年拨付的资金。</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取暖费、公务车运行维护费等。</w:t>
      </w:r>
    </w:p>
    <w:p>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11"/>
        <w:jc w:val="both"/>
        <w:rPr>
          <w:rFonts w:ascii="仿宋_GB2312" w:hAnsi="仿宋_GB2312" w:eastAsia="仿宋_GB2312" w:cs="仿宋_GB2312"/>
          <w:sz w:val="32"/>
          <w:szCs w:val="32"/>
        </w:rPr>
      </w:pPr>
    </w:p>
    <w:sectPr>
      <w:headerReference r:id="rId4" w:type="default"/>
      <w:footerReference r:id="rId5"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pPr>
        <w:ind w:left="410"/>
      </w:pPr>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9"/>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dkMzg1MDE0ODI0ZmNjYWNkNjZkMTI4MmNiZmEyM2YifQ=="/>
  </w:docVars>
  <w:rsids>
    <w:rsidRoot w:val="00172A27"/>
    <w:rsid w:val="00113584"/>
    <w:rsid w:val="001420C1"/>
    <w:rsid w:val="00172A27"/>
    <w:rsid w:val="00324EF3"/>
    <w:rsid w:val="003432E1"/>
    <w:rsid w:val="00380CDC"/>
    <w:rsid w:val="003C08D4"/>
    <w:rsid w:val="003C1C61"/>
    <w:rsid w:val="00587522"/>
    <w:rsid w:val="00590E84"/>
    <w:rsid w:val="00626B37"/>
    <w:rsid w:val="006449E0"/>
    <w:rsid w:val="00650CB3"/>
    <w:rsid w:val="00663BD7"/>
    <w:rsid w:val="00773D21"/>
    <w:rsid w:val="007B7B15"/>
    <w:rsid w:val="007E66E9"/>
    <w:rsid w:val="007F4C1D"/>
    <w:rsid w:val="008329A5"/>
    <w:rsid w:val="008B5384"/>
    <w:rsid w:val="00912FFA"/>
    <w:rsid w:val="00986033"/>
    <w:rsid w:val="00A52021"/>
    <w:rsid w:val="00A634FA"/>
    <w:rsid w:val="00AD4352"/>
    <w:rsid w:val="00BD524A"/>
    <w:rsid w:val="00C31292"/>
    <w:rsid w:val="00CC385E"/>
    <w:rsid w:val="00DC6237"/>
    <w:rsid w:val="00E26771"/>
    <w:rsid w:val="00E3792F"/>
    <w:rsid w:val="00E62020"/>
    <w:rsid w:val="00EE100E"/>
    <w:rsid w:val="00F91252"/>
    <w:rsid w:val="010B1151"/>
    <w:rsid w:val="02335EF2"/>
    <w:rsid w:val="036C0CF7"/>
    <w:rsid w:val="03722553"/>
    <w:rsid w:val="03A06AE5"/>
    <w:rsid w:val="04001BA6"/>
    <w:rsid w:val="04044D5E"/>
    <w:rsid w:val="051036F0"/>
    <w:rsid w:val="06FC6128"/>
    <w:rsid w:val="0786678C"/>
    <w:rsid w:val="07D03555"/>
    <w:rsid w:val="081465EC"/>
    <w:rsid w:val="08B872E5"/>
    <w:rsid w:val="09883C1E"/>
    <w:rsid w:val="099B2EB5"/>
    <w:rsid w:val="09EA6F07"/>
    <w:rsid w:val="0AEE7FB4"/>
    <w:rsid w:val="0B3B7A03"/>
    <w:rsid w:val="0BB83154"/>
    <w:rsid w:val="0CD15A47"/>
    <w:rsid w:val="0D3D7863"/>
    <w:rsid w:val="0D623AE3"/>
    <w:rsid w:val="0ED36822"/>
    <w:rsid w:val="11B14DCE"/>
    <w:rsid w:val="11BD1627"/>
    <w:rsid w:val="11BD51BB"/>
    <w:rsid w:val="11E01097"/>
    <w:rsid w:val="12345231"/>
    <w:rsid w:val="12B654AE"/>
    <w:rsid w:val="137C701F"/>
    <w:rsid w:val="13FE75A2"/>
    <w:rsid w:val="16610B8D"/>
    <w:rsid w:val="16A23471"/>
    <w:rsid w:val="173E1959"/>
    <w:rsid w:val="17A2610B"/>
    <w:rsid w:val="17B27C12"/>
    <w:rsid w:val="182B5206"/>
    <w:rsid w:val="1894492B"/>
    <w:rsid w:val="18E406CF"/>
    <w:rsid w:val="19333DDE"/>
    <w:rsid w:val="1A6C0E84"/>
    <w:rsid w:val="1A7C3068"/>
    <w:rsid w:val="1AE367BA"/>
    <w:rsid w:val="1B6C046B"/>
    <w:rsid w:val="1C6D28A3"/>
    <w:rsid w:val="1CBC256F"/>
    <w:rsid w:val="1CC5044C"/>
    <w:rsid w:val="1D6B6348"/>
    <w:rsid w:val="1DC43078"/>
    <w:rsid w:val="1E3D1D19"/>
    <w:rsid w:val="1F436A91"/>
    <w:rsid w:val="1FC2649C"/>
    <w:rsid w:val="1FD96E30"/>
    <w:rsid w:val="20490F69"/>
    <w:rsid w:val="20880B42"/>
    <w:rsid w:val="209A153B"/>
    <w:rsid w:val="20D06600"/>
    <w:rsid w:val="20F50835"/>
    <w:rsid w:val="210E3606"/>
    <w:rsid w:val="229D6B92"/>
    <w:rsid w:val="22BC1920"/>
    <w:rsid w:val="232836D2"/>
    <w:rsid w:val="253476E6"/>
    <w:rsid w:val="2573511A"/>
    <w:rsid w:val="26A175C9"/>
    <w:rsid w:val="26B55F79"/>
    <w:rsid w:val="26D567F4"/>
    <w:rsid w:val="2B2D036C"/>
    <w:rsid w:val="2C343CEB"/>
    <w:rsid w:val="2C4D2BB8"/>
    <w:rsid w:val="2C973BA3"/>
    <w:rsid w:val="2CD91EE1"/>
    <w:rsid w:val="2D3D47D0"/>
    <w:rsid w:val="2D9F209F"/>
    <w:rsid w:val="2DFA07EA"/>
    <w:rsid w:val="2F8B0D64"/>
    <w:rsid w:val="2FAF2DC0"/>
    <w:rsid w:val="2FCF4EA7"/>
    <w:rsid w:val="30907E14"/>
    <w:rsid w:val="31C124B4"/>
    <w:rsid w:val="327E4D0E"/>
    <w:rsid w:val="33B01FB3"/>
    <w:rsid w:val="33D10929"/>
    <w:rsid w:val="348C34E1"/>
    <w:rsid w:val="35050A2B"/>
    <w:rsid w:val="35E4427F"/>
    <w:rsid w:val="36420C11"/>
    <w:rsid w:val="364948E9"/>
    <w:rsid w:val="37346343"/>
    <w:rsid w:val="376059F1"/>
    <w:rsid w:val="378562A6"/>
    <w:rsid w:val="37A62F06"/>
    <w:rsid w:val="37E613C3"/>
    <w:rsid w:val="37F565E3"/>
    <w:rsid w:val="38205BD3"/>
    <w:rsid w:val="3840172D"/>
    <w:rsid w:val="388A5995"/>
    <w:rsid w:val="39164305"/>
    <w:rsid w:val="39B624A1"/>
    <w:rsid w:val="39CA1B1C"/>
    <w:rsid w:val="3B023290"/>
    <w:rsid w:val="3B10734B"/>
    <w:rsid w:val="3B9D05E2"/>
    <w:rsid w:val="3B9D3F7B"/>
    <w:rsid w:val="3BC06A63"/>
    <w:rsid w:val="3BE86E9B"/>
    <w:rsid w:val="3DD678DB"/>
    <w:rsid w:val="3EEC308F"/>
    <w:rsid w:val="3F675A63"/>
    <w:rsid w:val="417B1318"/>
    <w:rsid w:val="41E11FE7"/>
    <w:rsid w:val="42646472"/>
    <w:rsid w:val="43142845"/>
    <w:rsid w:val="438669F4"/>
    <w:rsid w:val="45302297"/>
    <w:rsid w:val="460974D0"/>
    <w:rsid w:val="477E5776"/>
    <w:rsid w:val="47E05B00"/>
    <w:rsid w:val="47E52DBD"/>
    <w:rsid w:val="488E081D"/>
    <w:rsid w:val="4A5F65FA"/>
    <w:rsid w:val="4D667939"/>
    <w:rsid w:val="4D8E1576"/>
    <w:rsid w:val="4F762266"/>
    <w:rsid w:val="50224C36"/>
    <w:rsid w:val="507B57E7"/>
    <w:rsid w:val="51411EF1"/>
    <w:rsid w:val="516D3442"/>
    <w:rsid w:val="525A132C"/>
    <w:rsid w:val="526060A3"/>
    <w:rsid w:val="52AA2A8B"/>
    <w:rsid w:val="52F74406"/>
    <w:rsid w:val="533A36F9"/>
    <w:rsid w:val="53934B54"/>
    <w:rsid w:val="547C3C4A"/>
    <w:rsid w:val="56412769"/>
    <w:rsid w:val="56A439CF"/>
    <w:rsid w:val="588958A6"/>
    <w:rsid w:val="58BE06BF"/>
    <w:rsid w:val="5C5C3E00"/>
    <w:rsid w:val="5C7D4781"/>
    <w:rsid w:val="5C85420F"/>
    <w:rsid w:val="5CF32068"/>
    <w:rsid w:val="5F4B23CD"/>
    <w:rsid w:val="5F9C386D"/>
    <w:rsid w:val="5FE27ABA"/>
    <w:rsid w:val="6247632B"/>
    <w:rsid w:val="643E1B5D"/>
    <w:rsid w:val="66D946F5"/>
    <w:rsid w:val="67485718"/>
    <w:rsid w:val="67C9021A"/>
    <w:rsid w:val="68DD7B51"/>
    <w:rsid w:val="6A825732"/>
    <w:rsid w:val="6BDC690F"/>
    <w:rsid w:val="6BF81301"/>
    <w:rsid w:val="6CD804BA"/>
    <w:rsid w:val="6D7246D0"/>
    <w:rsid w:val="6E5C6DF0"/>
    <w:rsid w:val="6F123BFA"/>
    <w:rsid w:val="70F85C4D"/>
    <w:rsid w:val="712552E9"/>
    <w:rsid w:val="71CF49FE"/>
    <w:rsid w:val="73237740"/>
    <w:rsid w:val="732D307B"/>
    <w:rsid w:val="73963462"/>
    <w:rsid w:val="74402B38"/>
    <w:rsid w:val="76410B7F"/>
    <w:rsid w:val="766A563A"/>
    <w:rsid w:val="768C1C2C"/>
    <w:rsid w:val="779F354D"/>
    <w:rsid w:val="77AD1B46"/>
    <w:rsid w:val="7944331F"/>
    <w:rsid w:val="79C10D54"/>
    <w:rsid w:val="7A3669E7"/>
    <w:rsid w:val="7A4D53F4"/>
    <w:rsid w:val="7AEC23D6"/>
    <w:rsid w:val="7B9F7A7A"/>
    <w:rsid w:val="7BBC722B"/>
    <w:rsid w:val="7C4A7FCB"/>
    <w:rsid w:val="7C9A7756"/>
    <w:rsid w:val="7D775054"/>
    <w:rsid w:val="7EFA114F"/>
    <w:rsid w:val="7F2410A3"/>
    <w:rsid w:val="7F40641B"/>
    <w:rsid w:val="7F752A3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index 5"/>
    <w:basedOn w:val="1"/>
    <w:next w:val="1"/>
    <w:semiHidden/>
    <w:qFormat/>
    <w:uiPriority w:val="99"/>
    <w:pPr>
      <w:ind w:left="800" w:leftChars="800"/>
    </w:pPr>
    <w:rPr>
      <w:rFonts w:ascii="Calibri" w:hAnsi="Calibri" w:cs="Calibri"/>
      <w:kern w:val="2"/>
      <w:sz w:val="21"/>
      <w:szCs w:val="21"/>
      <w:lang w:eastAsia="zh-CN"/>
    </w:rPr>
  </w:style>
  <w:style w:type="paragraph" w:styleId="5">
    <w:name w:val="footer"/>
    <w:basedOn w:val="1"/>
    <w:link w:val="18"/>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semiHidden/>
    <w:qFormat/>
    <w:uiPriority w:val="0"/>
    <w:pPr>
      <w:snapToGrid w:val="0"/>
      <w:jc w:val="left"/>
    </w:pPr>
    <w:rPr>
      <w:sz w:val="18"/>
      <w:szCs w:val="18"/>
    </w:rPr>
  </w:style>
  <w:style w:type="paragraph" w:styleId="9">
    <w:name w:val="toc 2"/>
    <w:basedOn w:val="1"/>
    <w:next w:val="1"/>
    <w:qFormat/>
    <w:uiPriority w:val="0"/>
    <w:pPr>
      <w:ind w:left="420" w:leftChars="200"/>
    </w:pPr>
    <w:rPr>
      <w:rFonts w:ascii="Times New Roman" w:hAnsi="Times New Roman" w:cs="Times New Roman"/>
      <w:szCs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cs="Times New Roman"/>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footnote reference"/>
    <w:basedOn w:val="14"/>
    <w:semiHidden/>
    <w:qFormat/>
    <w:uiPriority w:val="0"/>
    <w:rPr>
      <w:vertAlign w:val="superscript"/>
    </w:rPr>
  </w:style>
  <w:style w:type="character" w:customStyle="1" w:styleId="18">
    <w:name w:val="页脚 Char"/>
    <w:basedOn w:val="14"/>
    <w:link w:val="5"/>
    <w:semiHidden/>
    <w:qFormat/>
    <w:uiPriority w:val="0"/>
    <w:rPr>
      <w:rFonts w:ascii="Times New Roman" w:hAnsi="Times New Roman" w:eastAsia="宋体" w:cs="Times New Roman"/>
      <w:sz w:val="18"/>
      <w:szCs w:val="18"/>
    </w:rPr>
  </w:style>
  <w:style w:type="character" w:customStyle="1" w:styleId="19">
    <w:name w:val="页眉 Char"/>
    <w:basedOn w:val="14"/>
    <w:link w:val="6"/>
    <w:semiHidden/>
    <w:qFormat/>
    <w:uiPriority w:val="0"/>
    <w:rPr>
      <w:rFonts w:ascii="Times New Roman" w:hAnsi="Times New Roman" w:eastAsia="宋体" w:cs="Times New Roman"/>
      <w:sz w:val="18"/>
      <w:szCs w:val="18"/>
    </w:rPr>
  </w:style>
  <w:style w:type="character" w:customStyle="1" w:styleId="20">
    <w:name w:val="页码1"/>
    <w:basedOn w:val="14"/>
    <w:qFormat/>
    <w:uiPriority w:val="0"/>
  </w:style>
  <w:style w:type="character" w:customStyle="1" w:styleId="21">
    <w:name w:val="font11"/>
    <w:basedOn w:val="14"/>
    <w:qFormat/>
    <w:uiPriority w:val="0"/>
    <w:rPr>
      <w:rFonts w:hint="eastAsia" w:ascii="宋体" w:hAnsi="宋体" w:eastAsia="宋体" w:cs="宋体"/>
      <w:color w:val="000000"/>
      <w:sz w:val="18"/>
      <w:szCs w:val="18"/>
      <w:u w:val="none"/>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2356</Words>
  <Characters>2603</Characters>
  <Lines>37</Lines>
  <Paragraphs>10</Paragraphs>
  <TotalTime>43</TotalTime>
  <ScaleCrop>false</ScaleCrop>
  <LinksUpToDate>false</LinksUpToDate>
  <CharactersWithSpaces>2730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Administrator</cp:lastModifiedBy>
  <cp:lastPrinted>2021-03-12T07:00:00Z</cp:lastPrinted>
  <dcterms:modified xsi:type="dcterms:W3CDTF">2024-08-14T09:32:46Z</dcterms:modified>
  <dc:title>Administrator</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899899829A214F6099FABD6ABDA65A18</vt:lpwstr>
  </property>
</Properties>
</file>