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ind w:left="0" w:leftChars="0" w:firstLine="0" w:firstLineChars="0"/>
        <w:rPr>
          <w:rFonts w:hint="eastAsia" w:ascii="方正楷体_GBK" w:hAnsi="方正楷体_GBK" w:eastAsia="方正楷体_GBK" w:cs="方正楷体_GBK"/>
          <w:b w:val="0"/>
          <w:sz w:val="24"/>
          <w:szCs w:val="24"/>
        </w:rPr>
      </w:pPr>
      <w:r>
        <w:fldChar w:fldCharType="begin"/>
      </w:r>
      <w:r>
        <w:instrText xml:space="preserve">TOC \o "4-4" \h \z \u</w:instrText>
      </w:r>
      <w:r>
        <w:fldChar w:fldCharType="separate"/>
      </w:r>
      <w:r>
        <w:rPr>
          <w:rFonts w:hint="eastAsia" w:ascii="方正楷体_GBK" w:hAnsi="方正楷体_GBK" w:eastAsia="方正楷体_GBK" w:cs="方正楷体_GBK"/>
          <w:sz w:val="24"/>
          <w:szCs w:val="24"/>
        </w:rPr>
        <w:fldChar w:fldCharType="begin"/>
      </w:r>
      <w:r>
        <w:rPr>
          <w:rFonts w:hint="eastAsia" w:ascii="方正楷体_GBK" w:hAnsi="方正楷体_GBK" w:eastAsia="方正楷体_GBK" w:cs="方正楷体_GBK"/>
          <w:sz w:val="24"/>
          <w:szCs w:val="24"/>
        </w:rPr>
        <w:instrText xml:space="preserve"> HYPERLINK \l "_Toc_4_4_0000000021" </w:instrText>
      </w:r>
      <w:r>
        <w:rPr>
          <w:rFonts w:hint="eastAsia" w:ascii="方正楷体_GBK" w:hAnsi="方正楷体_GBK" w:eastAsia="方正楷体_GBK" w:cs="方正楷体_GBK"/>
          <w:sz w:val="24"/>
          <w:szCs w:val="24"/>
        </w:rPr>
        <w:fldChar w:fldCharType="separate"/>
      </w:r>
      <w:r>
        <w:rPr>
          <w:rFonts w:hint="eastAsia" w:ascii="方正楷体_GBK" w:hAnsi="方正楷体_GBK" w:eastAsia="方正楷体_GBK" w:cs="方正楷体_GBK"/>
          <w:b/>
          <w:bCs/>
          <w:color w:val="auto"/>
          <w:sz w:val="24"/>
          <w:szCs w:val="24"/>
          <w:lang w:val="en-US" w:eastAsia="uk-UA" w:bidi="ar-SA"/>
        </w:rPr>
        <w:t>唐山市曹妃甸区消防救援大队本级收支预算</w:t>
      </w:r>
    </w:p>
    <w:p>
      <w:pPr>
        <w:pStyle w:val="4"/>
        <w:tabs>
          <w:tab w:val="right" w:leader="dot" w:pos="14562"/>
        </w:tabs>
      </w:pPr>
      <w:r>
        <w:rPr>
          <w:rFonts w:hint="eastAsia"/>
        </w:rPr>
        <w:t>单位预算收支总表</w:t>
      </w:r>
      <w:r>
        <w:rPr>
          <w:rFonts w:hint="eastAsia"/>
        </w:rPr>
        <w:tab/>
      </w:r>
      <w:r>
        <w:rPr>
          <w:rFonts w:hint="eastAsia"/>
          <w:lang w:val="en-US" w:eastAsia="zh-CN"/>
        </w:rPr>
        <w:t>4</w:t>
      </w:r>
      <w:r>
        <w:rPr>
          <w:rFonts w:hint="eastAsia" w:ascii="方正楷体_GBK" w:hAnsi="方正楷体_GBK" w:eastAsia="方正楷体_GBK" w:cs="方正楷体_GBK"/>
          <w:sz w:val="24"/>
          <w:szCs w:val="24"/>
        </w:rPr>
        <w:fldChar w:fldCharType="end"/>
      </w:r>
    </w:p>
    <w:p>
      <w:pPr>
        <w:pStyle w:val="4"/>
        <w:tabs>
          <w:tab w:val="right" w:leader="dot" w:pos="14562"/>
        </w:tabs>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单位预算收入总表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8</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pPr>
        <w:spacing w:before="0" w:after="0" w:line="240" w:lineRule="auto"/>
        <w:ind w:firstLine="0"/>
        <w:jc w:val="left"/>
        <w:outlineLvl w:val="9"/>
        <w:rPr>
          <w:rFonts w:hint="eastAsia" w:ascii="方正楷体_GBK" w:hAnsi="方正楷体_GBK" w:eastAsia="方正楷体_GBK" w:cs="方正楷体_GBK"/>
          <w:b/>
          <w:bCs/>
        </w:rPr>
      </w:pPr>
      <w:r>
        <w:rPr>
          <w:rFonts w:hint="eastAsia" w:ascii="方正楷体_GBK" w:hAnsi="方正楷体_GBK" w:eastAsia="方正楷体_GBK" w:cs="方正楷体_GBK"/>
          <w:b/>
          <w:bCs/>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rPr>
          <w:rFonts w:hint="eastAsia"/>
          <w:lang w:val="en-US" w:eastAsia="zh-CN"/>
        </w:rPr>
        <w:t>18</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4"/>
        <w:tabs>
          <w:tab w:val="right" w:leader="dot" w:pos="14562"/>
        </w:tabs>
      </w:pPr>
      <w:r>
        <w:fldChar w:fldCharType="begin"/>
      </w:r>
      <w:r>
        <w:instrText xml:space="preserve"> HYPERLINK \l "_Toc_3_3_0000000014" </w:instrText>
      </w:r>
      <w:r>
        <w:fldChar w:fldCharType="separate"/>
      </w:r>
      <w:r>
        <w:t>五、</w:t>
      </w:r>
      <w:r>
        <w:rPr>
          <w:rFonts w:hint="eastAsia"/>
          <w:lang w:eastAsia="zh-CN"/>
        </w:rPr>
        <w:t>单位项目预算安排情况及</w:t>
      </w:r>
      <w:r>
        <w:t>绩效目标</w:t>
      </w:r>
      <w:r>
        <w:tab/>
      </w:r>
      <w:r>
        <w:fldChar w:fldCharType="begin"/>
      </w:r>
      <w:r>
        <w:instrText xml:space="preserve">PAGEREF _Toc_3_3_0000000014 \h</w:instrText>
      </w:r>
      <w:r>
        <w:fldChar w:fldCharType="separate"/>
      </w:r>
      <w:r>
        <w:t>2</w:t>
      </w:r>
      <w:r>
        <w:rPr>
          <w:rFonts w:hint="eastAsia"/>
          <w:lang w:val="en-US" w:eastAsia="zh-CN"/>
        </w:rPr>
        <w:t>0</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w:t>
      </w:r>
      <w:r>
        <w:rPr>
          <w:rFonts w:hint="eastAsia"/>
          <w:lang w:eastAsia="zh-CN"/>
        </w:rPr>
        <w:t>政府采购情况</w:t>
      </w:r>
      <w:r>
        <w:tab/>
      </w:r>
      <w:r>
        <w:fldChar w:fldCharType="begin"/>
      </w:r>
      <w:r>
        <w:instrText xml:space="preserve">PAGEREF _Toc_3_3_0000000015 \h</w:instrText>
      </w:r>
      <w:r>
        <w:fldChar w:fldCharType="separate"/>
      </w:r>
      <w:r>
        <w:t>2</w:t>
      </w:r>
      <w:r>
        <w:rPr>
          <w:rFonts w:hint="eastAsia"/>
          <w:lang w:val="en-US" w:eastAsia="zh-CN"/>
        </w:rPr>
        <w:t>2</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4</w:t>
      </w:r>
      <w:r>
        <w:fldChar w:fldCharType="end"/>
      </w:r>
      <w:r>
        <w:fldChar w:fldCharType="end"/>
      </w:r>
    </w:p>
    <w:p>
      <w:pPr>
        <w:pStyle w:val="4"/>
        <w:tabs>
          <w:tab w:val="right" w:leader="dot" w:pos="14562"/>
        </w:tabs>
      </w:pPr>
    </w:p>
    <w:p>
      <w:pPr>
        <w:sectPr>
          <w:footerReference r:id="rId3" w:type="default"/>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rPr>
          <w:rFonts w:cs="Times New Roman"/>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rPr>
          <w:rFonts w:cs="Times New Roman"/>
        </w:rPr>
      </w:pPr>
      <w:bookmarkStart w:id="0" w:name="_Toc_4_4_0000000021"/>
      <w:r>
        <w:rPr>
          <w:rFonts w:ascii="方正小标宋_GBK" w:hAnsi="方正小标宋_GBK" w:eastAsia="方正小标宋_GBK" w:cs="方正小标宋_GBK"/>
          <w:b w:val="0"/>
          <w:color w:val="000000"/>
          <w:sz w:val="44"/>
        </w:rPr>
        <w:t>一、唐山市曹妃甸区消防救援大队本级收支预算</w:t>
      </w:r>
      <w:bookmarkEnd w:id="0"/>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2126" w:type="dxa"/>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6661" w:type="dxa"/>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6661"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661"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cs="Times New Roman"/>
              </w:rPr>
            </w:pP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12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12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212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12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一、一般公共预算拨款收入</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一、一般公共服务支出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二、政府性基金预算拨款收入</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二、外交支出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三、国有资本经营预算拨款收入</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三、国防支出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四、财政专户管理资金收入</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四、公共安全支出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五、单位资金</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五、教育支出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六、科学技术支出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七、文化旅游体育与传媒支出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八、社会保障和就业支出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九、社会保险基金支出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十、卫生健康支出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十一、节能环保支出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十二、城乡社区支出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十三、农林水支出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十四、交通运输支出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十五、资源勘探工业信息等支出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十六、商业服务业等支出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十七、金融支出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十八、援助其他地区支出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十九、自然资源海洋气象等支出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二十、住房保障支出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二十一、粮油物资储备支出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二十二、国有资本经营预算支出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二十三、灾害防治及应急管理支出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二十四、预备费</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二十五、其他支出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二十六、转移性支出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27</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二十七、债务还本支出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28</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二十八、债务付息支出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29</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二十九、债务发行费用支出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三十、抗疫特别国债安排的支出</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三十一、人行科目</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本年收入合计</w:t>
            </w:r>
          </w:p>
        </w:tc>
        <w:tc>
          <w:tcPr>
            <w:tcW w:w="2126"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本年支出合计</w:t>
            </w:r>
          </w:p>
        </w:tc>
        <w:tc>
          <w:tcPr>
            <w:tcW w:w="2126"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上年结转结余</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年终结转结余</w:t>
            </w:r>
          </w:p>
        </w:tc>
        <w:tc>
          <w:tcPr>
            <w:tcW w:w="212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34</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收入总计</w:t>
            </w:r>
          </w:p>
        </w:tc>
        <w:tc>
          <w:tcPr>
            <w:tcW w:w="2126"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支出总计</w:t>
            </w:r>
          </w:p>
        </w:tc>
        <w:tc>
          <w:tcPr>
            <w:tcW w:w="2126"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3402" w:type="dxa"/>
            <w:gridSpan w:val="3"/>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5669" w:type="dxa"/>
            <w:gridSpan w:val="5"/>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2551"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134"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071" w:type="dxa"/>
            <w:gridSpan w:val="8"/>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1134"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cs="Times New Roman"/>
              </w:rPr>
            </w:pPr>
          </w:p>
        </w:tc>
        <w:tc>
          <w:tcPr>
            <w:tcW w:w="99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1559"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134" w:type="dxa"/>
            <w:vMerge w:val="continue"/>
          </w:tcPr>
          <w:p>
            <w:pPr>
              <w:rPr>
                <w:rFonts w:cs="Times New Roman"/>
              </w:rPr>
            </w:pP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其他收入</w:t>
            </w:r>
          </w:p>
        </w:tc>
        <w:tc>
          <w:tcPr>
            <w:tcW w:w="1134" w:type="dxa"/>
            <w:vMerge w:val="continue"/>
          </w:tcPr>
          <w:p>
            <w:pPr>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99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1559"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8</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9</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11</w:t>
            </w:r>
          </w:p>
        </w:tc>
        <w:tc>
          <w:tcPr>
            <w:tcW w:w="113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992" w:type="dxa"/>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p>
        </w:tc>
        <w:tc>
          <w:tcPr>
            <w:tcW w:w="1559"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99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w:t>
            </w:r>
          </w:p>
        </w:tc>
        <w:tc>
          <w:tcPr>
            <w:tcW w:w="1559"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灾害防治及应急管理支出</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99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22402</w:t>
            </w:r>
          </w:p>
        </w:tc>
        <w:tc>
          <w:tcPr>
            <w:tcW w:w="1559"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消防救援事务</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99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2240204</w:t>
            </w:r>
          </w:p>
        </w:tc>
        <w:tc>
          <w:tcPr>
            <w:tcW w:w="1559"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消防应急救援</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2721" w:type="dxa"/>
            <w:gridSpan w:val="2"/>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5443" w:type="dxa"/>
            <w:gridSpan w:val="4"/>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552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36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36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136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c>
          <w:tcPr>
            <w:tcW w:w="136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经营支出</w:t>
            </w:r>
          </w:p>
        </w:tc>
        <w:tc>
          <w:tcPr>
            <w:tcW w:w="136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上解上级     支出</w:t>
            </w:r>
          </w:p>
        </w:tc>
        <w:tc>
          <w:tcPr>
            <w:tcW w:w="136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cs="Times New Roman"/>
              </w:rPr>
            </w:pPr>
          </w:p>
        </w:tc>
        <w:tc>
          <w:tcPr>
            <w:tcW w:w="99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361" w:type="dxa"/>
            <w:vMerge w:val="continue"/>
          </w:tcPr>
          <w:p>
            <w:pPr>
              <w:rPr>
                <w:rFonts w:cs="Times New Roman"/>
              </w:rPr>
            </w:pPr>
          </w:p>
        </w:tc>
        <w:tc>
          <w:tcPr>
            <w:tcW w:w="1361" w:type="dxa"/>
            <w:vMerge w:val="continue"/>
          </w:tcPr>
          <w:p>
            <w:pPr>
              <w:rPr>
                <w:rFonts w:cs="Times New Roman"/>
              </w:rPr>
            </w:pPr>
          </w:p>
        </w:tc>
        <w:tc>
          <w:tcPr>
            <w:tcW w:w="1361" w:type="dxa"/>
            <w:vMerge w:val="continue"/>
          </w:tcPr>
          <w:p>
            <w:pPr>
              <w:rPr>
                <w:rFonts w:cs="Times New Roman"/>
              </w:rPr>
            </w:pPr>
          </w:p>
        </w:tc>
        <w:tc>
          <w:tcPr>
            <w:tcW w:w="1361" w:type="dxa"/>
            <w:vMerge w:val="continue"/>
          </w:tcPr>
          <w:p>
            <w:pPr>
              <w:rPr>
                <w:rFonts w:cs="Times New Roman"/>
              </w:rPr>
            </w:pPr>
          </w:p>
        </w:tc>
        <w:tc>
          <w:tcPr>
            <w:tcW w:w="1361" w:type="dxa"/>
            <w:vMerge w:val="continue"/>
          </w:tcPr>
          <w:p>
            <w:pPr>
              <w:rPr>
                <w:rFonts w:cs="Times New Roman"/>
              </w:rPr>
            </w:pPr>
          </w:p>
        </w:tc>
        <w:tc>
          <w:tcPr>
            <w:tcW w:w="1361" w:type="dxa"/>
            <w:vMerge w:val="continue"/>
          </w:tcPr>
          <w:p>
            <w:pPr>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99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136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136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136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c>
          <w:tcPr>
            <w:tcW w:w="136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w:t>
            </w:r>
          </w:p>
        </w:tc>
        <w:tc>
          <w:tcPr>
            <w:tcW w:w="136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w:t>
            </w:r>
          </w:p>
        </w:tc>
        <w:tc>
          <w:tcPr>
            <w:tcW w:w="136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992" w:type="dxa"/>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36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99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灾害防治及应急管理支出</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99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22402</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消防救援事务</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99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2240204</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消防应急救援</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36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015"/>
        <w:gridCol w:w="958"/>
        <w:gridCol w:w="1232"/>
        <w:gridCol w:w="986"/>
        <w:gridCol w:w="1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2015" w:type="dxa"/>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4580" w:type="dxa"/>
            <w:gridSpan w:val="4"/>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2464"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595" w:type="dxa"/>
            <w:gridSpan w:val="5"/>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pPr>
              <w:rPr>
                <w:rFonts w:cs="Times New Roman"/>
              </w:rPr>
            </w:pP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201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958"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一般公共预算财政拨款</w:t>
            </w:r>
          </w:p>
        </w:tc>
        <w:tc>
          <w:tcPr>
            <w:tcW w:w="98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政府性基金预算财政    拨款</w:t>
            </w:r>
          </w:p>
        </w:tc>
        <w:tc>
          <w:tcPr>
            <w:tcW w:w="14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01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958"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c>
          <w:tcPr>
            <w:tcW w:w="98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w:t>
            </w:r>
          </w:p>
        </w:tc>
        <w:tc>
          <w:tcPr>
            <w:tcW w:w="14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一、一般公共预算拨款</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一、一般公共服务支出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二、政府性基金预算拨款</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二、外交支出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三、国有资本经营预算拨款</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三、国防支出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四、公共安全支出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五、教育支出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六、科学技术支出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七、文化旅游体育与传媒支出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八、社会保障和就业支出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九、社会保险基金支出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十、卫生健康支出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十一、节能环保支出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十二、城乡社区支出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十三、农林水支出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十四、交通运输支出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十五、资源勘探工业信息等支出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十六、商业服务业等支出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十七、金融支出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十八、援助其他地区支出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十九、自然资源海洋气象等支出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二十、住房保障支出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二十一、粮油物资储备支出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二十二、国有资本经营预算支出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二十三、灾害防治及应急管理支出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二十四、预备费</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二十五、其他支出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二十六、转移性支出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27</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二十七、债务还本支出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28</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二十八、债务付息支出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29</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二十九、债务发行费用支出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三十、抗疫特别国债安排的支出</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三十一、人行科目</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w:t>
            </w: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本年收入合计</w:t>
            </w:r>
          </w:p>
        </w:tc>
        <w:tc>
          <w:tcPr>
            <w:tcW w:w="1232"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201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本年支出合计</w:t>
            </w:r>
          </w:p>
        </w:tc>
        <w:tc>
          <w:tcPr>
            <w:tcW w:w="958"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1232"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986"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年初财政拨款结转和结余</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年末财政拨款结转和结余</w:t>
            </w: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34</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一、一般公共预算拨款</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35</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二、政府性基金预算拨款</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36</w:t>
            </w:r>
          </w:p>
        </w:tc>
        <w:tc>
          <w:tcPr>
            <w:tcW w:w="12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三、国有资本经营预算拨款</w:t>
            </w: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01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958"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32"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8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37</w:t>
            </w:r>
          </w:p>
        </w:tc>
        <w:tc>
          <w:tcPr>
            <w:tcW w:w="12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收入总计</w:t>
            </w:r>
          </w:p>
        </w:tc>
        <w:tc>
          <w:tcPr>
            <w:tcW w:w="1232"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201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支出总计</w:t>
            </w:r>
          </w:p>
        </w:tc>
        <w:tc>
          <w:tcPr>
            <w:tcW w:w="958"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1232"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986"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404"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2551" w:type="dxa"/>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5102" w:type="dxa"/>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5726"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cs="Times New Roman"/>
              </w:rPr>
            </w:pP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51" w:type="dxa"/>
            <w:vMerge w:val="continue"/>
          </w:tcPr>
          <w:p>
            <w:pPr>
              <w:rPr>
                <w:rFonts w:cs="Times New Roman"/>
              </w:rPr>
            </w:pPr>
          </w:p>
        </w:tc>
        <w:tc>
          <w:tcPr>
            <w:tcW w:w="2551" w:type="dxa"/>
            <w:vMerge w:val="continue"/>
          </w:tcPr>
          <w:p>
            <w:pPr>
              <w:rPr>
                <w:rFonts w:cs="Times New Roman"/>
              </w:rPr>
            </w:pPr>
          </w:p>
        </w:tc>
        <w:tc>
          <w:tcPr>
            <w:tcW w:w="2551" w:type="dxa"/>
            <w:vMerge w:val="continue"/>
          </w:tcPr>
          <w:p>
            <w:pPr>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1191" w:type="dxa"/>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5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c>
          <w:tcPr>
            <w:tcW w:w="255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778.28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11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灾害防治及应急管理支出</w:t>
            </w: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11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22402</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消防救援事务</w:t>
            </w: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11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2240204</w:t>
            </w: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消防应急救援</w:t>
            </w: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2551" w:type="dxa"/>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5102" w:type="dxa"/>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5726"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654" w:type="dxa"/>
            <w:gridSpan w:val="3"/>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cs="Times New Roman"/>
              </w:rPr>
            </w:pP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11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2551" w:type="dxa"/>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5102" w:type="dxa"/>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5726"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cs="Times New Roman"/>
              </w:rPr>
            </w:pP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51" w:type="dxa"/>
            <w:vMerge w:val="continue"/>
          </w:tcPr>
          <w:p>
            <w:pPr>
              <w:rPr>
                <w:rFonts w:cs="Times New Roman"/>
              </w:rPr>
            </w:pPr>
          </w:p>
        </w:tc>
        <w:tc>
          <w:tcPr>
            <w:tcW w:w="2551" w:type="dxa"/>
            <w:vMerge w:val="continue"/>
          </w:tcPr>
          <w:p>
            <w:pPr>
              <w:rPr>
                <w:rFonts w:cs="Times New Roman"/>
              </w:rPr>
            </w:pPr>
          </w:p>
        </w:tc>
        <w:tc>
          <w:tcPr>
            <w:tcW w:w="2551" w:type="dxa"/>
            <w:vMerge w:val="continue"/>
          </w:tcPr>
          <w:p>
            <w:pPr>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11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2551" w:type="dxa"/>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5102" w:type="dxa"/>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5726"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2551"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cs="Times New Roman"/>
              </w:rPr>
            </w:pP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51" w:type="dxa"/>
            <w:vMerge w:val="continue"/>
          </w:tcPr>
          <w:p>
            <w:pPr>
              <w:rPr>
                <w:rFonts w:cs="Times New Roman"/>
              </w:rPr>
            </w:pPr>
          </w:p>
        </w:tc>
        <w:tc>
          <w:tcPr>
            <w:tcW w:w="2551" w:type="dxa"/>
            <w:vMerge w:val="continue"/>
          </w:tcPr>
          <w:p>
            <w:pPr>
              <w:rPr>
                <w:rFonts w:cs="Times New Roman"/>
              </w:rPr>
            </w:pPr>
          </w:p>
        </w:tc>
        <w:tc>
          <w:tcPr>
            <w:tcW w:w="2551" w:type="dxa"/>
            <w:vMerge w:val="continue"/>
          </w:tcPr>
          <w:p>
            <w:pPr>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11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45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11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45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551"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cs="Times New Roman"/>
        </w:rPr>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9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1996" w:type="dxa"/>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3286" w:type="dxa"/>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643"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6925" w:type="dxa"/>
            <w:gridSpan w:val="4"/>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rPr>
                <w:rFonts w:cs="Times New Roman"/>
              </w:rPr>
            </w:pPr>
          </w:p>
        </w:tc>
        <w:tc>
          <w:tcPr>
            <w:tcW w:w="1643" w:type="dxa"/>
            <w:vMerge w:val="continue"/>
          </w:tcPr>
          <w:p>
            <w:pPr>
              <w:rPr>
                <w:rFonts w:cs="Times New Roman"/>
              </w:rPr>
            </w:pP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99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              财政拨款</w:t>
            </w: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政府性基金                  预算拨款</w:t>
            </w: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199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16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643"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6.00</w:t>
            </w:r>
          </w:p>
        </w:tc>
        <w:tc>
          <w:tcPr>
            <w:tcW w:w="1996"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6.00</w:t>
            </w:r>
          </w:p>
        </w:tc>
        <w:tc>
          <w:tcPr>
            <w:tcW w:w="1643"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“三公”经费小计</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w:t>
            </w: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一、因公出国（境）费</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其中：教学科研人员因公出国（境）费</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其他因公出国（境）费</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二、公务用车购置及运维费</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w:t>
            </w: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其中：公务用车购置费</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公务用车运行维护费</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w:t>
            </w: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16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三、公务接待费</w:t>
            </w: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996"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643"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cs="Times New Roman"/>
        </w:rPr>
      </w:pPr>
      <w:r>
        <w:rPr>
          <w:rFonts w:ascii="方正小标宋_GBK" w:hAnsi="方正小标宋_GBK" w:eastAsia="方正小标宋_GBK" w:cs="方正小标宋_GBK"/>
          <w:b w:val="0"/>
          <w:color w:val="000000"/>
          <w:sz w:val="44"/>
        </w:rPr>
        <w:t>唐山市曹妃甸区消防救援大队本级2024年单位预算信息公开情况说明</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按照《中华人民共和国预算法》、《地方预决算公开操作规程》和《关于进一步推进预算公开工作的实施意见》规定，现将唐山市曹妃甸区消防救援大队本级2024年单位预算公开如下：</w:t>
      </w:r>
    </w:p>
    <w:p>
      <w:pPr>
        <w:spacing w:before="10" w:after="10" w:line="240" w:lineRule="auto"/>
        <w:ind w:firstLine="640"/>
        <w:jc w:val="left"/>
        <w:outlineLvl w:val="5"/>
        <w:rPr>
          <w:rFonts w:cs="Times New Roman"/>
        </w:rPr>
      </w:pPr>
      <w:r>
        <w:rPr>
          <w:rFonts w:ascii="黑体" w:hAnsi="黑体" w:eastAsia="黑体" w:cs="黑体"/>
          <w:color w:val="000000"/>
          <w:sz w:val="32"/>
        </w:rPr>
        <w:t>一、单位职责及机构设置情况</w:t>
      </w:r>
    </w:p>
    <w:p>
      <w:pPr>
        <w:spacing w:before="0" w:after="0" w:line="240" w:lineRule="auto"/>
        <w:ind w:firstLine="640"/>
        <w:jc w:val="left"/>
        <w:outlineLvl w:val="9"/>
        <w:rPr>
          <w:rFonts w:cs="Times New Roman"/>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根据《唐山市曹妃甸区消防救援大队职能配置、内设机构和人员编制规定》， 唐山市曹妃甸区消防救援大队的主要职责是：</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（一）主要承担全区综合性消防救援工作，负责指挥调度相关灾害事故救援行动。</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（二）承担重要会议、大型活动消防安全保卫工作。</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（三）承担区火灾预防、消防监督执法以及火灾事故调查处理相关工作，依法行使消防安全综合监管职能，推动落实消防安全责任制。</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（四）参与拟订区消防专项规划，参与起草地方性消防法规、规章草案并监督实施。</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（五）负责消防救援预案编制、战术研究和执勤战备、训练演练等工作。</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（六）负责消防救援信息化和应急通信建设，承担综合性消防救援行动应急通信保障工作。</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（七）负责区消防安全宣传教育，组织指导社会消防力量建设。</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（八）负责区消防应急救援专业队伍规划、建设与调度指挥，参与组织协调动员各类社会救援力量参加救援任务。</w:t>
      </w:r>
    </w:p>
    <w:p>
      <w:pPr>
        <w:spacing w:before="0" w:after="0" w:line="240" w:lineRule="auto"/>
        <w:ind w:firstLine="640"/>
        <w:jc w:val="left"/>
        <w:outlineLvl w:val="9"/>
        <w:rPr>
          <w:rFonts w:cs="Times New Roman"/>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cs="Times New Roman"/>
        </w:rP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单位名称</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单位性质</w:t>
            </w:r>
          </w:p>
        </w:tc>
        <w:tc>
          <w:tcPr>
            <w:tcW w:w="212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单位规格</w:t>
            </w:r>
          </w:p>
        </w:tc>
        <w:tc>
          <w:tcPr>
            <w:tcW w:w="382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唐山市曹妃甸区消防救援大队本级</w:t>
            </w:r>
          </w:p>
        </w:tc>
        <w:tc>
          <w:tcPr>
            <w:tcW w:w="1843"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w:t>
            </w:r>
          </w:p>
        </w:tc>
        <w:tc>
          <w:tcPr>
            <w:tcW w:w="212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副</w:t>
            </w:r>
            <w:r>
              <w:rPr>
                <w:rFonts w:ascii="方正书宋_GBK" w:hAnsi="方正书宋_GBK" w:eastAsia="方正书宋_GBK" w:cs="方正书宋_GBK"/>
                <w:sz w:val="21"/>
                <w:szCs w:val="24"/>
                <w:lang w:val="en-US" w:eastAsia="uk-UA" w:bidi="ar-SA"/>
              </w:rPr>
              <w:t>处（县）级</w:t>
            </w:r>
          </w:p>
        </w:tc>
        <w:tc>
          <w:tcPr>
            <w:tcW w:w="382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财政拨款</w:t>
            </w:r>
          </w:p>
        </w:tc>
      </w:tr>
    </w:tbl>
    <w:p>
      <w:pPr>
        <w:spacing w:before="10" w:after="10" w:line="240" w:lineRule="auto"/>
        <w:ind w:firstLine="640"/>
        <w:jc w:val="left"/>
        <w:outlineLvl w:val="5"/>
        <w:rPr>
          <w:rFonts w:cs="Times New Roman"/>
        </w:rPr>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1、收入说明</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反映本单位当年全部收入。2024年预算收入778.28万元，其中：一般公共预算收入778.28万元，基金预算收入0.00万元，国有资本经营预算收入0.00万元，财政专户核拨收入0.00万元，单位资金收入0.00万元，上年结转结余0.00万元。</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2、支出说明</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收支预算总表支出栏、基本支出表、项目支出表按经济分类和支出功能分类科目编制，反映唐山市曹妃甸区消防救援大队本级年度单位预算中支出预算的总体情况。2024年支出预算778.28万元，其中基本支出0.00万元，包括人员经费0.00万元和日常公用经费0.00万元；项目支出778.28万元，主要为消防大队正常运转经费。</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3、比上年增减情况</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2024年预算收支安排778.28万元，较2023年预算增加53.62万元，其中：基本支出增加0.00万元，主要为无基本支出。项目支出增加53.62万元，主要为正常运转经费增加。</w:t>
      </w:r>
    </w:p>
    <w:p>
      <w:pPr>
        <w:spacing w:before="10" w:after="10" w:line="240" w:lineRule="auto"/>
        <w:ind w:firstLine="640"/>
        <w:jc w:val="left"/>
        <w:outlineLvl w:val="5"/>
        <w:rPr>
          <w:rFonts w:cs="Times New Roman"/>
        </w:rPr>
      </w:pPr>
      <w:r>
        <w:rPr>
          <w:rFonts w:ascii="黑体" w:hAnsi="黑体" w:eastAsia="黑体" w:cs="黑体"/>
          <w:color w:val="000000"/>
          <w:sz w:val="32"/>
        </w:rPr>
        <w:t>三、机关运行经费安排情况</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万元，主要用于保证消防</w:t>
      </w:r>
      <w:r>
        <w:rPr>
          <w:rFonts w:hint="eastAsia" w:ascii="Times New Roman" w:hAnsi="Times New Roman" w:eastAsia="方正仿宋_GBK" w:cs="Times New Roman"/>
          <w:sz w:val="28"/>
          <w:szCs w:val="24"/>
          <w:lang w:val="en-US" w:eastAsia="zh-CN" w:bidi="ar-SA"/>
        </w:rPr>
        <w:t>队</w:t>
      </w:r>
      <w:r>
        <w:rPr>
          <w:rFonts w:hint="eastAsia" w:ascii="Times New Roman" w:hAnsi="Times New Roman" w:eastAsia="方正仿宋_GBK" w:cs="Times New Roman"/>
          <w:sz w:val="28"/>
          <w:szCs w:val="24"/>
          <w:lang w:val="en-US" w:eastAsia="uk-UA" w:bidi="ar-SA"/>
        </w:rPr>
        <w:t>正常运转的办公费、电费、印刷费、邮电费、取暖费、维修费、专用材料费、</w:t>
      </w:r>
      <w:r>
        <w:rPr>
          <w:rFonts w:hint="eastAsia" w:ascii="Times New Roman" w:hAnsi="Times New Roman" w:eastAsia="方正仿宋_GBK" w:cs="Times New Roman"/>
          <w:sz w:val="28"/>
          <w:szCs w:val="24"/>
          <w:lang w:val="en-US" w:eastAsia="zh-CN" w:bidi="ar-SA"/>
        </w:rPr>
        <w:t>专用燃料费、</w:t>
      </w:r>
      <w:r>
        <w:rPr>
          <w:rFonts w:hint="eastAsia" w:ascii="Times New Roman" w:hAnsi="Times New Roman" w:eastAsia="方正仿宋_GBK" w:cs="Times New Roman"/>
          <w:sz w:val="28"/>
          <w:szCs w:val="24"/>
          <w:lang w:val="en-US" w:eastAsia="uk-UA" w:bidi="ar-SA"/>
        </w:rPr>
        <w:t>劳务费、办公设备购置</w:t>
      </w:r>
      <w:bookmarkStart w:id="1" w:name="_GoBack"/>
      <w:bookmarkEnd w:id="1"/>
      <w:r>
        <w:rPr>
          <w:rFonts w:hint="eastAsia" w:ascii="Times New Roman" w:hAnsi="Times New Roman" w:eastAsia="方正仿宋_GBK" w:cs="Times New Roman"/>
          <w:sz w:val="28"/>
          <w:szCs w:val="24"/>
          <w:lang w:val="en-US" w:eastAsia="uk-UA" w:bidi="ar-SA"/>
        </w:rPr>
        <w:t>费、公务车运行维护费</w:t>
      </w:r>
      <w:r>
        <w:rPr>
          <w:rFonts w:hint="eastAsia" w:ascii="Times New Roman" w:hAnsi="Times New Roman" w:eastAsia="方正仿宋_GBK" w:cs="Times New Roman"/>
          <w:sz w:val="28"/>
          <w:szCs w:val="24"/>
          <w:lang w:val="en-US" w:eastAsia="zh-CN" w:bidi="ar-SA"/>
        </w:rPr>
        <w:t>、其他业务费</w:t>
      </w:r>
      <w:r>
        <w:rPr>
          <w:rFonts w:hint="eastAsia" w:ascii="Times New Roman" w:hAnsi="Times New Roman" w:eastAsia="方正仿宋_GBK" w:cs="Times New Roman"/>
          <w:sz w:val="28"/>
          <w:szCs w:val="24"/>
          <w:lang w:val="en-US" w:eastAsia="uk-UA" w:bidi="ar-SA"/>
        </w:rPr>
        <w:t>等支出。</w:t>
      </w:r>
    </w:p>
    <w:p>
      <w:pPr>
        <w:spacing w:before="10" w:after="10" w:line="240" w:lineRule="auto"/>
        <w:ind w:firstLine="640"/>
        <w:jc w:val="left"/>
        <w:outlineLvl w:val="5"/>
        <w:rPr>
          <w:rFonts w:cs="Times New Roman"/>
        </w:rPr>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财政拨款“三公”经费预算安排6.00万元，其中因公出国（境）费0.00万元；公务用车购置及运维费6.00万元（其中：公务用车购置费为0.00万元，公务用车运维费6.00万元)；公务接待费0.00万元。与2023年相比增加6.00万元，增减变化的主要原因是2023年运转经费日常公用年初预算未安排，追加预算安排公用经费，其中公务车运行经费6万元。2024年安排运转经费公用经费，其中公务车运行维护费6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rPr>
          <w:rFonts w:cs="Times New Roman"/>
        </w:rPr>
      </w:pPr>
      <w:r>
        <w:rPr>
          <w:rFonts w:ascii="方正仿宋_GBK" w:hAnsi="方正仿宋_GBK" w:eastAsia="方正仿宋_GBK" w:cs="方正仿宋_GBK"/>
          <w:b/>
          <w:color w:val="000000"/>
          <w:sz w:val="28"/>
        </w:rPr>
        <w:t>1、2024年正常运转经费绩效目标表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5102"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13020924P000536100020</w:t>
            </w:r>
          </w:p>
        </w:tc>
        <w:tc>
          <w:tcPr>
            <w:tcW w:w="28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6094"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2024年正常运转经费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2268"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28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255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w:t>
            </w:r>
          </w:p>
        </w:tc>
        <w:tc>
          <w:tcPr>
            <w:tcW w:w="2268"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cs="Times New Roman"/>
              </w:rPr>
            </w:pPr>
          </w:p>
        </w:tc>
        <w:tc>
          <w:tcPr>
            <w:tcW w:w="14031"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支付消防员工资保险，保障日常公用经费。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5102"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28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255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543"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cs="Times New Roman"/>
              </w:rPr>
            </w:pPr>
          </w:p>
        </w:tc>
        <w:tc>
          <w:tcPr>
            <w:tcW w:w="5102"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2835"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w:t>
            </w:r>
          </w:p>
        </w:tc>
        <w:tc>
          <w:tcPr>
            <w:tcW w:w="2551"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w:t>
            </w:r>
          </w:p>
        </w:tc>
        <w:tc>
          <w:tcPr>
            <w:tcW w:w="3543"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4031"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1.主要用于保障单位正常运转。  1.人员经费 2.日常公用经费</w:t>
            </w:r>
          </w:p>
        </w:tc>
      </w:tr>
    </w:tbl>
    <w:p>
      <w:pPr>
        <w:spacing w:before="0" w:after="0" w:line="2" w:lineRule="exact"/>
        <w:ind w:firstLine="0"/>
        <w:jc w:val="center"/>
        <w:outlineLvl w:val="9"/>
        <w:rPr>
          <w:rFonts w:cs="Times New Roman"/>
        </w:rP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538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268"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保障人数</w:t>
            </w:r>
          </w:p>
        </w:tc>
        <w:tc>
          <w:tcPr>
            <w:tcW w:w="538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保障全体人员</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≥50人</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cs="Times New Roman"/>
              </w:rPr>
            </w:pP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保障正常运转</w:t>
            </w:r>
          </w:p>
        </w:tc>
        <w:tc>
          <w:tcPr>
            <w:tcW w:w="538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按时发放人员工资保险、支付正常运转经费，保障单位正常运转</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cs="Times New Roman"/>
              </w:rPr>
            </w:pP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工资(福利）发放及时性</w:t>
            </w:r>
          </w:p>
        </w:tc>
        <w:tc>
          <w:tcPr>
            <w:tcW w:w="538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工资福利等发放的时效情况</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按月支付工资保险</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cs="Times New Roman"/>
              </w:rPr>
            </w:pP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控制在预算成本内</w:t>
            </w:r>
          </w:p>
        </w:tc>
        <w:tc>
          <w:tcPr>
            <w:tcW w:w="538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控制在预算成本内工资福利社会保障及日常公用经费开支标准</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≤778.28万元</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保持队伍稳定，业务工作正常开展</w:t>
            </w:r>
          </w:p>
        </w:tc>
        <w:tc>
          <w:tcPr>
            <w:tcW w:w="538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正常开展工作</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cs="Times New Roman"/>
              </w:rPr>
            </w:pP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保障单位持续运转</w:t>
            </w:r>
          </w:p>
        </w:tc>
        <w:tc>
          <w:tcPr>
            <w:tcW w:w="538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保障单位持续运转</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单位工作人员满意度</w:t>
            </w:r>
          </w:p>
        </w:tc>
        <w:tc>
          <w:tcPr>
            <w:tcW w:w="538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单位工作人员满意度</w:t>
            </w:r>
          </w:p>
        </w:tc>
        <w:tc>
          <w:tcPr>
            <w:tcW w:w="2268"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≥90百分比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历年实际工作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cs="Times New Roman"/>
        </w:rPr>
      </w:pPr>
      <w:r>
        <w:rPr>
          <w:rFonts w:ascii="黑体" w:hAnsi="黑体" w:eastAsia="黑体" w:cs="黑体"/>
          <w:color w:val="000000"/>
          <w:sz w:val="32"/>
        </w:rPr>
        <w:t>六、政府采购预算情况</w:t>
      </w:r>
    </w:p>
    <w:p>
      <w:pPr>
        <w:spacing w:before="0" w:after="0" w:line="240" w:lineRule="auto"/>
        <w:ind w:firstLine="0"/>
        <w:jc w:val="center"/>
        <w:outlineLvl w:val="9"/>
        <w:rPr>
          <w:rFonts w:cs="Times New Roman"/>
        </w:rP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7710" w:type="dxa"/>
            <w:gridSpan w:val="8"/>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4"/>
                <w:szCs w:val="24"/>
                <w:lang w:val="en-US" w:eastAsia="uk-UA" w:bidi="ar-SA"/>
              </w:rPr>
            </w:pPr>
            <w:r>
              <w:rPr>
                <w:rFonts w:ascii="方正书宋_GBK" w:hAnsi="方正书宋_GBK" w:eastAsia="方正书宋_GBK" w:cs="方正书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1134"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134"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09"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50"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746" w:type="dxa"/>
            <w:gridSpan w:val="7"/>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64"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1134" w:type="dxa"/>
            <w:vMerge w:val="continue"/>
          </w:tcPr>
          <w:p>
            <w:pPr>
              <w:rPr>
                <w:rFonts w:cs="Times New Roman"/>
              </w:rPr>
            </w:pPr>
          </w:p>
        </w:tc>
        <w:tc>
          <w:tcPr>
            <w:tcW w:w="1134" w:type="dxa"/>
            <w:vMerge w:val="continue"/>
          </w:tcPr>
          <w:p>
            <w:pPr>
              <w:rPr>
                <w:rFonts w:cs="Times New Roman"/>
              </w:rPr>
            </w:pPr>
          </w:p>
        </w:tc>
        <w:tc>
          <w:tcPr>
            <w:tcW w:w="709" w:type="dxa"/>
            <w:vMerge w:val="continue"/>
          </w:tcPr>
          <w:p>
            <w:pPr>
              <w:rPr>
                <w:rFonts w:cs="Times New Roman"/>
              </w:rPr>
            </w:pPr>
          </w:p>
        </w:tc>
        <w:tc>
          <w:tcPr>
            <w:tcW w:w="850" w:type="dxa"/>
            <w:vMerge w:val="continue"/>
          </w:tcPr>
          <w:p>
            <w:pPr>
              <w:rPr>
                <w:rFonts w:cs="Times New Roman"/>
              </w:rPr>
            </w:pPr>
          </w:p>
        </w:tc>
        <w:tc>
          <w:tcPr>
            <w:tcW w:w="850" w:type="dxa"/>
            <w:vMerge w:val="continue"/>
          </w:tcPr>
          <w:p>
            <w:pPr>
              <w:rPr>
                <w:rFonts w:cs="Times New Roman"/>
              </w:rPr>
            </w:pP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    资金</w:t>
            </w:r>
          </w:p>
        </w:tc>
        <w:tc>
          <w:tcPr>
            <w:tcW w:w="96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上年结转结余</w:t>
            </w:r>
          </w:p>
        </w:tc>
        <w:tc>
          <w:tcPr>
            <w:tcW w:w="964" w:type="dxa"/>
            <w:vMerge w:val="continue"/>
          </w:tcPr>
          <w:p>
            <w:pPr>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113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709"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850"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50"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964"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pacing w:before="0" w:after="0" w:line="500" w:lineRule="exact"/>
        <w:ind w:firstLine="420"/>
        <w:jc w:val="left"/>
        <w:outlineLvl w:val="9"/>
        <w:rPr>
          <w:rFonts w:cs="Times New Roma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cs="Times New Roman"/>
        </w:rPr>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cs="Times New Roman"/>
        </w:rPr>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cs="Times New Roman"/>
        </w:rPr>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唐山市曹妃甸区消防救援大队本级上年末固定资产金额为3527.30万元（详见下表）。本年度拟购置固定资产总额为10.00万元，已按要求列入政府采购预算，详见政府采购预算表。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cs="Times New Roman"/>
        </w:rP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427001唐山市曹妃甸区消防救援大队本级</w:t>
            </w:r>
          </w:p>
        </w:tc>
        <w:tc>
          <w:tcPr>
            <w:tcW w:w="5669" w:type="dxa"/>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8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2835"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资产总额</w:t>
            </w:r>
          </w:p>
        </w:tc>
        <w:tc>
          <w:tcPr>
            <w:tcW w:w="2835"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2835"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3527.30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1、房屋（平方米）</w:t>
            </w:r>
          </w:p>
        </w:tc>
        <w:tc>
          <w:tcPr>
            <w:tcW w:w="2835"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3998</w:t>
            </w:r>
          </w:p>
        </w:tc>
        <w:tc>
          <w:tcPr>
            <w:tcW w:w="2835"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其中：办公用房（平方米）</w:t>
            </w:r>
          </w:p>
        </w:tc>
        <w:tc>
          <w:tcPr>
            <w:tcW w:w="2835"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2835"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2、车辆（台、辆）</w:t>
            </w:r>
          </w:p>
        </w:tc>
        <w:tc>
          <w:tcPr>
            <w:tcW w:w="2835"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2835"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1627.07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3、单价在20万元以上的设备</w:t>
            </w:r>
          </w:p>
        </w:tc>
        <w:tc>
          <w:tcPr>
            <w:tcW w:w="2835"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2835"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4、其他固定资产</w:t>
            </w:r>
          </w:p>
        </w:tc>
        <w:tc>
          <w:tcPr>
            <w:tcW w:w="2835"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2835" w:type="dxa"/>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541.53</w:t>
            </w:r>
          </w:p>
        </w:tc>
      </w:tr>
    </w:tbl>
    <w:p>
      <w:pPr>
        <w:spacing w:before="0" w:after="0"/>
        <w:ind w:firstLine="640"/>
        <w:jc w:val="left"/>
        <w:outlineLvl w:val="9"/>
        <w:rPr>
          <w:rFonts w:cs="Times New Roman"/>
        </w:rPr>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cs="Times New Roman"/>
        </w:rPr>
      </w:pPr>
      <w:r>
        <w:rPr>
          <w:rFonts w:ascii="黑体" w:hAnsi="黑体" w:eastAsia="黑体" w:cs="黑体"/>
          <w:color w:val="000000"/>
          <w:sz w:val="32"/>
        </w:rPr>
        <w:t>八、名词解释</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cs="Times New Roman"/>
        </w:rPr>
      </w:pPr>
      <w:r>
        <w:rPr>
          <w:rFonts w:ascii="黑体" w:hAnsi="黑体" w:eastAsia="黑体" w:cs="黑体"/>
          <w:color w:val="000000"/>
          <w:sz w:val="32"/>
        </w:rPr>
        <w:t>九、其他需要说明的事项</w:t>
      </w:r>
    </w:p>
    <w:p>
      <w:pPr>
        <w:spacing w:before="0" w:after="0" w:line="500" w:lineRule="exact"/>
        <w:ind w:firstLine="560"/>
        <w:jc w:val="left"/>
        <w:outlineLvl w:val="9"/>
        <w:rPr>
          <w:rFonts w:cs="Times New Roman"/>
        </w:rPr>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DU3N2NmYzdlNGEwYjI1M2U3ODcwM2U5Mzk2YTkifQ=="/>
  </w:docVars>
  <w:rsids>
    <w:rsidRoot w:val="17AA3A9F"/>
    <w:rsid w:val="0C145382"/>
    <w:rsid w:val="17AA3A9F"/>
    <w:rsid w:val="235D2D0A"/>
    <w:rsid w:val="3B7C729C"/>
    <w:rsid w:val="48B31FD9"/>
    <w:rsid w:val="6C4869F5"/>
    <w:rsid w:val="6E501734"/>
    <w:rsid w:val="7E9B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资产年报样式"/>
    <w:basedOn w:val="1"/>
    <w:autoRedefine/>
    <w:qFormat/>
    <w:uiPriority w:val="0"/>
    <w:rPr>
      <w:rFonts w:ascii="Calibri" w:hAnsi="Calibri" w:eastAsia="宋体" w:cs="Times New Roman"/>
      <w:szCs w:val="22"/>
    </w:rPr>
  </w:style>
  <w:style w:type="paragraph" w:customStyle="1" w:styleId="8">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5144</Words>
  <Characters>5800</Characters>
  <Lines>0</Lines>
  <Paragraphs>0</Paragraphs>
  <TotalTime>1</TotalTime>
  <ScaleCrop>false</ScaleCrop>
  <LinksUpToDate>false</LinksUpToDate>
  <CharactersWithSpaces>5963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2024-04-23T02:38:00Z</dcterms:created>
  <dc:creator>迷彩迷</dc:creator>
  <cp:lastModifiedBy>孙、先生 っ゛℡</cp:lastModifiedBy>
  <dcterms:modified xsi:type="dcterms:W3CDTF">2024-08-15T01:59:47Z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0A7950E4620B46EC9CB8691F7533DE9F_11</vt:lpwstr>
  </property>
</Properties>
</file>