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F8482">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曹妃甸钢铁电力园区管理委员会</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default" w:ascii="Times New Roman" w:hAnsi="Times New Roman" w:eastAsia="方正小标宋简体" w:cs="Times New Roman"/>
          <w:sz w:val="44"/>
          <w:szCs w:val="44"/>
        </w:rPr>
        <w:t>年部门预算信息公开</w:t>
      </w:r>
    </w:p>
    <w:p w14:paraId="7315436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按照《预算法》、《河北省预决算公开操作规程实施细则》规定，现将202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年部门预算公开如下：</w:t>
      </w:r>
    </w:p>
    <w:p w14:paraId="7523E21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一、部门职责及机构设置情况</w:t>
      </w:r>
    </w:p>
    <w:p w14:paraId="7FEDA55C">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部门职责：</w:t>
      </w:r>
      <w:r>
        <w:rPr>
          <w:rFonts w:hint="default" w:ascii="Times New Roman" w:hAnsi="Times New Roman" w:eastAsia="方正仿宋简体" w:cs="Times New Roman"/>
          <w:sz w:val="32"/>
          <w:szCs w:val="32"/>
        </w:rPr>
        <w:t>中共曹妃甸钢铁电力园区工作委员会作为曹妃甸区委派出机构主要职责贯彻落实党的路线、方针、政策和上级党委的决议、指示；研究辖区内重大社会经济发展问题；负责辖区内党的建设、纪检监察和群团工作；按照授权和干部管理权限负责辖区内干部管理；负责宣传和精神文明建设工作；组织协调辖区内社会管理综合治理和维护稳定工作；完成中共唐山市曹妃甸区委交办的其他任务。</w:t>
      </w:r>
    </w:p>
    <w:p w14:paraId="0970B0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曹妃甸钢铁电力园区管理委员会作为区政府的派出机构主要负责对辖区行使管理、监督、协调、服务职能。其主要职责编制辖区的总体规划和经济发展规划，经批准后组织实施；组织对区域城市发展规划、建设规划提出建议，并协助组织实施；负责（或协助）做好辖区基础设施和公用设施的维护及管理；负责辖区项目谋划、招商引资、投资促进和企业服务；负责辖区生态建设、环境管理与保护；负责辖区财务管理、国有资产管理和财务监督工作；负责辖区钢铁电力产业的培育与协调联系行业管理；负责辖区安全生产监督、管理；负责协调辖区内上级有关部门派驻机构的工作；负责唐山市曹妃甸区政府交办的其他事项。</w:t>
      </w:r>
    </w:p>
    <w:p w14:paraId="482C1953">
      <w:pPr>
        <w:autoSpaceDE w:val="0"/>
        <w:autoSpaceDN w:val="0"/>
        <w:adjustRightInd w:val="0"/>
        <w:ind w:firstLine="803" w:firstLineChars="250"/>
        <w:jc w:val="left"/>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机构设置：</w:t>
      </w:r>
    </w:p>
    <w:tbl>
      <w:tblPr>
        <w:tblStyle w:val="4"/>
        <w:tblpPr w:leftFromText="180" w:rightFromText="180" w:vertAnchor="text" w:horzAnchor="page" w:tblpXSpec="center" w:tblpY="323"/>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7"/>
        <w:gridCol w:w="2313"/>
        <w:gridCol w:w="3157"/>
        <w:gridCol w:w="3928"/>
      </w:tblGrid>
      <w:tr w14:paraId="0A32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82" w:type="pct"/>
            <w:vAlign w:val="center"/>
          </w:tcPr>
          <w:p w14:paraId="1FA2C51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单位名称</w:t>
            </w:r>
          </w:p>
        </w:tc>
        <w:tc>
          <w:tcPr>
            <w:tcW w:w="816" w:type="pct"/>
            <w:vAlign w:val="center"/>
          </w:tcPr>
          <w:p w14:paraId="4DF3A14D">
            <w:pPr>
              <w:keepNext w:val="0"/>
              <w:keepLines w:val="0"/>
              <w:pageBreakBefore w:val="0"/>
              <w:widowControl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单位性质</w:t>
            </w:r>
          </w:p>
        </w:tc>
        <w:tc>
          <w:tcPr>
            <w:tcW w:w="1114" w:type="pct"/>
            <w:vAlign w:val="center"/>
          </w:tcPr>
          <w:p w14:paraId="4BEA9A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单位规格</w:t>
            </w:r>
          </w:p>
        </w:tc>
        <w:tc>
          <w:tcPr>
            <w:tcW w:w="1386" w:type="pct"/>
            <w:vAlign w:val="center"/>
          </w:tcPr>
          <w:p w14:paraId="082AAA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经费保障形式</w:t>
            </w:r>
          </w:p>
        </w:tc>
      </w:tr>
      <w:tr w14:paraId="0A36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1682" w:type="pct"/>
            <w:vAlign w:val="center"/>
          </w:tcPr>
          <w:p w14:paraId="6B1E183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曹妃甸钢铁电力园区管理委员会（本级）</w:t>
            </w:r>
          </w:p>
        </w:tc>
        <w:tc>
          <w:tcPr>
            <w:tcW w:w="816" w:type="pct"/>
            <w:vAlign w:val="center"/>
          </w:tcPr>
          <w:p w14:paraId="533B9A0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行政</w:t>
            </w:r>
          </w:p>
        </w:tc>
        <w:tc>
          <w:tcPr>
            <w:tcW w:w="1114" w:type="pct"/>
            <w:vAlign w:val="center"/>
          </w:tcPr>
          <w:p w14:paraId="73474BC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正处级</w:t>
            </w:r>
          </w:p>
        </w:tc>
        <w:tc>
          <w:tcPr>
            <w:tcW w:w="1386" w:type="pct"/>
            <w:vAlign w:val="center"/>
          </w:tcPr>
          <w:p w14:paraId="4AC856A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财政拨款</w:t>
            </w:r>
          </w:p>
        </w:tc>
      </w:tr>
    </w:tbl>
    <w:p w14:paraId="60DF7A5D">
      <w:pPr>
        <w:pStyle w:val="2"/>
        <w:rPr>
          <w:rFonts w:hint="default"/>
        </w:rPr>
      </w:pPr>
    </w:p>
    <w:p w14:paraId="67D52C3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部门预算安排的总体情况</w:t>
      </w:r>
    </w:p>
    <w:p w14:paraId="3446F9D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1、收入说明</w:t>
      </w:r>
    </w:p>
    <w:p w14:paraId="62F1BF7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本部门202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年预算收入</w:t>
      </w:r>
      <w:r>
        <w:rPr>
          <w:rFonts w:hint="default" w:ascii="Times New Roman" w:hAnsi="Times New Roman" w:eastAsia="方正仿宋简体" w:cs="Times New Roman"/>
          <w:sz w:val="32"/>
          <w:szCs w:val="32"/>
          <w:lang w:val="en-US" w:eastAsia="zh-CN"/>
        </w:rPr>
        <w:t>614.6</w:t>
      </w:r>
      <w:r>
        <w:rPr>
          <w:rFonts w:hint="default" w:ascii="Times New Roman" w:hAnsi="Times New Roman" w:eastAsia="方正仿宋简体" w:cs="Times New Roman"/>
          <w:sz w:val="32"/>
          <w:szCs w:val="32"/>
        </w:rPr>
        <w:t>万元,全部为一般公共预算收入。</w:t>
      </w:r>
    </w:p>
    <w:p w14:paraId="17EE8C5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2、支出说明</w:t>
      </w:r>
    </w:p>
    <w:p w14:paraId="098A74C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收支预算总表支出栏、基本支出表、项目支出表按经济分类和支出功能分类科目编制，反映曹妃甸钢铁电力园区管理委员会年度部门预算中支出预算的总体情况。202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年部门支出预算为</w:t>
      </w:r>
      <w:r>
        <w:rPr>
          <w:rFonts w:hint="default" w:ascii="Times New Roman" w:hAnsi="Times New Roman" w:eastAsia="方正仿宋简体" w:cs="Times New Roman"/>
          <w:sz w:val="32"/>
          <w:szCs w:val="32"/>
          <w:lang w:val="en-US" w:eastAsia="zh-CN"/>
        </w:rPr>
        <w:t>614.6</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全部为</w:t>
      </w:r>
      <w:r>
        <w:rPr>
          <w:rFonts w:hint="default" w:ascii="Times New Roman" w:hAnsi="Times New Roman" w:eastAsia="方正仿宋简体" w:cs="Times New Roman"/>
          <w:sz w:val="32"/>
          <w:szCs w:val="32"/>
        </w:rPr>
        <w:t>基本支出，</w:t>
      </w:r>
      <w:r>
        <w:rPr>
          <w:rFonts w:hint="default"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rPr>
        <w:t>人员经费</w:t>
      </w:r>
      <w:r>
        <w:rPr>
          <w:rFonts w:hint="default" w:ascii="Times New Roman" w:hAnsi="Times New Roman" w:eastAsia="方正仿宋简体" w:cs="Times New Roman"/>
          <w:sz w:val="32"/>
          <w:szCs w:val="32"/>
          <w:lang w:val="en-US" w:eastAsia="zh-CN"/>
        </w:rPr>
        <w:t>582.99</w:t>
      </w:r>
      <w:r>
        <w:rPr>
          <w:rFonts w:hint="default" w:ascii="Times New Roman" w:hAnsi="Times New Roman" w:eastAsia="方正仿宋简体" w:cs="Times New Roman"/>
          <w:sz w:val="32"/>
          <w:szCs w:val="32"/>
        </w:rPr>
        <w:t>万元和公用经费</w:t>
      </w:r>
      <w:r>
        <w:rPr>
          <w:rFonts w:hint="default" w:ascii="Times New Roman" w:hAnsi="Times New Roman" w:eastAsia="方正仿宋简体" w:cs="Times New Roman"/>
          <w:sz w:val="32"/>
          <w:szCs w:val="32"/>
          <w:lang w:val="en-US" w:eastAsia="zh-CN"/>
        </w:rPr>
        <w:t>31.61</w:t>
      </w:r>
      <w:r>
        <w:rPr>
          <w:rFonts w:hint="default" w:ascii="Times New Roman" w:hAnsi="Times New Roman" w:eastAsia="方正仿宋简体" w:cs="Times New Roman"/>
          <w:sz w:val="32"/>
          <w:szCs w:val="32"/>
        </w:rPr>
        <w:t>万元，全部为本级支出。</w:t>
      </w:r>
    </w:p>
    <w:p w14:paraId="7DB5EF5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3、比上年增减情况</w:t>
      </w:r>
    </w:p>
    <w:p w14:paraId="7A6E67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年部门预算较202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减少552.89</w:t>
      </w:r>
      <w:r>
        <w:rPr>
          <w:rFonts w:hint="default" w:ascii="Times New Roman" w:hAnsi="Times New Roman" w:eastAsia="方正仿宋简体" w:cs="Times New Roman"/>
          <w:sz w:val="32"/>
          <w:szCs w:val="32"/>
        </w:rPr>
        <w:t>万元，其中：基本支出</w:t>
      </w:r>
      <w:r>
        <w:rPr>
          <w:rFonts w:hint="default" w:ascii="Times New Roman" w:hAnsi="Times New Roman" w:eastAsia="方正仿宋简体" w:cs="Times New Roman"/>
          <w:sz w:val="32"/>
          <w:szCs w:val="32"/>
          <w:lang w:val="en-US" w:eastAsia="zh-CN"/>
        </w:rPr>
        <w:t>增加80.21</w:t>
      </w:r>
      <w:r>
        <w:rPr>
          <w:rFonts w:hint="default" w:ascii="Times New Roman" w:hAnsi="Times New Roman" w:eastAsia="方正仿宋简体" w:cs="Times New Roman"/>
          <w:sz w:val="32"/>
          <w:szCs w:val="32"/>
        </w:rPr>
        <w:t>万元，主要是</w:t>
      </w:r>
      <w:r>
        <w:rPr>
          <w:rFonts w:hint="eastAsia" w:ascii="Times New Roman" w:hAnsi="Times New Roman" w:eastAsia="方正仿宋简体" w:cs="Times New Roman"/>
          <w:sz w:val="32"/>
          <w:szCs w:val="32"/>
          <w:lang w:val="en-US" w:eastAsia="zh-CN"/>
        </w:rPr>
        <w:t>人员绩效工资改革，</w:t>
      </w:r>
      <w:r>
        <w:rPr>
          <w:rFonts w:hint="default" w:ascii="Times New Roman" w:hAnsi="Times New Roman" w:eastAsia="方正仿宋简体" w:cs="Times New Roman"/>
          <w:sz w:val="32"/>
          <w:szCs w:val="32"/>
          <w:lang w:val="en-US" w:eastAsia="zh-CN"/>
        </w:rPr>
        <w:t>增加人员经费78.69万元</w:t>
      </w:r>
      <w:r>
        <w:rPr>
          <w:rFonts w:hint="default" w:ascii="Times New Roman" w:hAnsi="Times New Roman" w:eastAsia="方正仿宋简体" w:cs="Times New Roman"/>
          <w:sz w:val="32"/>
          <w:szCs w:val="32"/>
        </w:rPr>
        <w:t>；项目支出</w:t>
      </w:r>
      <w:r>
        <w:rPr>
          <w:rFonts w:hint="default" w:ascii="Times New Roman" w:hAnsi="Times New Roman" w:eastAsia="方正仿宋简体" w:cs="Times New Roman"/>
          <w:sz w:val="32"/>
          <w:szCs w:val="32"/>
          <w:lang w:val="en-US" w:eastAsia="zh-CN"/>
        </w:rPr>
        <w:t>减少633.1</w:t>
      </w:r>
      <w:r>
        <w:rPr>
          <w:rFonts w:hint="default" w:ascii="Times New Roman" w:hAnsi="Times New Roman" w:eastAsia="方正仿宋简体" w:cs="Times New Roman"/>
          <w:sz w:val="32"/>
          <w:szCs w:val="32"/>
        </w:rPr>
        <w:t>万元，</w:t>
      </w:r>
      <w:r>
        <w:rPr>
          <w:rFonts w:ascii="Times New Roman" w:hAnsi="Times New Roman" w:eastAsia="仿宋_GB2312" w:cs="Times New Roman"/>
          <w:sz w:val="32"/>
          <w:szCs w:val="32"/>
        </w:rPr>
        <w:t>主要原因为本年度未安排</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 xml:space="preserve">    </w:t>
      </w:r>
    </w:p>
    <w:p w14:paraId="6C9752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60" w:leftChars="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机关运行经费安排情况</w:t>
      </w:r>
    </w:p>
    <w:p w14:paraId="76B921A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机关运行经费共计安排</w:t>
      </w:r>
      <w:r>
        <w:rPr>
          <w:rFonts w:hint="default" w:ascii="Times New Roman" w:hAnsi="Times New Roman" w:eastAsia="方正仿宋简体" w:cs="Times New Roman"/>
          <w:sz w:val="32"/>
          <w:szCs w:val="32"/>
          <w:lang w:val="en-US" w:eastAsia="zh-CN"/>
        </w:rPr>
        <w:t>31.61</w:t>
      </w:r>
      <w:r>
        <w:rPr>
          <w:rFonts w:hint="default" w:ascii="Times New Roman" w:hAnsi="Times New Roman" w:eastAsia="方正仿宋简体" w:cs="Times New Roman"/>
          <w:sz w:val="32"/>
          <w:szCs w:val="32"/>
        </w:rPr>
        <w:t>万元，主要用于保证机关正常运转的办公及邮电费、维修（护）费、公务用车维护费、离退休干部经费、公务交通补贴、工会经费、福利费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其他商品和服务支出</w:t>
      </w:r>
      <w:r>
        <w:rPr>
          <w:rFonts w:hint="default" w:ascii="Times New Roman" w:hAnsi="Times New Roman" w:eastAsia="方正仿宋简体" w:cs="Times New Roman"/>
          <w:sz w:val="32"/>
          <w:szCs w:val="32"/>
        </w:rPr>
        <w:t>。</w:t>
      </w:r>
    </w:p>
    <w:p w14:paraId="51306FC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四、财政拨款“三公”经费预算情况及增减变化原因</w:t>
      </w:r>
    </w:p>
    <w:p w14:paraId="4680224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年，财政拨款“三公”经费预算安排</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万元，比上年</w:t>
      </w:r>
      <w:r>
        <w:rPr>
          <w:rFonts w:hint="default" w:ascii="Times New Roman" w:hAnsi="Times New Roman" w:eastAsia="方正仿宋简体" w:cs="Times New Roman"/>
          <w:sz w:val="32"/>
          <w:szCs w:val="32"/>
          <w:lang w:val="en-US" w:eastAsia="zh-CN"/>
        </w:rPr>
        <w:t>减少15.33</w:t>
      </w:r>
      <w:r>
        <w:rPr>
          <w:rFonts w:hint="default" w:ascii="Times New Roman" w:hAnsi="Times New Roman" w:eastAsia="方正仿宋简体" w:cs="Times New Roman"/>
          <w:sz w:val="32"/>
          <w:szCs w:val="32"/>
        </w:rPr>
        <w:t>万元，其中：公务用车购置及运维费</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万元（其中：公务用车购置费为0万元，公务用车运行费</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万元）与上年比无变化</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原因是本年度公务用车数量无变化</w:t>
      </w:r>
      <w:r>
        <w:rPr>
          <w:rFonts w:hint="default" w:ascii="Times New Roman" w:hAnsi="Times New Roman" w:eastAsia="方正仿宋简体" w:cs="Times New Roman"/>
          <w:sz w:val="32"/>
          <w:szCs w:val="32"/>
        </w:rPr>
        <w:t>；公务接待费</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比上年减少15.33万元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原因</w:t>
      </w:r>
      <w:r>
        <w:rPr>
          <w:rFonts w:hint="default" w:ascii="Times New Roman" w:hAnsi="Times New Roman" w:eastAsia="仿宋" w:cs="Times New Roman"/>
          <w:sz w:val="32"/>
          <w:szCs w:val="32"/>
          <w:lang w:val="en-US" w:eastAsia="zh-CN"/>
        </w:rPr>
        <w:t>是落实“过紧日子”要求，压减预算</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因公出国（境）费0万元，与上年比无变化</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原因是本年度无</w:t>
      </w:r>
      <w:r>
        <w:rPr>
          <w:rFonts w:hint="default" w:ascii="Times New Roman" w:hAnsi="Times New Roman" w:eastAsia="方正仿宋简体" w:cs="Times New Roman"/>
          <w:sz w:val="32"/>
          <w:szCs w:val="32"/>
        </w:rPr>
        <w:t>因公出国（境）</w:t>
      </w:r>
      <w:r>
        <w:rPr>
          <w:rFonts w:hint="eastAsia" w:ascii="Times New Roman" w:hAnsi="Times New Roman" w:eastAsia="方正仿宋简体" w:cs="Times New Roman"/>
          <w:sz w:val="32"/>
          <w:szCs w:val="32"/>
          <w:lang w:val="en-US" w:eastAsia="zh-CN"/>
        </w:rPr>
        <w:t>计划。</w:t>
      </w:r>
    </w:p>
    <w:p w14:paraId="1D0AF7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五、绩效预算信息</w:t>
      </w:r>
    </w:p>
    <w:p w14:paraId="6A77207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总体绩效目标：</w:t>
      </w:r>
    </w:p>
    <w:p w14:paraId="7D23C4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楷体简体" w:cs="Times New Roman"/>
          <w:b/>
          <w:bCs/>
          <w:sz w:val="32"/>
          <w:szCs w:val="32"/>
          <w:lang w:eastAsia="zh-CN"/>
        </w:rPr>
      </w:pPr>
      <w:r>
        <w:rPr>
          <w:rFonts w:hint="default" w:ascii="Times New Roman" w:hAnsi="Times New Roman" w:eastAsia="方正仿宋简体" w:cs="Times New Roman"/>
          <w:sz w:val="32"/>
          <w:szCs w:val="32"/>
        </w:rPr>
        <w:t>2023年我们将以党的二十大精神为指引，始终坚持以推动高质量发展为主题，聚焦区委、区政府主要目标任务，苦干实干，稳中求进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全力</w:t>
      </w:r>
      <w:r>
        <w:rPr>
          <w:rFonts w:hint="default" w:ascii="Times New Roman" w:hAnsi="Times New Roman" w:eastAsia="方正仿宋简体" w:cs="Times New Roman"/>
          <w:sz w:val="32"/>
          <w:szCs w:val="32"/>
          <w:lang w:val="en-US" w:eastAsia="zh-CN"/>
        </w:rPr>
        <w:t>打好</w:t>
      </w:r>
      <w:r>
        <w:rPr>
          <w:rFonts w:hint="default" w:ascii="Times New Roman" w:hAnsi="Times New Roman" w:eastAsia="方正仿宋简体" w:cs="Times New Roman"/>
          <w:sz w:val="32"/>
          <w:szCs w:val="32"/>
        </w:rPr>
        <w:t>招商引资主动战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项目建设大会战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经济运行攻坚战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城市建管提优战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社会稳定保卫战，</w:t>
      </w:r>
      <w:r>
        <w:rPr>
          <w:rFonts w:hint="default" w:ascii="Times New Roman" w:hAnsi="Times New Roman" w:eastAsia="方正仿宋简体" w:cs="Times New Roman"/>
          <w:sz w:val="32"/>
          <w:szCs w:val="32"/>
        </w:rPr>
        <w:t>推动经济实现质的有效提升和量的快速增长</w:t>
      </w:r>
      <w:r>
        <w:rPr>
          <w:rFonts w:hint="default" w:ascii="Times New Roman" w:hAnsi="Times New Roman" w:eastAsia="方正仿宋简体" w:cs="Times New Roman"/>
          <w:sz w:val="32"/>
          <w:szCs w:val="32"/>
          <w:lang w:eastAsia="zh-CN"/>
        </w:rPr>
        <w:t>。</w:t>
      </w:r>
    </w:p>
    <w:p w14:paraId="250A5B9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eastAsia="zh-CN"/>
        </w:rPr>
        <w:t>）</w:t>
      </w:r>
      <w:r>
        <w:rPr>
          <w:rFonts w:hint="default" w:ascii="Times New Roman" w:hAnsi="Times New Roman" w:eastAsia="方正楷体简体" w:cs="Times New Roman"/>
          <w:b/>
          <w:bCs/>
          <w:sz w:val="32"/>
          <w:szCs w:val="32"/>
        </w:rPr>
        <w:t>职责分类绩效目标：</w:t>
      </w:r>
      <w:r>
        <w:rPr>
          <w:rFonts w:hint="default" w:ascii="Times New Roman" w:hAnsi="Times New Roman" w:eastAsia="方正楷体简体" w:cs="Times New Roman"/>
          <w:b/>
          <w:bCs/>
          <w:sz w:val="32"/>
          <w:szCs w:val="32"/>
          <w:lang w:val="en-US" w:eastAsia="zh-CN"/>
        </w:rPr>
        <w:t>无</w:t>
      </w:r>
    </w:p>
    <w:p w14:paraId="1094B4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六、政府采购预算情况</w:t>
      </w:r>
    </w:p>
    <w:p w14:paraId="43F9748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年，安排政府采购预算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14:paraId="4F247210">
      <w:pPr>
        <w:keepNext w:val="0"/>
        <w:keepLines w:val="0"/>
        <w:pageBreakBefore w:val="0"/>
        <w:widowControl/>
        <w:kinsoku/>
        <w:wordWrap/>
        <w:overflowPunct/>
        <w:topLinePunct w:val="0"/>
        <w:bidi w:val="0"/>
        <w:snapToGrid/>
        <w:spacing w:line="570" w:lineRule="exact"/>
        <w:jc w:val="center"/>
        <w:rPr>
          <w:rFonts w:hint="eastAsia" w:ascii="宋体" w:hAnsi="宋体" w:eastAsia="宋体" w:cs="宋体"/>
          <w:b/>
          <w:bCs/>
          <w:kern w:val="0"/>
          <w:sz w:val="32"/>
          <w:szCs w:val="32"/>
        </w:rPr>
      </w:pPr>
      <w:r>
        <w:rPr>
          <w:rFonts w:hint="eastAsia" w:ascii="宋体" w:hAnsi="宋体" w:eastAsia="宋体" w:cs="宋体"/>
          <w:b/>
          <w:bCs/>
          <w:kern w:val="0"/>
          <w:sz w:val="32"/>
          <w:szCs w:val="32"/>
          <w:lang w:eastAsia="zh-CN"/>
        </w:rPr>
        <w:t>部门</w:t>
      </w:r>
      <w:r>
        <w:rPr>
          <w:rFonts w:hint="eastAsia" w:ascii="宋体" w:hAnsi="宋体" w:eastAsia="宋体" w:cs="宋体"/>
          <w:b/>
          <w:bCs/>
          <w:kern w:val="0"/>
          <w:sz w:val="32"/>
          <w:szCs w:val="32"/>
        </w:rPr>
        <w:t>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4EAA1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noWrap w:val="0"/>
            <w:vAlign w:val="center"/>
          </w:tcPr>
          <w:p w14:paraId="1FD3FDA8">
            <w:pPr>
              <w:pStyle w:val="6"/>
            </w:pPr>
            <w:r>
              <w:rPr>
                <w:rFonts w:hint="eastAsia"/>
                <w:lang w:eastAsia="zh-CN"/>
              </w:rPr>
              <w:t>曹妃甸钢铁电力园区</w:t>
            </w:r>
            <w:r>
              <w:t>管理委员会</w:t>
            </w:r>
          </w:p>
        </w:tc>
        <w:tc>
          <w:tcPr>
            <w:tcW w:w="8316" w:type="dxa"/>
            <w:gridSpan w:val="9"/>
            <w:tcBorders>
              <w:top w:val="single" w:color="FFFFFF" w:sz="6" w:space="0"/>
              <w:left w:val="single" w:color="FFFFFF" w:sz="6" w:space="0"/>
              <w:right w:val="single" w:color="FFFFFF" w:sz="6" w:space="0"/>
            </w:tcBorders>
            <w:noWrap w:val="0"/>
            <w:vAlign w:val="center"/>
          </w:tcPr>
          <w:p w14:paraId="73912C02">
            <w:pPr>
              <w:pStyle w:val="14"/>
            </w:pPr>
            <w:r>
              <w:t>单位：万元</w:t>
            </w:r>
          </w:p>
        </w:tc>
      </w:tr>
      <w:tr w14:paraId="6CD6B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noWrap w:val="0"/>
            <w:vAlign w:val="center"/>
          </w:tcPr>
          <w:p w14:paraId="3D622E70">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政府采购项目来源</w:t>
            </w:r>
          </w:p>
        </w:tc>
        <w:tc>
          <w:tcPr>
            <w:tcW w:w="924" w:type="dxa"/>
            <w:vMerge w:val="restart"/>
            <w:noWrap w:val="0"/>
            <w:vAlign w:val="center"/>
          </w:tcPr>
          <w:p w14:paraId="76FB5179">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采购物品名称</w:t>
            </w:r>
          </w:p>
        </w:tc>
        <w:tc>
          <w:tcPr>
            <w:tcW w:w="924" w:type="dxa"/>
            <w:vMerge w:val="restart"/>
            <w:noWrap w:val="0"/>
            <w:vAlign w:val="center"/>
          </w:tcPr>
          <w:p w14:paraId="1F2F3415">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政府采购目录序号</w:t>
            </w:r>
          </w:p>
        </w:tc>
        <w:tc>
          <w:tcPr>
            <w:tcW w:w="924" w:type="dxa"/>
            <w:vMerge w:val="restart"/>
            <w:noWrap w:val="0"/>
            <w:vAlign w:val="center"/>
          </w:tcPr>
          <w:p w14:paraId="2A07E4C8">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计量  单位</w:t>
            </w:r>
          </w:p>
        </w:tc>
        <w:tc>
          <w:tcPr>
            <w:tcW w:w="924" w:type="dxa"/>
            <w:vMerge w:val="restart"/>
            <w:noWrap w:val="0"/>
            <w:vAlign w:val="center"/>
          </w:tcPr>
          <w:p w14:paraId="766E733C">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数量</w:t>
            </w:r>
          </w:p>
        </w:tc>
        <w:tc>
          <w:tcPr>
            <w:tcW w:w="924" w:type="dxa"/>
            <w:vMerge w:val="restart"/>
            <w:noWrap w:val="0"/>
            <w:vAlign w:val="center"/>
          </w:tcPr>
          <w:p w14:paraId="0EA266B0">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单价</w:t>
            </w:r>
          </w:p>
        </w:tc>
        <w:tc>
          <w:tcPr>
            <w:tcW w:w="7392" w:type="dxa"/>
            <w:gridSpan w:val="8"/>
            <w:noWrap w:val="0"/>
            <w:vAlign w:val="center"/>
          </w:tcPr>
          <w:p w14:paraId="5CBCABC3">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政府采购金额（当年部门预算安排资金）</w:t>
            </w:r>
          </w:p>
        </w:tc>
        <w:tc>
          <w:tcPr>
            <w:tcW w:w="924" w:type="dxa"/>
            <w:vMerge w:val="restart"/>
            <w:noWrap w:val="0"/>
            <w:vAlign w:val="center"/>
          </w:tcPr>
          <w:p w14:paraId="2277DBA7">
            <w:pPr>
              <w:pStyle w:val="7"/>
            </w:pPr>
            <w:r>
              <w:t>202</w:t>
            </w:r>
            <w:r>
              <w:rPr>
                <w:rFonts w:hint="eastAsia"/>
                <w:lang w:val="en-US" w:eastAsia="zh-CN"/>
              </w:rPr>
              <w:t>3</w:t>
            </w:r>
            <w:r>
              <w:t>年  预留中  小微企  业份额</w:t>
            </w:r>
          </w:p>
        </w:tc>
      </w:tr>
      <w:tr w14:paraId="03EDC9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noWrap w:val="0"/>
            <w:vAlign w:val="center"/>
          </w:tcPr>
          <w:p w14:paraId="1ED6D687">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项目名称</w:t>
            </w:r>
          </w:p>
        </w:tc>
        <w:tc>
          <w:tcPr>
            <w:tcW w:w="924" w:type="dxa"/>
            <w:noWrap w:val="0"/>
            <w:vAlign w:val="center"/>
          </w:tcPr>
          <w:p w14:paraId="7AB55AD7">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预算    资金</w:t>
            </w:r>
          </w:p>
        </w:tc>
        <w:tc>
          <w:tcPr>
            <w:tcW w:w="924" w:type="dxa"/>
            <w:vMerge w:val="continue"/>
            <w:noWrap w:val="0"/>
            <w:vAlign w:val="top"/>
          </w:tcPr>
          <w:p w14:paraId="5EA97062">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779B7395">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10CDB30E">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42CC1C64">
            <w:pPr>
              <w:rPr>
                <w:rFonts w:hint="eastAsia" w:ascii="宋体" w:hAnsi="宋体" w:eastAsia="宋体" w:cs="宋体"/>
                <w:b/>
                <w:bCs/>
                <w:kern w:val="0"/>
                <w:sz w:val="22"/>
                <w:szCs w:val="22"/>
                <w:lang w:val="en-US" w:eastAsia="zh-CN" w:bidi="ar-SA"/>
              </w:rPr>
            </w:pPr>
          </w:p>
        </w:tc>
        <w:tc>
          <w:tcPr>
            <w:tcW w:w="924" w:type="dxa"/>
            <w:vMerge w:val="continue"/>
            <w:noWrap w:val="0"/>
            <w:vAlign w:val="top"/>
          </w:tcPr>
          <w:p w14:paraId="6CF0AE3A">
            <w:pPr>
              <w:rPr>
                <w:rFonts w:hint="eastAsia" w:ascii="宋体" w:hAnsi="宋体" w:eastAsia="宋体" w:cs="宋体"/>
                <w:b/>
                <w:bCs/>
                <w:kern w:val="0"/>
                <w:sz w:val="22"/>
                <w:szCs w:val="22"/>
                <w:lang w:val="en-US" w:eastAsia="zh-CN" w:bidi="ar-SA"/>
              </w:rPr>
            </w:pPr>
          </w:p>
        </w:tc>
        <w:tc>
          <w:tcPr>
            <w:tcW w:w="924" w:type="dxa"/>
            <w:noWrap w:val="0"/>
            <w:vAlign w:val="center"/>
          </w:tcPr>
          <w:p w14:paraId="6D7FE7C4">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合计</w:t>
            </w:r>
          </w:p>
        </w:tc>
        <w:tc>
          <w:tcPr>
            <w:tcW w:w="924" w:type="dxa"/>
            <w:noWrap w:val="0"/>
            <w:vAlign w:val="center"/>
          </w:tcPr>
          <w:p w14:paraId="09DE8FE7">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一般公共预算拨款</w:t>
            </w:r>
          </w:p>
        </w:tc>
        <w:tc>
          <w:tcPr>
            <w:tcW w:w="924" w:type="dxa"/>
            <w:noWrap w:val="0"/>
            <w:vAlign w:val="center"/>
          </w:tcPr>
          <w:p w14:paraId="76DB16E8">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基金预算拨款</w:t>
            </w:r>
          </w:p>
        </w:tc>
        <w:tc>
          <w:tcPr>
            <w:tcW w:w="924" w:type="dxa"/>
            <w:noWrap w:val="0"/>
            <w:vAlign w:val="center"/>
          </w:tcPr>
          <w:p w14:paraId="6680B682">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国有资本经营预算拨款</w:t>
            </w:r>
          </w:p>
        </w:tc>
        <w:tc>
          <w:tcPr>
            <w:tcW w:w="924" w:type="dxa"/>
            <w:noWrap w:val="0"/>
            <w:vAlign w:val="center"/>
          </w:tcPr>
          <w:p w14:paraId="1DDC3904">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财政专户核拨</w:t>
            </w:r>
          </w:p>
        </w:tc>
        <w:tc>
          <w:tcPr>
            <w:tcW w:w="924" w:type="dxa"/>
            <w:noWrap w:val="0"/>
            <w:vAlign w:val="center"/>
          </w:tcPr>
          <w:p w14:paraId="25BB8421">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单位    资金</w:t>
            </w:r>
          </w:p>
        </w:tc>
        <w:tc>
          <w:tcPr>
            <w:tcW w:w="924" w:type="dxa"/>
            <w:noWrap w:val="0"/>
            <w:vAlign w:val="center"/>
          </w:tcPr>
          <w:p w14:paraId="670278F3">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财政拨    款结转</w:t>
            </w:r>
          </w:p>
        </w:tc>
        <w:tc>
          <w:tcPr>
            <w:tcW w:w="924" w:type="dxa"/>
            <w:noWrap w:val="0"/>
            <w:vAlign w:val="center"/>
          </w:tcPr>
          <w:p w14:paraId="3ABAC256">
            <w:pPr>
              <w:pStyle w:val="7"/>
              <w:rPr>
                <w:rFonts w:hint="eastAsia" w:ascii="宋体" w:hAnsi="宋体" w:eastAsia="宋体" w:cs="宋体"/>
                <w:b/>
                <w:bCs/>
                <w:kern w:val="0"/>
                <w:sz w:val="22"/>
                <w:szCs w:val="22"/>
                <w:lang w:val="en-US" w:eastAsia="zh-CN" w:bidi="ar-SA"/>
              </w:rPr>
            </w:pPr>
            <w:r>
              <w:rPr>
                <w:rFonts w:hint="eastAsia" w:ascii="宋体" w:hAnsi="宋体" w:eastAsia="宋体" w:cs="宋体"/>
                <w:b/>
                <w:bCs/>
                <w:kern w:val="0"/>
                <w:sz w:val="22"/>
                <w:szCs w:val="22"/>
                <w:lang w:val="en-US" w:eastAsia="zh-CN" w:bidi="ar-SA"/>
              </w:rPr>
              <w:t>非财政    拨款结    转结余</w:t>
            </w:r>
          </w:p>
        </w:tc>
        <w:tc>
          <w:tcPr>
            <w:tcW w:w="924" w:type="dxa"/>
            <w:vMerge w:val="continue"/>
            <w:noWrap w:val="0"/>
            <w:vAlign w:val="top"/>
          </w:tcPr>
          <w:p w14:paraId="1BF5451B"/>
        </w:tc>
      </w:tr>
      <w:tr w14:paraId="2517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noWrap w:val="0"/>
            <w:vAlign w:val="center"/>
          </w:tcPr>
          <w:p w14:paraId="1E447C97">
            <w:pPr>
              <w:pStyle w:val="11"/>
            </w:pPr>
          </w:p>
        </w:tc>
        <w:tc>
          <w:tcPr>
            <w:tcW w:w="924" w:type="dxa"/>
            <w:noWrap w:val="0"/>
            <w:vAlign w:val="center"/>
          </w:tcPr>
          <w:p w14:paraId="1A2D9E59">
            <w:pPr>
              <w:pStyle w:val="12"/>
            </w:pPr>
          </w:p>
        </w:tc>
        <w:tc>
          <w:tcPr>
            <w:tcW w:w="924" w:type="dxa"/>
            <w:noWrap w:val="0"/>
            <w:vAlign w:val="center"/>
          </w:tcPr>
          <w:p w14:paraId="2991D97E">
            <w:pPr>
              <w:pStyle w:val="11"/>
            </w:pPr>
          </w:p>
        </w:tc>
        <w:tc>
          <w:tcPr>
            <w:tcW w:w="924" w:type="dxa"/>
            <w:noWrap w:val="0"/>
            <w:vAlign w:val="center"/>
          </w:tcPr>
          <w:p w14:paraId="1BC4486D">
            <w:pPr>
              <w:pStyle w:val="11"/>
            </w:pPr>
          </w:p>
        </w:tc>
        <w:tc>
          <w:tcPr>
            <w:tcW w:w="924" w:type="dxa"/>
            <w:noWrap w:val="0"/>
            <w:vAlign w:val="center"/>
          </w:tcPr>
          <w:p w14:paraId="59EF7242">
            <w:pPr>
              <w:pStyle w:val="13"/>
            </w:pPr>
          </w:p>
        </w:tc>
        <w:tc>
          <w:tcPr>
            <w:tcW w:w="924" w:type="dxa"/>
            <w:noWrap w:val="0"/>
            <w:vAlign w:val="center"/>
          </w:tcPr>
          <w:p w14:paraId="6B8B8813">
            <w:pPr>
              <w:pStyle w:val="12"/>
            </w:pPr>
          </w:p>
        </w:tc>
        <w:tc>
          <w:tcPr>
            <w:tcW w:w="924" w:type="dxa"/>
            <w:noWrap w:val="0"/>
            <w:vAlign w:val="center"/>
          </w:tcPr>
          <w:p w14:paraId="33318037">
            <w:pPr>
              <w:pStyle w:val="12"/>
            </w:pPr>
          </w:p>
        </w:tc>
        <w:tc>
          <w:tcPr>
            <w:tcW w:w="924" w:type="dxa"/>
            <w:noWrap w:val="0"/>
            <w:vAlign w:val="center"/>
          </w:tcPr>
          <w:p w14:paraId="5DC7112B">
            <w:pPr>
              <w:pStyle w:val="12"/>
            </w:pPr>
          </w:p>
        </w:tc>
        <w:tc>
          <w:tcPr>
            <w:tcW w:w="924" w:type="dxa"/>
            <w:noWrap w:val="0"/>
            <w:vAlign w:val="center"/>
          </w:tcPr>
          <w:p w14:paraId="603A2ABA">
            <w:pPr>
              <w:pStyle w:val="12"/>
            </w:pPr>
          </w:p>
        </w:tc>
        <w:tc>
          <w:tcPr>
            <w:tcW w:w="924" w:type="dxa"/>
            <w:noWrap w:val="0"/>
            <w:vAlign w:val="center"/>
          </w:tcPr>
          <w:p w14:paraId="6342ED09">
            <w:pPr>
              <w:pStyle w:val="12"/>
            </w:pPr>
          </w:p>
        </w:tc>
        <w:tc>
          <w:tcPr>
            <w:tcW w:w="924" w:type="dxa"/>
            <w:noWrap w:val="0"/>
            <w:vAlign w:val="center"/>
          </w:tcPr>
          <w:p w14:paraId="5BC0748D">
            <w:pPr>
              <w:pStyle w:val="12"/>
            </w:pPr>
          </w:p>
        </w:tc>
        <w:tc>
          <w:tcPr>
            <w:tcW w:w="924" w:type="dxa"/>
            <w:noWrap w:val="0"/>
            <w:vAlign w:val="center"/>
          </w:tcPr>
          <w:p w14:paraId="734B74BE">
            <w:pPr>
              <w:pStyle w:val="12"/>
            </w:pPr>
          </w:p>
        </w:tc>
        <w:tc>
          <w:tcPr>
            <w:tcW w:w="924" w:type="dxa"/>
            <w:noWrap w:val="0"/>
            <w:vAlign w:val="center"/>
          </w:tcPr>
          <w:p w14:paraId="5BC85E02">
            <w:pPr>
              <w:pStyle w:val="12"/>
            </w:pPr>
          </w:p>
        </w:tc>
        <w:tc>
          <w:tcPr>
            <w:tcW w:w="924" w:type="dxa"/>
            <w:noWrap w:val="0"/>
            <w:vAlign w:val="center"/>
          </w:tcPr>
          <w:p w14:paraId="231780F7">
            <w:pPr>
              <w:pStyle w:val="12"/>
            </w:pPr>
          </w:p>
        </w:tc>
        <w:tc>
          <w:tcPr>
            <w:tcW w:w="924" w:type="dxa"/>
            <w:noWrap w:val="0"/>
            <w:vAlign w:val="center"/>
          </w:tcPr>
          <w:p w14:paraId="660983A0">
            <w:pPr>
              <w:pStyle w:val="12"/>
            </w:pPr>
          </w:p>
        </w:tc>
        <w:tc>
          <w:tcPr>
            <w:tcW w:w="924" w:type="dxa"/>
            <w:noWrap w:val="0"/>
            <w:vAlign w:val="center"/>
          </w:tcPr>
          <w:p w14:paraId="6A866F08">
            <w:pPr>
              <w:pStyle w:val="12"/>
            </w:pPr>
          </w:p>
        </w:tc>
      </w:tr>
    </w:tbl>
    <w:p w14:paraId="652FC6DF">
      <w:pPr>
        <w:spacing w:before="0" w:after="0" w:line="500" w:lineRule="exact"/>
        <w:ind w:firstLine="420"/>
        <w:jc w:val="left"/>
        <w:outlineLvl w:val="9"/>
        <w:rPr>
          <w:rFonts w:hint="eastAsia" w:ascii="宋体" w:hAnsi="宋体" w:eastAsia="宋体" w:cs="宋体"/>
          <w:color w:val="000000"/>
          <w:sz w:val="21"/>
        </w:rPr>
      </w:pPr>
      <w:r>
        <w:rPr>
          <w:rFonts w:hint="eastAsia" w:ascii="宋体" w:hAnsi="宋体" w:eastAsia="宋体" w:cs="宋体"/>
          <w:color w:val="000000"/>
          <w:sz w:val="21"/>
        </w:rPr>
        <w:t>注：同一采购目录序号的物品，其单价会因配置规格不同而变动，均符合资产配置标准。涉密采购事项按照相关规定执行。</w:t>
      </w:r>
    </w:p>
    <w:p w14:paraId="0CC926FF">
      <w:pPr>
        <w:spacing w:before="0" w:after="0" w:line="500" w:lineRule="exact"/>
        <w:ind w:firstLine="420"/>
        <w:jc w:val="left"/>
        <w:outlineLvl w:val="9"/>
        <w:rPr>
          <w:rFonts w:hint="eastAsia" w:ascii="宋体" w:hAnsi="宋体" w:eastAsia="宋体" w:cs="宋体"/>
          <w:color w:val="000000"/>
          <w:sz w:val="21"/>
          <w:lang w:eastAsia="zh-CN"/>
        </w:rPr>
      </w:pPr>
      <w:r>
        <w:rPr>
          <w:rFonts w:hint="eastAsia" w:ascii="宋体" w:hAnsi="宋体" w:eastAsia="宋体" w:cs="宋体"/>
          <w:color w:val="000000"/>
          <w:sz w:val="21"/>
          <w:lang w:eastAsia="zh-CN"/>
        </w:rPr>
        <w:t>此表无数据，空表列示。</w:t>
      </w:r>
    </w:p>
    <w:p w14:paraId="6473D5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七、国有资产信息</w:t>
      </w:r>
    </w:p>
    <w:p w14:paraId="3F424C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上年末固定资产金额为</w:t>
      </w:r>
      <w:r>
        <w:rPr>
          <w:rFonts w:hint="default" w:ascii="Times New Roman" w:hAnsi="Times New Roman" w:eastAsia="方正仿宋简体" w:cs="Times New Roman"/>
          <w:sz w:val="32"/>
          <w:szCs w:val="32"/>
          <w:lang w:val="en-US" w:eastAsia="zh-CN"/>
        </w:rPr>
        <w:t>33.36</w:t>
      </w:r>
      <w:r>
        <w:rPr>
          <w:rFonts w:hint="default" w:ascii="Times New Roman" w:hAnsi="Times New Roman" w:eastAsia="方正仿宋简体" w:cs="Times New Roman"/>
          <w:sz w:val="32"/>
          <w:szCs w:val="32"/>
        </w:rPr>
        <w:t>万元（详见下表），</w:t>
      </w:r>
      <w:r>
        <w:rPr>
          <w:rFonts w:hint="default" w:ascii="Times New Roman" w:hAnsi="Times New Roman" w:eastAsia="仿宋" w:cs="Times New Roman"/>
          <w:sz w:val="32"/>
          <w:szCs w:val="32"/>
        </w:rPr>
        <w:t>本年度</w:t>
      </w:r>
      <w:r>
        <w:rPr>
          <w:rFonts w:hint="default" w:ascii="Times New Roman" w:hAnsi="Times New Roman" w:eastAsia="仿宋" w:cs="Times New Roman"/>
          <w:sz w:val="32"/>
          <w:szCs w:val="32"/>
          <w:lang w:eastAsia="zh-CN"/>
        </w:rPr>
        <w:t>无资产购置计划</w:t>
      </w:r>
      <w:r>
        <w:rPr>
          <w:rFonts w:hint="default" w:ascii="Times New Roman" w:hAnsi="Times New Roman" w:eastAsia="方正仿宋简体" w:cs="Times New Roman"/>
          <w:sz w:val="32"/>
          <w:szCs w:val="32"/>
        </w:rPr>
        <w:t>。</w:t>
      </w:r>
    </w:p>
    <w:tbl>
      <w:tblPr>
        <w:tblStyle w:val="4"/>
        <w:tblpPr w:leftFromText="180" w:rightFromText="180" w:vertAnchor="text" w:horzAnchor="page" w:tblpX="1956" w:tblpY="641"/>
        <w:tblOverlap w:val="never"/>
        <w:tblW w:w="13482" w:type="dxa"/>
        <w:tblInd w:w="0" w:type="dxa"/>
        <w:tblLayout w:type="fixed"/>
        <w:tblCellMar>
          <w:top w:w="0" w:type="dxa"/>
          <w:left w:w="108" w:type="dxa"/>
          <w:bottom w:w="0" w:type="dxa"/>
          <w:right w:w="108" w:type="dxa"/>
        </w:tblCellMar>
      </w:tblPr>
      <w:tblGrid>
        <w:gridCol w:w="5224"/>
        <w:gridCol w:w="3155"/>
        <w:gridCol w:w="5103"/>
      </w:tblGrid>
      <w:tr w14:paraId="4E27B426">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14:paraId="45AFAB65">
            <w:pPr>
              <w:widowControl/>
              <w:jc w:val="center"/>
              <w:rPr>
                <w:rFonts w:hint="default" w:ascii="Times New Roman" w:hAnsi="Times New Roman" w:eastAsia="宋体" w:cs="Times New Roman"/>
                <w:b/>
                <w:bCs/>
                <w:kern w:val="0"/>
                <w:sz w:val="32"/>
                <w:szCs w:val="32"/>
              </w:rPr>
            </w:pPr>
            <w:r>
              <w:rPr>
                <w:rFonts w:hint="default" w:ascii="Times New Roman" w:hAnsi="Times New Roman" w:eastAsia="宋体" w:cs="Times New Roman"/>
                <w:b/>
                <w:bCs/>
                <w:kern w:val="0"/>
                <w:sz w:val="32"/>
                <w:szCs w:val="32"/>
              </w:rPr>
              <w:t>曹妃甸钢铁电力园区管理委员会部门固定资产占用情况表</w:t>
            </w:r>
          </w:p>
        </w:tc>
      </w:tr>
      <w:tr w14:paraId="11295535">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14:paraId="589DE3DF">
            <w:pPr>
              <w:widowControl/>
              <w:jc w:val="left"/>
              <w:rPr>
                <w:rFonts w:hint="default" w:ascii="Times New Roman" w:hAnsi="Times New Roman" w:eastAsia="宋体" w:cs="Times New Roman"/>
                <w:kern w:val="0"/>
                <w:sz w:val="22"/>
                <w:szCs w:val="22"/>
                <w:lang w:val="en-US" w:eastAsia="zh-CN"/>
              </w:rPr>
            </w:pPr>
            <w:r>
              <w:rPr>
                <w:rFonts w:hint="default" w:ascii="Times New Roman" w:hAnsi="Times New Roman" w:eastAsia="宋体" w:cs="Times New Roman"/>
                <w:kern w:val="0"/>
                <w:sz w:val="22"/>
                <w:szCs w:val="22"/>
              </w:rPr>
              <w:t>编制部门：</w:t>
            </w:r>
            <w:r>
              <w:rPr>
                <w:rFonts w:hint="default" w:ascii="Times New Roman" w:hAnsi="Times New Roman" w:eastAsia="方正小标宋_GBK" w:cs="Times New Roman"/>
                <w:sz w:val="24"/>
                <w:szCs w:val="24"/>
                <w:lang w:val="en-US" w:eastAsia="zh-CN"/>
              </w:rPr>
              <w:t>曹妃甸钢铁电力园区管理委员会</w:t>
            </w:r>
          </w:p>
        </w:tc>
        <w:tc>
          <w:tcPr>
            <w:tcW w:w="5103" w:type="dxa"/>
            <w:tcBorders>
              <w:top w:val="nil"/>
              <w:left w:val="nil"/>
              <w:bottom w:val="nil"/>
              <w:right w:val="nil"/>
            </w:tcBorders>
            <w:vAlign w:val="center"/>
          </w:tcPr>
          <w:p w14:paraId="351DB76F">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截止时间：</w:t>
            </w:r>
            <w:r>
              <w:rPr>
                <w:rFonts w:hint="default" w:ascii="Times New Roman" w:hAnsi="Times New Roman" w:eastAsia="宋体" w:cs="Times New Roman"/>
                <w:kern w:val="0"/>
                <w:sz w:val="22"/>
                <w:szCs w:val="22"/>
                <w:lang w:val="en-US" w:eastAsia="zh-CN"/>
              </w:rPr>
              <w:t>2022</w:t>
            </w:r>
            <w:r>
              <w:rPr>
                <w:rFonts w:hint="default" w:ascii="Times New Roman" w:hAnsi="Times New Roman" w:eastAsia="宋体" w:cs="Times New Roman"/>
                <w:kern w:val="0"/>
                <w:sz w:val="22"/>
                <w:szCs w:val="22"/>
              </w:rPr>
              <w:t xml:space="preserve">年12月31日  </w:t>
            </w:r>
          </w:p>
        </w:tc>
      </w:tr>
      <w:tr w14:paraId="1D0ADD3D">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14:paraId="56F2582F">
            <w:pPr>
              <w:widowControl/>
              <w:jc w:val="center"/>
              <w:rPr>
                <w:rFonts w:hint="default" w:ascii="Times New Roman" w:hAnsi="Times New Roman" w:eastAsia="宋体" w:cs="Times New Roman"/>
                <w:b/>
                <w:bCs/>
                <w:kern w:val="0"/>
                <w:sz w:val="22"/>
                <w:szCs w:val="22"/>
              </w:rPr>
            </w:pPr>
            <w:r>
              <w:rPr>
                <w:rFonts w:hint="default" w:ascii="Times New Roman" w:hAnsi="Times New Roman" w:eastAsia="宋体" w:cs="Times New Roman"/>
                <w:b/>
                <w:bCs/>
                <w:kern w:val="0"/>
                <w:sz w:val="22"/>
                <w:szCs w:val="22"/>
              </w:rPr>
              <w:t>项   目</w:t>
            </w:r>
          </w:p>
        </w:tc>
        <w:tc>
          <w:tcPr>
            <w:tcW w:w="3155" w:type="dxa"/>
            <w:tcBorders>
              <w:top w:val="single" w:color="auto" w:sz="4" w:space="0"/>
              <w:left w:val="nil"/>
              <w:bottom w:val="single" w:color="auto" w:sz="4" w:space="0"/>
              <w:right w:val="single" w:color="auto" w:sz="4" w:space="0"/>
            </w:tcBorders>
            <w:vAlign w:val="center"/>
          </w:tcPr>
          <w:p w14:paraId="672A8186">
            <w:pPr>
              <w:widowControl/>
              <w:jc w:val="center"/>
              <w:rPr>
                <w:rFonts w:hint="default" w:ascii="Times New Roman" w:hAnsi="Times New Roman" w:eastAsia="宋体" w:cs="Times New Roman"/>
                <w:b/>
                <w:bCs/>
                <w:kern w:val="0"/>
                <w:sz w:val="22"/>
                <w:szCs w:val="22"/>
              </w:rPr>
            </w:pPr>
            <w:r>
              <w:rPr>
                <w:rFonts w:hint="default" w:ascii="Times New Roman" w:hAnsi="Times New Roman" w:eastAsia="宋体" w:cs="Times New Roman"/>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14:paraId="12686359">
            <w:pPr>
              <w:widowControl/>
              <w:jc w:val="center"/>
              <w:rPr>
                <w:rFonts w:hint="default" w:ascii="Times New Roman" w:hAnsi="Times New Roman" w:eastAsia="宋体" w:cs="Times New Roman"/>
                <w:b/>
                <w:bCs/>
                <w:kern w:val="0"/>
                <w:sz w:val="22"/>
                <w:szCs w:val="22"/>
              </w:rPr>
            </w:pPr>
            <w:r>
              <w:rPr>
                <w:rFonts w:hint="default" w:ascii="Times New Roman" w:hAnsi="Times New Roman" w:eastAsia="宋体" w:cs="Times New Roman"/>
                <w:b/>
                <w:bCs/>
                <w:kern w:val="0"/>
                <w:sz w:val="22"/>
                <w:szCs w:val="22"/>
              </w:rPr>
              <w:t>价值（金额单位：万元）</w:t>
            </w:r>
          </w:p>
        </w:tc>
      </w:tr>
      <w:tr w14:paraId="186CA296">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9D35608">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资产总额</w:t>
            </w:r>
          </w:p>
        </w:tc>
        <w:tc>
          <w:tcPr>
            <w:tcW w:w="3155" w:type="dxa"/>
            <w:tcBorders>
              <w:top w:val="nil"/>
              <w:left w:val="nil"/>
              <w:bottom w:val="single" w:color="auto" w:sz="4" w:space="0"/>
              <w:right w:val="single" w:color="auto" w:sz="4" w:space="0"/>
            </w:tcBorders>
            <w:vAlign w:val="center"/>
          </w:tcPr>
          <w:p w14:paraId="5916F833">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w:t>
            </w:r>
          </w:p>
        </w:tc>
        <w:tc>
          <w:tcPr>
            <w:tcW w:w="5103" w:type="dxa"/>
            <w:tcBorders>
              <w:top w:val="nil"/>
              <w:left w:val="nil"/>
              <w:bottom w:val="single" w:color="auto" w:sz="4" w:space="0"/>
              <w:right w:val="single" w:color="auto" w:sz="4" w:space="0"/>
            </w:tcBorders>
            <w:vAlign w:val="center"/>
          </w:tcPr>
          <w:p w14:paraId="3A31436A">
            <w:pPr>
              <w:widowControl/>
              <w:jc w:val="center"/>
              <w:rPr>
                <w:rFonts w:hint="default" w:ascii="Times New Roman" w:hAnsi="Times New Roman" w:eastAsia="宋体" w:cs="Times New Roman"/>
                <w:kern w:val="0"/>
                <w:sz w:val="22"/>
                <w:szCs w:val="22"/>
                <w:lang w:val="en-US" w:eastAsia="zh-CN"/>
              </w:rPr>
            </w:pPr>
            <w:r>
              <w:rPr>
                <w:rFonts w:hint="eastAsia" w:ascii="Times New Roman" w:hAnsi="Times New Roman" w:eastAsia="宋体" w:cs="Times New Roman"/>
                <w:kern w:val="0"/>
                <w:sz w:val="22"/>
                <w:szCs w:val="22"/>
                <w:lang w:val="en-US" w:eastAsia="zh-CN"/>
              </w:rPr>
              <w:t>115.02</w:t>
            </w:r>
          </w:p>
        </w:tc>
      </w:tr>
      <w:tr w14:paraId="6AB33801">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2491ADE7">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1、房屋（平方米）</w:t>
            </w:r>
          </w:p>
        </w:tc>
        <w:tc>
          <w:tcPr>
            <w:tcW w:w="3155" w:type="dxa"/>
            <w:tcBorders>
              <w:top w:val="nil"/>
              <w:left w:val="nil"/>
              <w:bottom w:val="single" w:color="auto" w:sz="4" w:space="0"/>
              <w:right w:val="single" w:color="auto" w:sz="4" w:space="0"/>
            </w:tcBorders>
            <w:vAlign w:val="center"/>
          </w:tcPr>
          <w:p w14:paraId="21190788">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w:t>
            </w:r>
          </w:p>
        </w:tc>
        <w:tc>
          <w:tcPr>
            <w:tcW w:w="5103" w:type="dxa"/>
            <w:tcBorders>
              <w:top w:val="nil"/>
              <w:left w:val="nil"/>
              <w:bottom w:val="single" w:color="auto" w:sz="4" w:space="0"/>
              <w:right w:val="single" w:color="auto" w:sz="4" w:space="0"/>
            </w:tcBorders>
            <w:vAlign w:val="center"/>
          </w:tcPr>
          <w:p w14:paraId="23BF99CB">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w:t>
            </w:r>
          </w:p>
        </w:tc>
      </w:tr>
      <w:tr w14:paraId="494D351E">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0E32A071">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其中：办公用房（平方米）</w:t>
            </w:r>
          </w:p>
        </w:tc>
        <w:tc>
          <w:tcPr>
            <w:tcW w:w="3155" w:type="dxa"/>
            <w:tcBorders>
              <w:top w:val="nil"/>
              <w:left w:val="nil"/>
              <w:bottom w:val="single" w:color="auto" w:sz="4" w:space="0"/>
              <w:right w:val="single" w:color="auto" w:sz="4" w:space="0"/>
            </w:tcBorders>
            <w:vAlign w:val="center"/>
          </w:tcPr>
          <w:p w14:paraId="4EEA5B75">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w:t>
            </w:r>
          </w:p>
        </w:tc>
        <w:tc>
          <w:tcPr>
            <w:tcW w:w="5103" w:type="dxa"/>
            <w:tcBorders>
              <w:top w:val="nil"/>
              <w:left w:val="nil"/>
              <w:bottom w:val="single" w:color="auto" w:sz="4" w:space="0"/>
              <w:right w:val="single" w:color="auto" w:sz="4" w:space="0"/>
            </w:tcBorders>
            <w:vAlign w:val="center"/>
          </w:tcPr>
          <w:p w14:paraId="28527152">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 xml:space="preserve"> </w:t>
            </w:r>
          </w:p>
        </w:tc>
      </w:tr>
      <w:tr w14:paraId="6F0BFFF8">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3E31C5D4">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2、车辆（台、辆）</w:t>
            </w:r>
          </w:p>
        </w:tc>
        <w:tc>
          <w:tcPr>
            <w:tcW w:w="3155" w:type="dxa"/>
            <w:tcBorders>
              <w:top w:val="nil"/>
              <w:left w:val="nil"/>
              <w:bottom w:val="single" w:color="auto" w:sz="4" w:space="0"/>
              <w:right w:val="single" w:color="auto" w:sz="4" w:space="0"/>
            </w:tcBorders>
            <w:vAlign w:val="center"/>
          </w:tcPr>
          <w:p w14:paraId="38435164">
            <w:pPr>
              <w:widowControl/>
              <w:jc w:val="center"/>
              <w:rPr>
                <w:rFonts w:hint="default" w:ascii="Times New Roman" w:hAnsi="Times New Roman" w:eastAsia="宋体" w:cs="Times New Roman"/>
                <w:kern w:val="0"/>
                <w:sz w:val="22"/>
                <w:szCs w:val="22"/>
                <w:lang w:eastAsia="zh-CN"/>
              </w:rPr>
            </w:pPr>
            <w:r>
              <w:rPr>
                <w:rFonts w:hint="default" w:ascii="Times New Roman" w:hAnsi="Times New Roman" w:eastAsia="宋体" w:cs="Times New Roman"/>
                <w:kern w:val="0"/>
                <w:sz w:val="22"/>
                <w:szCs w:val="22"/>
                <w:lang w:val="en-US" w:eastAsia="zh-CN"/>
              </w:rPr>
              <w:t>1</w:t>
            </w:r>
          </w:p>
        </w:tc>
        <w:tc>
          <w:tcPr>
            <w:tcW w:w="5103" w:type="dxa"/>
            <w:tcBorders>
              <w:top w:val="nil"/>
              <w:left w:val="nil"/>
              <w:bottom w:val="single" w:color="auto" w:sz="4" w:space="0"/>
              <w:right w:val="single" w:color="auto" w:sz="4" w:space="0"/>
            </w:tcBorders>
            <w:vAlign w:val="center"/>
          </w:tcPr>
          <w:p w14:paraId="5CD0C4EF">
            <w:pPr>
              <w:widowControl/>
              <w:jc w:val="center"/>
              <w:rPr>
                <w:rFonts w:hint="default" w:ascii="Times New Roman" w:hAnsi="Times New Roman" w:eastAsia="宋体" w:cs="Times New Roman"/>
                <w:kern w:val="0"/>
                <w:sz w:val="22"/>
                <w:szCs w:val="22"/>
                <w:highlight w:val="none"/>
                <w:lang w:val="en-US" w:eastAsia="zh-CN"/>
              </w:rPr>
            </w:pPr>
            <w:r>
              <w:rPr>
                <w:rFonts w:hint="eastAsia" w:ascii="Times New Roman" w:hAnsi="Times New Roman" w:eastAsia="宋体" w:cs="Times New Roman"/>
                <w:kern w:val="0"/>
                <w:sz w:val="22"/>
                <w:szCs w:val="22"/>
                <w:highlight w:val="none"/>
                <w:lang w:val="en-US" w:eastAsia="zh-CN"/>
              </w:rPr>
              <w:t>17.98</w:t>
            </w:r>
          </w:p>
        </w:tc>
      </w:tr>
      <w:tr w14:paraId="1C6EB5C0">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63B08BE0">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3、单价在20万元以上设备</w:t>
            </w:r>
          </w:p>
        </w:tc>
        <w:tc>
          <w:tcPr>
            <w:tcW w:w="3155" w:type="dxa"/>
            <w:tcBorders>
              <w:top w:val="nil"/>
              <w:left w:val="nil"/>
              <w:bottom w:val="single" w:color="auto" w:sz="4" w:space="0"/>
              <w:right w:val="single" w:color="auto" w:sz="4" w:space="0"/>
            </w:tcBorders>
            <w:vAlign w:val="center"/>
          </w:tcPr>
          <w:p w14:paraId="06BA7A9B">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w:t>
            </w:r>
          </w:p>
        </w:tc>
        <w:tc>
          <w:tcPr>
            <w:tcW w:w="5103" w:type="dxa"/>
            <w:tcBorders>
              <w:top w:val="nil"/>
              <w:left w:val="nil"/>
              <w:bottom w:val="single" w:color="auto" w:sz="4" w:space="0"/>
              <w:right w:val="single" w:color="auto" w:sz="4" w:space="0"/>
            </w:tcBorders>
            <w:vAlign w:val="center"/>
          </w:tcPr>
          <w:p w14:paraId="2938B0C8">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0</w:t>
            </w:r>
          </w:p>
        </w:tc>
      </w:tr>
      <w:tr w14:paraId="3D261205">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14:paraId="7AEA4666">
            <w:pPr>
              <w:widowControl/>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4、其他固定资产</w:t>
            </w:r>
          </w:p>
        </w:tc>
        <w:tc>
          <w:tcPr>
            <w:tcW w:w="3155" w:type="dxa"/>
            <w:tcBorders>
              <w:top w:val="nil"/>
              <w:left w:val="nil"/>
              <w:bottom w:val="single" w:color="auto" w:sz="4" w:space="0"/>
              <w:right w:val="single" w:color="auto" w:sz="4" w:space="0"/>
            </w:tcBorders>
            <w:vAlign w:val="center"/>
          </w:tcPr>
          <w:p w14:paraId="544F0492">
            <w:pPr>
              <w:widowControl/>
              <w:jc w:val="center"/>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w:t>
            </w:r>
          </w:p>
        </w:tc>
        <w:tc>
          <w:tcPr>
            <w:tcW w:w="5103" w:type="dxa"/>
            <w:tcBorders>
              <w:top w:val="nil"/>
              <w:left w:val="nil"/>
              <w:bottom w:val="single" w:color="auto" w:sz="4" w:space="0"/>
              <w:right w:val="single" w:color="auto" w:sz="4" w:space="0"/>
            </w:tcBorders>
            <w:vAlign w:val="center"/>
          </w:tcPr>
          <w:p w14:paraId="7750134E">
            <w:pPr>
              <w:widowControl/>
              <w:jc w:val="center"/>
              <w:rPr>
                <w:rFonts w:hint="default" w:ascii="Times New Roman" w:hAnsi="Times New Roman" w:eastAsia="宋体" w:cs="Times New Roman"/>
                <w:kern w:val="0"/>
                <w:sz w:val="22"/>
                <w:szCs w:val="22"/>
                <w:highlight w:val="none"/>
                <w:lang w:val="en-US" w:eastAsia="zh-CN"/>
              </w:rPr>
            </w:pPr>
            <w:r>
              <w:rPr>
                <w:rFonts w:hint="eastAsia" w:ascii="Times New Roman" w:hAnsi="Times New Roman" w:eastAsia="宋体" w:cs="Times New Roman"/>
                <w:kern w:val="0"/>
                <w:sz w:val="22"/>
                <w:szCs w:val="22"/>
                <w:highlight w:val="none"/>
                <w:lang w:val="en-US" w:eastAsia="zh-CN"/>
              </w:rPr>
              <w:t>97.04</w:t>
            </w:r>
          </w:p>
        </w:tc>
      </w:tr>
    </w:tbl>
    <w:p w14:paraId="72F5411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黑体简体" w:cs="Times New Roman"/>
          <w:sz w:val="32"/>
          <w:szCs w:val="32"/>
        </w:rPr>
      </w:pPr>
    </w:p>
    <w:p w14:paraId="7FE5D3E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bookmarkStart w:id="0" w:name="_GoBack"/>
      <w:bookmarkEnd w:id="0"/>
    </w:p>
    <w:p w14:paraId="13206AE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八、名词解释</w:t>
      </w:r>
    </w:p>
    <w:p w14:paraId="39578E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1、一般公共预算拨款收入：指</w:t>
      </w:r>
      <w:r>
        <w:rPr>
          <w:rFonts w:hint="eastAsia" w:ascii="Times New Roman" w:hAnsi="Times New Roman" w:eastAsia="方正仿宋简体" w:cs="Times New Roman"/>
          <w:sz w:val="32"/>
          <w:szCs w:val="32"/>
          <w:lang w:eastAsia="zh-CN"/>
        </w:rPr>
        <w:t>本</w:t>
      </w:r>
      <w:r>
        <w:rPr>
          <w:rFonts w:hint="default" w:ascii="Times New Roman" w:hAnsi="Times New Roman" w:eastAsia="方正仿宋简体" w:cs="Times New Roman"/>
          <w:sz w:val="32"/>
          <w:szCs w:val="32"/>
        </w:rPr>
        <w:t>级财政当年拨付的资金。</w:t>
      </w:r>
    </w:p>
    <w:p w14:paraId="2A436C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2、基本支出：指为保障机构正常运转、完成日常工作任务而发生的人员支出和公用支出。</w:t>
      </w:r>
    </w:p>
    <w:p w14:paraId="14E9AB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3、项目支出：指在基本支出之外为完成特定行政任务和事业发展目标所发生的支出。</w:t>
      </w:r>
    </w:p>
    <w:p w14:paraId="69C7313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4、“三公”经费：纳入</w:t>
      </w:r>
      <w:r>
        <w:rPr>
          <w:rFonts w:hint="eastAsia" w:ascii="Times New Roman" w:hAnsi="Times New Roman" w:eastAsia="方正仿宋简体" w:cs="Times New Roman"/>
          <w:sz w:val="32"/>
          <w:szCs w:val="32"/>
          <w:lang w:eastAsia="zh-CN"/>
        </w:rPr>
        <w:t>本</w:t>
      </w:r>
      <w:r>
        <w:rPr>
          <w:rFonts w:hint="default" w:ascii="Times New Roman" w:hAnsi="Times New Roman" w:eastAsia="方正仿宋简体" w:cs="Times New Roman"/>
          <w:sz w:val="32"/>
          <w:szCs w:val="32"/>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AB79E1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A17A58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仿宋简体" w:cs="Times New Roman"/>
          <w:sz w:val="32"/>
          <w:szCs w:val="32"/>
        </w:rPr>
        <w:t>6、上年结转：指以前年度尚未完成、结转到本年仍按原规定用途继续使用的资金。</w:t>
      </w:r>
    </w:p>
    <w:p w14:paraId="6E23451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p>
    <w:p w14:paraId="48E186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九、其他需要说明的事项</w:t>
      </w:r>
    </w:p>
    <w:p w14:paraId="5EFC80ED">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我</w:t>
      </w:r>
      <w:r>
        <w:rPr>
          <w:rFonts w:hint="default" w:ascii="Times New Roman" w:hAnsi="Times New Roman" w:eastAsia="方正仿宋简体" w:cs="Times New Roman"/>
          <w:b w:val="0"/>
          <w:color w:val="000000"/>
          <w:sz w:val="32"/>
          <w:szCs w:val="32"/>
          <w:lang w:val="en-US" w:eastAsia="zh-CN"/>
        </w:rPr>
        <w:t>部门</w:t>
      </w:r>
      <w:r>
        <w:rPr>
          <w:rFonts w:hint="default" w:ascii="Times New Roman" w:hAnsi="Times New Roman" w:eastAsia="方正仿宋简体" w:cs="Times New Roman"/>
          <w:b w:val="0"/>
          <w:color w:val="000000"/>
          <w:sz w:val="32"/>
          <w:szCs w:val="32"/>
        </w:rPr>
        <w:t>无其他需要说明的事项。</w:t>
      </w: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365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Y2MxNWZlMzJiYzQ1YjhiNTU5YTdmYWMxZWQzMDMifQ=="/>
  </w:docVars>
  <w:rsids>
    <w:rsidRoot w:val="00000000"/>
    <w:rsid w:val="016D3955"/>
    <w:rsid w:val="08D33851"/>
    <w:rsid w:val="0A316318"/>
    <w:rsid w:val="146A5D25"/>
    <w:rsid w:val="152F029C"/>
    <w:rsid w:val="17EB1B41"/>
    <w:rsid w:val="201D4B75"/>
    <w:rsid w:val="22185A85"/>
    <w:rsid w:val="291361D4"/>
    <w:rsid w:val="31FA13FE"/>
    <w:rsid w:val="403B6310"/>
    <w:rsid w:val="4925061D"/>
    <w:rsid w:val="4A121E22"/>
    <w:rsid w:val="54D7646A"/>
    <w:rsid w:val="55001BF3"/>
    <w:rsid w:val="625E46B5"/>
    <w:rsid w:val="64E74E82"/>
    <w:rsid w:val="6F423B25"/>
    <w:rsid w:val="785527B9"/>
    <w:rsid w:val="7BB9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宋体" w:hAnsi="宋体" w:eastAsia="宋体" w:cs="Times New Roman"/>
      <w:kern w:val="0"/>
      <w:sz w:val="28"/>
      <w:szCs w:val="22"/>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6">
    <w:name w:val="单元格样式20"/>
    <w:qFormat/>
    <w:uiPriority w:val="0"/>
    <w:pPr>
      <w:spacing w:before="0" w:after="0"/>
      <w:ind w:firstLine="0"/>
      <w:jc w:val="left"/>
      <w:outlineLvl w:val="9"/>
    </w:pPr>
    <w:rPr>
      <w:rFonts w:ascii="方正小标宋_GBK" w:hAnsi="方正小标宋_GBK" w:eastAsia="方正小标宋_GBK" w:cs="方正小标宋_GBK"/>
      <w:sz w:val="24"/>
      <w:szCs w:val="24"/>
      <w:lang w:val="en-US" w:eastAsia="uk-UA" w:bidi="ar-SA"/>
    </w:rPr>
  </w:style>
  <w:style w:type="paragraph" w:customStyle="1" w:styleId="7">
    <w:name w:val="单元格样式1"/>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8">
    <w:name w:val="单元格样式6"/>
    <w:qFormat/>
    <w:uiPriority w:val="0"/>
    <w:pPr>
      <w:spacing w:before="0" w:after="0"/>
      <w:ind w:firstLine="0"/>
      <w:jc w:val="center"/>
      <w:outlineLvl w:val="9"/>
    </w:pPr>
    <w:rPr>
      <w:rFonts w:ascii="方正书宋_GBK" w:hAnsi="方正书宋_GBK" w:eastAsia="方正书宋_GBK" w:cs="方正书宋_GBK"/>
      <w:b/>
      <w:sz w:val="21"/>
      <w:szCs w:val="24"/>
      <w:lang w:val="en-US" w:eastAsia="uk-UA" w:bidi="ar-SA"/>
    </w:rPr>
  </w:style>
  <w:style w:type="paragraph" w:customStyle="1" w:styleId="9">
    <w:name w:val="单元格样式7"/>
    <w:qFormat/>
    <w:uiPriority w:val="0"/>
    <w:pPr>
      <w:spacing w:before="0" w:after="0"/>
      <w:ind w:firstLine="0"/>
      <w:jc w:val="right"/>
      <w:outlineLvl w:val="9"/>
    </w:pPr>
    <w:rPr>
      <w:rFonts w:ascii="方正书宋_GBK" w:hAnsi="方正书宋_GBK" w:eastAsia="方正书宋_GBK" w:cs="方正书宋_GBK"/>
      <w:b/>
      <w:sz w:val="21"/>
      <w:szCs w:val="24"/>
      <w:lang w:val="en-US" w:eastAsia="uk-UA" w:bidi="ar-SA"/>
    </w:rPr>
  </w:style>
  <w:style w:type="paragraph" w:customStyle="1" w:styleId="10">
    <w:name w:val="单元格样式5"/>
    <w:qFormat/>
    <w:uiPriority w:val="0"/>
    <w:pPr>
      <w:spacing w:before="0" w:after="0"/>
      <w:ind w:firstLine="0"/>
      <w:jc w:val="left"/>
      <w:outlineLvl w:val="9"/>
    </w:pPr>
    <w:rPr>
      <w:rFonts w:ascii="方正书宋_GBK" w:hAnsi="方正书宋_GBK" w:eastAsia="方正书宋_GBK" w:cs="方正书宋_GBK"/>
      <w:b/>
      <w:sz w:val="21"/>
      <w:szCs w:val="24"/>
      <w:lang w:val="en-US" w:eastAsia="uk-UA" w:bidi="ar-SA"/>
    </w:rPr>
  </w:style>
  <w:style w:type="paragraph" w:customStyle="1" w:styleId="11">
    <w:name w:val="单元格样式2"/>
    <w:qFormat/>
    <w:uiPriority w:val="0"/>
    <w:pPr>
      <w:spacing w:before="0" w:after="0"/>
      <w:ind w:firstLine="0"/>
      <w:jc w:val="left"/>
      <w:outlineLvl w:val="9"/>
    </w:pPr>
    <w:rPr>
      <w:rFonts w:ascii="方正书宋_GBK" w:hAnsi="方正书宋_GBK" w:eastAsia="方正书宋_GBK" w:cs="方正书宋_GBK"/>
      <w:sz w:val="21"/>
      <w:szCs w:val="24"/>
      <w:lang w:val="en-US" w:eastAsia="uk-UA" w:bidi="ar-SA"/>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szCs w:val="24"/>
      <w:lang w:val="en-US" w:eastAsia="uk-UA" w:bidi="ar-SA"/>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szCs w:val="24"/>
      <w:lang w:val="en-US" w:eastAsia="uk-UA" w:bidi="ar-SA"/>
    </w:rPr>
  </w:style>
  <w:style w:type="paragraph" w:customStyle="1" w:styleId="1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2158</Words>
  <Characters>2257</Characters>
  <Lines>0</Lines>
  <Paragraphs>0</Paragraphs>
  <TotalTime>1</TotalTime>
  <ScaleCrop>false</ScaleCrop>
  <LinksUpToDate>false</LinksUpToDate>
  <CharactersWithSpaces>2300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wangqian</dc:creator>
  <cp:lastModifiedBy>王倩</cp:lastModifiedBy>
  <dcterms:modified xsi:type="dcterms:W3CDTF">2024-08-14T08:02:25Z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204B99DB527546D58304A96F73C56F02</vt:lpwstr>
  </property>
</Properties>
</file>