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202</w:t>
      </w:r>
      <w:r>
        <w:rPr>
          <w:rFonts w:hint="eastAsia" w:ascii="Times New Roman" w:hAnsi="Times New Roman" w:cs="Times New Roman" w:eastAsiaTheme="minorEastAsia"/>
          <w:sz w:val="44"/>
          <w:szCs w:val="44"/>
        </w:rPr>
        <w:t>3</w:t>
      </w:r>
      <w:r>
        <w:rPr>
          <w:rFonts w:hint="eastAsia" w:ascii="Times New Roman" w:hAnsi="Times New Roman" w:eastAsia="方正小标宋_GBK" w:cs="Times New Roman"/>
          <w:sz w:val="44"/>
          <w:szCs w:val="44"/>
        </w:rPr>
        <w:t>年曹妃甸区装备制造园区管理委员会</w:t>
      </w:r>
      <w:r>
        <w:rPr>
          <w:rFonts w:ascii="Times New Roman" w:hAnsi="Times New Roman" w:eastAsia="方正小标宋_GBK" w:cs="Times New Roman"/>
          <w:sz w:val="44"/>
          <w:szCs w:val="44"/>
        </w:rPr>
        <w:t>部门预算</w:t>
      </w:r>
      <w:r>
        <w:rPr>
          <w:rFonts w:hint="eastAsia" w:ascii="Times New Roman" w:hAnsi="Times New Roman" w:eastAsia="方正小标宋_GBK" w:cs="Times New Roman"/>
          <w:sz w:val="44"/>
          <w:szCs w:val="44"/>
        </w:rPr>
        <w:t>公开</w:t>
      </w:r>
      <w:r>
        <w:rPr>
          <w:rFonts w:ascii="Times New Roman" w:hAnsi="Times New Roman" w:eastAsia="方正小标宋_GBK" w:cs="Times New Roman"/>
          <w:sz w:val="44"/>
          <w:szCs w:val="44"/>
        </w:rPr>
        <w:t>信息</w:t>
      </w:r>
      <w:r>
        <w:rPr>
          <w:rFonts w:hint="eastAsia" w:ascii="Times New Roman" w:hAnsi="Times New Roman" w:eastAsia="方正小标宋_GBK" w:cs="Times New Roman"/>
          <w:sz w:val="44"/>
          <w:szCs w:val="44"/>
        </w:rPr>
        <w:t>说明</w:t>
      </w:r>
    </w:p>
    <w:p>
      <w:pPr>
        <w:ind w:firstLine="640" w:firstLineChars="200"/>
        <w:rPr>
          <w:rFonts w:ascii="仿宋" w:hAnsi="仿宋" w:eastAsia="仿宋" w:cs="仿宋"/>
          <w:sz w:val="32"/>
          <w:szCs w:val="32"/>
        </w:rPr>
      </w:pPr>
      <w:r>
        <w:rPr>
          <w:rFonts w:hint="eastAsia" w:ascii="仿宋" w:hAnsi="仿宋" w:eastAsia="仿宋" w:cs="仿宋"/>
          <w:sz w:val="32"/>
          <w:szCs w:val="32"/>
        </w:rPr>
        <w:t>按照《预算法》、《河北省预决算公开操作规程实施细则》规定，现将2023年部门预算公开如下：</w:t>
      </w:r>
    </w:p>
    <w:p>
      <w:pPr>
        <w:numPr>
          <w:ilvl w:val="0"/>
          <w:numId w:val="1"/>
        </w:numPr>
        <w:ind w:firstLine="640"/>
        <w:rPr>
          <w:rFonts w:ascii="黑体" w:hAnsi="黑体" w:eastAsia="黑体" w:cs="Times New Roman"/>
          <w:sz w:val="32"/>
          <w:szCs w:val="32"/>
        </w:rPr>
      </w:pPr>
      <w:r>
        <w:rPr>
          <w:rFonts w:hint="eastAsia" w:ascii="黑体" w:hAnsi="黑体" w:eastAsia="黑体" w:cs="Times New Roman"/>
          <w:sz w:val="32"/>
          <w:szCs w:val="32"/>
        </w:rPr>
        <w:t>部门职责及机构设置情况</w:t>
      </w:r>
    </w:p>
    <w:p>
      <w:pPr>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pPr>
        <w:ind w:firstLine="600" w:firstLineChars="200"/>
        <w:rPr>
          <w:rFonts w:ascii="仿宋" w:hAnsi="仿宋" w:eastAsia="仿宋" w:cs="仿宋"/>
          <w:sz w:val="30"/>
          <w:szCs w:val="30"/>
        </w:rPr>
      </w:pPr>
      <w:r>
        <w:rPr>
          <w:rFonts w:hint="eastAsia" w:ascii="仿宋" w:hAnsi="仿宋" w:eastAsia="仿宋" w:cs="仿宋"/>
          <w:color w:val="000000"/>
          <w:sz w:val="30"/>
          <w:szCs w:val="30"/>
        </w:rPr>
        <w:t>1、编制辖区的总体规划和经济发展规划，经批准后组织实施。2、组织对区域城市发展规划、建设规划提出建议，并协助组织实施。3、负责或协助做好辖区基础设施和公用设施的维护及管理。4、负责辖区项目谋划、招商引资、投资促进和企业服务。5、负责辖区生态建设、环境管理与保护。6、负责辖区装备制造产业的培育与协调联系行业管理。7、负责辖区财务管理、国有资产管理和财务监督工作。8、负责辖区安全生产监督、管理。9、负责协调辖区内上级有关部门派驻机构的工作。</w:t>
      </w:r>
    </w:p>
    <w:p>
      <w:pPr>
        <w:autoSpaceDE w:val="0"/>
        <w:autoSpaceDN w:val="0"/>
        <w:adjustRightInd w:val="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tbl>
      <w:tblPr>
        <w:tblStyle w:val="11"/>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3" w:type="dxa"/>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3543" w:type="dxa"/>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3544" w:type="dxa"/>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3544" w:type="dxa"/>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3543" w:type="dxa"/>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综合办公室</w:t>
            </w:r>
          </w:p>
        </w:tc>
        <w:tc>
          <w:tcPr>
            <w:tcW w:w="3543"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行政</w:t>
            </w:r>
          </w:p>
        </w:tc>
        <w:tc>
          <w:tcPr>
            <w:tcW w:w="3544" w:type="dxa"/>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544" w:type="dxa"/>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3543" w:type="dxa"/>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建设和环境管理局</w:t>
            </w:r>
          </w:p>
        </w:tc>
        <w:tc>
          <w:tcPr>
            <w:tcW w:w="3543"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行政</w:t>
            </w:r>
          </w:p>
        </w:tc>
        <w:tc>
          <w:tcPr>
            <w:tcW w:w="3544" w:type="dxa"/>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544"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3543" w:type="dxa"/>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投资贸易促进中心</w:t>
            </w:r>
          </w:p>
        </w:tc>
        <w:tc>
          <w:tcPr>
            <w:tcW w:w="3543"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3544" w:type="dxa"/>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544"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3543" w:type="dxa"/>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创业服务中心</w:t>
            </w:r>
          </w:p>
        </w:tc>
        <w:tc>
          <w:tcPr>
            <w:tcW w:w="3543"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3544" w:type="dxa"/>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544"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3" w:type="dxa"/>
          </w:tcPr>
          <w:p>
            <w:pPr>
              <w:outlineLvl w:val="0"/>
              <w:rPr>
                <w:rFonts w:ascii="仿宋_GB2312" w:hAnsi="仿宋_GB2312" w:eastAsia="仿宋_GB2312" w:cs="仿宋_GB2312"/>
                <w:spacing w:val="-20"/>
                <w:w w:val="90"/>
                <w:sz w:val="32"/>
                <w:szCs w:val="32"/>
              </w:rPr>
            </w:pPr>
            <w:r>
              <w:rPr>
                <w:rFonts w:hint="eastAsia" w:ascii="仿宋_GB2312" w:hAnsi="仿宋_GB2312" w:eastAsia="仿宋_GB2312" w:cs="仿宋_GB2312"/>
                <w:spacing w:val="-20"/>
                <w:w w:val="90"/>
                <w:sz w:val="32"/>
                <w:szCs w:val="32"/>
              </w:rPr>
              <w:t>安全生产监督管理执法大队</w:t>
            </w:r>
          </w:p>
        </w:tc>
        <w:tc>
          <w:tcPr>
            <w:tcW w:w="3543"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3544" w:type="dxa"/>
            <w:vAlign w:val="center"/>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544"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bl>
    <w:p>
      <w:pPr>
        <w:rPr>
          <w:rFonts w:ascii="黑体" w:hAnsi="黑体" w:eastAsia="黑体" w:cs="Times New Roman"/>
          <w:sz w:val="32"/>
          <w:szCs w:val="32"/>
        </w:rPr>
      </w:pPr>
      <w:r>
        <w:rPr>
          <w:rFonts w:hint="eastAsia" w:ascii="黑体" w:hAnsi="黑体" w:eastAsia="黑体" w:cs="Times New Roman"/>
          <w:sz w:val="32"/>
          <w:szCs w:val="32"/>
        </w:rPr>
        <w:t xml:space="preserve">    二、部门预算安排的总体情况</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pPr>
        <w:ind w:firstLine="640" w:firstLineChars="200"/>
        <w:rPr>
          <w:rFonts w:ascii="Times New Roman" w:hAnsi="Times New Roman" w:eastAsia="仿宋_GB2312" w:cs="Times New Roman"/>
          <w:sz w:val="32"/>
          <w:szCs w:val="32"/>
        </w:rPr>
      </w:pPr>
      <w:r>
        <w:rPr>
          <w:rFonts w:ascii="Times New Roman" w:hAnsi="Times New Roman" w:eastAsia="方正仿宋简体" w:cs="Times New Roman"/>
          <w:sz w:val="32"/>
          <w:szCs w:val="32"/>
        </w:rPr>
        <w:t>本部门202</w:t>
      </w: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年预算收入</w:t>
      </w:r>
      <w:r>
        <w:rPr>
          <w:rFonts w:hint="eastAsia" w:ascii="Times New Roman" w:hAnsi="Times New Roman" w:eastAsia="方正仿宋简体" w:cs="Times New Roman"/>
          <w:kern w:val="0"/>
          <w:sz w:val="32"/>
          <w:szCs w:val="32"/>
        </w:rPr>
        <w:t>905.21</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w:t>
      </w:r>
      <w:r>
        <w:rPr>
          <w:rFonts w:hint="eastAsia" w:ascii="仿宋_GB2312" w:hAnsi="仿宋_GB2312" w:eastAsia="仿宋_GB2312" w:cs="仿宋_GB2312"/>
          <w:sz w:val="32"/>
          <w:szCs w:val="32"/>
        </w:rPr>
        <w:t>其中：一般公共预算收入</w:t>
      </w:r>
      <w:r>
        <w:rPr>
          <w:rFonts w:hint="eastAsia" w:ascii="Times New Roman" w:hAnsi="Times New Roman" w:eastAsia="方正仿宋简体" w:cs="Times New Roman"/>
          <w:kern w:val="0"/>
          <w:sz w:val="32"/>
          <w:szCs w:val="32"/>
        </w:rPr>
        <w:t>905.21</w:t>
      </w:r>
      <w:r>
        <w:rPr>
          <w:rFonts w:hint="eastAsia" w:ascii="仿宋_GB2312" w:hAnsi="仿宋_GB2312" w:eastAsia="仿宋_GB2312" w:cs="仿宋_GB2312"/>
          <w:sz w:val="32"/>
          <w:szCs w:val="32"/>
        </w:rPr>
        <w:t>万元，基金预算收入0万元，财政专户核拨收入0万元，其他来源收入0万元。</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收支预算总表支出栏、基本支出表、项目支出表按经济分类和支出功能分类科目编制，反映曹妃甸区装备制造园区管理委员会年度部门预算中支出预算的总体情况。</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年部门支出预算为</w:t>
      </w:r>
      <w:r>
        <w:rPr>
          <w:rFonts w:hint="eastAsia" w:ascii="Times New Roman" w:hAnsi="Times New Roman" w:eastAsia="方正仿宋简体" w:cs="Times New Roman"/>
          <w:kern w:val="0"/>
          <w:sz w:val="32"/>
          <w:szCs w:val="32"/>
        </w:rPr>
        <w:t>905.21</w:t>
      </w:r>
      <w:r>
        <w:rPr>
          <w:rFonts w:hint="eastAsia" w:ascii="仿宋_GB2312" w:hAnsi="仿宋_GB2312" w:eastAsia="仿宋_GB2312" w:cs="仿宋_GB2312"/>
          <w:sz w:val="32"/>
          <w:szCs w:val="32"/>
        </w:rPr>
        <w:t>万元，其中基本支出</w:t>
      </w:r>
      <w:r>
        <w:rPr>
          <w:rFonts w:hint="eastAsia" w:ascii="Times New Roman" w:hAnsi="Times New Roman" w:eastAsia="仿宋_GB2312" w:cs="Times New Roman"/>
          <w:kern w:val="0"/>
          <w:sz w:val="32"/>
          <w:szCs w:val="32"/>
        </w:rPr>
        <w:t>905.21</w:t>
      </w:r>
      <w:r>
        <w:rPr>
          <w:rFonts w:hint="eastAsia" w:ascii="仿宋_GB2312" w:hAnsi="仿宋_GB2312" w:eastAsia="仿宋_GB2312" w:cs="仿宋_GB2312"/>
          <w:sz w:val="32"/>
          <w:szCs w:val="32"/>
        </w:rPr>
        <w:t>万元，包括人员经费</w:t>
      </w:r>
      <w:r>
        <w:rPr>
          <w:rFonts w:hint="eastAsia" w:ascii="Times New Roman" w:hAnsi="Times New Roman" w:eastAsia="仿宋_GB2312" w:cs="Times New Roman"/>
          <w:sz w:val="32"/>
          <w:szCs w:val="32"/>
        </w:rPr>
        <w:t>860.22</w:t>
      </w:r>
      <w:r>
        <w:rPr>
          <w:rFonts w:hint="eastAsia" w:ascii="仿宋_GB2312" w:hAnsi="仿宋_GB2312" w:eastAsia="仿宋_GB2312" w:cs="仿宋_GB2312"/>
          <w:sz w:val="32"/>
          <w:szCs w:val="32"/>
        </w:rPr>
        <w:t>万元和日常公用经费</w:t>
      </w:r>
      <w:r>
        <w:rPr>
          <w:rFonts w:hint="eastAsia" w:ascii="Times New Roman" w:hAnsi="Times New Roman" w:eastAsia="仿宋_GB2312" w:cs="Times New Roman"/>
          <w:kern w:val="0"/>
          <w:sz w:val="32"/>
          <w:szCs w:val="32"/>
        </w:rPr>
        <w:t>44.99</w:t>
      </w:r>
      <w:r>
        <w:rPr>
          <w:rFonts w:hint="eastAsia" w:ascii="仿宋_GB2312" w:hAnsi="仿宋_GB2312" w:eastAsia="仿宋_GB2312" w:cs="仿宋_GB2312"/>
          <w:sz w:val="32"/>
          <w:szCs w:val="32"/>
        </w:rPr>
        <w:t>万元。</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rPr>
          <w:rFonts w:ascii="Times New Roman" w:hAnsi="Times New Roman" w:eastAsia="仿宋_GB2312" w:cs="Times New Roman"/>
          <w:sz w:val="32"/>
          <w:szCs w:val="32"/>
        </w:rPr>
      </w:pPr>
      <w:r>
        <w:rPr>
          <w:rFonts w:hint="eastAsia" w:ascii="仿宋_GB2312" w:hAnsi="仿宋_GB2312" w:eastAsia="仿宋_GB2312" w:cs="仿宋_GB2312"/>
          <w:sz w:val="32"/>
          <w:szCs w:val="32"/>
        </w:rPr>
        <w:t xml:space="preserve">   </w:t>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年部门预</w:t>
      </w:r>
      <w:r>
        <w:rPr>
          <w:rFonts w:ascii="Times New Roman" w:hAnsi="Times New Roman" w:eastAsia="仿宋_GB2312" w:cs="Times New Roman"/>
          <w:sz w:val="32"/>
          <w:szCs w:val="32"/>
        </w:rPr>
        <w:t>算905.21万元较202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年2033.05万元减少1127.8</w:t>
      </w: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万元，其中：基本支</w:t>
      </w:r>
      <w:r>
        <w:rPr>
          <w:rFonts w:ascii="Times New Roman" w:hAnsi="Times New Roman" w:eastAsia="仿宋_GB2312" w:cs="Times New Roman"/>
          <w:sz w:val="32"/>
          <w:szCs w:val="32"/>
        </w:rPr>
        <w:t>出905.21万元较202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年730.09万元增加175.12万元，主要原因为人员增加；项目支出比上年1302.96万元减少1302.96万元，主要原因为本年度未安排</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支出。</w:t>
      </w:r>
    </w:p>
    <w:p>
      <w:pPr>
        <w:numPr>
          <w:ilvl w:val="0"/>
          <w:numId w:val="3"/>
        </w:num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机关运行经费安排情况</w:t>
      </w:r>
    </w:p>
    <w:p>
      <w:pPr>
        <w:autoSpaceDE w:val="0"/>
        <w:autoSpaceDN w:val="0"/>
        <w:adjustRightInd w:val="0"/>
        <w:ind w:left="198"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hint="eastAsia" w:ascii="Times New Roman" w:hAnsi="Times New Roman" w:eastAsia="仿宋_GB2312" w:cs="Times New Roman"/>
          <w:sz w:val="32"/>
          <w:szCs w:val="32"/>
        </w:rPr>
        <w:t>44.99</w:t>
      </w:r>
      <w:r>
        <w:rPr>
          <w:rFonts w:hint="eastAsia" w:ascii="仿宋_GB2312" w:hAnsi="仿宋_GB2312" w:eastAsia="仿宋_GB2312" w:cs="仿宋_GB2312"/>
          <w:sz w:val="32"/>
          <w:szCs w:val="32"/>
        </w:rPr>
        <w:t>万元，主要用于保证机关正常运转的办公费、邮电费、福利费、公务车运行维护费等支出。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年，我单位“三公”经费安排3万元，比2022年“三公”经费43.5万元减少40.5万元，其中：因公出国（境）费0万元与上年持平；公务用车购置费0万元，与上年持平；公务车运维费3万元，与上年持平；公务接待费0万元，比上年减少21.65万元，主要本年度未安排公务接待费费；会议费0万元，比上年减少18.85万元，主要因增加本年度未安排会议费；培训费0万元，与上年持平。具体安排情况为：</w:t>
      </w:r>
    </w:p>
    <w:p>
      <w:pPr>
        <w:autoSpaceDE w:val="0"/>
        <w:autoSpaceDN w:val="0"/>
        <w:adjustRightInd w:val="0"/>
        <w:ind w:left="198"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（一）公务用车购置及运行费。共计安排3万元，与上年持平。（1）公务用车购置安排0万元；（2）公车运行维护经费安排3万元，与上年持平。</w:t>
      </w:r>
    </w:p>
    <w:p>
      <w:pPr>
        <w:autoSpaceDE w:val="0"/>
        <w:autoSpaceDN w:val="0"/>
        <w:adjustRightInd w:val="0"/>
        <w:ind w:left="198"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（二）公务接待费。安排0万元，比上年减少21.65万元，主要本年度未安排公务接待费费。</w:t>
      </w:r>
    </w:p>
    <w:p>
      <w:pPr>
        <w:autoSpaceDE w:val="0"/>
        <w:autoSpaceDN w:val="0"/>
        <w:adjustRightInd w:val="0"/>
        <w:ind w:left="198"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（三）因公出国费。安排0万元。</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803" w:firstLineChars="250"/>
        <w:jc w:val="left"/>
        <w:rPr>
          <w:rFonts w:ascii="Times New Roman" w:hAnsi="Times New Roman" w:eastAsia="方正仿宋_GBK" w:cs="Times New Roman"/>
          <w:b/>
          <w:sz w:val="32"/>
          <w:szCs w:val="32"/>
        </w:rPr>
      </w:pPr>
      <w:r>
        <w:rPr>
          <w:rFonts w:ascii="Times New Roman" w:hAnsi="Times New Roman" w:eastAsia="方正仿宋_GBK" w:cs="Times New Roman"/>
          <w:b/>
          <w:sz w:val="32"/>
          <w:szCs w:val="32"/>
        </w:rPr>
        <w:t>总体绩效目标：</w:t>
      </w:r>
    </w:p>
    <w:p>
      <w:pPr>
        <w:spacing w:line="640" w:lineRule="exact"/>
        <w:ind w:firstLine="800" w:firstLineChars="250"/>
        <w:rPr>
          <w:rFonts w:ascii="仿宋_GB2312" w:hAnsi="仿宋_GB2312" w:eastAsia="仿宋_GB2312" w:cs="仿宋_GB2312"/>
          <w:sz w:val="32"/>
          <w:szCs w:val="32"/>
        </w:rPr>
      </w:pPr>
      <w:r>
        <w:rPr>
          <w:rFonts w:hint="eastAsia" w:ascii="Times New Roman" w:hAnsi="Times New Roman" w:eastAsia="仿宋_GB2312" w:cs="Times New Roman"/>
          <w:sz w:val="32"/>
          <w:szCs w:val="32"/>
        </w:rPr>
        <w:t>装备园区坚定“抓招商、上项目、促运营”工作主线不放松，一步一个脚印，扎实推进园区各项工作再上新台阶。2023年主要经济指标预期:预计完成新开工亿元以上项目16个以上；新竣工亿元以上项目15个以上；固定资产投资额150亿元；新增高新技术企业10家；新增规上工业企业8家，科小20家以上，规上工业增加值增速15%以上。一、坚持项目带动，为园区发展提供有力支撑。（一）签约项目促开工。（二）续建项目促投产。二、强化招商引资，加快产业聚集。全年力争完成新签项目协议投资200亿元以上，新引进亿元以上工业项目30个。（一）全力推动新能源装备制造项目引进。（二）继续延伸钢铁深加工产业链条。（三）推动木材深加工产业升级。（四）注重引进配套产业项目。三、补齐短板，稳步推进配套基础设施建设。（一）积极推动道路设施建设。（二）积极推动给排水建设。（三）积极推动园区电力设施建设。</w:t>
      </w:r>
    </w:p>
    <w:p>
      <w:pPr>
        <w:ind w:firstLine="562"/>
        <w:jc w:val="left"/>
        <w:rPr>
          <w:rFonts w:ascii="方正楷体_GBK" w:eastAsia="方正楷体_GBK"/>
          <w:b/>
          <w:color w:val="000000"/>
          <w:sz w:val="28"/>
        </w:rPr>
      </w:pPr>
    </w:p>
    <w:p>
      <w:pPr>
        <w:ind w:firstLine="562"/>
        <w:jc w:val="left"/>
        <w:rPr>
          <w:rFonts w:ascii="方正楷体_GBK" w:eastAsia="方正楷体_GBK"/>
          <w:b/>
          <w:color w:val="000000"/>
          <w:sz w:val="28"/>
        </w:rPr>
      </w:pPr>
    </w:p>
    <w:p>
      <w:pPr>
        <w:ind w:firstLine="562"/>
        <w:jc w:val="left"/>
        <w:rPr>
          <w:rFonts w:ascii="方正楷体_GBK" w:eastAsia="方正楷体_GBK"/>
          <w:b/>
          <w:color w:val="000000"/>
          <w:sz w:val="28"/>
        </w:rPr>
      </w:pPr>
    </w:p>
    <w:p>
      <w:pPr>
        <w:ind w:firstLine="562"/>
        <w:jc w:val="left"/>
        <w:rPr>
          <w:rFonts w:ascii="方正楷体_GBK" w:eastAsia="方正楷体_GBK"/>
          <w:b/>
          <w:color w:val="000000"/>
          <w:sz w:val="28"/>
        </w:rPr>
      </w:pPr>
    </w:p>
    <w:p>
      <w:pPr>
        <w:ind w:firstLine="562"/>
        <w:jc w:val="left"/>
        <w:rPr>
          <w:rFonts w:ascii="方正楷体_GBK" w:eastAsia="方正楷体_GBK"/>
          <w:b/>
          <w:color w:val="000000"/>
          <w:sz w:val="28"/>
        </w:rPr>
      </w:pPr>
    </w:p>
    <w:p>
      <w:pPr>
        <w:ind w:firstLine="562"/>
        <w:jc w:val="left"/>
        <w:rPr>
          <w:rFonts w:ascii="方正楷体_GBK" w:eastAsia="方正楷体_GBK"/>
          <w:b/>
          <w:color w:val="000000"/>
          <w:sz w:val="28"/>
        </w:rPr>
      </w:pPr>
    </w:p>
    <w:p>
      <w:pPr>
        <w:ind w:firstLine="562"/>
        <w:jc w:val="left"/>
        <w:rPr>
          <w:rFonts w:ascii="方正楷体_GBK" w:eastAsia="方正楷体_GBK"/>
          <w:b/>
          <w:color w:val="000000"/>
          <w:sz w:val="28"/>
        </w:rPr>
      </w:pPr>
    </w:p>
    <w:p>
      <w:pPr>
        <w:ind w:firstLine="562"/>
        <w:jc w:val="left"/>
        <w:rPr>
          <w:sz w:val="28"/>
        </w:rPr>
      </w:pPr>
      <w:r>
        <w:rPr>
          <w:rFonts w:hint="eastAsia" w:ascii="方正楷体_GBK" w:eastAsia="方正楷体_GBK"/>
          <w:b/>
          <w:color w:val="000000"/>
          <w:sz w:val="28"/>
        </w:rPr>
        <w:t>职责分类绩效目标：</w:t>
      </w:r>
      <w:bookmarkStart w:id="0" w:name="_Toc477172321"/>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bookmarkEnd w:id="0"/>
    </w:p>
    <w:p>
      <w:pPr>
        <w:spacing w:line="300" w:lineRule="exact"/>
        <w:jc w:val="left"/>
        <w:outlineLvl w:val="0"/>
      </w:pPr>
    </w:p>
    <w:tbl>
      <w:tblPr>
        <w:tblStyle w:val="11"/>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3097"/>
        <w:gridCol w:w="1296"/>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806</w:t>
            </w:r>
            <w:r>
              <w:rPr>
                <w:rFonts w:hint="eastAsia" w:ascii="方正小标宋_GBK" w:eastAsia="方正小标宋_GBK"/>
                <w:sz w:val="24"/>
              </w:rPr>
              <w:t>曹妃甸区装备制造园区管理委员会</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309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9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3097" w:type="dxa"/>
            <w:vMerge w:val="continue"/>
            <w:shd w:val="clear" w:color="auto" w:fill="auto"/>
            <w:vAlign w:val="center"/>
          </w:tcPr>
          <w:p>
            <w:pPr>
              <w:spacing w:line="300" w:lineRule="exact"/>
              <w:jc w:val="left"/>
              <w:outlineLvl w:val="0"/>
            </w:pPr>
          </w:p>
        </w:tc>
        <w:tc>
          <w:tcPr>
            <w:tcW w:w="1296"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一、组织全县安全生产综合监督管理</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905.21</w:t>
            </w:r>
          </w:p>
        </w:tc>
        <w:tc>
          <w:tcPr>
            <w:tcW w:w="2976"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承担全区安全生产综合监督管理责任，依法行使综合监督管理职权；根据《安全生产法》、《安全生产违法行为行政处罚办法》等法律法规，依法开展执法检查工作，对发现的安全生产违法行为依法进行行政处罚，遏制重特大事故发生，确保全区安全生产形势稳定。</w:t>
            </w:r>
          </w:p>
        </w:tc>
        <w:tc>
          <w:tcPr>
            <w:tcW w:w="3097"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定期组织在全县开展安全生产督导检查活动，对重点行业和作业场所职业卫生安全生产加强行政执法监察，依法对违法行为实施行政处罚；不断加强安全生产监管能力建设，改善执法检测、监察检查等能力。依法颁发和管理职业卫生安全许可证，组织调查处理职业危害事故和违法违规行为；完成国家和省、市确定的水泥、石材加工行业以及重点行业的专项治理，组织查处用人单位职业病危害事故。</w:t>
            </w:r>
          </w:p>
          <w:p>
            <w:pPr>
              <w:spacing w:line="200" w:lineRule="exact"/>
              <w:jc w:val="left"/>
              <w:rPr>
                <w:rFonts w:ascii="方正书宋_GBK" w:eastAsia="方正书宋_GBK"/>
                <w:sz w:val="11"/>
                <w:szCs w:val="11"/>
              </w:rPr>
            </w:pPr>
            <w:r>
              <w:rPr>
                <w:rFonts w:hint="eastAsia" w:ascii="方正书宋_GBK" w:eastAsia="方正书宋_GBK"/>
                <w:sz w:val="11"/>
                <w:szCs w:val="11"/>
              </w:rPr>
              <w:t>组织制订全县各行业隐患排查标准，建设县级隐患排查治理信息系统平台；组织制订和实施行业及有关综合性安全生产规章、规程和工矿商贸安全生产标准；加强全县安全生</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、构建和完善安全生产监管体系</w:t>
            </w: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建设区级隐患排查治理信息系统平台；加强全区安全生产技术服务机构及注册安全工程师管理；组织开展安全生产事故专项调查；审核提出安全生产举报奖励意见；开展安全生产宣传教育活动，定期向社会公布安全生产重大事项情况；组织全区安全生产目标管理及考核工作；促进企业全面落实安全生产诚信管理。</w:t>
            </w:r>
            <w:r>
              <w:rPr>
                <w:rFonts w:ascii="方正书宋_GBK" w:eastAsia="方正书宋_GBK"/>
                <w:sz w:val="11"/>
                <w:szCs w:val="11"/>
              </w:rPr>
              <w:t>.</w:t>
            </w:r>
          </w:p>
        </w:tc>
        <w:tc>
          <w:tcPr>
            <w:tcW w:w="3097"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基本建成全区安全生产隐患排查治理体系</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、综合业务管理</w:t>
            </w: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定期组织在全县开展安全生产督导检查活动，对重点行业和作业场所职业卫生安全生产进行督导检查，加强行政执法监察，依法对违法行为实施行政处罚；不断加强安全生产监管能力建设，改善执法检测、监察检查等能力。</w:t>
            </w:r>
          </w:p>
        </w:tc>
        <w:tc>
          <w:tcPr>
            <w:tcW w:w="3097"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通过督导检查全县安全生产，最大限度地发现、纠正、督促企业消除各类隐患，预防和减少事故的发生，确保全县安全生产形势持续稳定好转</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二、组织指挥和协调全县安全生产应急救援</w:t>
            </w: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安全生产指导预案编制和备案管理，组织应急救援演练，组织协调全区安全生产救援工作。</w:t>
            </w:r>
          </w:p>
        </w:tc>
        <w:tc>
          <w:tcPr>
            <w:tcW w:w="3097"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组织指导全区安全生产应急救援预案编制和备案管理，结合事故多发、易发，应急管理基础薄弱的企业、岗位等重点，组织开展实战化应急演练。加强应急救援队伍、装备和信息系统建设，完善安全生产应急平台，提高全区应急救援协调指挥能力和应急处置能力；实施区救援指挥中心能力建设，加强指挥机构管理和专业应急救援队伍训练，统一规划安全生产应急平台信息化建设和救援通信、信息网络运行保障，及时进行重大危险源预警、技术监控工作，发布预警信息。</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、组织指挥和协调全区安全生产应急救援</w:t>
            </w: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组织指导安全生产应急救援预案编制和备案管理，结合事故多发、易发，应急管理基础薄弱的企业、岗位等重点，组织开展实战化应急演练。</w:t>
            </w:r>
          </w:p>
        </w:tc>
        <w:tc>
          <w:tcPr>
            <w:tcW w:w="3097"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加强应急预案的管理与实施，及时组织锻炼应急救援队伍，切实提升应急处置能力。</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应急预案演练完成率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三、对外商贸管理</w:t>
            </w: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规范全区对外招商引资活动，组织实施投资贸易洽谈会等活动。开展贸易洽谈、招商合作等活动，促进贸易往来。</w:t>
            </w:r>
          </w:p>
        </w:tc>
        <w:tc>
          <w:tcPr>
            <w:tcW w:w="3097"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促进招商引资活动效率稳步提高，优化项目产业结构，完成区政府下达的指标。</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、招商引资</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组织实施投资贸易洽谈会等活动。组织开展贸易洽谈、招商合作等活动，促进贸易往来。</w:t>
            </w:r>
          </w:p>
        </w:tc>
        <w:tc>
          <w:tcPr>
            <w:tcW w:w="3097" w:type="dxa"/>
            <w:vMerge w:val="restart"/>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通过开展</w:t>
            </w:r>
            <w:r>
              <w:rPr>
                <w:rFonts w:hint="cs" w:ascii="方正书宋_GBK" w:eastAsia="方正书宋_GBK"/>
                <w:sz w:val="11"/>
                <w:szCs w:val="11"/>
              </w:rPr>
              <w:t>“</w:t>
            </w:r>
            <w:r>
              <w:rPr>
                <w:rFonts w:hint="eastAsia" w:ascii="方正书宋_GBK" w:eastAsia="方正书宋_GBK"/>
                <w:sz w:val="11"/>
                <w:szCs w:val="11"/>
              </w:rPr>
              <w:t>主体招商活动</w:t>
            </w:r>
            <w:r>
              <w:rPr>
                <w:rFonts w:hint="cs" w:ascii="方正书宋_GBK" w:eastAsia="方正书宋_GBK"/>
                <w:sz w:val="11"/>
                <w:szCs w:val="11"/>
              </w:rPr>
              <w:t>”</w:t>
            </w:r>
            <w:r>
              <w:rPr>
                <w:rFonts w:hint="eastAsia" w:ascii="方正书宋_GBK" w:eastAsia="方正书宋_GBK"/>
                <w:sz w:val="11"/>
                <w:szCs w:val="11"/>
              </w:rPr>
              <w:t>，瞄准重点区域、重点客商和商务机构，推动和引领全区做好招商工作。突出引进战略投资者，力争在重点产业引进一批战略支撑项目、龙头企业和协力配套企业</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举办活动数量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200" w:lineRule="exact"/>
              <w:jc w:val="left"/>
              <w:rPr>
                <w:rFonts w:ascii="方正书宋_GBK" w:eastAsia="方正书宋_GBK"/>
                <w:sz w:val="11"/>
                <w:szCs w:val="11"/>
              </w:rPr>
            </w:pPr>
          </w:p>
        </w:tc>
        <w:tc>
          <w:tcPr>
            <w:tcW w:w="3097" w:type="dxa"/>
            <w:vMerge w:val="continue"/>
            <w:shd w:val="clear" w:color="auto" w:fill="auto"/>
            <w:vAlign w:val="center"/>
          </w:tcPr>
          <w:p>
            <w:pPr>
              <w:spacing w:line="200" w:lineRule="exact"/>
              <w:jc w:val="left"/>
              <w:rPr>
                <w:rFonts w:ascii="方正书宋_GBK" w:eastAsia="方正书宋_GBK"/>
                <w:sz w:val="11"/>
                <w:szCs w:val="11"/>
              </w:rPr>
            </w:pP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到会客商人数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5"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200" w:lineRule="exact"/>
              <w:jc w:val="left"/>
              <w:rPr>
                <w:rFonts w:ascii="方正书宋_GBK" w:eastAsia="方正书宋_GBK"/>
                <w:sz w:val="11"/>
                <w:szCs w:val="11"/>
              </w:rPr>
            </w:pPr>
          </w:p>
        </w:tc>
        <w:tc>
          <w:tcPr>
            <w:tcW w:w="3097" w:type="dxa"/>
            <w:vMerge w:val="continue"/>
            <w:shd w:val="clear" w:color="auto" w:fill="auto"/>
            <w:vAlign w:val="center"/>
          </w:tcPr>
          <w:p>
            <w:pPr>
              <w:spacing w:line="200" w:lineRule="exact"/>
              <w:jc w:val="left"/>
              <w:rPr>
                <w:rFonts w:ascii="方正书宋_GBK" w:eastAsia="方正书宋_GBK"/>
                <w:sz w:val="11"/>
                <w:szCs w:val="11"/>
              </w:rPr>
            </w:pP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赴外国家地区数量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四、县直机关党的建设</w:t>
            </w: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加强党的思想政治建设、组织建设、机关党风廉政建设，做好机关党务工作。</w:t>
            </w:r>
          </w:p>
        </w:tc>
        <w:tc>
          <w:tcPr>
            <w:tcW w:w="3097"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政治觉悟和思想道德素质明显提高。</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、思想政治建设</w:t>
            </w: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指导园区及各级党组织抓好党的思想、组织、作风建设和党员教育管理，负责综合指导机关精神文明建设及普法工作，承担机关思想道德文化建设工作。</w:t>
            </w:r>
          </w:p>
        </w:tc>
        <w:tc>
          <w:tcPr>
            <w:tcW w:w="3097"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利用各种有效载体开展宣传教育活动</w:t>
            </w:r>
            <w:r>
              <w:rPr>
                <w:rFonts w:ascii="方正书宋_GBK" w:eastAsia="方正书宋_GBK"/>
                <w:sz w:val="11"/>
                <w:szCs w:val="11"/>
              </w:rPr>
              <w:t>,</w:t>
            </w:r>
            <w:r>
              <w:rPr>
                <w:rFonts w:hint="eastAsia" w:ascii="方正书宋_GBK" w:eastAsia="方正书宋_GBK"/>
                <w:sz w:val="11"/>
                <w:szCs w:val="11"/>
              </w:rPr>
              <w:t>效果明显</w:t>
            </w:r>
            <w:r>
              <w:rPr>
                <w:rFonts w:ascii="方正书宋_GBK" w:eastAsia="方正书宋_GBK"/>
                <w:sz w:val="11"/>
                <w:szCs w:val="11"/>
              </w:rPr>
              <w:t>;</w:t>
            </w:r>
            <w:r>
              <w:rPr>
                <w:rFonts w:hint="eastAsia" w:ascii="方正书宋_GBK" w:eastAsia="方正书宋_GBK"/>
                <w:sz w:val="11"/>
                <w:szCs w:val="11"/>
              </w:rPr>
              <w:t>学习制度得到普遍落实，各项活动普遍参加</w:t>
            </w:r>
            <w:r>
              <w:rPr>
                <w:rFonts w:ascii="方正书宋_GBK" w:eastAsia="方正书宋_GBK"/>
                <w:sz w:val="11"/>
                <w:szCs w:val="11"/>
              </w:rPr>
              <w:t>;</w:t>
            </w:r>
            <w:r>
              <w:rPr>
                <w:rFonts w:hint="eastAsia" w:ascii="方正书宋_GBK" w:eastAsia="方正书宋_GBK"/>
                <w:sz w:val="11"/>
                <w:szCs w:val="11"/>
              </w:rPr>
              <w:t>精神文明创建活动参与广泛，公民道德素质、各项活动满意率明显提高。</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思想教育活动完成率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五、机关政务管理</w:t>
            </w: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负责机关综合业务管理和机关综合事务管理</w:t>
            </w:r>
          </w:p>
        </w:tc>
        <w:tc>
          <w:tcPr>
            <w:tcW w:w="3097"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机关运行顺畅</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做好会议培训组织，内部信息化建设与维护，人事、党务以及老干部管理等工作。</w:t>
            </w:r>
          </w:p>
        </w:tc>
        <w:tc>
          <w:tcPr>
            <w:tcW w:w="3097" w:type="dxa"/>
            <w:shd w:val="clear" w:color="auto" w:fill="auto"/>
            <w:vAlign w:val="center"/>
          </w:tcPr>
          <w:p>
            <w:pPr>
              <w:spacing w:line="200" w:lineRule="exact"/>
              <w:jc w:val="left"/>
              <w:rPr>
                <w:rFonts w:ascii="方正书宋_GBK" w:eastAsia="方正书宋_GBK"/>
                <w:sz w:val="11"/>
                <w:szCs w:val="11"/>
              </w:rPr>
            </w:pPr>
            <w:r>
              <w:rPr>
                <w:rFonts w:hint="eastAsia" w:ascii="方正书宋_GBK" w:eastAsia="方正书宋_GBK"/>
                <w:sz w:val="11"/>
                <w:szCs w:val="11"/>
              </w:rPr>
              <w:t>保障机关正常工作有效运转</w:t>
            </w:r>
          </w:p>
        </w:tc>
        <w:tc>
          <w:tcPr>
            <w:tcW w:w="129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bl>
    <w:p>
      <w:pPr>
        <w:spacing w:line="300" w:lineRule="exact"/>
        <w:jc w:val="left"/>
        <w:outlineLvl w:val="0"/>
        <w:sectPr>
          <w:headerReference r:id="rId3" w:type="default"/>
          <w:pgSz w:w="16839" w:h="11907" w:orient="landscape"/>
          <w:pgMar w:top="1020" w:right="1361" w:bottom="1020" w:left="1361" w:header="851" w:footer="992" w:gutter="0"/>
          <w:cols w:space="425" w:num="1"/>
          <w:docGrid w:type="lines" w:linePitch="312" w:charSpace="0"/>
        </w:sectPr>
      </w:pPr>
    </w:p>
    <w:p>
      <w:pPr>
        <w:jc w:val="left"/>
        <w:rPr>
          <w:sz w:val="28"/>
        </w:rPr>
      </w:pPr>
      <w:r>
        <w:rPr>
          <w:rFonts w:hint="eastAsia" w:ascii="黑体" w:hAnsi="黑体" w:eastAsia="黑体" w:cs="Times New Roman"/>
          <w:sz w:val="32"/>
          <w:szCs w:val="32"/>
        </w:rPr>
        <w:t>六、政府采购预算情况</w:t>
      </w:r>
    </w:p>
    <w:p>
      <w:pPr>
        <w:outlineLvl w:val="0"/>
        <w:rPr>
          <w:rFonts w:hint="eastAsia" w:ascii="仿宋" w:hAnsi="仿宋" w:eastAsia="仿宋" w:cs="仿宋"/>
          <w:sz w:val="32"/>
          <w:szCs w:val="32"/>
        </w:rPr>
      </w:pPr>
      <w:r>
        <w:rPr>
          <w:rFonts w:ascii="Times New Roman" w:hAnsi="Times New Roman" w:eastAsia="方正仿宋_GBK" w:cs="Times New Roman"/>
          <w:sz w:val="32"/>
          <w:szCs w:val="24"/>
        </w:rPr>
        <w:t xml:space="preserve">   </w:t>
      </w:r>
      <w:r>
        <w:rPr>
          <w:rFonts w:ascii="仿宋" w:hAnsi="仿宋" w:eastAsia="仿宋" w:cs="仿宋"/>
          <w:sz w:val="32"/>
          <w:szCs w:val="32"/>
        </w:rPr>
        <w:t>202</w:t>
      </w:r>
      <w:r>
        <w:rPr>
          <w:rFonts w:hint="eastAsia" w:ascii="仿宋" w:hAnsi="仿宋" w:eastAsia="仿宋" w:cs="仿宋"/>
          <w:sz w:val="32"/>
          <w:szCs w:val="32"/>
        </w:rPr>
        <w:t>3</w:t>
      </w:r>
      <w:r>
        <w:rPr>
          <w:rFonts w:ascii="仿宋" w:hAnsi="仿宋" w:eastAsia="仿宋" w:cs="仿宋"/>
          <w:sz w:val="32"/>
          <w:szCs w:val="32"/>
        </w:rPr>
        <w:t>年，未安排政府采购预算</w:t>
      </w:r>
    </w:p>
    <w:p>
      <w:pPr>
        <w:widowControl/>
        <w:spacing w:line="570" w:lineRule="exact"/>
        <w:jc w:val="center"/>
        <w:rPr>
          <w:rFonts w:ascii="宋体" w:hAnsi="宋体" w:cs="宋体"/>
          <w:b/>
          <w:bCs/>
          <w:kern w:val="0"/>
          <w:sz w:val="32"/>
          <w:szCs w:val="32"/>
        </w:rPr>
      </w:pPr>
      <w:r>
        <w:rPr>
          <w:rFonts w:hint="eastAsia" w:ascii="宋体" w:hAnsi="宋体" w:cs="宋体"/>
          <w:b/>
          <w:bCs/>
          <w:kern w:val="0"/>
          <w:sz w:val="32"/>
          <w:szCs w:val="32"/>
        </w:rPr>
        <w:t>政府采购预算</w:t>
      </w:r>
    </w:p>
    <w:tbl>
      <w:tblPr>
        <w:tblStyle w:val="11"/>
        <w:tblW w:w="14170" w:type="dxa"/>
        <w:jc w:val="center"/>
        <w:tblInd w:w="2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5"/>
        <w:gridCol w:w="762"/>
        <w:gridCol w:w="924"/>
        <w:gridCol w:w="924"/>
        <w:gridCol w:w="792"/>
        <w:gridCol w:w="709"/>
        <w:gridCol w:w="709"/>
        <w:gridCol w:w="850"/>
        <w:gridCol w:w="1134"/>
        <w:gridCol w:w="851"/>
        <w:gridCol w:w="1134"/>
        <w:gridCol w:w="850"/>
        <w:gridCol w:w="709"/>
        <w:gridCol w:w="992"/>
        <w:gridCol w:w="992"/>
        <w:gridCol w:w="1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5635" w:type="dxa"/>
            <w:gridSpan w:val="7"/>
            <w:tcBorders>
              <w:top w:val="single" w:color="FFFFFF" w:sz="6" w:space="0"/>
              <w:left w:val="single" w:color="FFFFFF" w:sz="6" w:space="0"/>
              <w:right w:val="single" w:color="FFFFFF" w:sz="6" w:space="0"/>
            </w:tcBorders>
            <w:vAlign w:val="center"/>
          </w:tcPr>
          <w:p>
            <w:pPr>
              <w:pStyle w:val="17"/>
            </w:pPr>
            <w:r>
              <w:rPr>
                <w:rFonts w:hint="eastAsia"/>
                <w:lang w:eastAsia="zh-CN"/>
              </w:rPr>
              <w:t>曹妃甸装备制造园区</w:t>
            </w:r>
            <w:r>
              <w:t>管理委员会</w:t>
            </w:r>
          </w:p>
        </w:tc>
        <w:tc>
          <w:tcPr>
            <w:tcW w:w="8535" w:type="dxa"/>
            <w:gridSpan w:val="9"/>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577" w:type="dxa"/>
            <w:gridSpan w:val="2"/>
            <w:vAlign w:val="center"/>
          </w:tcPr>
          <w:p>
            <w:pPr>
              <w:pStyle w:val="18"/>
              <w:rPr>
                <w:rFonts w:ascii="宋体" w:hAnsi="宋体" w:eastAsia="宋体" w:cs="宋体"/>
                <w:bCs/>
                <w:sz w:val="22"/>
                <w:szCs w:val="22"/>
                <w:lang w:eastAsia="zh-CN"/>
              </w:rPr>
            </w:pPr>
            <w:r>
              <w:rPr>
                <w:rFonts w:hint="eastAsia" w:ascii="宋体" w:hAnsi="宋体" w:eastAsia="宋体" w:cs="宋体"/>
                <w:bCs/>
                <w:sz w:val="22"/>
                <w:szCs w:val="22"/>
                <w:lang w:eastAsia="zh-CN"/>
              </w:rPr>
              <w:t>政府采购项目来源</w:t>
            </w:r>
          </w:p>
        </w:tc>
        <w:tc>
          <w:tcPr>
            <w:tcW w:w="924" w:type="dxa"/>
            <w:vMerge w:val="restart"/>
            <w:vAlign w:val="center"/>
          </w:tcPr>
          <w:p>
            <w:pPr>
              <w:pStyle w:val="18"/>
              <w:rPr>
                <w:rFonts w:ascii="宋体" w:hAnsi="宋体" w:eastAsia="宋体" w:cs="宋体"/>
                <w:bCs/>
                <w:sz w:val="22"/>
                <w:szCs w:val="22"/>
                <w:lang w:eastAsia="zh-CN"/>
              </w:rPr>
            </w:pPr>
            <w:r>
              <w:rPr>
                <w:rFonts w:hint="eastAsia" w:ascii="宋体" w:hAnsi="宋体" w:eastAsia="宋体" w:cs="宋体"/>
                <w:bCs/>
                <w:sz w:val="22"/>
                <w:szCs w:val="22"/>
                <w:lang w:eastAsia="zh-CN"/>
              </w:rPr>
              <w:t>采购物品名称</w:t>
            </w:r>
          </w:p>
        </w:tc>
        <w:tc>
          <w:tcPr>
            <w:tcW w:w="924" w:type="dxa"/>
            <w:vMerge w:val="restart"/>
            <w:vAlign w:val="center"/>
          </w:tcPr>
          <w:p>
            <w:pPr>
              <w:pStyle w:val="18"/>
              <w:rPr>
                <w:rFonts w:ascii="宋体" w:hAnsi="宋体" w:eastAsia="宋体" w:cs="宋体"/>
                <w:bCs/>
                <w:sz w:val="22"/>
                <w:szCs w:val="22"/>
                <w:lang w:eastAsia="zh-CN"/>
              </w:rPr>
            </w:pPr>
            <w:r>
              <w:rPr>
                <w:rFonts w:hint="eastAsia" w:ascii="宋体" w:hAnsi="宋体" w:eastAsia="宋体" w:cs="宋体"/>
                <w:bCs/>
                <w:sz w:val="22"/>
                <w:szCs w:val="22"/>
                <w:lang w:eastAsia="zh-CN"/>
              </w:rPr>
              <w:t>政府采购目录序号</w:t>
            </w:r>
          </w:p>
        </w:tc>
        <w:tc>
          <w:tcPr>
            <w:tcW w:w="792" w:type="dxa"/>
            <w:vMerge w:val="restart"/>
            <w:vAlign w:val="center"/>
          </w:tcPr>
          <w:p>
            <w:pPr>
              <w:pStyle w:val="18"/>
              <w:rPr>
                <w:rFonts w:ascii="宋体" w:hAnsi="宋体" w:eastAsia="宋体" w:cs="宋体"/>
                <w:bCs/>
                <w:sz w:val="22"/>
                <w:szCs w:val="22"/>
                <w:lang w:eastAsia="zh-CN"/>
              </w:rPr>
            </w:pPr>
            <w:r>
              <w:rPr>
                <w:rFonts w:hint="eastAsia" w:ascii="宋体" w:hAnsi="宋体" w:eastAsia="宋体" w:cs="宋体"/>
                <w:bCs/>
                <w:sz w:val="22"/>
                <w:szCs w:val="22"/>
                <w:lang w:eastAsia="zh-CN"/>
              </w:rPr>
              <w:t>计量  单位</w:t>
            </w:r>
          </w:p>
        </w:tc>
        <w:tc>
          <w:tcPr>
            <w:tcW w:w="709" w:type="dxa"/>
            <w:vMerge w:val="restart"/>
            <w:vAlign w:val="center"/>
          </w:tcPr>
          <w:p>
            <w:pPr>
              <w:pStyle w:val="18"/>
              <w:rPr>
                <w:rFonts w:ascii="宋体" w:hAnsi="宋体" w:eastAsia="宋体" w:cs="宋体"/>
                <w:bCs/>
                <w:sz w:val="22"/>
                <w:szCs w:val="22"/>
                <w:lang w:eastAsia="zh-CN"/>
              </w:rPr>
            </w:pPr>
            <w:r>
              <w:rPr>
                <w:rFonts w:hint="eastAsia" w:ascii="宋体" w:hAnsi="宋体" w:eastAsia="宋体" w:cs="宋体"/>
                <w:bCs/>
                <w:sz w:val="22"/>
                <w:szCs w:val="22"/>
                <w:lang w:eastAsia="zh-CN"/>
              </w:rPr>
              <w:t>数量</w:t>
            </w:r>
          </w:p>
        </w:tc>
        <w:tc>
          <w:tcPr>
            <w:tcW w:w="709" w:type="dxa"/>
            <w:vMerge w:val="restart"/>
            <w:vAlign w:val="center"/>
          </w:tcPr>
          <w:p>
            <w:pPr>
              <w:pStyle w:val="18"/>
              <w:rPr>
                <w:rFonts w:ascii="宋体" w:hAnsi="宋体" w:eastAsia="宋体" w:cs="宋体"/>
                <w:bCs/>
                <w:sz w:val="22"/>
                <w:szCs w:val="22"/>
                <w:lang w:eastAsia="zh-CN"/>
              </w:rPr>
            </w:pPr>
            <w:r>
              <w:rPr>
                <w:rFonts w:hint="eastAsia" w:ascii="宋体" w:hAnsi="宋体" w:eastAsia="宋体" w:cs="宋体"/>
                <w:bCs/>
                <w:sz w:val="22"/>
                <w:szCs w:val="22"/>
                <w:lang w:eastAsia="zh-CN"/>
              </w:rPr>
              <w:t>单价</w:t>
            </w:r>
          </w:p>
        </w:tc>
        <w:tc>
          <w:tcPr>
            <w:tcW w:w="7512" w:type="dxa"/>
            <w:gridSpan w:val="8"/>
            <w:vAlign w:val="center"/>
          </w:tcPr>
          <w:p>
            <w:pPr>
              <w:pStyle w:val="18"/>
              <w:rPr>
                <w:rFonts w:ascii="宋体" w:hAnsi="宋体" w:eastAsia="宋体" w:cs="宋体"/>
                <w:bCs/>
                <w:sz w:val="22"/>
                <w:szCs w:val="22"/>
                <w:lang w:eastAsia="zh-CN"/>
              </w:rPr>
            </w:pPr>
            <w:r>
              <w:rPr>
                <w:rFonts w:hint="eastAsia" w:ascii="宋体" w:hAnsi="宋体" w:eastAsia="宋体" w:cs="宋体"/>
                <w:bCs/>
                <w:sz w:val="22"/>
                <w:szCs w:val="22"/>
                <w:lang w:eastAsia="zh-CN"/>
              </w:rPr>
              <w:t>政府采购金额（当年部门预算安排资金）</w:t>
            </w:r>
          </w:p>
        </w:tc>
        <w:tc>
          <w:tcPr>
            <w:tcW w:w="1023" w:type="dxa"/>
            <w:vMerge w:val="restart"/>
            <w:vAlign w:val="center"/>
          </w:tcPr>
          <w:p>
            <w:pPr>
              <w:pStyle w:val="18"/>
            </w:pPr>
            <w:r>
              <w:t>202</w:t>
            </w:r>
            <w:r>
              <w:rPr>
                <w:rFonts w:hint="eastAsia"/>
                <w:lang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15" w:type="dxa"/>
            <w:vAlign w:val="center"/>
          </w:tcPr>
          <w:p>
            <w:pPr>
              <w:pStyle w:val="18"/>
              <w:rPr>
                <w:rFonts w:ascii="宋体" w:hAnsi="宋体" w:eastAsia="宋体" w:cs="宋体"/>
                <w:bCs/>
                <w:sz w:val="22"/>
                <w:szCs w:val="22"/>
                <w:lang w:eastAsia="zh-CN"/>
              </w:rPr>
            </w:pPr>
            <w:r>
              <w:rPr>
                <w:rFonts w:hint="eastAsia" w:ascii="宋体" w:hAnsi="宋体" w:eastAsia="宋体" w:cs="宋体"/>
                <w:bCs/>
                <w:sz w:val="22"/>
                <w:szCs w:val="22"/>
                <w:lang w:eastAsia="zh-CN"/>
              </w:rPr>
              <w:t>项目名称</w:t>
            </w:r>
          </w:p>
        </w:tc>
        <w:tc>
          <w:tcPr>
            <w:tcW w:w="762" w:type="dxa"/>
            <w:vAlign w:val="center"/>
          </w:tcPr>
          <w:p>
            <w:pPr>
              <w:pStyle w:val="18"/>
              <w:rPr>
                <w:rFonts w:ascii="宋体" w:hAnsi="宋体" w:eastAsia="宋体" w:cs="宋体"/>
                <w:bCs/>
                <w:sz w:val="22"/>
                <w:szCs w:val="22"/>
                <w:lang w:eastAsia="zh-CN"/>
              </w:rPr>
            </w:pPr>
            <w:r>
              <w:rPr>
                <w:rFonts w:hint="eastAsia" w:ascii="宋体" w:hAnsi="宋体" w:eastAsia="宋体" w:cs="宋体"/>
                <w:bCs/>
                <w:sz w:val="22"/>
                <w:szCs w:val="22"/>
                <w:lang w:eastAsia="zh-CN"/>
              </w:rPr>
              <w:t>预算    资金</w:t>
            </w:r>
          </w:p>
        </w:tc>
        <w:tc>
          <w:tcPr>
            <w:tcW w:w="924" w:type="dxa"/>
            <w:vMerge w:val="continue"/>
          </w:tcPr>
          <w:p>
            <w:pPr>
              <w:rPr>
                <w:rFonts w:ascii="宋体" w:hAnsi="宋体" w:cs="宋体"/>
                <w:b/>
                <w:bCs/>
                <w:kern w:val="0"/>
                <w:sz w:val="22"/>
              </w:rPr>
            </w:pPr>
          </w:p>
        </w:tc>
        <w:tc>
          <w:tcPr>
            <w:tcW w:w="924" w:type="dxa"/>
            <w:vMerge w:val="continue"/>
          </w:tcPr>
          <w:p>
            <w:pPr>
              <w:rPr>
                <w:rFonts w:ascii="宋体" w:hAnsi="宋体" w:cs="宋体"/>
                <w:b/>
                <w:bCs/>
                <w:kern w:val="0"/>
                <w:sz w:val="22"/>
              </w:rPr>
            </w:pPr>
          </w:p>
        </w:tc>
        <w:tc>
          <w:tcPr>
            <w:tcW w:w="792" w:type="dxa"/>
            <w:vMerge w:val="continue"/>
          </w:tcPr>
          <w:p>
            <w:pPr>
              <w:rPr>
                <w:rFonts w:ascii="宋体" w:hAnsi="宋体" w:cs="宋体"/>
                <w:b/>
                <w:bCs/>
                <w:kern w:val="0"/>
                <w:sz w:val="22"/>
              </w:rPr>
            </w:pPr>
          </w:p>
        </w:tc>
        <w:tc>
          <w:tcPr>
            <w:tcW w:w="709" w:type="dxa"/>
            <w:vMerge w:val="continue"/>
          </w:tcPr>
          <w:p>
            <w:pPr>
              <w:rPr>
                <w:rFonts w:ascii="宋体" w:hAnsi="宋体" w:cs="宋体"/>
                <w:b/>
                <w:bCs/>
                <w:kern w:val="0"/>
                <w:sz w:val="22"/>
              </w:rPr>
            </w:pPr>
          </w:p>
        </w:tc>
        <w:tc>
          <w:tcPr>
            <w:tcW w:w="709" w:type="dxa"/>
            <w:vMerge w:val="continue"/>
          </w:tcPr>
          <w:p>
            <w:pPr>
              <w:rPr>
                <w:rFonts w:ascii="宋体" w:hAnsi="宋体" w:cs="宋体"/>
                <w:b/>
                <w:bCs/>
                <w:kern w:val="0"/>
                <w:sz w:val="22"/>
              </w:rPr>
            </w:pPr>
          </w:p>
        </w:tc>
        <w:tc>
          <w:tcPr>
            <w:tcW w:w="850" w:type="dxa"/>
            <w:vAlign w:val="center"/>
          </w:tcPr>
          <w:p>
            <w:pPr>
              <w:pStyle w:val="18"/>
              <w:rPr>
                <w:rFonts w:ascii="宋体" w:hAnsi="宋体" w:eastAsia="宋体" w:cs="宋体"/>
                <w:bCs/>
                <w:sz w:val="22"/>
                <w:szCs w:val="22"/>
                <w:lang w:eastAsia="zh-CN"/>
              </w:rPr>
            </w:pPr>
            <w:r>
              <w:rPr>
                <w:rFonts w:hint="eastAsia" w:ascii="宋体" w:hAnsi="宋体" w:eastAsia="宋体" w:cs="宋体"/>
                <w:bCs/>
                <w:sz w:val="22"/>
                <w:szCs w:val="22"/>
                <w:lang w:eastAsia="zh-CN"/>
              </w:rPr>
              <w:t>合计</w:t>
            </w:r>
          </w:p>
        </w:tc>
        <w:tc>
          <w:tcPr>
            <w:tcW w:w="1134" w:type="dxa"/>
            <w:vAlign w:val="center"/>
          </w:tcPr>
          <w:p>
            <w:pPr>
              <w:pStyle w:val="18"/>
              <w:rPr>
                <w:rFonts w:ascii="宋体" w:hAnsi="宋体" w:eastAsia="宋体" w:cs="宋体"/>
                <w:bCs/>
                <w:sz w:val="22"/>
                <w:szCs w:val="22"/>
                <w:lang w:eastAsia="zh-CN"/>
              </w:rPr>
            </w:pPr>
            <w:r>
              <w:rPr>
                <w:rFonts w:hint="eastAsia" w:ascii="宋体" w:hAnsi="宋体" w:eastAsia="宋体" w:cs="宋体"/>
                <w:bCs/>
                <w:sz w:val="22"/>
                <w:szCs w:val="22"/>
                <w:lang w:eastAsia="zh-CN"/>
              </w:rPr>
              <w:t>一般公共预算拨款</w:t>
            </w:r>
          </w:p>
        </w:tc>
        <w:tc>
          <w:tcPr>
            <w:tcW w:w="851" w:type="dxa"/>
            <w:vAlign w:val="center"/>
          </w:tcPr>
          <w:p>
            <w:pPr>
              <w:pStyle w:val="18"/>
              <w:rPr>
                <w:rFonts w:ascii="宋体" w:hAnsi="宋体" w:eastAsia="宋体" w:cs="宋体"/>
                <w:bCs/>
                <w:sz w:val="22"/>
                <w:szCs w:val="22"/>
                <w:lang w:eastAsia="zh-CN"/>
              </w:rPr>
            </w:pPr>
            <w:r>
              <w:rPr>
                <w:rFonts w:hint="eastAsia" w:ascii="宋体" w:hAnsi="宋体" w:eastAsia="宋体" w:cs="宋体"/>
                <w:bCs/>
                <w:sz w:val="22"/>
                <w:szCs w:val="22"/>
                <w:lang w:eastAsia="zh-CN"/>
              </w:rPr>
              <w:t>基金预算拨款</w:t>
            </w:r>
          </w:p>
        </w:tc>
        <w:tc>
          <w:tcPr>
            <w:tcW w:w="1134" w:type="dxa"/>
            <w:vAlign w:val="center"/>
          </w:tcPr>
          <w:p>
            <w:pPr>
              <w:pStyle w:val="18"/>
              <w:rPr>
                <w:rFonts w:ascii="宋体" w:hAnsi="宋体" w:eastAsia="宋体" w:cs="宋体"/>
                <w:bCs/>
                <w:sz w:val="22"/>
                <w:szCs w:val="22"/>
                <w:lang w:eastAsia="zh-CN"/>
              </w:rPr>
            </w:pPr>
            <w:r>
              <w:rPr>
                <w:rFonts w:hint="eastAsia" w:ascii="宋体" w:hAnsi="宋体" w:eastAsia="宋体" w:cs="宋体"/>
                <w:bCs/>
                <w:sz w:val="22"/>
                <w:szCs w:val="22"/>
                <w:lang w:eastAsia="zh-CN"/>
              </w:rPr>
              <w:t>国有资本经营预算拨款</w:t>
            </w:r>
          </w:p>
        </w:tc>
        <w:tc>
          <w:tcPr>
            <w:tcW w:w="850" w:type="dxa"/>
            <w:vAlign w:val="center"/>
          </w:tcPr>
          <w:p>
            <w:pPr>
              <w:pStyle w:val="18"/>
              <w:rPr>
                <w:rFonts w:ascii="宋体" w:hAnsi="宋体" w:eastAsia="宋体" w:cs="宋体"/>
                <w:bCs/>
                <w:sz w:val="22"/>
                <w:szCs w:val="22"/>
                <w:lang w:eastAsia="zh-CN"/>
              </w:rPr>
            </w:pPr>
            <w:r>
              <w:rPr>
                <w:rFonts w:hint="eastAsia" w:ascii="宋体" w:hAnsi="宋体" w:eastAsia="宋体" w:cs="宋体"/>
                <w:bCs/>
                <w:sz w:val="22"/>
                <w:szCs w:val="22"/>
                <w:lang w:eastAsia="zh-CN"/>
              </w:rPr>
              <w:t>财政专户核拨</w:t>
            </w:r>
          </w:p>
        </w:tc>
        <w:tc>
          <w:tcPr>
            <w:tcW w:w="709" w:type="dxa"/>
            <w:vAlign w:val="center"/>
          </w:tcPr>
          <w:p>
            <w:pPr>
              <w:pStyle w:val="18"/>
              <w:rPr>
                <w:rFonts w:ascii="宋体" w:hAnsi="宋体" w:eastAsia="宋体" w:cs="宋体"/>
                <w:bCs/>
                <w:sz w:val="22"/>
                <w:szCs w:val="22"/>
                <w:lang w:eastAsia="zh-CN"/>
              </w:rPr>
            </w:pPr>
            <w:r>
              <w:rPr>
                <w:rFonts w:hint="eastAsia" w:ascii="宋体" w:hAnsi="宋体" w:eastAsia="宋体" w:cs="宋体"/>
                <w:bCs/>
                <w:sz w:val="22"/>
                <w:szCs w:val="22"/>
                <w:lang w:eastAsia="zh-CN"/>
              </w:rPr>
              <w:t>单位    资金</w:t>
            </w:r>
          </w:p>
        </w:tc>
        <w:tc>
          <w:tcPr>
            <w:tcW w:w="992" w:type="dxa"/>
            <w:vAlign w:val="center"/>
          </w:tcPr>
          <w:p>
            <w:pPr>
              <w:pStyle w:val="18"/>
              <w:rPr>
                <w:rFonts w:ascii="宋体" w:hAnsi="宋体" w:eastAsia="宋体" w:cs="宋体"/>
                <w:bCs/>
                <w:sz w:val="22"/>
                <w:szCs w:val="22"/>
                <w:lang w:eastAsia="zh-CN"/>
              </w:rPr>
            </w:pPr>
            <w:r>
              <w:rPr>
                <w:rFonts w:hint="eastAsia" w:ascii="宋体" w:hAnsi="宋体" w:eastAsia="宋体" w:cs="宋体"/>
                <w:bCs/>
                <w:sz w:val="22"/>
                <w:szCs w:val="22"/>
                <w:lang w:eastAsia="zh-CN"/>
              </w:rPr>
              <w:t>财政拨    款结转</w:t>
            </w:r>
          </w:p>
        </w:tc>
        <w:tc>
          <w:tcPr>
            <w:tcW w:w="992" w:type="dxa"/>
            <w:vAlign w:val="center"/>
          </w:tcPr>
          <w:p>
            <w:pPr>
              <w:pStyle w:val="18"/>
              <w:rPr>
                <w:rFonts w:ascii="宋体" w:hAnsi="宋体" w:eastAsia="宋体" w:cs="宋体"/>
                <w:bCs/>
                <w:sz w:val="22"/>
                <w:szCs w:val="22"/>
                <w:lang w:eastAsia="zh-CN"/>
              </w:rPr>
            </w:pPr>
            <w:r>
              <w:rPr>
                <w:rFonts w:hint="eastAsia" w:ascii="宋体" w:hAnsi="宋体" w:eastAsia="宋体" w:cs="宋体"/>
                <w:bCs/>
                <w:sz w:val="22"/>
                <w:szCs w:val="22"/>
                <w:lang w:eastAsia="zh-CN"/>
              </w:rPr>
              <w:t>非财政    拨款结    转结余</w:t>
            </w:r>
          </w:p>
        </w:tc>
        <w:tc>
          <w:tcPr>
            <w:tcW w:w="10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15" w:type="dxa"/>
            <w:vAlign w:val="center"/>
          </w:tcPr>
          <w:p>
            <w:pPr>
              <w:pStyle w:val="20"/>
            </w:pPr>
          </w:p>
        </w:tc>
        <w:tc>
          <w:tcPr>
            <w:tcW w:w="762" w:type="dxa"/>
            <w:vAlign w:val="center"/>
          </w:tcPr>
          <w:p>
            <w:pPr>
              <w:pStyle w:val="19"/>
            </w:pPr>
          </w:p>
        </w:tc>
        <w:tc>
          <w:tcPr>
            <w:tcW w:w="924" w:type="dxa"/>
            <w:vAlign w:val="center"/>
          </w:tcPr>
          <w:p>
            <w:pPr>
              <w:pStyle w:val="20"/>
            </w:pPr>
          </w:p>
        </w:tc>
        <w:tc>
          <w:tcPr>
            <w:tcW w:w="924" w:type="dxa"/>
            <w:vAlign w:val="center"/>
          </w:tcPr>
          <w:p>
            <w:pPr>
              <w:pStyle w:val="20"/>
            </w:pPr>
          </w:p>
        </w:tc>
        <w:tc>
          <w:tcPr>
            <w:tcW w:w="792" w:type="dxa"/>
            <w:vAlign w:val="center"/>
          </w:tcPr>
          <w:p>
            <w:pPr>
              <w:pStyle w:val="21"/>
            </w:pPr>
          </w:p>
        </w:tc>
        <w:tc>
          <w:tcPr>
            <w:tcW w:w="709" w:type="dxa"/>
            <w:vAlign w:val="center"/>
          </w:tcPr>
          <w:p>
            <w:pPr>
              <w:pStyle w:val="19"/>
            </w:pPr>
          </w:p>
        </w:tc>
        <w:tc>
          <w:tcPr>
            <w:tcW w:w="709" w:type="dxa"/>
            <w:vAlign w:val="center"/>
          </w:tcPr>
          <w:p>
            <w:pPr>
              <w:pStyle w:val="19"/>
            </w:pPr>
          </w:p>
        </w:tc>
        <w:tc>
          <w:tcPr>
            <w:tcW w:w="850" w:type="dxa"/>
            <w:vAlign w:val="center"/>
          </w:tcPr>
          <w:p>
            <w:pPr>
              <w:pStyle w:val="19"/>
            </w:pPr>
          </w:p>
        </w:tc>
        <w:tc>
          <w:tcPr>
            <w:tcW w:w="1134" w:type="dxa"/>
            <w:vAlign w:val="center"/>
          </w:tcPr>
          <w:p>
            <w:pPr>
              <w:pStyle w:val="19"/>
            </w:pPr>
          </w:p>
        </w:tc>
        <w:tc>
          <w:tcPr>
            <w:tcW w:w="851" w:type="dxa"/>
            <w:vAlign w:val="center"/>
          </w:tcPr>
          <w:p>
            <w:pPr>
              <w:pStyle w:val="19"/>
            </w:pPr>
          </w:p>
        </w:tc>
        <w:tc>
          <w:tcPr>
            <w:tcW w:w="1134" w:type="dxa"/>
            <w:vAlign w:val="center"/>
          </w:tcPr>
          <w:p>
            <w:pPr>
              <w:pStyle w:val="19"/>
            </w:pPr>
          </w:p>
        </w:tc>
        <w:tc>
          <w:tcPr>
            <w:tcW w:w="850" w:type="dxa"/>
            <w:vAlign w:val="center"/>
          </w:tcPr>
          <w:p>
            <w:pPr>
              <w:pStyle w:val="19"/>
            </w:pPr>
          </w:p>
        </w:tc>
        <w:tc>
          <w:tcPr>
            <w:tcW w:w="709" w:type="dxa"/>
            <w:vAlign w:val="center"/>
          </w:tcPr>
          <w:p>
            <w:pPr>
              <w:pStyle w:val="19"/>
            </w:pPr>
          </w:p>
        </w:tc>
        <w:tc>
          <w:tcPr>
            <w:tcW w:w="992" w:type="dxa"/>
            <w:vAlign w:val="center"/>
          </w:tcPr>
          <w:p>
            <w:pPr>
              <w:pStyle w:val="19"/>
            </w:pPr>
          </w:p>
        </w:tc>
        <w:tc>
          <w:tcPr>
            <w:tcW w:w="992" w:type="dxa"/>
            <w:vAlign w:val="center"/>
          </w:tcPr>
          <w:p>
            <w:pPr>
              <w:pStyle w:val="19"/>
            </w:pPr>
          </w:p>
        </w:tc>
        <w:tc>
          <w:tcPr>
            <w:tcW w:w="1023" w:type="dxa"/>
            <w:vAlign w:val="center"/>
          </w:tcPr>
          <w:p>
            <w:pPr>
              <w:pStyle w:val="19"/>
            </w:pPr>
          </w:p>
        </w:tc>
      </w:tr>
    </w:tbl>
    <w:p>
      <w:pPr>
        <w:spacing w:line="500" w:lineRule="exact"/>
        <w:ind w:firstLine="420"/>
        <w:jc w:val="left"/>
        <w:rPr>
          <w:rFonts w:hint="eastAsia" w:ascii="Times New Roman" w:hAnsi="Times New Roman" w:eastAsia="方正仿宋简体" w:cs="Times New Roman"/>
          <w:sz w:val="32"/>
          <w:szCs w:val="32"/>
        </w:rPr>
      </w:pPr>
      <w:r>
        <w:rPr>
          <w:rFonts w:hint="eastAsia" w:ascii="宋体" w:hAnsi="宋体" w:cs="宋体"/>
          <w:color w:val="000000"/>
        </w:rPr>
        <w:t>注：同一采购目录序号的物品，其单价会因配置规格不同而变动，均符合资产配置标准。涉密采购事项按照相关规定执行。</w:t>
      </w:r>
    </w:p>
    <w:p>
      <w:pPr>
        <w:spacing w:line="500" w:lineRule="exact"/>
        <w:ind w:firstLine="420"/>
        <w:jc w:val="left"/>
        <w:rPr>
          <w:rFonts w:ascii="Times New Roman" w:hAnsi="Times New Roman" w:eastAsia="方正仿宋简体" w:cs="Times New Roman"/>
          <w:sz w:val="32"/>
          <w:szCs w:val="32"/>
        </w:rPr>
      </w:pPr>
    </w:p>
    <w:p>
      <w:pPr>
        <w:outlineLvl w:val="0"/>
        <w:rPr>
          <w:rFonts w:ascii="Times New Roman" w:hAnsi="Times New Roman" w:eastAsia="方正仿宋_GBK" w:cs="Times New Roman"/>
          <w:sz w:val="32"/>
          <w:szCs w:val="24"/>
          <w:highlight w:val="yellow"/>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bookmarkStart w:id="1" w:name="_GoBack"/>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213.64</w:t>
      </w:r>
      <w:r>
        <w:rPr>
          <w:rFonts w:hint="eastAsia" w:ascii="仿宋_GB2312" w:hAnsi="黑体" w:eastAsia="仿宋_GB2312" w:cs="Times New Roman"/>
          <w:sz w:val="32"/>
          <w:szCs w:val="32"/>
        </w:rPr>
        <w:t>万元，</w:t>
      </w:r>
      <w:r>
        <w:rPr>
          <w:rFonts w:hint="eastAsia" w:ascii="仿宋_GB2312" w:hAnsi="黑体" w:eastAsia="仿宋_GB2312" w:cs="Times New Roman"/>
          <w:sz w:val="32"/>
          <w:szCs w:val="32"/>
          <w:lang w:val="en-US" w:eastAsia="zh-CN"/>
        </w:rPr>
        <w:t>其中</w:t>
      </w:r>
      <w:r>
        <w:rPr>
          <w:rFonts w:hint="eastAsia" w:ascii="仿宋_GB2312" w:hAnsi="黑体" w:eastAsia="仿宋_GB2312" w:cs="Times New Roman"/>
          <w:sz w:val="32"/>
          <w:szCs w:val="32"/>
        </w:rPr>
        <w:t>20万元以下设备</w:t>
      </w:r>
      <w:r>
        <w:rPr>
          <w:rFonts w:hint="eastAsia" w:ascii="仿宋_GB2312" w:hAnsi="黑体" w:eastAsia="仿宋_GB2312" w:cs="Times New Roman"/>
          <w:sz w:val="32"/>
          <w:szCs w:val="32"/>
          <w:lang w:val="en-US" w:eastAsia="zh-CN"/>
        </w:rPr>
        <w:t>127.82万元，20万元以上设备67.84万元</w:t>
      </w:r>
      <w:r>
        <w:rPr>
          <w:rFonts w:hint="eastAsia" w:ascii="仿宋_GB2312" w:hAnsi="黑体" w:eastAsia="仿宋_GB2312" w:cs="Times New Roman"/>
          <w:sz w:val="32"/>
          <w:szCs w:val="32"/>
        </w:rPr>
        <w:t>。</w:t>
      </w:r>
      <w:bookmarkEnd w:id="1"/>
      <w:r>
        <w:rPr>
          <w:rFonts w:hint="eastAsia" w:ascii="仿宋_GB2312" w:hAnsi="黑体" w:eastAsia="仿宋_GB2312" w:cs="Times New Roman"/>
          <w:sz w:val="32"/>
          <w:szCs w:val="32"/>
        </w:rPr>
        <w:t>本年度安排固定资产购置金额0万元。详见下表</w:t>
      </w:r>
    </w:p>
    <w:p>
      <w:pPr>
        <w:rPr>
          <w:rFonts w:ascii="仿宋_GB2312" w:hAnsi="黑体" w:eastAsia="仿宋_GB2312" w:cs="Times New Roman"/>
          <w:sz w:val="32"/>
          <w:szCs w:val="32"/>
        </w:rPr>
      </w:pPr>
    </w:p>
    <w:tbl>
      <w:tblPr>
        <w:tblStyle w:val="11"/>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417</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213.64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17.98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val="en-US" w:eastAsia="zh-CN"/>
              </w:rPr>
              <w:t>1</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67.84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415</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127.82</w:t>
            </w:r>
          </w:p>
        </w:tc>
      </w:tr>
    </w:tbl>
    <w:p>
      <w:pPr>
        <w:rPr>
          <w:rFonts w:ascii="仿宋_GB2312" w:hAnsi="黑体" w:eastAsia="仿宋_GB2312" w:cs="Times New Roman"/>
          <w:sz w:val="32"/>
          <w:szCs w:val="32"/>
        </w:rPr>
      </w:pPr>
    </w:p>
    <w:p>
      <w:pPr>
        <w:numPr>
          <w:ilvl w:val="0"/>
          <w:numId w:val="4"/>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名词解释</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、一般预算收入：区级财政当年拨付的资金。</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、基本支出：为保障机构正常运转，完成日常工作任务，而发生的人员支出和公用支出。</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、项目支出：是指在基本支出之外，为完成特定行政任务和事业发展目标，而发生的支出。</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机关运行费：是指为保证行政单位（包括参照公务员管理的事业单位）运行，用于购买货物和服务的各项资金。主要包括：用于保证机关正常运转的办公及印刷费、邮电费、差旅费、会议费、福利费、日常维修费、公务车运行维护费等支出。</w:t>
      </w:r>
    </w:p>
    <w:p>
      <w:pPr>
        <w:autoSpaceDE w:val="0"/>
        <w:autoSpaceDN w:val="0"/>
        <w:adjustRightInd w:val="0"/>
        <w:ind w:left="420" w:leftChars="200" w:firstLine="643" w:firstLineChars="200"/>
        <w:jc w:val="left"/>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headerReference r:id="rId4" w:type="default"/>
      <w:footerReference r:id="rId5"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rPr>
        <w:rFonts w:hint="eastAsia"/>
      </w:rPr>
      <w:instrText xml:space="preserve">Page \* MERGEFORMAT</w:instrText>
    </w:r>
    <w:r>
      <w:fldChar w:fldCharType="separate"/>
    </w:r>
    <w:r>
      <w:t>7</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B"/>
    <w:multiLevelType w:val="singleLevel"/>
    <w:tmpl w:val="0000000B"/>
    <w:lvl w:ilvl="0" w:tentative="0">
      <w:start w:val="8"/>
      <w:numFmt w:val="chineseCounting"/>
      <w:suff w:val="nothing"/>
      <w:lvlText w:val="%1、"/>
      <w:lvlJc w:val="left"/>
    </w:lvl>
  </w:abstractNum>
  <w:abstractNum w:abstractNumId="2">
    <w:nsid w:val="5909A0EE"/>
    <w:multiLevelType w:val="singleLevel"/>
    <w:tmpl w:val="5909A0EE"/>
    <w:lvl w:ilvl="0" w:tentative="0">
      <w:start w:val="1"/>
      <w:numFmt w:val="chineseCounting"/>
      <w:suff w:val="nothing"/>
      <w:lvlText w:val="%1、"/>
      <w:lvlJc w:val="left"/>
    </w:lvl>
  </w:abstractNum>
  <w:abstractNum w:abstractNumId="3">
    <w:nsid w:val="5909A57E"/>
    <w:multiLevelType w:val="singleLevel"/>
    <w:tmpl w:val="5909A57E"/>
    <w:lvl w:ilvl="0" w:tentative="0">
      <w:start w:val="3"/>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463"/>
    <w:rsid w:val="0003197C"/>
    <w:rsid w:val="000445E1"/>
    <w:rsid w:val="0005235D"/>
    <w:rsid w:val="000942BA"/>
    <w:rsid w:val="000D46A5"/>
    <w:rsid w:val="000D6970"/>
    <w:rsid w:val="000F00B2"/>
    <w:rsid w:val="00100D86"/>
    <w:rsid w:val="00114623"/>
    <w:rsid w:val="00114E06"/>
    <w:rsid w:val="0013002A"/>
    <w:rsid w:val="00134E6A"/>
    <w:rsid w:val="00144948"/>
    <w:rsid w:val="00153DEE"/>
    <w:rsid w:val="00162724"/>
    <w:rsid w:val="00172A27"/>
    <w:rsid w:val="001A455A"/>
    <w:rsid w:val="001B5FEB"/>
    <w:rsid w:val="001B7723"/>
    <w:rsid w:val="001D684F"/>
    <w:rsid w:val="001E1103"/>
    <w:rsid w:val="001F09A0"/>
    <w:rsid w:val="00223409"/>
    <w:rsid w:val="00237C79"/>
    <w:rsid w:val="00241BBA"/>
    <w:rsid w:val="0024630B"/>
    <w:rsid w:val="00273EA3"/>
    <w:rsid w:val="00286C8F"/>
    <w:rsid w:val="002E2AA7"/>
    <w:rsid w:val="002E5406"/>
    <w:rsid w:val="002F4275"/>
    <w:rsid w:val="00344050"/>
    <w:rsid w:val="0035171A"/>
    <w:rsid w:val="003723D1"/>
    <w:rsid w:val="0039026D"/>
    <w:rsid w:val="00394D09"/>
    <w:rsid w:val="003B058B"/>
    <w:rsid w:val="003B4D91"/>
    <w:rsid w:val="003B6419"/>
    <w:rsid w:val="003B79C0"/>
    <w:rsid w:val="004213DF"/>
    <w:rsid w:val="004239DC"/>
    <w:rsid w:val="00427869"/>
    <w:rsid w:val="004279DB"/>
    <w:rsid w:val="00444576"/>
    <w:rsid w:val="004565B6"/>
    <w:rsid w:val="00467392"/>
    <w:rsid w:val="00470E32"/>
    <w:rsid w:val="004C10F0"/>
    <w:rsid w:val="004F305F"/>
    <w:rsid w:val="004F7019"/>
    <w:rsid w:val="005007BC"/>
    <w:rsid w:val="005222A5"/>
    <w:rsid w:val="00522A71"/>
    <w:rsid w:val="0052343D"/>
    <w:rsid w:val="0053194A"/>
    <w:rsid w:val="00540D75"/>
    <w:rsid w:val="0054413C"/>
    <w:rsid w:val="005523F4"/>
    <w:rsid w:val="005766F1"/>
    <w:rsid w:val="005A2AC1"/>
    <w:rsid w:val="005B6A92"/>
    <w:rsid w:val="005D474F"/>
    <w:rsid w:val="005F3D94"/>
    <w:rsid w:val="00606652"/>
    <w:rsid w:val="00612EC6"/>
    <w:rsid w:val="00620A45"/>
    <w:rsid w:val="00623EB8"/>
    <w:rsid w:val="00630C09"/>
    <w:rsid w:val="00650D37"/>
    <w:rsid w:val="00677991"/>
    <w:rsid w:val="00683052"/>
    <w:rsid w:val="00690F2D"/>
    <w:rsid w:val="00691CCD"/>
    <w:rsid w:val="00693E40"/>
    <w:rsid w:val="00697F92"/>
    <w:rsid w:val="006C365A"/>
    <w:rsid w:val="006C40DE"/>
    <w:rsid w:val="006C7D5D"/>
    <w:rsid w:val="006E706A"/>
    <w:rsid w:val="006F2552"/>
    <w:rsid w:val="00701F69"/>
    <w:rsid w:val="007123A6"/>
    <w:rsid w:val="007245E3"/>
    <w:rsid w:val="007349D8"/>
    <w:rsid w:val="007369B6"/>
    <w:rsid w:val="0075143F"/>
    <w:rsid w:val="00760EF8"/>
    <w:rsid w:val="00761FB6"/>
    <w:rsid w:val="007713D8"/>
    <w:rsid w:val="007A155C"/>
    <w:rsid w:val="007F6EB6"/>
    <w:rsid w:val="00823925"/>
    <w:rsid w:val="008342CF"/>
    <w:rsid w:val="0088645A"/>
    <w:rsid w:val="00890DD4"/>
    <w:rsid w:val="008922FF"/>
    <w:rsid w:val="008944CA"/>
    <w:rsid w:val="008B0CA1"/>
    <w:rsid w:val="008B35E9"/>
    <w:rsid w:val="008E3CDE"/>
    <w:rsid w:val="00930564"/>
    <w:rsid w:val="00932E90"/>
    <w:rsid w:val="009447A1"/>
    <w:rsid w:val="00985A1B"/>
    <w:rsid w:val="009A64F9"/>
    <w:rsid w:val="009A71EB"/>
    <w:rsid w:val="009C06EB"/>
    <w:rsid w:val="009D5660"/>
    <w:rsid w:val="00A10725"/>
    <w:rsid w:val="00A1366F"/>
    <w:rsid w:val="00A14768"/>
    <w:rsid w:val="00A2085F"/>
    <w:rsid w:val="00A83D93"/>
    <w:rsid w:val="00AC12FD"/>
    <w:rsid w:val="00B1646D"/>
    <w:rsid w:val="00B407D8"/>
    <w:rsid w:val="00B70855"/>
    <w:rsid w:val="00B86913"/>
    <w:rsid w:val="00BC3D4B"/>
    <w:rsid w:val="00BE45B6"/>
    <w:rsid w:val="00C74279"/>
    <w:rsid w:val="00C74423"/>
    <w:rsid w:val="00C7498B"/>
    <w:rsid w:val="00C86753"/>
    <w:rsid w:val="00CA6E87"/>
    <w:rsid w:val="00CB33C5"/>
    <w:rsid w:val="00CD1BF0"/>
    <w:rsid w:val="00CE09B1"/>
    <w:rsid w:val="00CE3D67"/>
    <w:rsid w:val="00D068F5"/>
    <w:rsid w:val="00D27CB3"/>
    <w:rsid w:val="00D4215B"/>
    <w:rsid w:val="00D7381C"/>
    <w:rsid w:val="00DA664E"/>
    <w:rsid w:val="00DC4F16"/>
    <w:rsid w:val="00DD0F7F"/>
    <w:rsid w:val="00DE2DDB"/>
    <w:rsid w:val="00DF29D5"/>
    <w:rsid w:val="00E01EF2"/>
    <w:rsid w:val="00E24DF9"/>
    <w:rsid w:val="00E44644"/>
    <w:rsid w:val="00E72759"/>
    <w:rsid w:val="00E76C7B"/>
    <w:rsid w:val="00E94950"/>
    <w:rsid w:val="00EB1AE2"/>
    <w:rsid w:val="00EC3AC1"/>
    <w:rsid w:val="00ED7FBA"/>
    <w:rsid w:val="00EE121E"/>
    <w:rsid w:val="00EE30F2"/>
    <w:rsid w:val="00F17AFB"/>
    <w:rsid w:val="00F36293"/>
    <w:rsid w:val="00F71F30"/>
    <w:rsid w:val="00FA368D"/>
    <w:rsid w:val="00FB494B"/>
    <w:rsid w:val="00FC4D8E"/>
    <w:rsid w:val="00FE4992"/>
    <w:rsid w:val="00FF10CD"/>
    <w:rsid w:val="00FF44B6"/>
    <w:rsid w:val="02335EF2"/>
    <w:rsid w:val="081465EC"/>
    <w:rsid w:val="08B872E5"/>
    <w:rsid w:val="0D3D7863"/>
    <w:rsid w:val="11B14DCE"/>
    <w:rsid w:val="11BD51BB"/>
    <w:rsid w:val="124369A4"/>
    <w:rsid w:val="13FE75A2"/>
    <w:rsid w:val="14E611BF"/>
    <w:rsid w:val="16D722AB"/>
    <w:rsid w:val="171E1FAA"/>
    <w:rsid w:val="173E1959"/>
    <w:rsid w:val="17B27C12"/>
    <w:rsid w:val="182B5206"/>
    <w:rsid w:val="18E406CF"/>
    <w:rsid w:val="1A6C0E84"/>
    <w:rsid w:val="1A7C3068"/>
    <w:rsid w:val="1B6C046B"/>
    <w:rsid w:val="1C6D28A3"/>
    <w:rsid w:val="1CC5044C"/>
    <w:rsid w:val="1DC43078"/>
    <w:rsid w:val="1F436A91"/>
    <w:rsid w:val="20490F69"/>
    <w:rsid w:val="20880B42"/>
    <w:rsid w:val="20D06600"/>
    <w:rsid w:val="22DF5BE1"/>
    <w:rsid w:val="253476E6"/>
    <w:rsid w:val="2573511A"/>
    <w:rsid w:val="26A175C9"/>
    <w:rsid w:val="26B55F79"/>
    <w:rsid w:val="2B2D036C"/>
    <w:rsid w:val="2C343CEB"/>
    <w:rsid w:val="2C973BA3"/>
    <w:rsid w:val="2CD91EE1"/>
    <w:rsid w:val="2D3D47D0"/>
    <w:rsid w:val="2D9F209F"/>
    <w:rsid w:val="2DFA07EA"/>
    <w:rsid w:val="2FAF2DC0"/>
    <w:rsid w:val="30CE624E"/>
    <w:rsid w:val="325017E5"/>
    <w:rsid w:val="329343E5"/>
    <w:rsid w:val="37346343"/>
    <w:rsid w:val="376059F1"/>
    <w:rsid w:val="39B624A1"/>
    <w:rsid w:val="3B05764E"/>
    <w:rsid w:val="3B9D05E2"/>
    <w:rsid w:val="3B9D3F7B"/>
    <w:rsid w:val="3BC06A63"/>
    <w:rsid w:val="3F675A63"/>
    <w:rsid w:val="417B1318"/>
    <w:rsid w:val="42646472"/>
    <w:rsid w:val="43351916"/>
    <w:rsid w:val="460974D0"/>
    <w:rsid w:val="477E5776"/>
    <w:rsid w:val="47E52DBD"/>
    <w:rsid w:val="4D667939"/>
    <w:rsid w:val="4F762266"/>
    <w:rsid w:val="507B57E7"/>
    <w:rsid w:val="516D3442"/>
    <w:rsid w:val="525A132C"/>
    <w:rsid w:val="52E26307"/>
    <w:rsid w:val="52F74406"/>
    <w:rsid w:val="53934B54"/>
    <w:rsid w:val="56412769"/>
    <w:rsid w:val="56A439CF"/>
    <w:rsid w:val="588958A6"/>
    <w:rsid w:val="5C5C3E00"/>
    <w:rsid w:val="5CF32068"/>
    <w:rsid w:val="619A7092"/>
    <w:rsid w:val="622F365D"/>
    <w:rsid w:val="63986A2A"/>
    <w:rsid w:val="67C9021A"/>
    <w:rsid w:val="6BDC690F"/>
    <w:rsid w:val="6BF81301"/>
    <w:rsid w:val="6F123BFA"/>
    <w:rsid w:val="712552E9"/>
    <w:rsid w:val="773003C9"/>
    <w:rsid w:val="779F354D"/>
    <w:rsid w:val="7944331F"/>
    <w:rsid w:val="7AEC23D6"/>
    <w:rsid w:val="7BBC722B"/>
    <w:rsid w:val="7BCC60AA"/>
    <w:rsid w:val="7C9A7756"/>
    <w:rsid w:val="7F752A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toc 2"/>
    <w:basedOn w:val="1"/>
    <w:next w:val="1"/>
    <w:qFormat/>
    <w:uiPriority w:val="0"/>
    <w:pPr>
      <w:ind w:left="420" w:leftChars="200"/>
    </w:pPr>
    <w:rPr>
      <w:rFonts w:ascii="Times New Roman" w:hAnsi="Times New Roman" w:cs="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character" w:styleId="10">
    <w:name w:val="Hyperlink"/>
    <w:qFormat/>
    <w:uiPriority w:val="0"/>
    <w:rPr>
      <w:color w:val="0000FF"/>
      <w:u w:val="single"/>
    </w:rPr>
  </w:style>
  <w:style w:type="character" w:customStyle="1" w:styleId="12">
    <w:name w:val="页脚 Char"/>
    <w:link w:val="3"/>
    <w:semiHidden/>
    <w:qFormat/>
    <w:uiPriority w:val="0"/>
    <w:rPr>
      <w:rFonts w:ascii="Times New Roman" w:hAnsi="Times New Roman" w:eastAsia="宋体" w:cs="Times New Roman"/>
      <w:sz w:val="18"/>
      <w:szCs w:val="18"/>
    </w:rPr>
  </w:style>
  <w:style w:type="character" w:customStyle="1" w:styleId="13">
    <w:name w:val="页眉 Char"/>
    <w:link w:val="4"/>
    <w:semiHidden/>
    <w:qFormat/>
    <w:uiPriority w:val="0"/>
    <w:rPr>
      <w:rFonts w:ascii="Times New Roman" w:hAnsi="Times New Roman" w:eastAsia="宋体" w:cs="Times New Roman"/>
      <w:sz w:val="18"/>
      <w:szCs w:val="18"/>
    </w:rPr>
  </w:style>
  <w:style w:type="character" w:customStyle="1" w:styleId="14">
    <w:name w:val="页码1"/>
    <w:basedOn w:val="9"/>
    <w:qFormat/>
    <w:uiPriority w:val="0"/>
  </w:style>
  <w:style w:type="character" w:customStyle="1" w:styleId="15">
    <w:name w:val="font11"/>
    <w:qFormat/>
    <w:uiPriority w:val="0"/>
    <w:rPr>
      <w:rFonts w:hint="eastAsia" w:ascii="宋体" w:hAnsi="宋体" w:eastAsia="宋体" w:cs="宋体"/>
      <w:color w:val="000000"/>
      <w:sz w:val="18"/>
      <w:szCs w:val="18"/>
      <w:u w:val="none"/>
    </w:rPr>
  </w:style>
  <w:style w:type="paragraph" w:customStyle="1" w:styleId="16">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17">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18">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9">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20">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2">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3">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4">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684</Words>
  <Characters>3899</Characters>
  <Lines>32</Lines>
  <Paragraphs>9</Paragraphs>
  <TotalTime>1463</TotalTime>
  <ScaleCrop>false</ScaleCrop>
  <LinksUpToDate>false</LinksUpToDate>
  <CharactersWithSpaces>4574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2018-04-24T06:10:00Z</dcterms:created>
  <dc:creator>guest</dc:creator>
  <cp:lastModifiedBy>yolanda</cp:lastModifiedBy>
  <cp:lastPrinted>2017-05-03T09:08:00Z</cp:lastPrinted>
  <dcterms:modified xsi:type="dcterms:W3CDTF">2024-08-20T02:02:59Z</dcterms:modified>
  <dc:title>Administrator</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