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04025">
      <w:pPr>
        <w:jc w:val="center"/>
        <w:rPr>
          <w:rFonts w:hint="eastAsia" w:ascii="Times New Roman" w:hAnsi="Times New Roman" w:eastAsia="方正小标宋_GBK" w:cs="方正小标宋_GBK"/>
          <w:sz w:val="44"/>
          <w:szCs w:val="44"/>
        </w:rPr>
      </w:pPr>
      <w:bookmarkStart w:id="3" w:name="_GoBack"/>
      <w:bookmarkEnd w:id="3"/>
      <w:r>
        <w:rPr>
          <w:rFonts w:hint="eastAsia" w:ascii="Times New Roman" w:hAnsi="Times New Roman" w:eastAsia="方正小标宋_GBK" w:cs="方正小标宋_GBK"/>
          <w:sz w:val="44"/>
          <w:szCs w:val="44"/>
        </w:rPr>
        <w:t>唐山市曹妃甸区人民政府办公室20</w:t>
      </w:r>
      <w:r>
        <w:rPr>
          <w:rFonts w:hint="eastAsia" w:ascii="Times New Roman" w:hAnsi="Times New Roman" w:eastAsia="方正小标宋_GBK" w:cs="方正小标宋_GBK"/>
          <w:sz w:val="44"/>
          <w:szCs w:val="44"/>
          <w:lang w:val="en-US" w:eastAsia="zh-CN"/>
        </w:rPr>
        <w:t>22</w:t>
      </w:r>
      <w:r>
        <w:rPr>
          <w:rFonts w:hint="eastAsia" w:ascii="Times New Roman" w:hAnsi="Times New Roman" w:eastAsia="方正小标宋_GBK" w:cs="方正小标宋_GBK"/>
          <w:sz w:val="44"/>
          <w:szCs w:val="44"/>
        </w:rPr>
        <w:t>年部门预算信息公开</w:t>
      </w:r>
    </w:p>
    <w:p w14:paraId="1796F15E">
      <w:pPr>
        <w:pStyle w:val="13"/>
        <w:rPr>
          <w:rFonts w:hint="eastAsia"/>
        </w:rPr>
      </w:pPr>
    </w:p>
    <w:p w14:paraId="32DEA34A">
      <w:pPr>
        <w:keepNext w:val="0"/>
        <w:keepLines w:val="0"/>
        <w:pageBreakBefore w:val="0"/>
        <w:kinsoku/>
        <w:wordWrap/>
        <w:overflowPunct/>
        <w:topLinePunct w:val="0"/>
        <w:autoSpaceDE/>
        <w:autoSpaceDN/>
        <w:bidi w:val="0"/>
        <w:adjustRightInd/>
        <w:snapToGrid/>
        <w:spacing w:line="570" w:lineRule="exact"/>
        <w:ind w:firstLine="560" w:firstLineChars="200"/>
        <w:jc w:val="both"/>
        <w:textAlignment w:val="auto"/>
        <w:outlineLvl w:val="9"/>
      </w:pPr>
      <w:r>
        <w:rPr>
          <w:rFonts w:hint="eastAsia" w:eastAsia="方正仿宋_GBK"/>
          <w:sz w:val="28"/>
        </w:rPr>
        <w:t>按照《预算法》、《河北省预决算公开操作规程实施细则》规定，现将</w:t>
      </w:r>
      <w:r>
        <w:rPr>
          <w:rFonts w:eastAsia="方正仿宋_GBK"/>
          <w:sz w:val="28"/>
        </w:rPr>
        <w:t>20</w:t>
      </w:r>
      <w:r>
        <w:rPr>
          <w:rFonts w:hint="eastAsia" w:eastAsia="方正仿宋_GBK"/>
          <w:sz w:val="28"/>
          <w:lang w:val="en-US" w:eastAsia="zh-CN"/>
        </w:rPr>
        <w:t>22</w:t>
      </w:r>
      <w:r>
        <w:rPr>
          <w:rFonts w:hint="eastAsia" w:eastAsia="方正仿宋_GBK"/>
          <w:sz w:val="28"/>
        </w:rPr>
        <w:t>年部门预算公开如下：</w:t>
      </w:r>
    </w:p>
    <w:p w14:paraId="69654338">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部门职责及机构设置情况</w:t>
      </w:r>
    </w:p>
    <w:p w14:paraId="12375E3A">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部门职责：</w:t>
      </w:r>
    </w:p>
    <w:p w14:paraId="65F75D6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（一）围绕区政府各时期的中心工作和重点工作，加强调查 研究，及时了解、反映情况，提出建议，为区领导进行科学决策，部署和指导工作，发挥综合协调和参谋助手作用。</w:t>
      </w:r>
    </w:p>
    <w:p w14:paraId="15CA19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1C56088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（三）负责区政府领导活动的组织和协调工作：负责区政府会议的准备和服务工作，协助区政府领导组织落实会议决定事项。</w:t>
      </w:r>
    </w:p>
    <w:p w14:paraId="09EF410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（四）研究各开发区（园区）、各场镇、街道办事处，区政府各部门请示区政府的事项，提出审核意见，报区政府领导审批。</w:t>
      </w:r>
    </w:p>
    <w:p w14:paraId="28B058E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（五）根据区政府领导的批示，对区政府各部门间出现的争议问题提出处理意见，报区政府领导决定。</w:t>
      </w:r>
    </w:p>
    <w:p w14:paraId="7861490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eastAsia="方正仿宋_GBK"/>
          <w:sz w:val="28"/>
        </w:rPr>
        <w:t>（六）组织起草区政府领导重要讲话及其他重要文稿</w:t>
      </w:r>
      <w:r>
        <w:rPr>
          <w:rFonts w:hint="eastAsia" w:eastAsia="方正仿宋_GBK"/>
          <w:sz w:val="28"/>
          <w:lang w:eastAsia="zh-CN"/>
        </w:rPr>
        <w:t>。</w:t>
      </w:r>
    </w:p>
    <w:p w14:paraId="2A45FC3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（七）组织承办人大代表建议和政协委员提案工作。</w:t>
      </w:r>
    </w:p>
    <w:p w14:paraId="7E41DA4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（八）负</w:t>
      </w:r>
      <w:r>
        <w:rPr>
          <w:rFonts w:hint="eastAsia" w:eastAsia="方正仿宋_GBK"/>
          <w:sz w:val="28"/>
          <w:lang w:val="en-US" w:eastAsia="zh-CN"/>
        </w:rPr>
        <w:t>责</w:t>
      </w:r>
      <w:r>
        <w:rPr>
          <w:rFonts w:eastAsia="方正仿宋_GBK"/>
          <w:sz w:val="28"/>
        </w:rPr>
        <w:t>承办区政府提请区人大常委会任免议案和提请区政府任命工作人员的行政任免有关手续；负责承办区政府任命工作人员的宪法宣誓工作。</w:t>
      </w:r>
    </w:p>
    <w:p w14:paraId="2D25D9D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eastAsia="zh-CN"/>
        </w:rPr>
        <w:t>（</w:t>
      </w:r>
      <w:r>
        <w:rPr>
          <w:rFonts w:hint="eastAsia" w:eastAsia="方正仿宋_GBK"/>
          <w:sz w:val="28"/>
          <w:lang w:val="en-US" w:eastAsia="zh-CN"/>
        </w:rPr>
        <w:t>九</w:t>
      </w:r>
      <w:r>
        <w:rPr>
          <w:rFonts w:hint="eastAsia" w:eastAsia="方正仿宋_GBK"/>
          <w:sz w:val="28"/>
          <w:lang w:eastAsia="zh-CN"/>
        </w:rPr>
        <w:t>）</w:t>
      </w:r>
      <w:r>
        <w:rPr>
          <w:rFonts w:eastAsia="方正仿宋_GBK"/>
          <w:sz w:val="28"/>
        </w:rPr>
        <w:t>负责区政府值班工作，及时报告重要情况，传达和督促落实区政府领导工作要求。</w:t>
      </w:r>
    </w:p>
    <w:p w14:paraId="7EEAC08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（十）负责推进、指导、协调、监督、考核评估全区政务公开和政府信息公开工作。</w:t>
      </w:r>
    </w:p>
    <w:p w14:paraId="5C06781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（十一）贯彻执行上级对外事、港澳工作的方针、政策法规，研究、协调、指导全区涉外、涉港澳工作。</w:t>
      </w:r>
    </w:p>
    <w:p w14:paraId="72B1DF5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（十二）负责区政府内外宾接</w:t>
      </w:r>
      <w:r>
        <w:rPr>
          <w:rFonts w:hint="eastAsia" w:eastAsia="方正仿宋_GBK"/>
          <w:sz w:val="28"/>
          <w:lang w:val="en-US" w:eastAsia="zh-CN"/>
        </w:rPr>
        <w:t>待</w:t>
      </w:r>
      <w:r>
        <w:rPr>
          <w:rFonts w:eastAsia="方正仿宋_GBK"/>
          <w:sz w:val="28"/>
        </w:rPr>
        <w:t>和其他公务接待工作；指导全区政府系统的公务接待工作。</w:t>
      </w:r>
    </w:p>
    <w:p w14:paraId="63D7AA9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（十三）负责政务信息服务工作。</w:t>
      </w:r>
    </w:p>
    <w:p w14:paraId="0E74382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（十四）贯彻执行国家金融方针政策和法律法规，研究起草全区金融业发展规划和政策，提出促进和加强金融业发展的建议。按照全区经济社会发展战略规划，协调引导各类金融机构支持服务实体经济发展。</w:t>
      </w:r>
    </w:p>
    <w:p w14:paraId="1E9F3C8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（十五）协调、配合驻曹金融监管部门依法加强金融监管，整顿和规范金融市场秩序，负责联系驻曹金融监管部门和驻曹金融机构，协调做好金融运行中涉及地方政府配合的相关工作。</w:t>
      </w:r>
    </w:p>
    <w:p w14:paraId="616FA86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（十六）协调推进京津冀金融协同发展及对外金融交流合作，协调引进金融机构，推进全区金融功能区规划，建设和发展协同推进金融服务民生、全融人才队伍、金融生态环境、金融信用体系建设。</w:t>
      </w:r>
    </w:p>
    <w:p w14:paraId="61F84E6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074DBD6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（十八）负</w:t>
      </w:r>
      <w:r>
        <w:rPr>
          <w:rFonts w:hint="eastAsia" w:eastAsia="方正仿宋_GBK"/>
          <w:sz w:val="28"/>
          <w:lang w:val="en-US" w:eastAsia="zh-CN"/>
        </w:rPr>
        <w:t>责</w:t>
      </w:r>
      <w:r>
        <w:rPr>
          <w:rFonts w:eastAsia="方正仿宋_GBK"/>
          <w:sz w:val="28"/>
        </w:rPr>
        <w:t>起草培育全区企业参与多层次资本市场、改革发展的政策措施。协调推动、培育推荐企业挂牌上市、配合做好全区直接融资工作。</w:t>
      </w:r>
    </w:p>
    <w:p w14:paraId="51A71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等管理，规范经营范围。协助有关单位做好互联网金融、基金学金融业态的监督管理和风险处置工作；负责网络借贷信息中介机构的备案登记工作。配合做好区城性股权市场等涉及到的相关工作。推进地方金融和科技的融合发展，创新地方金融监管方式。</w:t>
      </w:r>
    </w:p>
    <w:p w14:paraId="3F1D35D6">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仿宋_GB2312" w:hAnsi="Calibri" w:eastAsia="仿宋_GB2312" w:cs="ArialUnicodeMS"/>
          <w:kern w:val="0"/>
          <w:sz w:val="32"/>
          <w:szCs w:val="32"/>
          <w:highlight w:val="none"/>
          <w:lang w:eastAsia="zh-CN"/>
        </w:rPr>
      </w:pPr>
      <w:r>
        <w:rPr>
          <w:rFonts w:eastAsia="方正仿宋_GBK"/>
          <w:sz w:val="28"/>
        </w:rPr>
        <w:t>（二十）</w:t>
      </w:r>
      <w:r>
        <w:rPr>
          <w:rFonts w:hint="eastAsia" w:eastAsia="方正仿宋_GBK"/>
          <w:sz w:val="28"/>
          <w:lang w:eastAsia="zh-CN"/>
        </w:rPr>
        <w:t>协调有关部门依法做好防范和处置非法集资工作，负</w:t>
      </w:r>
      <w:r>
        <w:rPr>
          <w:rFonts w:hint="eastAsia" w:eastAsia="方正仿宋_GBK"/>
          <w:sz w:val="28"/>
          <w:lang w:val="en-US" w:eastAsia="zh-CN"/>
        </w:rPr>
        <w:t>责</w:t>
      </w:r>
      <w:r>
        <w:rPr>
          <w:rFonts w:hint="eastAsia" w:eastAsia="方正仿宋_GBK"/>
          <w:sz w:val="28"/>
          <w:lang w:eastAsia="zh-CN"/>
        </w:rPr>
        <w:t>开展相关宣传教育、政</w:t>
      </w:r>
      <w:r>
        <w:rPr>
          <w:rFonts w:hint="eastAsia" w:eastAsia="方正仿宋_GBK"/>
          <w:sz w:val="28"/>
          <w:lang w:val="en-US" w:eastAsia="zh-CN"/>
        </w:rPr>
        <w:t>策</w:t>
      </w:r>
      <w:r>
        <w:rPr>
          <w:rFonts w:hint="eastAsia" w:eastAsia="方正仿宋_GBK"/>
          <w:sz w:val="28"/>
          <w:lang w:eastAsia="zh-CN"/>
        </w:rPr>
        <w:t>解释和业务指导工作。负责做好小</w:t>
      </w:r>
      <w:r>
        <w:rPr>
          <w:rFonts w:hint="eastAsia" w:eastAsia="方正仿宋_GBK"/>
          <w:sz w:val="28"/>
          <w:lang w:val="en-US" w:eastAsia="zh-CN"/>
        </w:rPr>
        <w:t>额</w:t>
      </w:r>
      <w:r>
        <w:rPr>
          <w:rFonts w:hint="eastAsia" w:eastAsia="方正仿宋_GBK"/>
          <w:sz w:val="28"/>
          <w:lang w:eastAsia="zh-CN"/>
        </w:rPr>
        <w:t>贷款公司、融资担保公司、典当行、融资租</w:t>
      </w:r>
      <w:r>
        <w:rPr>
          <w:rFonts w:hint="eastAsia" w:eastAsia="方正仿宋_GBK"/>
          <w:sz w:val="28"/>
          <w:lang w:val="en-US" w:eastAsia="zh-CN"/>
        </w:rPr>
        <w:t>赁</w:t>
      </w:r>
      <w:r>
        <w:rPr>
          <w:rFonts w:hint="eastAsia" w:eastAsia="方正仿宋_GBK"/>
          <w:sz w:val="28"/>
          <w:lang w:eastAsia="zh-CN"/>
        </w:rPr>
        <w:t>公司、商业保理公司、地方资产管理公司、地方</w:t>
      </w:r>
      <w:r>
        <w:rPr>
          <w:rFonts w:hint="eastAsia" w:eastAsia="方正仿宋_GBK"/>
          <w:sz w:val="28"/>
          <w:lang w:val="en-US" w:eastAsia="zh-CN"/>
        </w:rPr>
        <w:t>金</w:t>
      </w:r>
      <w:r>
        <w:rPr>
          <w:rFonts w:hint="eastAsia" w:eastAsia="方正仿宋_GBK"/>
          <w:sz w:val="28"/>
          <w:lang w:eastAsia="zh-CN"/>
        </w:rPr>
        <w:t>融控股</w:t>
      </w:r>
      <w:r>
        <w:rPr>
          <w:rFonts w:hint="eastAsia" w:eastAsia="方正仿宋_GBK"/>
          <w:sz w:val="28"/>
          <w:lang w:val="en-US" w:eastAsia="zh-CN"/>
        </w:rPr>
        <w:t>集</w:t>
      </w:r>
      <w:r>
        <w:rPr>
          <w:rFonts w:hint="eastAsia" w:eastAsia="方正仿宋_GBK"/>
          <w:sz w:val="28"/>
          <w:lang w:eastAsia="zh-CN"/>
        </w:rPr>
        <w:t>团</w:t>
      </w:r>
      <w:r>
        <w:rPr>
          <w:rFonts w:hint="eastAsia" w:eastAsia="方正仿宋_GBK"/>
          <w:sz w:val="28"/>
          <w:lang w:val="en-US" w:eastAsia="zh-CN"/>
        </w:rPr>
        <w:t>等地方金融消费者</w:t>
      </w:r>
      <w:r>
        <w:rPr>
          <w:rFonts w:hint="eastAsia" w:eastAsia="方正仿宋_GBK"/>
          <w:sz w:val="28"/>
          <w:lang w:eastAsia="zh-CN"/>
        </w:rPr>
        <w:t>权益保护工作。</w:t>
      </w:r>
    </w:p>
    <w:p w14:paraId="1B65C6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eastAsia="zh-CN"/>
        </w:rPr>
      </w:pPr>
      <w:r>
        <w:rPr>
          <w:rFonts w:eastAsia="方正仿宋_GBK"/>
          <w:sz w:val="28"/>
        </w:rPr>
        <w:t>（二十一）协调组织全区金融风险防范和处置化解工作。带头做好地方金融风险监测、信息报告工作。协调配合有关部门设法做好非法金融案件调查处理、善后处理和维护金融稳定工作</w:t>
      </w:r>
      <w:r>
        <w:rPr>
          <w:rFonts w:hint="eastAsia" w:eastAsia="方正仿宋_GBK"/>
          <w:sz w:val="28"/>
          <w:lang w:eastAsia="zh-CN"/>
        </w:rPr>
        <w:t>。</w:t>
      </w:r>
    </w:p>
    <w:p w14:paraId="079796D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（二十二）负</w:t>
      </w:r>
      <w:r>
        <w:rPr>
          <w:rFonts w:hint="eastAsia" w:eastAsia="方正仿宋_GBK"/>
          <w:sz w:val="28"/>
          <w:lang w:val="en-US" w:eastAsia="zh-CN"/>
        </w:rPr>
        <w:t>责</w:t>
      </w:r>
      <w:r>
        <w:rPr>
          <w:rFonts w:eastAsia="方正仿宋_GBK"/>
          <w:sz w:val="28"/>
        </w:rPr>
        <w:t>区政府办公室所属单位的管理工作。</w:t>
      </w:r>
    </w:p>
    <w:p w14:paraId="6AF8160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（二十三）完成区政府交办的其他任务。</w:t>
      </w:r>
    </w:p>
    <w:p w14:paraId="1C5A477F">
      <w:pPr>
        <w:pStyle w:val="13"/>
        <w:keepNext w:val="0"/>
        <w:keepLines w:val="0"/>
        <w:pageBreakBefore w:val="0"/>
        <w:kinsoku/>
        <w:wordWrap/>
        <w:overflowPunct/>
        <w:topLinePunct w:val="0"/>
        <w:bidi w:val="0"/>
        <w:adjustRightInd/>
        <w:snapToGrid/>
        <w:spacing w:line="570" w:lineRule="exact"/>
        <w:ind w:firstLine="482" w:firstLineChars="200"/>
        <w:textAlignment w:val="auto"/>
        <w:outlineLvl w:val="9"/>
        <w:rPr>
          <w:rFonts w:hint="eastAsia"/>
        </w:rPr>
      </w:pPr>
    </w:p>
    <w:p w14:paraId="7832BBCE">
      <w:pPr>
        <w:keepNext w:val="0"/>
        <w:keepLines w:val="0"/>
        <w:pageBreakBefore w:val="0"/>
        <w:kinsoku/>
        <w:wordWrap/>
        <w:overflowPunct/>
        <w:topLinePunct w:val="0"/>
        <w:autoSpaceDE w:val="0"/>
        <w:autoSpaceDN w:val="0"/>
        <w:bidi w:val="0"/>
        <w:adjustRightInd/>
        <w:snapToGrid/>
        <w:spacing w:line="570" w:lineRule="exact"/>
        <w:ind w:firstLine="643" w:firstLineChars="200"/>
        <w:jc w:val="left"/>
        <w:textAlignment w:val="auto"/>
        <w:outlineLvl w:val="9"/>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tbl>
      <w:tblPr>
        <w:tblStyle w:val="14"/>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2520"/>
        <w:gridCol w:w="3277"/>
        <w:gridCol w:w="3544"/>
      </w:tblGrid>
      <w:tr w14:paraId="45D2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vAlign w:val="center"/>
          </w:tcPr>
          <w:p w14:paraId="460E84A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单位名称</w:t>
            </w:r>
          </w:p>
        </w:tc>
        <w:tc>
          <w:tcPr>
            <w:tcW w:w="2520" w:type="dxa"/>
            <w:vAlign w:val="center"/>
          </w:tcPr>
          <w:p w14:paraId="17D0541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单位性质</w:t>
            </w:r>
          </w:p>
        </w:tc>
        <w:tc>
          <w:tcPr>
            <w:tcW w:w="3277" w:type="dxa"/>
            <w:vAlign w:val="center"/>
          </w:tcPr>
          <w:p w14:paraId="5C54347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单位规格</w:t>
            </w:r>
          </w:p>
        </w:tc>
        <w:tc>
          <w:tcPr>
            <w:tcW w:w="3544" w:type="dxa"/>
            <w:vAlign w:val="center"/>
          </w:tcPr>
          <w:p w14:paraId="2C8ADDB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经费保障形式</w:t>
            </w:r>
          </w:p>
        </w:tc>
      </w:tr>
      <w:tr w14:paraId="01C8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33" w:type="dxa"/>
            <w:vAlign w:val="center"/>
          </w:tcPr>
          <w:p w14:paraId="2EE9999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唐山市曹妃甸区人民政府办公室</w:t>
            </w:r>
          </w:p>
        </w:tc>
        <w:tc>
          <w:tcPr>
            <w:tcW w:w="2520" w:type="dxa"/>
            <w:vAlign w:val="center"/>
          </w:tcPr>
          <w:p w14:paraId="7610D66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4ECC435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正科</w:t>
            </w:r>
            <w:r>
              <w:rPr>
                <w:rFonts w:hint="eastAsia" w:eastAsia="方正仿宋_GBK"/>
                <w:sz w:val="28"/>
              </w:rPr>
              <w:t>级</w:t>
            </w:r>
          </w:p>
        </w:tc>
        <w:tc>
          <w:tcPr>
            <w:tcW w:w="3544" w:type="dxa"/>
            <w:vAlign w:val="center"/>
          </w:tcPr>
          <w:p w14:paraId="11D58D0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财政拨款</w:t>
            </w:r>
          </w:p>
        </w:tc>
      </w:tr>
      <w:tr w14:paraId="0766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833" w:type="dxa"/>
            <w:vAlign w:val="center"/>
          </w:tcPr>
          <w:p w14:paraId="54427DB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综合</w:t>
            </w:r>
            <w:r>
              <w:rPr>
                <w:rFonts w:hint="eastAsia" w:eastAsia="方正仿宋_GBK"/>
                <w:sz w:val="28"/>
              </w:rPr>
              <w:t>一科</w:t>
            </w:r>
          </w:p>
        </w:tc>
        <w:tc>
          <w:tcPr>
            <w:tcW w:w="2520" w:type="dxa"/>
            <w:vAlign w:val="center"/>
          </w:tcPr>
          <w:p w14:paraId="1088B89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2893589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14:paraId="58787D6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财政性资金基本保证</w:t>
            </w:r>
          </w:p>
        </w:tc>
      </w:tr>
      <w:tr w14:paraId="4EB6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0CBDB4E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default" w:eastAsia="方正仿宋_GBK"/>
                <w:sz w:val="28"/>
                <w:lang w:val="en-US" w:eastAsia="zh-CN"/>
              </w:rPr>
            </w:pPr>
            <w:r>
              <w:rPr>
                <w:rFonts w:hint="eastAsia" w:eastAsia="方正仿宋_GBK"/>
                <w:sz w:val="28"/>
                <w:lang w:eastAsia="zh-CN"/>
              </w:rPr>
              <w:t>综合二科至</w:t>
            </w:r>
            <w:r>
              <w:rPr>
                <w:rFonts w:hint="eastAsia" w:eastAsia="方正仿宋_GBK"/>
                <w:sz w:val="28"/>
                <w:lang w:val="en-US" w:eastAsia="zh-CN"/>
              </w:rPr>
              <w:t>七科</w:t>
            </w:r>
          </w:p>
        </w:tc>
        <w:tc>
          <w:tcPr>
            <w:tcW w:w="2520" w:type="dxa"/>
            <w:vAlign w:val="center"/>
          </w:tcPr>
          <w:p w14:paraId="079CD9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行政</w:t>
            </w:r>
          </w:p>
        </w:tc>
        <w:tc>
          <w:tcPr>
            <w:tcW w:w="3277" w:type="dxa"/>
            <w:vAlign w:val="center"/>
          </w:tcPr>
          <w:p w14:paraId="5C0EA8F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14:paraId="2F49FF0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eastAsia="方正仿宋_GBK"/>
                <w:sz w:val="28"/>
              </w:rPr>
            </w:pPr>
            <w:r>
              <w:rPr>
                <w:rFonts w:hint="eastAsia" w:eastAsia="方正仿宋_GBK"/>
                <w:sz w:val="28"/>
              </w:rPr>
              <w:t>财政性资金基本保证</w:t>
            </w:r>
          </w:p>
        </w:tc>
      </w:tr>
      <w:tr w14:paraId="0C75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2527DF0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秘书科</w:t>
            </w:r>
          </w:p>
        </w:tc>
        <w:tc>
          <w:tcPr>
            <w:tcW w:w="2520" w:type="dxa"/>
            <w:vAlign w:val="center"/>
          </w:tcPr>
          <w:p w14:paraId="3DA207F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3DCE79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5104900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1004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14:paraId="46C968E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会议接待科</w:t>
            </w:r>
          </w:p>
        </w:tc>
        <w:tc>
          <w:tcPr>
            <w:tcW w:w="2520" w:type="dxa"/>
            <w:vAlign w:val="center"/>
          </w:tcPr>
          <w:p w14:paraId="1956166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0786909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32474D9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7542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47AF60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综合调研科</w:t>
            </w:r>
          </w:p>
        </w:tc>
        <w:tc>
          <w:tcPr>
            <w:tcW w:w="2520" w:type="dxa"/>
            <w:vAlign w:val="center"/>
          </w:tcPr>
          <w:p w14:paraId="5B2532C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79E64CA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6F86592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6E60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55C8FFC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区政府值班室</w:t>
            </w:r>
          </w:p>
        </w:tc>
        <w:tc>
          <w:tcPr>
            <w:tcW w:w="2520" w:type="dxa"/>
            <w:vAlign w:val="center"/>
          </w:tcPr>
          <w:p w14:paraId="763E071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48D63D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008806A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r w14:paraId="3116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14:paraId="563B9FA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金融管理科</w:t>
            </w:r>
          </w:p>
        </w:tc>
        <w:tc>
          <w:tcPr>
            <w:tcW w:w="2520" w:type="dxa"/>
            <w:vAlign w:val="center"/>
          </w:tcPr>
          <w:p w14:paraId="264796D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行政</w:t>
            </w:r>
          </w:p>
        </w:tc>
        <w:tc>
          <w:tcPr>
            <w:tcW w:w="3277" w:type="dxa"/>
            <w:vAlign w:val="center"/>
          </w:tcPr>
          <w:p w14:paraId="08D615E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股级</w:t>
            </w:r>
          </w:p>
        </w:tc>
        <w:tc>
          <w:tcPr>
            <w:tcW w:w="3544" w:type="dxa"/>
            <w:vAlign w:val="center"/>
          </w:tcPr>
          <w:p w14:paraId="164834A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center"/>
              <w:textAlignment w:val="auto"/>
              <w:outlineLvl w:val="9"/>
              <w:rPr>
                <w:rFonts w:hint="eastAsia" w:eastAsia="方正仿宋_GBK"/>
                <w:sz w:val="28"/>
                <w:lang w:eastAsia="zh-CN"/>
              </w:rPr>
            </w:pPr>
            <w:r>
              <w:rPr>
                <w:rFonts w:hint="eastAsia" w:eastAsia="方正仿宋_GBK"/>
                <w:sz w:val="28"/>
                <w:lang w:eastAsia="zh-CN"/>
              </w:rPr>
              <w:t>财政性资金基本保证</w:t>
            </w:r>
          </w:p>
        </w:tc>
      </w:tr>
    </w:tbl>
    <w:p w14:paraId="3C665C58">
      <w:pPr>
        <w:keepNext w:val="0"/>
        <w:keepLines w:val="0"/>
        <w:pageBreakBefore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4E993D6C">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r>
        <w:rPr>
          <w:rFonts w:ascii="黑体" w:hAnsi="黑体" w:eastAsia="黑体" w:cs="Times New Roman"/>
          <w:sz w:val="32"/>
          <w:szCs w:val="32"/>
        </w:rPr>
        <w:t xml:space="preserve"> </w:t>
      </w:r>
    </w:p>
    <w:p w14:paraId="0D597DC2">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48A3559B">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413745BE">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635DCF41">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1A2E7B97">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5B103709">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387A0EF9">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532F33BC">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70C9F7A5">
      <w:pPr>
        <w:keepNext w:val="0"/>
        <w:keepLines w:val="0"/>
        <w:pageBreakBefore w:val="0"/>
        <w:widowControl w:val="0"/>
        <w:kinsoku/>
        <w:wordWrap/>
        <w:overflowPunct/>
        <w:topLinePunct w:val="0"/>
        <w:bidi w:val="0"/>
        <w:adjustRightInd/>
        <w:snapToGrid/>
        <w:spacing w:line="570" w:lineRule="exact"/>
        <w:ind w:firstLine="640" w:firstLineChars="200"/>
        <w:textAlignment w:val="auto"/>
        <w:outlineLvl w:val="9"/>
        <w:rPr>
          <w:rFonts w:ascii="黑体" w:hAnsi="黑体" w:eastAsia="黑体" w:cs="Times New Roman"/>
          <w:sz w:val="32"/>
          <w:szCs w:val="32"/>
        </w:rPr>
      </w:pPr>
    </w:p>
    <w:p w14:paraId="4B2FF4A2">
      <w:pPr>
        <w:keepNext w:val="0"/>
        <w:keepLines w:val="0"/>
        <w:pageBreakBefore w:val="0"/>
        <w:widowControl w:val="0"/>
        <w:kinsoku/>
        <w:wordWrap/>
        <w:overflowPunct/>
        <w:topLinePunct w:val="0"/>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5B07DCD5">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14:paraId="420B5633">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eastAsia="zh-CN"/>
        </w:rPr>
      </w:pPr>
      <w:r>
        <w:rPr>
          <w:rFonts w:hint="eastAsia" w:eastAsia="方正仿宋_GBK"/>
          <w:sz w:val="28"/>
        </w:rPr>
        <w:t>本部门当年全部收入，</w:t>
      </w:r>
      <w:r>
        <w:rPr>
          <w:rFonts w:eastAsia="方正仿宋_GBK"/>
          <w:sz w:val="28"/>
        </w:rPr>
        <w:t>20</w:t>
      </w:r>
      <w:r>
        <w:rPr>
          <w:rFonts w:hint="eastAsia" w:eastAsia="方正仿宋_GBK"/>
          <w:sz w:val="28"/>
          <w:lang w:val="en-US" w:eastAsia="zh-CN"/>
        </w:rPr>
        <w:t>22</w:t>
      </w:r>
      <w:r>
        <w:rPr>
          <w:rFonts w:hint="eastAsia" w:eastAsia="方正仿宋_GBK"/>
          <w:sz w:val="28"/>
        </w:rPr>
        <w:t>年预算收入</w:t>
      </w:r>
      <w:r>
        <w:rPr>
          <w:rFonts w:hint="eastAsia" w:eastAsia="方正仿宋_GBK"/>
          <w:sz w:val="28"/>
          <w:lang w:val="en-US" w:eastAsia="zh-CN"/>
        </w:rPr>
        <w:t>1967.75</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14:paraId="44118182">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2、</w:t>
      </w:r>
      <w:r>
        <w:rPr>
          <w:rFonts w:hint="eastAsia" w:eastAsia="方正仿宋_GBK"/>
          <w:sz w:val="28"/>
        </w:rPr>
        <w:t>支出说明</w:t>
      </w:r>
    </w:p>
    <w:p w14:paraId="64806D63">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2022</w:t>
      </w:r>
      <w:r>
        <w:rPr>
          <w:rFonts w:hint="eastAsia" w:eastAsia="方正仿宋_GBK"/>
          <w:sz w:val="28"/>
        </w:rPr>
        <w:t>年度部门预算中支出预算的总体情况。</w:t>
      </w:r>
      <w:r>
        <w:rPr>
          <w:rFonts w:hint="eastAsia" w:eastAsia="方正仿宋_GBK"/>
          <w:sz w:val="28"/>
          <w:lang w:val="en-US" w:eastAsia="zh-CN"/>
        </w:rPr>
        <w:t>2022</w:t>
      </w:r>
      <w:r>
        <w:rPr>
          <w:rFonts w:hint="eastAsia" w:eastAsia="方正仿宋_GBK"/>
          <w:sz w:val="28"/>
        </w:rPr>
        <w:t>年部门支出预算为</w:t>
      </w:r>
      <w:r>
        <w:rPr>
          <w:rFonts w:hint="eastAsia" w:eastAsia="方正仿宋_GBK"/>
          <w:sz w:val="28"/>
          <w:lang w:val="en-US" w:eastAsia="zh-CN"/>
        </w:rPr>
        <w:t>1967.75</w:t>
      </w:r>
      <w:r>
        <w:rPr>
          <w:rFonts w:hint="eastAsia" w:eastAsia="方正仿宋_GBK"/>
          <w:sz w:val="28"/>
        </w:rPr>
        <w:t>万元，其中基本支出</w:t>
      </w:r>
      <w:r>
        <w:rPr>
          <w:rFonts w:hint="eastAsia" w:eastAsia="方正仿宋_GBK"/>
          <w:sz w:val="28"/>
          <w:lang w:val="en-US" w:eastAsia="zh-CN"/>
        </w:rPr>
        <w:t>1343.05</w:t>
      </w:r>
      <w:r>
        <w:rPr>
          <w:rFonts w:hint="eastAsia" w:eastAsia="方正仿宋_GBK"/>
          <w:sz w:val="28"/>
        </w:rPr>
        <w:t>万元，包括人员经费</w:t>
      </w:r>
      <w:r>
        <w:rPr>
          <w:rFonts w:hint="eastAsia" w:eastAsia="方正仿宋_GBK"/>
          <w:sz w:val="28"/>
          <w:lang w:val="en-US" w:eastAsia="zh-CN"/>
        </w:rPr>
        <w:t>930.66</w:t>
      </w:r>
      <w:r>
        <w:rPr>
          <w:rFonts w:hint="eastAsia" w:eastAsia="方正仿宋_GBK"/>
          <w:sz w:val="28"/>
        </w:rPr>
        <w:t>万元和公用经费</w:t>
      </w:r>
      <w:r>
        <w:rPr>
          <w:rFonts w:hint="eastAsia" w:eastAsia="方正仿宋_GBK"/>
          <w:sz w:val="28"/>
          <w:lang w:val="en-US" w:eastAsia="zh-CN"/>
        </w:rPr>
        <w:t>412.39</w:t>
      </w:r>
      <w:r>
        <w:rPr>
          <w:rFonts w:hint="eastAsia" w:eastAsia="方正仿宋_GBK"/>
          <w:sz w:val="28"/>
        </w:rPr>
        <w:t>万元；项目支出</w:t>
      </w:r>
      <w:r>
        <w:rPr>
          <w:rFonts w:hint="eastAsia" w:eastAsia="方正仿宋_GBK"/>
          <w:sz w:val="28"/>
          <w:lang w:val="en-US" w:eastAsia="zh-CN"/>
        </w:rPr>
        <w:t>624.70</w:t>
      </w:r>
      <w:r>
        <w:rPr>
          <w:rFonts w:hint="eastAsia" w:eastAsia="方正仿宋_GBK"/>
          <w:sz w:val="28"/>
        </w:rPr>
        <w:t>万元，全部为本级支出。</w:t>
      </w:r>
    </w:p>
    <w:p w14:paraId="62909610">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3、</w:t>
      </w:r>
      <w:r>
        <w:rPr>
          <w:rFonts w:hint="eastAsia" w:eastAsia="方正仿宋_GBK"/>
          <w:sz w:val="28"/>
        </w:rPr>
        <w:t>比上年增减情况</w:t>
      </w:r>
    </w:p>
    <w:p w14:paraId="07492F96">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default"/>
          <w:lang w:val="en-US"/>
        </w:rPr>
      </w:pPr>
      <w:r>
        <w:rPr>
          <w:rFonts w:hint="eastAsia" w:eastAsia="方正仿宋_GBK"/>
          <w:sz w:val="28"/>
          <w:lang w:val="en-US" w:eastAsia="zh-CN"/>
        </w:rPr>
        <w:t>2022</w:t>
      </w:r>
      <w:r>
        <w:rPr>
          <w:rFonts w:hint="eastAsia" w:eastAsia="方正仿宋_GBK"/>
          <w:sz w:val="28"/>
        </w:rPr>
        <w:t>年部门预算较</w:t>
      </w:r>
      <w:r>
        <w:rPr>
          <w:rFonts w:hint="eastAsia" w:eastAsia="方正仿宋_GBK"/>
          <w:sz w:val="28"/>
          <w:lang w:val="en-US" w:eastAsia="zh-CN"/>
        </w:rPr>
        <w:t>2021</w:t>
      </w:r>
      <w:r>
        <w:rPr>
          <w:rFonts w:hint="eastAsia" w:eastAsia="方正仿宋_GBK"/>
          <w:sz w:val="28"/>
        </w:rPr>
        <w:t>年</w:t>
      </w:r>
      <w:r>
        <w:rPr>
          <w:rFonts w:hint="eastAsia" w:eastAsia="方正仿宋_GBK"/>
          <w:sz w:val="28"/>
          <w:lang w:eastAsia="zh-CN"/>
        </w:rPr>
        <w:t>部门预算</w:t>
      </w:r>
      <w:r>
        <w:rPr>
          <w:rFonts w:hint="eastAsia" w:eastAsia="方正仿宋_GBK"/>
          <w:sz w:val="28"/>
          <w:lang w:val="en-US" w:eastAsia="zh-CN"/>
        </w:rPr>
        <w:t>增加142.82</w:t>
      </w:r>
      <w:r>
        <w:rPr>
          <w:rFonts w:hint="eastAsia" w:eastAsia="方正仿宋_GBK"/>
          <w:sz w:val="28"/>
        </w:rPr>
        <w:t>万元，其中：基本支出</w:t>
      </w:r>
      <w:r>
        <w:rPr>
          <w:rFonts w:hint="eastAsia" w:eastAsia="方正仿宋_GBK"/>
          <w:sz w:val="28"/>
          <w:lang w:val="en-US" w:eastAsia="zh-CN"/>
        </w:rPr>
        <w:t>比</w:t>
      </w:r>
      <w:r>
        <w:rPr>
          <w:rFonts w:hint="eastAsia" w:eastAsia="方正仿宋_GBK"/>
          <w:sz w:val="28"/>
        </w:rPr>
        <w:t>上年</w:t>
      </w:r>
      <w:r>
        <w:rPr>
          <w:rFonts w:hint="eastAsia" w:eastAsia="方正仿宋_GBK"/>
          <w:sz w:val="28"/>
          <w:lang w:val="en-US" w:eastAsia="zh-CN"/>
        </w:rPr>
        <w:t>增加70.82万元，原因是人员的工资福利支出及相应的公用经费；项目支出比上年增加72万元，主要原因是数字中心运行经费增加。</w:t>
      </w:r>
    </w:p>
    <w:p w14:paraId="397416E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机关运行经费安排情况</w:t>
      </w:r>
    </w:p>
    <w:p w14:paraId="53932967">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412.39</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14:paraId="16BB571B">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outlineLvl w:val="9"/>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3145BA64">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rPr>
      </w:pPr>
      <w:r>
        <w:rPr>
          <w:rFonts w:hint="eastAsia" w:eastAsia="方正仿宋_GBK"/>
          <w:sz w:val="28"/>
          <w:lang w:val="en-US" w:eastAsia="zh-CN"/>
        </w:rPr>
        <w:t>2022</w:t>
      </w:r>
      <w:r>
        <w:rPr>
          <w:rFonts w:hint="eastAsia" w:eastAsia="方正仿宋_GBK"/>
          <w:sz w:val="28"/>
        </w:rPr>
        <w:t>年我部门“三公”经费安排</w:t>
      </w:r>
      <w:r>
        <w:rPr>
          <w:rFonts w:hint="eastAsia" w:eastAsia="方正仿宋_GBK"/>
          <w:sz w:val="28"/>
          <w:lang w:val="en-US" w:eastAsia="zh-CN"/>
        </w:rPr>
        <w:t>47</w:t>
      </w:r>
      <w:r>
        <w:rPr>
          <w:rFonts w:hint="eastAsia" w:eastAsia="方正仿宋_GBK"/>
          <w:sz w:val="28"/>
        </w:rPr>
        <w:t>万元，较上年预算</w:t>
      </w:r>
      <w:r>
        <w:rPr>
          <w:rFonts w:hint="eastAsia" w:eastAsia="方正仿宋_GBK"/>
          <w:sz w:val="28"/>
          <w:lang w:val="en-US" w:eastAsia="zh-CN"/>
        </w:rPr>
        <w:t>无增减变化</w:t>
      </w:r>
      <w:r>
        <w:rPr>
          <w:rFonts w:hint="eastAsia" w:eastAsia="方正仿宋_GBK"/>
          <w:sz w:val="28"/>
        </w:rPr>
        <w:t>。具体安排情况为：</w:t>
      </w:r>
    </w:p>
    <w:p w14:paraId="5F7431A2">
      <w:pPr>
        <w:keepNext w:val="0"/>
        <w:keepLines w:val="0"/>
        <w:pageBreakBefore w:val="0"/>
        <w:widowControl w:val="0"/>
        <w:numPr>
          <w:ilvl w:val="0"/>
          <w:numId w:val="2"/>
        </w:numPr>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rPr>
        <w:t>公务用车购置及运维费。共计安排</w:t>
      </w:r>
      <w:r>
        <w:rPr>
          <w:rFonts w:hint="eastAsia" w:eastAsia="方正仿宋_GBK"/>
          <w:sz w:val="28"/>
          <w:lang w:val="en-US" w:eastAsia="zh-CN"/>
        </w:rPr>
        <w:t>24</w:t>
      </w:r>
      <w:r>
        <w:rPr>
          <w:rFonts w:hint="eastAsia" w:eastAsia="方正仿宋_GBK"/>
          <w:sz w:val="28"/>
        </w:rPr>
        <w:t>万元①公务用车购置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无增减变化，原因为压缩三公经费开支，充分利用财政资金。</w:t>
      </w:r>
    </w:p>
    <w:p w14:paraId="194D917C">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23</w:t>
      </w:r>
      <w:r>
        <w:rPr>
          <w:rFonts w:hint="eastAsia" w:eastAsia="方正仿宋_GBK"/>
          <w:sz w:val="28"/>
        </w:rPr>
        <w:t>万元，</w:t>
      </w:r>
      <w:r>
        <w:rPr>
          <w:rFonts w:hint="eastAsia" w:eastAsia="方正仿宋_GBK"/>
          <w:sz w:val="28"/>
          <w:lang w:val="en-US" w:eastAsia="zh-CN"/>
        </w:rPr>
        <w:t>与上年持平无增减变化，原因为严控接待对象、接待范围。</w:t>
      </w:r>
    </w:p>
    <w:p w14:paraId="325CAB9B">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default"/>
          <w:lang w:val="en-US"/>
        </w:rPr>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lang w:val="en-US" w:eastAsia="zh-CN"/>
        </w:rPr>
        <w:t>无增减变化，原因为压缩经费开支，厉行节约，反对浪费。</w:t>
      </w:r>
    </w:p>
    <w:p w14:paraId="571D6C9E">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firstLine="640" w:firstLineChars="200"/>
        <w:jc w:val="both"/>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14:paraId="5860A68C">
      <w:pPr>
        <w:keepNext w:val="0"/>
        <w:keepLines w:val="0"/>
        <w:pageBreakBefore w:val="0"/>
        <w:widowControl w:val="0"/>
        <w:kinsoku/>
        <w:wordWrap/>
        <w:overflowPunct/>
        <w:topLinePunct w:val="0"/>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 xml:space="preserve">  工作绩效目标及保障措施：</w:t>
      </w:r>
    </w:p>
    <w:p w14:paraId="39BE7141">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0" w:name="_Toc_2_2_0000000001"/>
      <w:r>
        <w:rPr>
          <w:rFonts w:hint="eastAsia" w:ascii="方正仿宋简体" w:hAnsi="方正仿宋简体" w:eastAsia="方正仿宋简体" w:cs="方正仿宋简体"/>
          <w:sz w:val="30"/>
          <w:szCs w:val="30"/>
          <w:lang w:val="en-US" w:eastAsia="zh-CN"/>
        </w:rPr>
        <w:t>一、总体绩效目标</w:t>
      </w:r>
      <w:bookmarkEnd w:id="0"/>
    </w:p>
    <w:p w14:paraId="60235D18">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2022年，区政府办公室将坚持以习近平新时代中国特色社会主义思想为指导，深入贯彻总书记“三个努力建成”重要指示和党的十九大和十九届历次全会精神，全面落实中央、省市和区委区政府各项决策部署，积极履行“三服务”职责，充分发挥“坚强前哨”和“巩固后院”作用，抓统筹、强谋划，提效能、优服务，重协调、促落实，破难题、打硬仗，确保各项工作高效有序开展。</w:t>
      </w:r>
    </w:p>
    <w:p w14:paraId="73F46CA4">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1" w:name="_Toc_2_2_0000000002"/>
      <w:r>
        <w:rPr>
          <w:rFonts w:hint="eastAsia" w:ascii="方正仿宋简体" w:hAnsi="方正仿宋简体" w:eastAsia="方正仿宋简体" w:cs="方正仿宋简体"/>
          <w:sz w:val="30"/>
          <w:szCs w:val="30"/>
          <w:lang w:val="en-US" w:eastAsia="zh-CN"/>
        </w:rPr>
        <w:t>二、分项绩效目标</w:t>
      </w:r>
      <w:bookmarkEnd w:id="1"/>
    </w:p>
    <w:p w14:paraId="17FD3BA3">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（一）履职尽责，强化担当促落实</w:t>
      </w:r>
    </w:p>
    <w:p w14:paraId="4FFFDE74">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绩效目标：充分发挥“中枢”作用，围绕重点工作、重大事项、重要问题，加强统筹协调，强化督查督导，确保区委、区政府各项决策部署落到实处、见到实效，圆满完成年初确定的各项指标任务。</w:t>
      </w:r>
    </w:p>
    <w:p w14:paraId="67457DD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绩效指标：一是精准对标促落实。二是强化督查促落实。三是夯实责任促落实。</w:t>
      </w:r>
    </w:p>
    <w:p w14:paraId="6B8027A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（二）提高站位，服务中心当参谋</w:t>
      </w:r>
    </w:p>
    <w:p w14:paraId="02B55307">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绩效目标：坚持高标准、高质量、出精品、创一流，力求调查研究高质高效、文稿起草精益求精、会务接待严谨规范、公文处理准确及时，推进办公室工作再提升。</w:t>
      </w:r>
    </w:p>
    <w:p w14:paraId="3318EE6C">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绩效指标：一是深入开展调查研究。二是精准高效以文辅政。三是及时准确报送信息。四是精细周到组织会务。五是规范严谨促运行。</w:t>
      </w:r>
    </w:p>
    <w:p w14:paraId="52DEA3F3">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（三）践行宗旨，优化服务提效能</w:t>
      </w:r>
    </w:p>
    <w:p w14:paraId="127B5D4F">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绩效目标：坚持以人民为中心的发展思想，将服务群众作为办公室工作的出发点和落脚点，不断提升履职能力和服务水平。</w:t>
      </w:r>
    </w:p>
    <w:p w14:paraId="1BA3BB7D">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绩效指标：一是办好市民热线。二是推进政务公开。三是坚持依法行政。四是自觉接受监督。</w:t>
      </w:r>
    </w:p>
    <w:p w14:paraId="26F35928">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（四）遵规守纪，管党治党塑形象</w:t>
      </w:r>
    </w:p>
    <w:p w14:paraId="32B00DCD">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绩效目标：认真落实全面从严治党主体责任，抓实党风廉政建设、意识形态、干部队伍建设、巡视巡察整改等工作，营造了风清气正的政治生态。</w:t>
      </w:r>
    </w:p>
    <w:p w14:paraId="7DF1DCC1">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绩效指标：一是狠抓思想政治建设。二是狠抓管党治党责任落实。三是狠抓意识形态工作。四是狠抓党风廉政建设。五是狠抓干部队伍建设。六是狠抓巡视巡察整改落实。</w:t>
      </w:r>
    </w:p>
    <w:p w14:paraId="5240860F">
      <w:pPr>
        <w:pStyle w:val="13"/>
        <w:keepNext w:val="0"/>
        <w:keepLines w:val="0"/>
        <w:pageBreakBefore w:val="0"/>
        <w:widowControl w:val="0"/>
        <w:kinsoku/>
        <w:wordWrap/>
        <w:overflowPunct/>
        <w:topLinePunct w:val="0"/>
        <w:bidi w:val="0"/>
        <w:adjustRightInd/>
        <w:snapToGrid/>
        <w:spacing w:line="570" w:lineRule="exact"/>
        <w:ind w:left="0" w:leftChars="0" w:firstLine="602" w:firstLineChars="200"/>
        <w:jc w:val="both"/>
        <w:textAlignment w:val="auto"/>
        <w:outlineLvl w:val="9"/>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三、保障措施</w:t>
      </w:r>
    </w:p>
    <w:p w14:paraId="49ED8D5A">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（一）完善制度建设。制定完善预算绩效管理制度、资金管理办法、工作保障制度等，为全年预算绩效目标的实现奠定制度基础。</w:t>
      </w:r>
    </w:p>
    <w:p w14:paraId="5ED62310">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（二）加强支出管理。通过优化支出结构、编细编实预算、及时支付资金、确保支出进度达标。</w:t>
      </w:r>
    </w:p>
    <w:p w14:paraId="27A71F57">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（三）加强绩效运行监控。按要求开展绩效运行监控，发现问题及时采取措施，确保绩效目标如期保质实现。</w:t>
      </w:r>
    </w:p>
    <w:p w14:paraId="3C8A8232">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（四）做好绩效自评。按要求开展上年度部门预算绩效自评和重点评价工作，对评价中发现的问题及时整改，调整优化支出结构，提高财政资金使用效益。</w:t>
      </w:r>
    </w:p>
    <w:p w14:paraId="606EBC5C">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（五）规范财务资产管理。完善财务管理制度，严格审批程序，加强固定资产登记、使用和报废处置管理，做到支出合理，物尽其用。</w:t>
      </w:r>
    </w:p>
    <w:p w14:paraId="248327DB">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0A96A36">
      <w:pPr>
        <w:pStyle w:val="28"/>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（七）加强宣传培训调研等。加强人员培训，提高本部门职工业务素质；加强调研，提高资金使用效益的意见；加大宣传力度，强化预算绩效管理意识，促进预算绩效管理水平进一步提升。</w:t>
      </w:r>
    </w:p>
    <w:tbl>
      <w:tblPr>
        <w:tblStyle w:val="14"/>
        <w:tblW w:w="13934" w:type="dxa"/>
        <w:jc w:val="center"/>
        <w:tblBorders>
          <w:top w:val="single" w:color="FFFFFF" w:sz="6" w:space="0"/>
          <w:left w:val="single" w:color="FFFFFF" w:sz="6" w:space="0"/>
          <w:bottom w:val="single" w:color="FFFFFF" w:sz="6" w:space="0"/>
          <w:right w:val="single" w:color="FFFFFF" w:sz="6" w:space="0"/>
          <w:insideH w:val="none" w:color="auto" w:sz="0" w:space="0"/>
          <w:insideV w:val="single" w:color="FFFFFF" w:sz="6" w:space="0"/>
        </w:tblBorders>
        <w:tblLayout w:type="fixed"/>
        <w:tblCellMar>
          <w:top w:w="0" w:type="dxa"/>
          <w:left w:w="108" w:type="dxa"/>
          <w:bottom w:w="0" w:type="dxa"/>
          <w:right w:w="108" w:type="dxa"/>
        </w:tblCellMar>
      </w:tblPr>
      <w:tblGrid>
        <w:gridCol w:w="10986"/>
        <w:gridCol w:w="2948"/>
      </w:tblGrid>
      <w:tr w14:paraId="44F1E9AA">
        <w:tblPrEx>
          <w:tblBorders>
            <w:top w:val="single" w:color="FFFFFF" w:sz="6" w:space="0"/>
            <w:left w:val="single" w:color="FFFFFF" w:sz="6" w:space="0"/>
            <w:bottom w:val="single" w:color="FFFFFF" w:sz="6" w:space="0"/>
            <w:right w:val="single" w:color="FFFFFF" w:sz="6" w:space="0"/>
            <w:insideH w:val="none" w:color="auto" w:sz="0" w:space="0"/>
            <w:insideV w:val="single" w:color="FFFFFF" w:sz="6" w:space="0"/>
          </w:tblBorders>
          <w:tblCellMar>
            <w:top w:w="0" w:type="dxa"/>
            <w:left w:w="108" w:type="dxa"/>
            <w:bottom w:w="0" w:type="dxa"/>
            <w:right w:w="108" w:type="dxa"/>
          </w:tblCellMar>
        </w:tblPrEx>
        <w:trPr>
          <w:trHeight w:val="227" w:hRule="atLeast"/>
          <w:tblHeader/>
          <w:jc w:val="center"/>
        </w:trPr>
        <w:tc>
          <w:tcPr>
            <w:tcW w:w="10986" w:type="dxa"/>
            <w:tcBorders>
              <w:tl2br w:val="nil"/>
              <w:tr2bl w:val="nil"/>
            </w:tcBorders>
            <w:noWrap w:val="0"/>
            <w:vAlign w:val="center"/>
          </w:tcPr>
          <w:p w14:paraId="3CD678AA">
            <w:pPr>
              <w:spacing w:line="300" w:lineRule="exact"/>
              <w:jc w:val="left"/>
            </w:pPr>
          </w:p>
          <w:p w14:paraId="1BF01849">
            <w:pPr>
              <w:pStyle w:val="2"/>
            </w:pPr>
          </w:p>
          <w:p w14:paraId="4FE4AE9E">
            <w:pPr>
              <w:pStyle w:val="3"/>
              <w:rPr>
                <w:rFonts w:ascii="方正小标宋_GBK" w:eastAsia="方正小标宋_GBK"/>
                <w:sz w:val="24"/>
              </w:rPr>
            </w:pPr>
          </w:p>
          <w:p w14:paraId="3C770608">
            <w:pPr>
              <w:pStyle w:val="3"/>
              <w:rPr>
                <w:rFonts w:ascii="方正小标宋_GBK" w:eastAsia="方正小标宋_GBK"/>
                <w:sz w:val="24"/>
              </w:rPr>
            </w:pPr>
          </w:p>
          <w:p w14:paraId="363057C6">
            <w:pPr>
              <w:pStyle w:val="3"/>
              <w:rPr>
                <w:rFonts w:ascii="方正小标宋_GBK" w:eastAsia="方正小标宋_GBK"/>
                <w:sz w:val="24"/>
              </w:rPr>
            </w:pPr>
          </w:p>
          <w:p w14:paraId="0C0F72E6">
            <w:pPr>
              <w:pStyle w:val="3"/>
              <w:rPr>
                <w:rFonts w:ascii="方正小标宋_GBK" w:eastAsia="方正小标宋_GBK"/>
                <w:sz w:val="24"/>
              </w:rPr>
            </w:pPr>
          </w:p>
          <w:p w14:paraId="2388029E">
            <w:pPr>
              <w:pStyle w:val="3"/>
              <w:rPr>
                <w:rFonts w:ascii="方正小标宋_GBK" w:eastAsia="方正小标宋_GBK"/>
                <w:sz w:val="24"/>
              </w:rPr>
            </w:pPr>
          </w:p>
          <w:p w14:paraId="31AB601A">
            <w:pPr>
              <w:pStyle w:val="3"/>
              <w:rPr>
                <w:rFonts w:ascii="方正小标宋_GBK" w:eastAsia="方正小标宋_GBK"/>
                <w:sz w:val="24"/>
              </w:rPr>
            </w:pPr>
          </w:p>
          <w:p w14:paraId="5E83B795">
            <w:pPr>
              <w:pStyle w:val="3"/>
              <w:rPr>
                <w:rFonts w:ascii="方正小标宋_GBK" w:eastAsia="方正小标宋_GBK"/>
                <w:sz w:val="24"/>
              </w:rPr>
            </w:pPr>
          </w:p>
          <w:p w14:paraId="2F01D68F">
            <w:pPr>
              <w:pStyle w:val="3"/>
              <w:rPr>
                <w:rFonts w:ascii="方正小标宋_GBK" w:eastAsia="方正小标宋_GBK"/>
                <w:sz w:val="24"/>
              </w:rPr>
            </w:pPr>
          </w:p>
          <w:p w14:paraId="6A4E1598">
            <w:pPr>
              <w:pStyle w:val="3"/>
              <w:rPr>
                <w:rFonts w:ascii="方正小标宋_GBK" w:eastAsia="方正小标宋_GBK"/>
                <w:sz w:val="24"/>
              </w:rPr>
            </w:pPr>
          </w:p>
          <w:p w14:paraId="6F079A76">
            <w:pPr>
              <w:pStyle w:val="3"/>
              <w:rPr>
                <w:rFonts w:ascii="方正小标宋_GBK" w:eastAsia="方正小标宋_GBK"/>
                <w:sz w:val="24"/>
              </w:rPr>
            </w:pPr>
          </w:p>
        </w:tc>
        <w:tc>
          <w:tcPr>
            <w:tcW w:w="2948" w:type="dxa"/>
            <w:tcBorders>
              <w:tl2br w:val="nil"/>
              <w:tr2bl w:val="nil"/>
            </w:tcBorders>
            <w:noWrap w:val="0"/>
            <w:vAlign w:val="center"/>
          </w:tcPr>
          <w:p w14:paraId="2BCAEF15">
            <w:pPr>
              <w:spacing w:line="300" w:lineRule="exact"/>
              <w:jc w:val="right"/>
              <w:rPr>
                <w:rFonts w:ascii="方正书宋_GBK" w:eastAsia="方正书宋_GBK"/>
                <w:sz w:val="24"/>
              </w:rPr>
            </w:pPr>
          </w:p>
        </w:tc>
      </w:tr>
    </w:tbl>
    <w:p w14:paraId="58D31DA5">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14:paraId="47064406">
      <w:pPr>
        <w:ind w:firstLine="640" w:firstLineChars="200"/>
        <w:jc w:val="left"/>
        <w:outlineLvl w:val="1"/>
        <w:rPr>
          <w:rFonts w:hint="default"/>
          <w:lang w:val="en-US" w:eastAsia="zh-CN"/>
        </w:rPr>
      </w:pPr>
      <w:r>
        <w:rPr>
          <w:rFonts w:hint="eastAsia" w:ascii="方正小标宋_GBK" w:eastAsia="方正小标宋_GBK"/>
          <w:sz w:val="32"/>
          <w:lang w:val="en-US" w:eastAsia="zh-CN"/>
        </w:rPr>
        <w:t>2022年，安排政府采购预算258.70万元（详见下表）</w:t>
      </w:r>
    </w:p>
    <w:p w14:paraId="1C98778E">
      <w:pPr>
        <w:jc w:val="center"/>
        <w:outlineLvl w:val="1"/>
        <w:rPr>
          <w:rFonts w:hint="eastAsia" w:ascii="方正小标宋_GBK" w:eastAsia="方正小标宋_GBK"/>
          <w:sz w:val="32"/>
        </w:rPr>
      </w:pPr>
      <w:bookmarkStart w:id="2" w:name="_Toc64898031"/>
      <w:r>
        <w:rPr>
          <w:rFonts w:hint="eastAsia" w:ascii="方正小标宋_GBK" w:eastAsia="方正小标宋_GBK"/>
          <w:sz w:val="32"/>
        </w:rPr>
        <w:t>部门政府采购预算</w:t>
      </w:r>
      <w:bookmarkEnd w:id="2"/>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882"/>
        <w:gridCol w:w="678"/>
        <w:gridCol w:w="913"/>
        <w:gridCol w:w="628"/>
        <w:gridCol w:w="505"/>
        <w:gridCol w:w="883"/>
        <w:gridCol w:w="924"/>
        <w:gridCol w:w="1157"/>
        <w:gridCol w:w="678"/>
        <w:gridCol w:w="879"/>
        <w:gridCol w:w="678"/>
        <w:gridCol w:w="678"/>
        <w:gridCol w:w="779"/>
        <w:gridCol w:w="943"/>
        <w:gridCol w:w="1634"/>
      </w:tblGrid>
      <w:tr w14:paraId="042D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03" w:type="dxa"/>
            <w:gridSpan w:val="7"/>
            <w:tcBorders>
              <w:top w:val="single" w:color="FFFFFF" w:sz="6" w:space="0"/>
              <w:left w:val="single" w:color="FFFFFF" w:sz="6" w:space="0"/>
              <w:right w:val="single" w:color="FFFFFF" w:sz="6" w:space="0"/>
            </w:tcBorders>
            <w:vAlign w:val="center"/>
          </w:tcPr>
          <w:p w14:paraId="2E6D70F5">
            <w:pPr>
              <w:pStyle w:val="29"/>
            </w:pPr>
            <w:r>
              <w:t>434曹妃甸区政府办公室</w:t>
            </w:r>
          </w:p>
        </w:tc>
        <w:tc>
          <w:tcPr>
            <w:tcW w:w="8350" w:type="dxa"/>
            <w:gridSpan w:val="9"/>
            <w:tcBorders>
              <w:top w:val="single" w:color="FFFFFF" w:sz="6" w:space="0"/>
              <w:left w:val="single" w:color="FFFFFF" w:sz="6" w:space="0"/>
              <w:right w:val="single" w:color="FFFFFF" w:sz="6" w:space="0"/>
            </w:tcBorders>
            <w:vAlign w:val="center"/>
          </w:tcPr>
          <w:p w14:paraId="40910A47">
            <w:pPr>
              <w:pStyle w:val="30"/>
            </w:pPr>
            <w:r>
              <w:t>单位：万元</w:t>
            </w:r>
          </w:p>
        </w:tc>
      </w:tr>
      <w:tr w14:paraId="02B3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0" w:hRule="atLeast"/>
          <w:tblHeader/>
          <w:jc w:val="center"/>
        </w:trPr>
        <w:tc>
          <w:tcPr>
            <w:tcW w:w="2296" w:type="dxa"/>
            <w:gridSpan w:val="2"/>
            <w:vAlign w:val="center"/>
          </w:tcPr>
          <w:p w14:paraId="42FD4F1C">
            <w:pPr>
              <w:pStyle w:val="31"/>
            </w:pPr>
            <w:r>
              <w:t>政府采购项目来源</w:t>
            </w:r>
          </w:p>
        </w:tc>
        <w:tc>
          <w:tcPr>
            <w:tcW w:w="678" w:type="dxa"/>
            <w:vMerge w:val="restart"/>
            <w:vAlign w:val="center"/>
          </w:tcPr>
          <w:p w14:paraId="68D7C325">
            <w:pPr>
              <w:pStyle w:val="31"/>
            </w:pPr>
            <w:r>
              <w:t>采购物品名称</w:t>
            </w:r>
          </w:p>
        </w:tc>
        <w:tc>
          <w:tcPr>
            <w:tcW w:w="913" w:type="dxa"/>
            <w:vMerge w:val="restart"/>
            <w:vAlign w:val="center"/>
          </w:tcPr>
          <w:p w14:paraId="09E817B3">
            <w:pPr>
              <w:pStyle w:val="31"/>
            </w:pPr>
            <w:r>
              <w:t>政府采购目录序号</w:t>
            </w:r>
          </w:p>
        </w:tc>
        <w:tc>
          <w:tcPr>
            <w:tcW w:w="628" w:type="dxa"/>
            <w:vMerge w:val="restart"/>
            <w:vAlign w:val="center"/>
          </w:tcPr>
          <w:p w14:paraId="2374DA12">
            <w:pPr>
              <w:pStyle w:val="31"/>
            </w:pPr>
            <w:r>
              <w:t>计量  单位</w:t>
            </w:r>
          </w:p>
        </w:tc>
        <w:tc>
          <w:tcPr>
            <w:tcW w:w="505" w:type="dxa"/>
            <w:vMerge w:val="restart"/>
            <w:vAlign w:val="center"/>
          </w:tcPr>
          <w:p w14:paraId="7CCAE14D">
            <w:pPr>
              <w:pStyle w:val="31"/>
            </w:pPr>
            <w:r>
              <w:t>数量</w:t>
            </w:r>
          </w:p>
        </w:tc>
        <w:tc>
          <w:tcPr>
            <w:tcW w:w="883" w:type="dxa"/>
            <w:vMerge w:val="restart"/>
            <w:vAlign w:val="center"/>
          </w:tcPr>
          <w:p w14:paraId="437AF90A">
            <w:pPr>
              <w:pStyle w:val="31"/>
            </w:pPr>
            <w:r>
              <w:t>单价</w:t>
            </w:r>
          </w:p>
        </w:tc>
        <w:tc>
          <w:tcPr>
            <w:tcW w:w="6716" w:type="dxa"/>
            <w:gridSpan w:val="8"/>
            <w:vAlign w:val="center"/>
          </w:tcPr>
          <w:p w14:paraId="59B7D763">
            <w:pPr>
              <w:pStyle w:val="31"/>
            </w:pPr>
            <w:r>
              <w:t>政府采购金额（当年部门预算安排资金）</w:t>
            </w:r>
          </w:p>
        </w:tc>
        <w:tc>
          <w:tcPr>
            <w:tcW w:w="1634" w:type="dxa"/>
            <w:vMerge w:val="restart"/>
            <w:vAlign w:val="center"/>
          </w:tcPr>
          <w:p w14:paraId="66D9F8B4">
            <w:pPr>
              <w:pStyle w:val="31"/>
            </w:pPr>
            <w:r>
              <w:t>2022年预</w:t>
            </w:r>
            <w:r>
              <w:rPr>
                <w:rFonts w:hint="eastAsia"/>
                <w:lang w:val="en-US" w:eastAsia="zh-CN"/>
              </w:rPr>
              <w:t>留</w:t>
            </w:r>
            <w:r>
              <w:t>中 小微企业份额</w:t>
            </w:r>
          </w:p>
        </w:tc>
      </w:tr>
      <w:tr w14:paraId="25EE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414" w:type="dxa"/>
            <w:vAlign w:val="center"/>
          </w:tcPr>
          <w:p w14:paraId="28174C78">
            <w:pPr>
              <w:pStyle w:val="31"/>
            </w:pPr>
            <w:r>
              <w:t>项目名称</w:t>
            </w:r>
          </w:p>
        </w:tc>
        <w:tc>
          <w:tcPr>
            <w:tcW w:w="882" w:type="dxa"/>
            <w:vAlign w:val="center"/>
          </w:tcPr>
          <w:p w14:paraId="4629A81C">
            <w:pPr>
              <w:pStyle w:val="31"/>
            </w:pPr>
            <w:r>
              <w:t>预算    资金</w:t>
            </w:r>
          </w:p>
        </w:tc>
        <w:tc>
          <w:tcPr>
            <w:tcW w:w="678" w:type="dxa"/>
            <w:vMerge w:val="continue"/>
          </w:tcPr>
          <w:p w14:paraId="072F8378"/>
        </w:tc>
        <w:tc>
          <w:tcPr>
            <w:tcW w:w="913" w:type="dxa"/>
            <w:vMerge w:val="continue"/>
          </w:tcPr>
          <w:p w14:paraId="45416142"/>
        </w:tc>
        <w:tc>
          <w:tcPr>
            <w:tcW w:w="628" w:type="dxa"/>
            <w:vMerge w:val="continue"/>
          </w:tcPr>
          <w:p w14:paraId="7377B1EF"/>
        </w:tc>
        <w:tc>
          <w:tcPr>
            <w:tcW w:w="505" w:type="dxa"/>
            <w:vMerge w:val="continue"/>
          </w:tcPr>
          <w:p w14:paraId="6CF60540"/>
        </w:tc>
        <w:tc>
          <w:tcPr>
            <w:tcW w:w="883" w:type="dxa"/>
            <w:vMerge w:val="continue"/>
          </w:tcPr>
          <w:p w14:paraId="5EDC203D"/>
        </w:tc>
        <w:tc>
          <w:tcPr>
            <w:tcW w:w="924" w:type="dxa"/>
            <w:vAlign w:val="center"/>
          </w:tcPr>
          <w:p w14:paraId="77B8E502">
            <w:pPr>
              <w:pStyle w:val="31"/>
            </w:pPr>
            <w:r>
              <w:t>合计</w:t>
            </w:r>
          </w:p>
        </w:tc>
        <w:tc>
          <w:tcPr>
            <w:tcW w:w="1157" w:type="dxa"/>
            <w:vAlign w:val="center"/>
          </w:tcPr>
          <w:p w14:paraId="3E7F6A4F">
            <w:pPr>
              <w:pStyle w:val="31"/>
            </w:pPr>
            <w:r>
              <w:t>一般公共预算拨款</w:t>
            </w:r>
          </w:p>
        </w:tc>
        <w:tc>
          <w:tcPr>
            <w:tcW w:w="678" w:type="dxa"/>
            <w:vAlign w:val="center"/>
          </w:tcPr>
          <w:p w14:paraId="5642FBE5">
            <w:pPr>
              <w:pStyle w:val="31"/>
            </w:pPr>
            <w:r>
              <w:t>基金预算拨款</w:t>
            </w:r>
          </w:p>
        </w:tc>
        <w:tc>
          <w:tcPr>
            <w:tcW w:w="879" w:type="dxa"/>
            <w:vAlign w:val="center"/>
          </w:tcPr>
          <w:p w14:paraId="5AE1BB15">
            <w:pPr>
              <w:pStyle w:val="31"/>
            </w:pPr>
            <w:r>
              <w:t>国有资本经营预算拨款</w:t>
            </w:r>
          </w:p>
        </w:tc>
        <w:tc>
          <w:tcPr>
            <w:tcW w:w="678" w:type="dxa"/>
            <w:vAlign w:val="center"/>
          </w:tcPr>
          <w:p w14:paraId="2578A61F">
            <w:pPr>
              <w:pStyle w:val="31"/>
            </w:pPr>
            <w:r>
              <w:t>财政专户核拨</w:t>
            </w:r>
          </w:p>
        </w:tc>
        <w:tc>
          <w:tcPr>
            <w:tcW w:w="678" w:type="dxa"/>
            <w:vAlign w:val="center"/>
          </w:tcPr>
          <w:p w14:paraId="1670B5DA">
            <w:pPr>
              <w:pStyle w:val="31"/>
            </w:pPr>
            <w:r>
              <w:t>单位    资金</w:t>
            </w:r>
          </w:p>
        </w:tc>
        <w:tc>
          <w:tcPr>
            <w:tcW w:w="779" w:type="dxa"/>
            <w:vAlign w:val="center"/>
          </w:tcPr>
          <w:p w14:paraId="13E219D3">
            <w:pPr>
              <w:pStyle w:val="31"/>
            </w:pPr>
            <w:r>
              <w:t>财政拨    款结转</w:t>
            </w:r>
          </w:p>
        </w:tc>
        <w:tc>
          <w:tcPr>
            <w:tcW w:w="943" w:type="dxa"/>
            <w:vAlign w:val="center"/>
          </w:tcPr>
          <w:p w14:paraId="62AC251B">
            <w:pPr>
              <w:pStyle w:val="31"/>
            </w:pPr>
            <w:r>
              <w:t>非财政    拨款结    转结余</w:t>
            </w:r>
          </w:p>
        </w:tc>
        <w:tc>
          <w:tcPr>
            <w:tcW w:w="1634" w:type="dxa"/>
            <w:vMerge w:val="continue"/>
          </w:tcPr>
          <w:p w14:paraId="72D9FE1B"/>
        </w:tc>
      </w:tr>
      <w:tr w14:paraId="7AE2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747F3D71">
            <w:pPr>
              <w:pStyle w:val="32"/>
            </w:pPr>
            <w:r>
              <w:t>合  计</w:t>
            </w:r>
          </w:p>
        </w:tc>
        <w:tc>
          <w:tcPr>
            <w:tcW w:w="882" w:type="dxa"/>
            <w:vAlign w:val="center"/>
          </w:tcPr>
          <w:p w14:paraId="2EBC1FA0">
            <w:pPr>
              <w:pStyle w:val="33"/>
            </w:pPr>
          </w:p>
        </w:tc>
        <w:tc>
          <w:tcPr>
            <w:tcW w:w="678" w:type="dxa"/>
            <w:vAlign w:val="center"/>
          </w:tcPr>
          <w:p w14:paraId="62579F39">
            <w:pPr>
              <w:pStyle w:val="34"/>
            </w:pPr>
          </w:p>
        </w:tc>
        <w:tc>
          <w:tcPr>
            <w:tcW w:w="913" w:type="dxa"/>
            <w:vAlign w:val="center"/>
          </w:tcPr>
          <w:p w14:paraId="6A0FEE7A">
            <w:pPr>
              <w:pStyle w:val="34"/>
            </w:pPr>
          </w:p>
        </w:tc>
        <w:tc>
          <w:tcPr>
            <w:tcW w:w="628" w:type="dxa"/>
            <w:vAlign w:val="center"/>
          </w:tcPr>
          <w:p w14:paraId="4B3E7F5F">
            <w:pPr>
              <w:pStyle w:val="32"/>
            </w:pPr>
          </w:p>
        </w:tc>
        <w:tc>
          <w:tcPr>
            <w:tcW w:w="505" w:type="dxa"/>
            <w:vAlign w:val="center"/>
          </w:tcPr>
          <w:p w14:paraId="602E0628">
            <w:pPr>
              <w:pStyle w:val="33"/>
            </w:pPr>
          </w:p>
        </w:tc>
        <w:tc>
          <w:tcPr>
            <w:tcW w:w="883" w:type="dxa"/>
            <w:vAlign w:val="center"/>
          </w:tcPr>
          <w:p w14:paraId="7E529D8E">
            <w:pPr>
              <w:pStyle w:val="33"/>
            </w:pPr>
          </w:p>
        </w:tc>
        <w:tc>
          <w:tcPr>
            <w:tcW w:w="924" w:type="dxa"/>
            <w:vAlign w:val="center"/>
          </w:tcPr>
          <w:p w14:paraId="52F80823">
            <w:pPr>
              <w:pStyle w:val="33"/>
            </w:pPr>
            <w:r>
              <w:t>258.70</w:t>
            </w:r>
          </w:p>
        </w:tc>
        <w:tc>
          <w:tcPr>
            <w:tcW w:w="1157" w:type="dxa"/>
            <w:vAlign w:val="center"/>
          </w:tcPr>
          <w:p w14:paraId="2359A383">
            <w:pPr>
              <w:pStyle w:val="33"/>
            </w:pPr>
            <w:r>
              <w:t>258.70</w:t>
            </w:r>
          </w:p>
        </w:tc>
        <w:tc>
          <w:tcPr>
            <w:tcW w:w="678" w:type="dxa"/>
            <w:vAlign w:val="center"/>
          </w:tcPr>
          <w:p w14:paraId="05660C83">
            <w:pPr>
              <w:pStyle w:val="33"/>
            </w:pPr>
          </w:p>
        </w:tc>
        <w:tc>
          <w:tcPr>
            <w:tcW w:w="879" w:type="dxa"/>
            <w:vAlign w:val="center"/>
          </w:tcPr>
          <w:p w14:paraId="38BC4A5B">
            <w:pPr>
              <w:pStyle w:val="33"/>
            </w:pPr>
          </w:p>
        </w:tc>
        <w:tc>
          <w:tcPr>
            <w:tcW w:w="678" w:type="dxa"/>
            <w:vAlign w:val="center"/>
          </w:tcPr>
          <w:p w14:paraId="50295A93">
            <w:pPr>
              <w:pStyle w:val="33"/>
            </w:pPr>
          </w:p>
        </w:tc>
        <w:tc>
          <w:tcPr>
            <w:tcW w:w="678" w:type="dxa"/>
            <w:vAlign w:val="center"/>
          </w:tcPr>
          <w:p w14:paraId="686DE7EA">
            <w:pPr>
              <w:pStyle w:val="33"/>
            </w:pPr>
          </w:p>
        </w:tc>
        <w:tc>
          <w:tcPr>
            <w:tcW w:w="779" w:type="dxa"/>
            <w:vAlign w:val="center"/>
          </w:tcPr>
          <w:p w14:paraId="1FFC5894">
            <w:pPr>
              <w:pStyle w:val="33"/>
            </w:pPr>
          </w:p>
        </w:tc>
        <w:tc>
          <w:tcPr>
            <w:tcW w:w="943" w:type="dxa"/>
            <w:vAlign w:val="center"/>
          </w:tcPr>
          <w:p w14:paraId="5564EF14">
            <w:pPr>
              <w:pStyle w:val="33"/>
            </w:pPr>
          </w:p>
        </w:tc>
        <w:tc>
          <w:tcPr>
            <w:tcW w:w="1634" w:type="dxa"/>
            <w:vAlign w:val="center"/>
          </w:tcPr>
          <w:p w14:paraId="3F815C8D">
            <w:pPr>
              <w:pStyle w:val="33"/>
            </w:pPr>
            <w:r>
              <w:t>258.70</w:t>
            </w:r>
          </w:p>
        </w:tc>
      </w:tr>
      <w:tr w14:paraId="0A12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27BE89B9">
            <w:pPr>
              <w:pStyle w:val="32"/>
            </w:pPr>
            <w:r>
              <w:t>曹妃甸区政府办公室本级小计</w:t>
            </w:r>
          </w:p>
        </w:tc>
        <w:tc>
          <w:tcPr>
            <w:tcW w:w="882" w:type="dxa"/>
            <w:vAlign w:val="center"/>
          </w:tcPr>
          <w:p w14:paraId="26BA4EC7">
            <w:pPr>
              <w:pStyle w:val="33"/>
            </w:pPr>
          </w:p>
        </w:tc>
        <w:tc>
          <w:tcPr>
            <w:tcW w:w="678" w:type="dxa"/>
            <w:vAlign w:val="center"/>
          </w:tcPr>
          <w:p w14:paraId="311EAF9F">
            <w:pPr>
              <w:pStyle w:val="34"/>
            </w:pPr>
          </w:p>
        </w:tc>
        <w:tc>
          <w:tcPr>
            <w:tcW w:w="913" w:type="dxa"/>
            <w:vAlign w:val="center"/>
          </w:tcPr>
          <w:p w14:paraId="540605C5">
            <w:pPr>
              <w:pStyle w:val="34"/>
            </w:pPr>
          </w:p>
        </w:tc>
        <w:tc>
          <w:tcPr>
            <w:tcW w:w="628" w:type="dxa"/>
            <w:vAlign w:val="center"/>
          </w:tcPr>
          <w:p w14:paraId="12DD09B8">
            <w:pPr>
              <w:pStyle w:val="32"/>
            </w:pPr>
          </w:p>
        </w:tc>
        <w:tc>
          <w:tcPr>
            <w:tcW w:w="505" w:type="dxa"/>
            <w:vAlign w:val="center"/>
          </w:tcPr>
          <w:p w14:paraId="6E28110C">
            <w:pPr>
              <w:pStyle w:val="33"/>
            </w:pPr>
          </w:p>
        </w:tc>
        <w:tc>
          <w:tcPr>
            <w:tcW w:w="883" w:type="dxa"/>
            <w:vAlign w:val="center"/>
          </w:tcPr>
          <w:p w14:paraId="5DE2606F">
            <w:pPr>
              <w:pStyle w:val="33"/>
            </w:pPr>
          </w:p>
        </w:tc>
        <w:tc>
          <w:tcPr>
            <w:tcW w:w="924" w:type="dxa"/>
            <w:vAlign w:val="center"/>
          </w:tcPr>
          <w:p w14:paraId="68027893">
            <w:pPr>
              <w:pStyle w:val="33"/>
            </w:pPr>
            <w:r>
              <w:t>258.70</w:t>
            </w:r>
          </w:p>
        </w:tc>
        <w:tc>
          <w:tcPr>
            <w:tcW w:w="1157" w:type="dxa"/>
            <w:vAlign w:val="center"/>
          </w:tcPr>
          <w:p w14:paraId="525B947F">
            <w:pPr>
              <w:pStyle w:val="33"/>
            </w:pPr>
            <w:r>
              <w:t>258.70</w:t>
            </w:r>
          </w:p>
        </w:tc>
        <w:tc>
          <w:tcPr>
            <w:tcW w:w="678" w:type="dxa"/>
            <w:vAlign w:val="center"/>
          </w:tcPr>
          <w:p w14:paraId="6882C12D">
            <w:pPr>
              <w:pStyle w:val="33"/>
            </w:pPr>
          </w:p>
        </w:tc>
        <w:tc>
          <w:tcPr>
            <w:tcW w:w="879" w:type="dxa"/>
            <w:vAlign w:val="center"/>
          </w:tcPr>
          <w:p w14:paraId="2D1A0E02">
            <w:pPr>
              <w:pStyle w:val="33"/>
            </w:pPr>
          </w:p>
        </w:tc>
        <w:tc>
          <w:tcPr>
            <w:tcW w:w="678" w:type="dxa"/>
            <w:vAlign w:val="center"/>
          </w:tcPr>
          <w:p w14:paraId="0FBC70AE">
            <w:pPr>
              <w:pStyle w:val="33"/>
            </w:pPr>
          </w:p>
        </w:tc>
        <w:tc>
          <w:tcPr>
            <w:tcW w:w="678" w:type="dxa"/>
            <w:vAlign w:val="center"/>
          </w:tcPr>
          <w:p w14:paraId="72ACFC0D">
            <w:pPr>
              <w:pStyle w:val="33"/>
            </w:pPr>
          </w:p>
        </w:tc>
        <w:tc>
          <w:tcPr>
            <w:tcW w:w="779" w:type="dxa"/>
            <w:vAlign w:val="center"/>
          </w:tcPr>
          <w:p w14:paraId="34CE2D89">
            <w:pPr>
              <w:pStyle w:val="33"/>
            </w:pPr>
          </w:p>
        </w:tc>
        <w:tc>
          <w:tcPr>
            <w:tcW w:w="943" w:type="dxa"/>
            <w:vAlign w:val="center"/>
          </w:tcPr>
          <w:p w14:paraId="35693FF5">
            <w:pPr>
              <w:pStyle w:val="33"/>
            </w:pPr>
          </w:p>
        </w:tc>
        <w:tc>
          <w:tcPr>
            <w:tcW w:w="1634" w:type="dxa"/>
            <w:vAlign w:val="center"/>
          </w:tcPr>
          <w:p w14:paraId="2D0A87BC">
            <w:pPr>
              <w:pStyle w:val="33"/>
            </w:pPr>
            <w:r>
              <w:t>258.70</w:t>
            </w:r>
          </w:p>
        </w:tc>
      </w:tr>
      <w:tr w14:paraId="59DF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0E0194AF">
            <w:pPr>
              <w:pStyle w:val="32"/>
            </w:pPr>
            <w:r>
              <w:t>公用类项目</w:t>
            </w:r>
          </w:p>
        </w:tc>
        <w:tc>
          <w:tcPr>
            <w:tcW w:w="882" w:type="dxa"/>
            <w:vAlign w:val="center"/>
          </w:tcPr>
          <w:p w14:paraId="7D25A439">
            <w:pPr>
              <w:pStyle w:val="32"/>
            </w:pPr>
            <w:r>
              <w:t>412.39</w:t>
            </w:r>
          </w:p>
        </w:tc>
        <w:tc>
          <w:tcPr>
            <w:tcW w:w="678" w:type="dxa"/>
            <w:vAlign w:val="center"/>
          </w:tcPr>
          <w:p w14:paraId="56892FC4">
            <w:pPr>
              <w:pStyle w:val="32"/>
            </w:pPr>
            <w:r>
              <w:t>其他服务</w:t>
            </w:r>
          </w:p>
        </w:tc>
        <w:tc>
          <w:tcPr>
            <w:tcW w:w="913" w:type="dxa"/>
            <w:vAlign w:val="center"/>
          </w:tcPr>
          <w:p w14:paraId="7AF58A69">
            <w:pPr>
              <w:pStyle w:val="32"/>
            </w:pPr>
            <w:r>
              <w:t>C99</w:t>
            </w:r>
          </w:p>
        </w:tc>
        <w:tc>
          <w:tcPr>
            <w:tcW w:w="628" w:type="dxa"/>
            <w:vAlign w:val="center"/>
          </w:tcPr>
          <w:p w14:paraId="1681DC7A">
            <w:pPr>
              <w:pStyle w:val="32"/>
            </w:pPr>
            <w:r>
              <w:t>批</w:t>
            </w:r>
          </w:p>
        </w:tc>
        <w:tc>
          <w:tcPr>
            <w:tcW w:w="505" w:type="dxa"/>
            <w:vAlign w:val="center"/>
          </w:tcPr>
          <w:p w14:paraId="64F827AE">
            <w:pPr>
              <w:pStyle w:val="32"/>
            </w:pPr>
            <w:r>
              <w:t>30</w:t>
            </w:r>
          </w:p>
        </w:tc>
        <w:tc>
          <w:tcPr>
            <w:tcW w:w="883" w:type="dxa"/>
            <w:vAlign w:val="center"/>
          </w:tcPr>
          <w:p w14:paraId="5DE1300F">
            <w:pPr>
              <w:pStyle w:val="32"/>
            </w:pPr>
            <w:r>
              <w:t>1.00</w:t>
            </w:r>
          </w:p>
        </w:tc>
        <w:tc>
          <w:tcPr>
            <w:tcW w:w="924" w:type="dxa"/>
            <w:vAlign w:val="center"/>
          </w:tcPr>
          <w:p w14:paraId="56E3D94A">
            <w:pPr>
              <w:pStyle w:val="32"/>
            </w:pPr>
            <w:r>
              <w:t>30.00</w:t>
            </w:r>
          </w:p>
        </w:tc>
        <w:tc>
          <w:tcPr>
            <w:tcW w:w="1157" w:type="dxa"/>
            <w:vAlign w:val="center"/>
          </w:tcPr>
          <w:p w14:paraId="7D65329D">
            <w:pPr>
              <w:pStyle w:val="32"/>
            </w:pPr>
            <w:r>
              <w:t>30.00</w:t>
            </w:r>
          </w:p>
        </w:tc>
        <w:tc>
          <w:tcPr>
            <w:tcW w:w="678" w:type="dxa"/>
            <w:vAlign w:val="center"/>
          </w:tcPr>
          <w:p w14:paraId="735297CA">
            <w:pPr>
              <w:pStyle w:val="32"/>
            </w:pPr>
          </w:p>
        </w:tc>
        <w:tc>
          <w:tcPr>
            <w:tcW w:w="879" w:type="dxa"/>
            <w:vAlign w:val="center"/>
          </w:tcPr>
          <w:p w14:paraId="3D42C2D5">
            <w:pPr>
              <w:pStyle w:val="32"/>
            </w:pPr>
          </w:p>
        </w:tc>
        <w:tc>
          <w:tcPr>
            <w:tcW w:w="678" w:type="dxa"/>
            <w:vAlign w:val="center"/>
          </w:tcPr>
          <w:p w14:paraId="336CFA54">
            <w:pPr>
              <w:pStyle w:val="32"/>
            </w:pPr>
          </w:p>
        </w:tc>
        <w:tc>
          <w:tcPr>
            <w:tcW w:w="678" w:type="dxa"/>
            <w:vAlign w:val="center"/>
          </w:tcPr>
          <w:p w14:paraId="21E3E05D">
            <w:pPr>
              <w:pStyle w:val="32"/>
            </w:pPr>
          </w:p>
        </w:tc>
        <w:tc>
          <w:tcPr>
            <w:tcW w:w="779" w:type="dxa"/>
            <w:vAlign w:val="center"/>
          </w:tcPr>
          <w:p w14:paraId="34783714">
            <w:pPr>
              <w:pStyle w:val="32"/>
            </w:pPr>
          </w:p>
        </w:tc>
        <w:tc>
          <w:tcPr>
            <w:tcW w:w="943" w:type="dxa"/>
            <w:vAlign w:val="center"/>
          </w:tcPr>
          <w:p w14:paraId="6F4837C9">
            <w:pPr>
              <w:pStyle w:val="32"/>
            </w:pPr>
          </w:p>
        </w:tc>
        <w:tc>
          <w:tcPr>
            <w:tcW w:w="1634" w:type="dxa"/>
            <w:vAlign w:val="center"/>
          </w:tcPr>
          <w:p w14:paraId="0D7511C6">
            <w:pPr>
              <w:pStyle w:val="32"/>
            </w:pPr>
            <w:r>
              <w:t>30.00</w:t>
            </w:r>
          </w:p>
        </w:tc>
      </w:tr>
      <w:tr w14:paraId="2C335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1DB46340">
            <w:pPr>
              <w:pStyle w:val="32"/>
            </w:pPr>
            <w:r>
              <w:t>打击走私工作经费</w:t>
            </w:r>
          </w:p>
        </w:tc>
        <w:tc>
          <w:tcPr>
            <w:tcW w:w="882" w:type="dxa"/>
            <w:vAlign w:val="center"/>
          </w:tcPr>
          <w:p w14:paraId="02978A1A">
            <w:pPr>
              <w:pStyle w:val="32"/>
            </w:pPr>
            <w:r>
              <w:t>36.00</w:t>
            </w:r>
          </w:p>
        </w:tc>
        <w:tc>
          <w:tcPr>
            <w:tcW w:w="678" w:type="dxa"/>
            <w:vAlign w:val="center"/>
          </w:tcPr>
          <w:p w14:paraId="5040473B">
            <w:pPr>
              <w:pStyle w:val="32"/>
            </w:pPr>
            <w:r>
              <w:t>其他服务</w:t>
            </w:r>
          </w:p>
        </w:tc>
        <w:tc>
          <w:tcPr>
            <w:tcW w:w="913" w:type="dxa"/>
            <w:vAlign w:val="center"/>
          </w:tcPr>
          <w:p w14:paraId="363491C1">
            <w:pPr>
              <w:pStyle w:val="32"/>
            </w:pPr>
            <w:r>
              <w:t>C99</w:t>
            </w:r>
          </w:p>
        </w:tc>
        <w:tc>
          <w:tcPr>
            <w:tcW w:w="628" w:type="dxa"/>
            <w:vAlign w:val="center"/>
          </w:tcPr>
          <w:p w14:paraId="3EE14193">
            <w:pPr>
              <w:pStyle w:val="32"/>
            </w:pPr>
            <w:r>
              <w:t>批</w:t>
            </w:r>
          </w:p>
        </w:tc>
        <w:tc>
          <w:tcPr>
            <w:tcW w:w="505" w:type="dxa"/>
            <w:vAlign w:val="center"/>
          </w:tcPr>
          <w:p w14:paraId="30BF85D1">
            <w:pPr>
              <w:pStyle w:val="32"/>
            </w:pPr>
            <w:r>
              <w:t>12</w:t>
            </w:r>
          </w:p>
        </w:tc>
        <w:tc>
          <w:tcPr>
            <w:tcW w:w="883" w:type="dxa"/>
            <w:vAlign w:val="center"/>
          </w:tcPr>
          <w:p w14:paraId="7D820B20">
            <w:pPr>
              <w:pStyle w:val="32"/>
            </w:pPr>
            <w:r>
              <w:t>1.00</w:t>
            </w:r>
          </w:p>
        </w:tc>
        <w:tc>
          <w:tcPr>
            <w:tcW w:w="924" w:type="dxa"/>
            <w:vAlign w:val="center"/>
          </w:tcPr>
          <w:p w14:paraId="54B58268">
            <w:pPr>
              <w:pStyle w:val="32"/>
            </w:pPr>
            <w:r>
              <w:t>12.00</w:t>
            </w:r>
          </w:p>
        </w:tc>
        <w:tc>
          <w:tcPr>
            <w:tcW w:w="1157" w:type="dxa"/>
            <w:vAlign w:val="center"/>
          </w:tcPr>
          <w:p w14:paraId="429F1F77">
            <w:pPr>
              <w:pStyle w:val="32"/>
            </w:pPr>
            <w:r>
              <w:t>12.00</w:t>
            </w:r>
          </w:p>
        </w:tc>
        <w:tc>
          <w:tcPr>
            <w:tcW w:w="678" w:type="dxa"/>
            <w:vAlign w:val="center"/>
          </w:tcPr>
          <w:p w14:paraId="6A6A4D07">
            <w:pPr>
              <w:pStyle w:val="32"/>
            </w:pPr>
          </w:p>
        </w:tc>
        <w:tc>
          <w:tcPr>
            <w:tcW w:w="879" w:type="dxa"/>
            <w:vAlign w:val="center"/>
          </w:tcPr>
          <w:p w14:paraId="0C1C6983">
            <w:pPr>
              <w:pStyle w:val="32"/>
            </w:pPr>
          </w:p>
        </w:tc>
        <w:tc>
          <w:tcPr>
            <w:tcW w:w="678" w:type="dxa"/>
            <w:vAlign w:val="center"/>
          </w:tcPr>
          <w:p w14:paraId="48C78C97">
            <w:pPr>
              <w:pStyle w:val="32"/>
            </w:pPr>
          </w:p>
        </w:tc>
        <w:tc>
          <w:tcPr>
            <w:tcW w:w="678" w:type="dxa"/>
            <w:vAlign w:val="center"/>
          </w:tcPr>
          <w:p w14:paraId="6AA1D406">
            <w:pPr>
              <w:pStyle w:val="32"/>
            </w:pPr>
          </w:p>
        </w:tc>
        <w:tc>
          <w:tcPr>
            <w:tcW w:w="779" w:type="dxa"/>
            <w:vAlign w:val="center"/>
          </w:tcPr>
          <w:p w14:paraId="607A8AE1">
            <w:pPr>
              <w:pStyle w:val="32"/>
            </w:pPr>
          </w:p>
        </w:tc>
        <w:tc>
          <w:tcPr>
            <w:tcW w:w="943" w:type="dxa"/>
            <w:vAlign w:val="center"/>
          </w:tcPr>
          <w:p w14:paraId="3F9BD1AC">
            <w:pPr>
              <w:pStyle w:val="32"/>
            </w:pPr>
          </w:p>
        </w:tc>
        <w:tc>
          <w:tcPr>
            <w:tcW w:w="1634" w:type="dxa"/>
            <w:vAlign w:val="center"/>
          </w:tcPr>
          <w:p w14:paraId="767912FA">
            <w:pPr>
              <w:pStyle w:val="32"/>
            </w:pPr>
            <w:r>
              <w:t>12.00</w:t>
            </w:r>
          </w:p>
        </w:tc>
      </w:tr>
      <w:tr w14:paraId="7D6B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291425A9">
            <w:pPr>
              <w:pStyle w:val="32"/>
            </w:pPr>
            <w:r>
              <w:t>数字中心运行经费</w:t>
            </w:r>
          </w:p>
        </w:tc>
        <w:tc>
          <w:tcPr>
            <w:tcW w:w="882" w:type="dxa"/>
            <w:vAlign w:val="center"/>
          </w:tcPr>
          <w:p w14:paraId="7B63563A">
            <w:pPr>
              <w:pStyle w:val="32"/>
            </w:pPr>
            <w:r>
              <w:t>168.70</w:t>
            </w:r>
          </w:p>
        </w:tc>
        <w:tc>
          <w:tcPr>
            <w:tcW w:w="678" w:type="dxa"/>
            <w:vAlign w:val="center"/>
          </w:tcPr>
          <w:p w14:paraId="6BAA780C">
            <w:pPr>
              <w:pStyle w:val="32"/>
            </w:pPr>
            <w:r>
              <w:t>其他服务</w:t>
            </w:r>
          </w:p>
        </w:tc>
        <w:tc>
          <w:tcPr>
            <w:tcW w:w="913" w:type="dxa"/>
            <w:vAlign w:val="center"/>
          </w:tcPr>
          <w:p w14:paraId="388A2BAB">
            <w:pPr>
              <w:pStyle w:val="32"/>
            </w:pPr>
            <w:r>
              <w:t>C99</w:t>
            </w:r>
          </w:p>
        </w:tc>
        <w:tc>
          <w:tcPr>
            <w:tcW w:w="628" w:type="dxa"/>
            <w:vAlign w:val="center"/>
          </w:tcPr>
          <w:p w14:paraId="2111C2ED">
            <w:pPr>
              <w:pStyle w:val="32"/>
            </w:pPr>
            <w:r>
              <w:t>批</w:t>
            </w:r>
          </w:p>
        </w:tc>
        <w:tc>
          <w:tcPr>
            <w:tcW w:w="505" w:type="dxa"/>
            <w:vAlign w:val="center"/>
          </w:tcPr>
          <w:p w14:paraId="73919485">
            <w:pPr>
              <w:pStyle w:val="32"/>
            </w:pPr>
            <w:r>
              <w:t>1</w:t>
            </w:r>
          </w:p>
        </w:tc>
        <w:tc>
          <w:tcPr>
            <w:tcW w:w="883" w:type="dxa"/>
            <w:vAlign w:val="center"/>
          </w:tcPr>
          <w:p w14:paraId="55A28769">
            <w:pPr>
              <w:pStyle w:val="32"/>
            </w:pPr>
            <w:r>
              <w:t>161.70</w:t>
            </w:r>
          </w:p>
        </w:tc>
        <w:tc>
          <w:tcPr>
            <w:tcW w:w="924" w:type="dxa"/>
            <w:vAlign w:val="center"/>
          </w:tcPr>
          <w:p w14:paraId="25F864BD">
            <w:pPr>
              <w:pStyle w:val="32"/>
            </w:pPr>
            <w:r>
              <w:t>161.70</w:t>
            </w:r>
          </w:p>
        </w:tc>
        <w:tc>
          <w:tcPr>
            <w:tcW w:w="1157" w:type="dxa"/>
            <w:vAlign w:val="center"/>
          </w:tcPr>
          <w:p w14:paraId="0C3F5DAA">
            <w:pPr>
              <w:pStyle w:val="32"/>
            </w:pPr>
            <w:r>
              <w:t>161.70</w:t>
            </w:r>
          </w:p>
        </w:tc>
        <w:tc>
          <w:tcPr>
            <w:tcW w:w="678" w:type="dxa"/>
            <w:vAlign w:val="center"/>
          </w:tcPr>
          <w:p w14:paraId="0FC0D6FE">
            <w:pPr>
              <w:pStyle w:val="32"/>
            </w:pPr>
          </w:p>
        </w:tc>
        <w:tc>
          <w:tcPr>
            <w:tcW w:w="879" w:type="dxa"/>
            <w:vAlign w:val="center"/>
          </w:tcPr>
          <w:p w14:paraId="0F46115A">
            <w:pPr>
              <w:pStyle w:val="32"/>
            </w:pPr>
          </w:p>
        </w:tc>
        <w:tc>
          <w:tcPr>
            <w:tcW w:w="678" w:type="dxa"/>
            <w:vAlign w:val="center"/>
          </w:tcPr>
          <w:p w14:paraId="4078C2AD">
            <w:pPr>
              <w:pStyle w:val="32"/>
            </w:pPr>
          </w:p>
        </w:tc>
        <w:tc>
          <w:tcPr>
            <w:tcW w:w="678" w:type="dxa"/>
            <w:vAlign w:val="center"/>
          </w:tcPr>
          <w:p w14:paraId="791131B7">
            <w:pPr>
              <w:pStyle w:val="32"/>
            </w:pPr>
          </w:p>
        </w:tc>
        <w:tc>
          <w:tcPr>
            <w:tcW w:w="779" w:type="dxa"/>
            <w:vAlign w:val="center"/>
          </w:tcPr>
          <w:p w14:paraId="426329DC">
            <w:pPr>
              <w:pStyle w:val="32"/>
            </w:pPr>
          </w:p>
        </w:tc>
        <w:tc>
          <w:tcPr>
            <w:tcW w:w="943" w:type="dxa"/>
            <w:vAlign w:val="center"/>
          </w:tcPr>
          <w:p w14:paraId="4F1A078D">
            <w:pPr>
              <w:pStyle w:val="32"/>
            </w:pPr>
          </w:p>
        </w:tc>
        <w:tc>
          <w:tcPr>
            <w:tcW w:w="1634" w:type="dxa"/>
            <w:vAlign w:val="center"/>
          </w:tcPr>
          <w:p w14:paraId="2E11EF92">
            <w:pPr>
              <w:pStyle w:val="32"/>
            </w:pPr>
            <w:r>
              <w:t>161.70</w:t>
            </w:r>
          </w:p>
        </w:tc>
      </w:tr>
      <w:tr w14:paraId="053D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55EF4BFC">
            <w:pPr>
              <w:pStyle w:val="32"/>
            </w:pPr>
            <w:r>
              <w:t>招商经费</w:t>
            </w:r>
          </w:p>
        </w:tc>
        <w:tc>
          <w:tcPr>
            <w:tcW w:w="882" w:type="dxa"/>
            <w:vAlign w:val="center"/>
          </w:tcPr>
          <w:p w14:paraId="598A0407">
            <w:pPr>
              <w:pStyle w:val="32"/>
            </w:pPr>
            <w:r>
              <w:t>200.00</w:t>
            </w:r>
          </w:p>
        </w:tc>
        <w:tc>
          <w:tcPr>
            <w:tcW w:w="678" w:type="dxa"/>
            <w:vAlign w:val="center"/>
          </w:tcPr>
          <w:p w14:paraId="2B981EEE">
            <w:pPr>
              <w:pStyle w:val="32"/>
            </w:pPr>
            <w:r>
              <w:t>其他服务</w:t>
            </w:r>
          </w:p>
        </w:tc>
        <w:tc>
          <w:tcPr>
            <w:tcW w:w="913" w:type="dxa"/>
            <w:vAlign w:val="center"/>
          </w:tcPr>
          <w:p w14:paraId="370A670F">
            <w:pPr>
              <w:pStyle w:val="32"/>
            </w:pPr>
            <w:r>
              <w:t>C99</w:t>
            </w:r>
          </w:p>
        </w:tc>
        <w:tc>
          <w:tcPr>
            <w:tcW w:w="628" w:type="dxa"/>
            <w:vAlign w:val="center"/>
          </w:tcPr>
          <w:p w14:paraId="09DDA3D1">
            <w:pPr>
              <w:pStyle w:val="32"/>
            </w:pPr>
            <w:r>
              <w:t>批</w:t>
            </w:r>
          </w:p>
        </w:tc>
        <w:tc>
          <w:tcPr>
            <w:tcW w:w="505" w:type="dxa"/>
            <w:vAlign w:val="center"/>
          </w:tcPr>
          <w:p w14:paraId="395A998B">
            <w:pPr>
              <w:pStyle w:val="32"/>
            </w:pPr>
            <w:r>
              <w:t>25</w:t>
            </w:r>
          </w:p>
        </w:tc>
        <w:tc>
          <w:tcPr>
            <w:tcW w:w="883" w:type="dxa"/>
            <w:vAlign w:val="center"/>
          </w:tcPr>
          <w:p w14:paraId="69207D95">
            <w:pPr>
              <w:pStyle w:val="32"/>
            </w:pPr>
            <w:r>
              <w:t>1.00</w:t>
            </w:r>
          </w:p>
        </w:tc>
        <w:tc>
          <w:tcPr>
            <w:tcW w:w="924" w:type="dxa"/>
            <w:vAlign w:val="center"/>
          </w:tcPr>
          <w:p w14:paraId="671D7CC4">
            <w:pPr>
              <w:pStyle w:val="32"/>
            </w:pPr>
            <w:r>
              <w:t>25.00</w:t>
            </w:r>
          </w:p>
        </w:tc>
        <w:tc>
          <w:tcPr>
            <w:tcW w:w="1157" w:type="dxa"/>
            <w:vAlign w:val="center"/>
          </w:tcPr>
          <w:p w14:paraId="4C1FC9C9">
            <w:pPr>
              <w:pStyle w:val="32"/>
            </w:pPr>
            <w:r>
              <w:t>25.00</w:t>
            </w:r>
          </w:p>
        </w:tc>
        <w:tc>
          <w:tcPr>
            <w:tcW w:w="678" w:type="dxa"/>
            <w:vAlign w:val="center"/>
          </w:tcPr>
          <w:p w14:paraId="7219093E">
            <w:pPr>
              <w:pStyle w:val="32"/>
            </w:pPr>
          </w:p>
        </w:tc>
        <w:tc>
          <w:tcPr>
            <w:tcW w:w="879" w:type="dxa"/>
            <w:vAlign w:val="center"/>
          </w:tcPr>
          <w:p w14:paraId="68E21147">
            <w:pPr>
              <w:pStyle w:val="32"/>
            </w:pPr>
          </w:p>
        </w:tc>
        <w:tc>
          <w:tcPr>
            <w:tcW w:w="678" w:type="dxa"/>
            <w:vAlign w:val="center"/>
          </w:tcPr>
          <w:p w14:paraId="5207A119">
            <w:pPr>
              <w:pStyle w:val="32"/>
            </w:pPr>
          </w:p>
        </w:tc>
        <w:tc>
          <w:tcPr>
            <w:tcW w:w="678" w:type="dxa"/>
            <w:vAlign w:val="center"/>
          </w:tcPr>
          <w:p w14:paraId="4CE5EB13">
            <w:pPr>
              <w:pStyle w:val="32"/>
            </w:pPr>
          </w:p>
        </w:tc>
        <w:tc>
          <w:tcPr>
            <w:tcW w:w="779" w:type="dxa"/>
            <w:vAlign w:val="center"/>
          </w:tcPr>
          <w:p w14:paraId="5817AF69">
            <w:pPr>
              <w:pStyle w:val="32"/>
            </w:pPr>
          </w:p>
        </w:tc>
        <w:tc>
          <w:tcPr>
            <w:tcW w:w="943" w:type="dxa"/>
            <w:vAlign w:val="center"/>
          </w:tcPr>
          <w:p w14:paraId="10E45599">
            <w:pPr>
              <w:pStyle w:val="32"/>
            </w:pPr>
          </w:p>
        </w:tc>
        <w:tc>
          <w:tcPr>
            <w:tcW w:w="1634" w:type="dxa"/>
            <w:vAlign w:val="center"/>
          </w:tcPr>
          <w:p w14:paraId="0C63551C">
            <w:pPr>
              <w:pStyle w:val="32"/>
            </w:pPr>
            <w:r>
              <w:t>25.00</w:t>
            </w:r>
          </w:p>
        </w:tc>
      </w:tr>
      <w:tr w14:paraId="4DBB8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14:paraId="32199D1A">
            <w:pPr>
              <w:pStyle w:val="32"/>
            </w:pPr>
            <w:r>
              <w:t>政府及政府组织的各类会议活动</w:t>
            </w:r>
          </w:p>
        </w:tc>
        <w:tc>
          <w:tcPr>
            <w:tcW w:w="882" w:type="dxa"/>
            <w:vAlign w:val="center"/>
          </w:tcPr>
          <w:p w14:paraId="65EA29A2">
            <w:pPr>
              <w:pStyle w:val="32"/>
            </w:pPr>
            <w:r>
              <w:t>220.00</w:t>
            </w:r>
          </w:p>
        </w:tc>
        <w:tc>
          <w:tcPr>
            <w:tcW w:w="678" w:type="dxa"/>
            <w:vAlign w:val="center"/>
          </w:tcPr>
          <w:p w14:paraId="6270645E">
            <w:pPr>
              <w:pStyle w:val="32"/>
            </w:pPr>
            <w:r>
              <w:t>其他服务</w:t>
            </w:r>
          </w:p>
        </w:tc>
        <w:tc>
          <w:tcPr>
            <w:tcW w:w="913" w:type="dxa"/>
            <w:vAlign w:val="center"/>
          </w:tcPr>
          <w:p w14:paraId="7D5E042A">
            <w:pPr>
              <w:pStyle w:val="32"/>
            </w:pPr>
            <w:r>
              <w:t>C99</w:t>
            </w:r>
          </w:p>
        </w:tc>
        <w:tc>
          <w:tcPr>
            <w:tcW w:w="628" w:type="dxa"/>
            <w:vAlign w:val="center"/>
          </w:tcPr>
          <w:p w14:paraId="668BC9DD">
            <w:pPr>
              <w:pStyle w:val="32"/>
            </w:pPr>
            <w:r>
              <w:t>批</w:t>
            </w:r>
          </w:p>
        </w:tc>
        <w:tc>
          <w:tcPr>
            <w:tcW w:w="505" w:type="dxa"/>
            <w:vAlign w:val="center"/>
          </w:tcPr>
          <w:p w14:paraId="763CD442">
            <w:pPr>
              <w:pStyle w:val="32"/>
            </w:pPr>
            <w:r>
              <w:t>30</w:t>
            </w:r>
          </w:p>
        </w:tc>
        <w:tc>
          <w:tcPr>
            <w:tcW w:w="883" w:type="dxa"/>
            <w:vAlign w:val="center"/>
          </w:tcPr>
          <w:p w14:paraId="23BFE684">
            <w:pPr>
              <w:pStyle w:val="32"/>
            </w:pPr>
            <w:r>
              <w:t>1.00</w:t>
            </w:r>
          </w:p>
        </w:tc>
        <w:tc>
          <w:tcPr>
            <w:tcW w:w="924" w:type="dxa"/>
            <w:vAlign w:val="center"/>
          </w:tcPr>
          <w:p w14:paraId="4027732D">
            <w:pPr>
              <w:pStyle w:val="32"/>
            </w:pPr>
            <w:r>
              <w:t>30.00</w:t>
            </w:r>
          </w:p>
        </w:tc>
        <w:tc>
          <w:tcPr>
            <w:tcW w:w="1157" w:type="dxa"/>
            <w:vAlign w:val="center"/>
          </w:tcPr>
          <w:p w14:paraId="2875B9C0">
            <w:pPr>
              <w:pStyle w:val="32"/>
            </w:pPr>
            <w:r>
              <w:t>30.00</w:t>
            </w:r>
          </w:p>
        </w:tc>
        <w:tc>
          <w:tcPr>
            <w:tcW w:w="678" w:type="dxa"/>
            <w:vAlign w:val="center"/>
          </w:tcPr>
          <w:p w14:paraId="72AFAF8E">
            <w:pPr>
              <w:pStyle w:val="32"/>
            </w:pPr>
          </w:p>
        </w:tc>
        <w:tc>
          <w:tcPr>
            <w:tcW w:w="879" w:type="dxa"/>
            <w:vAlign w:val="center"/>
          </w:tcPr>
          <w:p w14:paraId="09342EB3">
            <w:pPr>
              <w:pStyle w:val="32"/>
            </w:pPr>
          </w:p>
        </w:tc>
        <w:tc>
          <w:tcPr>
            <w:tcW w:w="678" w:type="dxa"/>
            <w:vAlign w:val="center"/>
          </w:tcPr>
          <w:p w14:paraId="0F18D401">
            <w:pPr>
              <w:pStyle w:val="32"/>
            </w:pPr>
          </w:p>
        </w:tc>
        <w:tc>
          <w:tcPr>
            <w:tcW w:w="678" w:type="dxa"/>
            <w:vAlign w:val="center"/>
          </w:tcPr>
          <w:p w14:paraId="2F5DDB71">
            <w:pPr>
              <w:pStyle w:val="32"/>
            </w:pPr>
          </w:p>
        </w:tc>
        <w:tc>
          <w:tcPr>
            <w:tcW w:w="779" w:type="dxa"/>
            <w:vAlign w:val="center"/>
          </w:tcPr>
          <w:p w14:paraId="3E01213A">
            <w:pPr>
              <w:pStyle w:val="32"/>
            </w:pPr>
          </w:p>
        </w:tc>
        <w:tc>
          <w:tcPr>
            <w:tcW w:w="943" w:type="dxa"/>
            <w:vAlign w:val="center"/>
          </w:tcPr>
          <w:p w14:paraId="03295E68">
            <w:pPr>
              <w:pStyle w:val="32"/>
            </w:pPr>
          </w:p>
        </w:tc>
        <w:tc>
          <w:tcPr>
            <w:tcW w:w="1634" w:type="dxa"/>
            <w:vAlign w:val="center"/>
          </w:tcPr>
          <w:p w14:paraId="794D989F">
            <w:pPr>
              <w:pStyle w:val="32"/>
            </w:pPr>
            <w:r>
              <w:t>30.00</w:t>
            </w:r>
          </w:p>
        </w:tc>
      </w:tr>
    </w:tbl>
    <w:p w14:paraId="7F8D3CD0">
      <w:pPr>
        <w:widowControl/>
        <w:spacing w:before="0" w:after="0" w:line="500" w:lineRule="exact"/>
        <w:ind w:firstLine="420"/>
        <w:jc w:val="left"/>
        <w:outlineLvl w:val="9"/>
        <w:rPr>
          <w:rFonts w:hint="eastAsia" w:ascii="方正仿宋_GBK" w:hAnsi="方正仿宋_GBK" w:eastAsia="方正仿宋_GBK" w:cs="方正仿宋_GBK"/>
          <w:color w:val="000000"/>
          <w:kern w:val="0"/>
          <w:sz w:val="21"/>
          <w:szCs w:val="24"/>
          <w:lang w:val="en-US" w:eastAsia="zh-CN"/>
        </w:rPr>
        <w:sectPr>
          <w:pgSz w:w="16840" w:h="11900" w:orient="landscape"/>
          <w:pgMar w:top="1417" w:right="567" w:bottom="850" w:left="1134" w:header="720" w:footer="720" w:gutter="0"/>
          <w:pgBorders>
            <w:top w:val="none" w:sz="0" w:space="0"/>
            <w:left w:val="none" w:sz="0" w:space="0"/>
            <w:bottom w:val="none" w:sz="0" w:space="0"/>
            <w:right w:val="none" w:sz="0" w:space="0"/>
          </w:pgBorders>
          <w:cols w:space="0" w:num="1"/>
          <w:rtlGutter w:val="0"/>
          <w:docGrid w:linePitch="0" w:charSpace="0"/>
        </w:sectPr>
      </w:pPr>
      <w:r>
        <w:rPr>
          <w:rFonts w:ascii="方正仿宋_GBK" w:hAnsi="方正仿宋_GBK" w:eastAsia="方正仿宋_GBK" w:cs="方正仿宋_GBK"/>
          <w:color w:val="000000"/>
          <w:kern w:val="0"/>
          <w:sz w:val="21"/>
          <w:szCs w:val="24"/>
          <w:lang w:eastAsia="uk-UA"/>
        </w:rPr>
        <w:t>注：同一采购目录序号的物品，其单价会因配置规格不同而变动，均符合资产配置标准。涉密采购事项按照相关规定执</w:t>
      </w:r>
      <w:r>
        <w:rPr>
          <w:rFonts w:hint="eastAsia" w:ascii="方正仿宋_GBK" w:hAnsi="方正仿宋_GBK" w:eastAsia="方正仿宋_GBK" w:cs="方正仿宋_GBK"/>
          <w:color w:val="000000"/>
          <w:kern w:val="0"/>
          <w:sz w:val="21"/>
          <w:szCs w:val="24"/>
          <w:lang w:val="en-US" w:eastAsia="zh-CN"/>
        </w:rPr>
        <w:t>行。</w:t>
      </w:r>
    </w:p>
    <w:p w14:paraId="7A73A68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14:paraId="292AC02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_GB2312" w:hAnsi="黑体" w:cs="Times New Roman"/>
          <w:sz w:val="32"/>
          <w:szCs w:val="32"/>
          <w:lang w:eastAsia="zh-CN"/>
        </w:rPr>
      </w:pPr>
      <w:r>
        <w:rPr>
          <w:rFonts w:hint="eastAsia" w:eastAsia="方正仿宋_GBK"/>
          <w:sz w:val="28"/>
          <w:lang w:eastAsia="zh-CN"/>
        </w:rPr>
        <w:t>上年末国有资产共</w:t>
      </w:r>
      <w:r>
        <w:rPr>
          <w:rFonts w:hint="eastAsia" w:eastAsia="方正仿宋_GBK"/>
          <w:sz w:val="28"/>
          <w:lang w:val="en-US" w:eastAsia="zh-CN"/>
        </w:rPr>
        <w:t>510.09万元（详见下表），其中</w:t>
      </w:r>
      <w:r>
        <w:rPr>
          <w:rFonts w:hint="eastAsia" w:eastAsia="方正仿宋_GBK"/>
          <w:sz w:val="28"/>
          <w:lang w:eastAsia="zh-CN"/>
        </w:rPr>
        <w:t>固定资产金额为</w:t>
      </w:r>
      <w:r>
        <w:rPr>
          <w:rFonts w:hint="eastAsia" w:eastAsia="方正仿宋_GBK"/>
          <w:sz w:val="28"/>
          <w:lang w:val="en-US" w:eastAsia="zh-CN"/>
        </w:rPr>
        <w:t>489.90</w:t>
      </w:r>
      <w:r>
        <w:rPr>
          <w:rFonts w:hint="eastAsia" w:eastAsia="方正仿宋_GBK"/>
          <w:sz w:val="28"/>
          <w:lang w:eastAsia="zh-CN"/>
        </w:rPr>
        <w:t>万元，无形资产</w:t>
      </w:r>
      <w:r>
        <w:rPr>
          <w:rFonts w:hint="eastAsia" w:eastAsia="方正仿宋_GBK"/>
          <w:sz w:val="28"/>
          <w:lang w:val="en-US" w:eastAsia="zh-CN"/>
        </w:rPr>
        <w:t>20.19万元。</w:t>
      </w:r>
      <w:r>
        <w:rPr>
          <w:rFonts w:ascii="??_GB2312" w:hAnsi="黑体" w:eastAsia="Times New Roman" w:cs="Times New Roman"/>
          <w:sz w:val="32"/>
          <w:szCs w:val="32"/>
        </w:rPr>
        <w:t>本年度拟购置固定资产主要为电脑、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办公家具等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35</w:t>
      </w:r>
      <w:r>
        <w:rPr>
          <w:rFonts w:ascii="??_GB2312" w:hAnsi="黑体" w:eastAsia="Times New Roman" w:cs="Times New Roman"/>
          <w:sz w:val="32"/>
          <w:szCs w:val="32"/>
        </w:rPr>
        <w:t>万元</w:t>
      </w:r>
      <w:r>
        <w:rPr>
          <w:rFonts w:hint="eastAsia" w:ascii="??_GB2312" w:hAnsi="黑体" w:cs="Times New Roman"/>
          <w:sz w:val="32"/>
          <w:szCs w:val="32"/>
          <w:lang w:eastAsia="zh-CN"/>
        </w:rPr>
        <w:t>，</w:t>
      </w:r>
      <w:r>
        <w:rPr>
          <w:rFonts w:hint="eastAsia" w:eastAsia="方正仿宋_GBK"/>
          <w:color w:val="000000"/>
          <w:sz w:val="28"/>
          <w:lang w:val="en-US" w:eastAsia="zh-CN"/>
        </w:rPr>
        <w:t>均为20万元以下的设备</w:t>
      </w:r>
    </w:p>
    <w:tbl>
      <w:tblPr>
        <w:tblStyle w:val="14"/>
        <w:tblpPr w:leftFromText="180" w:rightFromText="180" w:vertAnchor="text" w:horzAnchor="page" w:tblpX="1442" w:tblpY="301"/>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3C1CD040">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29C523D6">
            <w:pPr>
              <w:widowControl/>
              <w:jc w:val="center"/>
              <w:rPr>
                <w:rFonts w:ascii="宋体" w:cs="宋体"/>
                <w:b/>
                <w:bCs/>
                <w:kern w:val="0"/>
                <w:sz w:val="32"/>
                <w:szCs w:val="32"/>
              </w:rPr>
            </w:pPr>
            <w:r>
              <w:rPr>
                <w:rFonts w:hint="eastAsia" w:ascii="宋体" w:hAnsi="宋体" w:cs="宋体"/>
                <w:b/>
                <w:bCs/>
                <w:kern w:val="0"/>
                <w:sz w:val="32"/>
                <w:szCs w:val="32"/>
              </w:rPr>
              <w:t>唐山市曹妃甸区人民政府办公室固定资产占用情况表</w:t>
            </w:r>
          </w:p>
        </w:tc>
      </w:tr>
      <w:tr w14:paraId="13CA1C36">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5E53885C">
            <w:pPr>
              <w:widowControl/>
              <w:jc w:val="left"/>
              <w:rPr>
                <w:rFonts w:hint="default" w:asci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唐山市曹妃甸区人民政府办公室</w:t>
            </w:r>
          </w:p>
        </w:tc>
        <w:tc>
          <w:tcPr>
            <w:tcW w:w="5103" w:type="dxa"/>
            <w:tcBorders>
              <w:top w:val="nil"/>
              <w:left w:val="nil"/>
              <w:bottom w:val="nil"/>
              <w:right w:val="nil"/>
            </w:tcBorders>
            <w:vAlign w:val="center"/>
          </w:tcPr>
          <w:p w14:paraId="0A9CAB20">
            <w:pPr>
              <w:widowControl/>
              <w:jc w:val="left"/>
              <w:rPr>
                <w:rFonts w:asci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2021</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03C8E83C">
        <w:tblPrEx>
          <w:tblCellMar>
            <w:top w:w="0" w:type="dxa"/>
            <w:left w:w="108" w:type="dxa"/>
            <w:bottom w:w="0" w:type="dxa"/>
            <w:right w:w="108" w:type="dxa"/>
          </w:tblCellMar>
        </w:tblPrEx>
        <w:trPr>
          <w:trHeight w:val="560" w:hRule="atLeast"/>
        </w:trPr>
        <w:tc>
          <w:tcPr>
            <w:tcW w:w="5224" w:type="dxa"/>
            <w:tcBorders>
              <w:top w:val="single" w:color="auto" w:sz="4" w:space="0"/>
              <w:left w:val="single" w:color="auto" w:sz="4" w:space="0"/>
              <w:bottom w:val="single" w:color="auto" w:sz="4" w:space="0"/>
              <w:right w:val="single" w:color="auto" w:sz="4" w:space="0"/>
            </w:tcBorders>
            <w:vAlign w:val="center"/>
          </w:tcPr>
          <w:p w14:paraId="02BC5682">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3FF409BE">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5559DD27">
            <w:pPr>
              <w:widowControl/>
              <w:jc w:val="center"/>
              <w:rPr>
                <w:rFonts w:ascii="宋体" w:cs="宋体"/>
                <w:b/>
                <w:bCs/>
                <w:kern w:val="0"/>
                <w:sz w:val="22"/>
              </w:rPr>
            </w:pPr>
            <w:r>
              <w:rPr>
                <w:rFonts w:hint="eastAsia" w:ascii="宋体" w:hAnsi="宋体" w:cs="宋体"/>
                <w:b/>
                <w:bCs/>
                <w:kern w:val="0"/>
                <w:sz w:val="22"/>
              </w:rPr>
              <w:t>价值（金额单位：万元）</w:t>
            </w:r>
          </w:p>
        </w:tc>
      </w:tr>
      <w:tr w14:paraId="1DA2F50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4E8C6E7">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1BDEFB27">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591D6AC4">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510.09</w:t>
            </w:r>
          </w:p>
        </w:tc>
      </w:tr>
      <w:tr w14:paraId="092C561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53FB6B0">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1F4885B9">
            <w:pPr>
              <w:widowControl/>
              <w:jc w:val="center"/>
              <w:rPr>
                <w:rFonts w:ascii="宋体" w:cs="宋体"/>
                <w:kern w:val="0"/>
                <w:sz w:val="22"/>
              </w:rPr>
            </w:pPr>
            <w:r>
              <w:rPr>
                <w:rFonts w:hint="eastAsia" w:ascii="宋体" w:hAnsi="宋体" w:cs="宋体"/>
                <w:kern w:val="0"/>
                <w:sz w:val="22"/>
                <w:lang w:val="en-US" w:eastAsia="zh-CN"/>
              </w:rPr>
              <w:t>2243平方米</w:t>
            </w:r>
          </w:p>
        </w:tc>
        <w:tc>
          <w:tcPr>
            <w:tcW w:w="5103" w:type="dxa"/>
            <w:tcBorders>
              <w:top w:val="nil"/>
              <w:left w:val="nil"/>
              <w:bottom w:val="single" w:color="auto" w:sz="4" w:space="0"/>
              <w:right w:val="single" w:color="auto" w:sz="4" w:space="0"/>
            </w:tcBorders>
            <w:vAlign w:val="center"/>
          </w:tcPr>
          <w:p w14:paraId="5966313D">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82.51</w:t>
            </w:r>
          </w:p>
        </w:tc>
      </w:tr>
      <w:tr w14:paraId="0B2629D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8D0CC56">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4F27D555">
            <w:pPr>
              <w:widowControl/>
              <w:jc w:val="center"/>
              <w:rPr>
                <w:rFonts w:ascii="宋体" w:cs="宋体"/>
                <w:kern w:val="0"/>
                <w:sz w:val="22"/>
              </w:rP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14:paraId="13165D1C">
            <w:pPr>
              <w:widowControl/>
              <w:jc w:val="center"/>
              <w:rPr>
                <w:rFonts w:hint="default" w:ascii="宋体" w:cs="宋体"/>
                <w:kern w:val="0"/>
                <w:sz w:val="22"/>
                <w:lang w:val="en-US"/>
              </w:rPr>
            </w:pPr>
            <w:r>
              <w:rPr>
                <w:rFonts w:hint="eastAsia" w:ascii="宋体" w:hAnsi="宋体" w:cs="宋体"/>
                <w:kern w:val="0"/>
                <w:sz w:val="22"/>
                <w:lang w:val="en-US" w:eastAsia="zh-CN"/>
              </w:rPr>
              <w:t>82.51</w:t>
            </w:r>
          </w:p>
        </w:tc>
      </w:tr>
      <w:tr w14:paraId="3877DF6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ED124F0">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3AC763B7">
            <w:pPr>
              <w:widowControl/>
              <w:jc w:val="center"/>
              <w:rPr>
                <w:rFonts w:hint="default" w:ascii="宋体" w:eastAsia="宋体" w:cs="宋体"/>
                <w:kern w:val="0"/>
                <w:sz w:val="22"/>
                <w:lang w:val="en-US" w:eastAsia="zh-CN"/>
              </w:rPr>
            </w:pPr>
            <w:r>
              <w:rPr>
                <w:rFonts w:hint="eastAsia" w:ascii="宋体" w:cs="宋体"/>
                <w:kern w:val="0"/>
                <w:sz w:val="22"/>
                <w:lang w:val="en-US" w:eastAsia="zh-CN"/>
              </w:rPr>
              <w:t>7</w:t>
            </w:r>
          </w:p>
        </w:tc>
        <w:tc>
          <w:tcPr>
            <w:tcW w:w="5103" w:type="dxa"/>
            <w:tcBorders>
              <w:top w:val="nil"/>
              <w:left w:val="nil"/>
              <w:bottom w:val="single" w:color="auto" w:sz="4" w:space="0"/>
              <w:right w:val="single" w:color="auto" w:sz="4" w:space="0"/>
            </w:tcBorders>
            <w:vAlign w:val="center"/>
          </w:tcPr>
          <w:p w14:paraId="2D79BF2F">
            <w:pPr>
              <w:widowControl/>
              <w:jc w:val="center"/>
              <w:rPr>
                <w:rFonts w:hint="default" w:ascii="宋体" w:eastAsia="宋体" w:cs="宋体"/>
                <w:kern w:val="0"/>
                <w:sz w:val="22"/>
                <w:lang w:val="en-US" w:eastAsia="zh-CN"/>
              </w:rPr>
            </w:pPr>
            <w:r>
              <w:rPr>
                <w:rFonts w:hint="eastAsia" w:ascii="宋体" w:cs="宋体"/>
                <w:kern w:val="0"/>
                <w:sz w:val="22"/>
                <w:lang w:val="en-US" w:eastAsia="zh-CN"/>
              </w:rPr>
              <w:t>136.39</w:t>
            </w:r>
          </w:p>
        </w:tc>
      </w:tr>
      <w:tr w14:paraId="705BA49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1365837">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4188BE05">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8D459DC">
            <w:pPr>
              <w:widowControl/>
              <w:jc w:val="center"/>
              <w:rPr>
                <w:rFonts w:ascii="宋体" w:cs="宋体"/>
                <w:kern w:val="0"/>
                <w:sz w:val="22"/>
              </w:rPr>
            </w:pPr>
            <w:r>
              <w:rPr>
                <w:rFonts w:ascii="宋体" w:cs="宋体"/>
                <w:kern w:val="0"/>
                <w:sz w:val="22"/>
              </w:rPr>
              <w:t>0</w:t>
            </w:r>
          </w:p>
        </w:tc>
      </w:tr>
      <w:tr w14:paraId="7FCB829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29746F7">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3E2DBBE6">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736166DF">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271.00</w:t>
            </w:r>
          </w:p>
        </w:tc>
      </w:tr>
      <w:tr w14:paraId="5EDB4B5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AC28C5">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5、无形资产</w:t>
            </w:r>
          </w:p>
        </w:tc>
        <w:tc>
          <w:tcPr>
            <w:tcW w:w="3155" w:type="dxa"/>
            <w:tcBorders>
              <w:top w:val="nil"/>
              <w:left w:val="nil"/>
              <w:bottom w:val="single" w:color="auto" w:sz="4" w:space="0"/>
              <w:right w:val="single" w:color="auto" w:sz="4" w:space="0"/>
            </w:tcBorders>
            <w:vAlign w:val="center"/>
          </w:tcPr>
          <w:p w14:paraId="69DCE761">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6A804E57">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20.19</w:t>
            </w:r>
          </w:p>
        </w:tc>
      </w:tr>
    </w:tbl>
    <w:p w14:paraId="5CD773C9">
      <w:pPr>
        <w:pStyle w:val="2"/>
        <w:rPr>
          <w:rFonts w:hint="eastAsia"/>
        </w:rPr>
      </w:pPr>
    </w:p>
    <w:tbl>
      <w:tblPr>
        <w:tblStyle w:val="14"/>
        <w:tblW w:w="15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7"/>
        <w:gridCol w:w="6792"/>
      </w:tblGrid>
      <w:tr w14:paraId="464C3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0" w:hRule="atLeast"/>
          <w:tblHeader/>
          <w:jc w:val="center"/>
        </w:trPr>
        <w:tc>
          <w:tcPr>
            <w:tcW w:w="8687" w:type="dxa"/>
            <w:tcBorders>
              <w:top w:val="single" w:color="FFFFFF" w:sz="6" w:space="0"/>
              <w:left w:val="single" w:color="FFFFFF" w:sz="6" w:space="0"/>
              <w:bottom w:val="single" w:color="FFFFFF" w:sz="6" w:space="0"/>
              <w:right w:val="single" w:color="FFFFFF" w:sz="6" w:space="0"/>
            </w:tcBorders>
            <w:noWrap w:val="0"/>
            <w:vAlign w:val="center"/>
          </w:tcPr>
          <w:p w14:paraId="1E356D93">
            <w:pPr>
              <w:spacing w:line="300" w:lineRule="exact"/>
              <w:jc w:val="left"/>
              <w:rPr>
                <w:rFonts w:ascii="方正小标宋_GBK" w:eastAsia="方正小标宋_GBK"/>
                <w:sz w:val="24"/>
              </w:rPr>
            </w:pPr>
          </w:p>
        </w:tc>
        <w:tc>
          <w:tcPr>
            <w:tcW w:w="6792" w:type="dxa"/>
            <w:tcBorders>
              <w:top w:val="single" w:color="FFFFFF" w:sz="6" w:space="0"/>
              <w:left w:val="single" w:color="FFFFFF" w:sz="6" w:space="0"/>
              <w:bottom w:val="single" w:color="FFFFFF" w:sz="6" w:space="0"/>
              <w:right w:val="single" w:color="FFFFFF" w:sz="6" w:space="0"/>
            </w:tcBorders>
            <w:noWrap w:val="0"/>
            <w:vAlign w:val="center"/>
          </w:tcPr>
          <w:p w14:paraId="2986467B">
            <w:pPr>
              <w:spacing w:line="300" w:lineRule="exact"/>
              <w:jc w:val="right"/>
              <w:rPr>
                <w:rFonts w:ascii="方正书宋_GBK" w:eastAsia="方正书宋_GBK"/>
                <w:sz w:val="24"/>
              </w:rPr>
            </w:pPr>
          </w:p>
        </w:tc>
      </w:tr>
    </w:tbl>
    <w:p w14:paraId="43D300DD">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jc w:val="both"/>
        <w:textAlignment w:val="auto"/>
        <w:rPr>
          <w:rFonts w:ascii="黑体" w:hAnsi="黑体" w:eastAsia="黑体" w:cs="Times New Roman"/>
          <w:sz w:val="32"/>
          <w:szCs w:val="32"/>
        </w:rPr>
      </w:pPr>
      <w:r>
        <w:rPr>
          <w:rFonts w:hint="eastAsia" w:ascii="黑体" w:hAnsi="黑体" w:eastAsia="黑体" w:cs="Times New Roman"/>
          <w:sz w:val="32"/>
          <w:szCs w:val="32"/>
        </w:rPr>
        <w:t>八、名词解释</w:t>
      </w:r>
    </w:p>
    <w:p w14:paraId="0F847030">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1、一般预算收入：财政当年拨付的资金。</w:t>
      </w:r>
    </w:p>
    <w:p w14:paraId="11951101">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2、基本支出：为保障机构正常运转，完成日常工作任务，而发生的人员支出和公用支出。</w:t>
      </w:r>
    </w:p>
    <w:p w14:paraId="5BCFE28A">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3、项目支出：是指在基本支出之外，为完成特定行政任务和事业发展目标，而发生的支出。</w:t>
      </w:r>
    </w:p>
    <w:p w14:paraId="793B72D3">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14:paraId="70A90CBD">
      <w:pPr>
        <w:keepNext w:val="0"/>
        <w:keepLines w:val="0"/>
        <w:pageBreakBefore w:val="0"/>
        <w:widowControl w:val="0"/>
        <w:kinsoku/>
        <w:wordWrap/>
        <w:overflowPunct/>
        <w:topLinePunct w:val="0"/>
        <w:autoSpaceDE w:val="0"/>
        <w:autoSpaceDN w:val="0"/>
        <w:bidi w:val="0"/>
        <w:adjustRightInd/>
        <w:snapToGrid/>
        <w:spacing w:line="570" w:lineRule="exact"/>
        <w:ind w:firstLine="643" w:firstLineChars="200"/>
        <w:jc w:val="both"/>
        <w:textAlignment w:val="auto"/>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426B171A">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rPr>
          <w:rFonts w:hint="eastAsia" w:eastAsia="方正仿宋_GBK"/>
          <w:sz w:val="28"/>
          <w:lang w:eastAsia="zh-CN"/>
        </w:rPr>
      </w:pPr>
      <w:r>
        <w:rPr>
          <w:rFonts w:hint="eastAsia" w:eastAsia="方正仿宋_GBK"/>
          <w:sz w:val="28"/>
          <w:lang w:eastAsia="zh-CN"/>
        </w:rPr>
        <w:t>无</w:t>
      </w:r>
    </w:p>
    <w:p w14:paraId="7A00EC0B">
      <w:pPr>
        <w:pStyle w:val="12"/>
        <w:jc w:val="both"/>
      </w:pPr>
      <w:r>
        <w:t xml:space="preserve">                       </w:t>
      </w:r>
    </w:p>
    <w:p w14:paraId="11DA7FA8">
      <w:pPr>
        <w:rPr>
          <w:rFonts w:ascii="??_GB2312" w:hAnsi="??_GB2312" w:cs="??_GB2312"/>
          <w:sz w:val="32"/>
          <w:szCs w:val="32"/>
        </w:rPr>
      </w:pPr>
    </w:p>
    <w:sectPr>
      <w:headerReference r:id="rId3" w:type="default"/>
      <w:footerReference r:id="rId4" w:type="default"/>
      <w:pgSz w:w="16838" w:h="11906" w:orient="landscape"/>
      <w:pgMar w:top="1020" w:right="1440" w:bottom="1020" w:left="1361"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方正仿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5318">
    <w:pPr>
      <w:pStyle w:val="6"/>
      <w:jc w:val="center"/>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1D5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8256"/>
    <w:multiLevelType w:val="singleLevel"/>
    <w:tmpl w:val="1E868256"/>
    <w:lvl w:ilvl="0" w:tentative="0">
      <w:start w:val="1"/>
      <w:numFmt w:val="chineseCounting"/>
      <w:suff w:val="nothing"/>
      <w:lvlText w:val="（%1）"/>
      <w:lvlJc w:val="left"/>
      <w:rPr>
        <w:rFonts w:hint="eastAsia"/>
      </w:rPr>
    </w:lvl>
  </w:abstractNum>
  <w:abstractNum w:abstractNumId="1">
    <w:nsid w:val="5909A0EE"/>
    <w:multiLevelType w:val="singleLevel"/>
    <w:tmpl w:val="5909A0EE"/>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Q5NmQ2MThmYzI5ZmJjMDc4MmQ4ZWRmYzA1NjUzM2IifQ=="/>
  </w:docVars>
  <w:rsids>
    <w:rsidRoot w:val="00172A27"/>
    <w:rsid w:val="000E064F"/>
    <w:rsid w:val="00160CA3"/>
    <w:rsid w:val="00172A27"/>
    <w:rsid w:val="001D591B"/>
    <w:rsid w:val="00210270"/>
    <w:rsid w:val="002E1045"/>
    <w:rsid w:val="003C2E23"/>
    <w:rsid w:val="003F1F40"/>
    <w:rsid w:val="00464D34"/>
    <w:rsid w:val="00470CF1"/>
    <w:rsid w:val="00612784"/>
    <w:rsid w:val="00677796"/>
    <w:rsid w:val="00774C41"/>
    <w:rsid w:val="007C4F96"/>
    <w:rsid w:val="007E3139"/>
    <w:rsid w:val="007F7F9B"/>
    <w:rsid w:val="0087220F"/>
    <w:rsid w:val="00891259"/>
    <w:rsid w:val="00906EDC"/>
    <w:rsid w:val="009176FA"/>
    <w:rsid w:val="009263EF"/>
    <w:rsid w:val="00982422"/>
    <w:rsid w:val="00A1264C"/>
    <w:rsid w:val="00A836CC"/>
    <w:rsid w:val="00BE0D88"/>
    <w:rsid w:val="00BE2C97"/>
    <w:rsid w:val="00BE6884"/>
    <w:rsid w:val="00BF73F6"/>
    <w:rsid w:val="00C5340B"/>
    <w:rsid w:val="00CA1271"/>
    <w:rsid w:val="00CD24E5"/>
    <w:rsid w:val="00CE3435"/>
    <w:rsid w:val="00D029DA"/>
    <w:rsid w:val="00D82331"/>
    <w:rsid w:val="00DA1CCC"/>
    <w:rsid w:val="00E056B4"/>
    <w:rsid w:val="00E32825"/>
    <w:rsid w:val="00E97FF8"/>
    <w:rsid w:val="00EB3D40"/>
    <w:rsid w:val="00F12AEB"/>
    <w:rsid w:val="00F257FA"/>
    <w:rsid w:val="00FF64A4"/>
    <w:rsid w:val="012F2DE0"/>
    <w:rsid w:val="01986526"/>
    <w:rsid w:val="01BB388E"/>
    <w:rsid w:val="01C83E8C"/>
    <w:rsid w:val="020C51AF"/>
    <w:rsid w:val="02335EF2"/>
    <w:rsid w:val="02655920"/>
    <w:rsid w:val="02787391"/>
    <w:rsid w:val="03352EE3"/>
    <w:rsid w:val="035554CA"/>
    <w:rsid w:val="03B60ABC"/>
    <w:rsid w:val="04705155"/>
    <w:rsid w:val="048E64CC"/>
    <w:rsid w:val="04925D12"/>
    <w:rsid w:val="04B419B4"/>
    <w:rsid w:val="04FD6659"/>
    <w:rsid w:val="05491CFC"/>
    <w:rsid w:val="0559598E"/>
    <w:rsid w:val="05816B6A"/>
    <w:rsid w:val="06131A49"/>
    <w:rsid w:val="06476DE8"/>
    <w:rsid w:val="07E223F4"/>
    <w:rsid w:val="08074717"/>
    <w:rsid w:val="081465EC"/>
    <w:rsid w:val="08224AF2"/>
    <w:rsid w:val="083A5977"/>
    <w:rsid w:val="087006F7"/>
    <w:rsid w:val="08B872E5"/>
    <w:rsid w:val="09194E06"/>
    <w:rsid w:val="09521F9D"/>
    <w:rsid w:val="095E1366"/>
    <w:rsid w:val="09772883"/>
    <w:rsid w:val="09C91DC7"/>
    <w:rsid w:val="09CB6871"/>
    <w:rsid w:val="09F36079"/>
    <w:rsid w:val="0A201792"/>
    <w:rsid w:val="0A2A24E5"/>
    <w:rsid w:val="0A612371"/>
    <w:rsid w:val="0A6B75FC"/>
    <w:rsid w:val="0B153FBF"/>
    <w:rsid w:val="0B485099"/>
    <w:rsid w:val="0BF93FB2"/>
    <w:rsid w:val="0C28507E"/>
    <w:rsid w:val="0C5B4124"/>
    <w:rsid w:val="0D3D7863"/>
    <w:rsid w:val="0D931AD8"/>
    <w:rsid w:val="0E265D08"/>
    <w:rsid w:val="0F8948C0"/>
    <w:rsid w:val="0FEB61AA"/>
    <w:rsid w:val="100B506C"/>
    <w:rsid w:val="11B04AF4"/>
    <w:rsid w:val="11B14DCE"/>
    <w:rsid w:val="11BD51BB"/>
    <w:rsid w:val="125F5BAF"/>
    <w:rsid w:val="127576BF"/>
    <w:rsid w:val="12AB7916"/>
    <w:rsid w:val="13D310C5"/>
    <w:rsid w:val="13FE75A2"/>
    <w:rsid w:val="14556B97"/>
    <w:rsid w:val="14CE4AB6"/>
    <w:rsid w:val="156E62FC"/>
    <w:rsid w:val="15FE6869"/>
    <w:rsid w:val="16E33263"/>
    <w:rsid w:val="16EA61AD"/>
    <w:rsid w:val="173E1959"/>
    <w:rsid w:val="174503FB"/>
    <w:rsid w:val="17B27C12"/>
    <w:rsid w:val="182B5206"/>
    <w:rsid w:val="18746C92"/>
    <w:rsid w:val="189006DF"/>
    <w:rsid w:val="18E406CF"/>
    <w:rsid w:val="192E16F4"/>
    <w:rsid w:val="1A162EAA"/>
    <w:rsid w:val="1A6C0E84"/>
    <w:rsid w:val="1A7C3068"/>
    <w:rsid w:val="1B6C046B"/>
    <w:rsid w:val="1C6D28A3"/>
    <w:rsid w:val="1C875F63"/>
    <w:rsid w:val="1C9D4615"/>
    <w:rsid w:val="1CC5044C"/>
    <w:rsid w:val="1D7B18C1"/>
    <w:rsid w:val="1DC43078"/>
    <w:rsid w:val="1F436A91"/>
    <w:rsid w:val="1F6B6860"/>
    <w:rsid w:val="1F7E43DC"/>
    <w:rsid w:val="20490F69"/>
    <w:rsid w:val="20880B42"/>
    <w:rsid w:val="20885396"/>
    <w:rsid w:val="20B407F4"/>
    <w:rsid w:val="20D06600"/>
    <w:rsid w:val="213C163B"/>
    <w:rsid w:val="225F22EB"/>
    <w:rsid w:val="228B2286"/>
    <w:rsid w:val="229C2E2B"/>
    <w:rsid w:val="22CC21F9"/>
    <w:rsid w:val="22D53F79"/>
    <w:rsid w:val="22DA5554"/>
    <w:rsid w:val="2429107D"/>
    <w:rsid w:val="24605318"/>
    <w:rsid w:val="246F6298"/>
    <w:rsid w:val="250570BD"/>
    <w:rsid w:val="253476E6"/>
    <w:rsid w:val="253C2169"/>
    <w:rsid w:val="2573511A"/>
    <w:rsid w:val="26014EBE"/>
    <w:rsid w:val="26A175C9"/>
    <w:rsid w:val="26B55F79"/>
    <w:rsid w:val="26B6120B"/>
    <w:rsid w:val="27250A4C"/>
    <w:rsid w:val="273D7295"/>
    <w:rsid w:val="28085493"/>
    <w:rsid w:val="28B35AF9"/>
    <w:rsid w:val="28CA710E"/>
    <w:rsid w:val="29286F11"/>
    <w:rsid w:val="29383944"/>
    <w:rsid w:val="299E58BC"/>
    <w:rsid w:val="2A3A63A8"/>
    <w:rsid w:val="2A523C52"/>
    <w:rsid w:val="2A7C6B57"/>
    <w:rsid w:val="2B2D036C"/>
    <w:rsid w:val="2BAD51A9"/>
    <w:rsid w:val="2C085530"/>
    <w:rsid w:val="2C343CEB"/>
    <w:rsid w:val="2C6B4355"/>
    <w:rsid w:val="2C7A60B2"/>
    <w:rsid w:val="2C973BA3"/>
    <w:rsid w:val="2CAA3337"/>
    <w:rsid w:val="2CB500BB"/>
    <w:rsid w:val="2CD91EE1"/>
    <w:rsid w:val="2D2E6CD9"/>
    <w:rsid w:val="2D395E1A"/>
    <w:rsid w:val="2D3D47D0"/>
    <w:rsid w:val="2D9F209F"/>
    <w:rsid w:val="2DFA07EA"/>
    <w:rsid w:val="2E7131D4"/>
    <w:rsid w:val="2E780E2B"/>
    <w:rsid w:val="2EDE0655"/>
    <w:rsid w:val="2EE53EC6"/>
    <w:rsid w:val="2F3D547D"/>
    <w:rsid w:val="2F9464EE"/>
    <w:rsid w:val="2FAF2DC0"/>
    <w:rsid w:val="327B2931"/>
    <w:rsid w:val="32863D7F"/>
    <w:rsid w:val="32B974A8"/>
    <w:rsid w:val="331D490C"/>
    <w:rsid w:val="33D56F85"/>
    <w:rsid w:val="33E764FA"/>
    <w:rsid w:val="33FC2C1C"/>
    <w:rsid w:val="346103C2"/>
    <w:rsid w:val="350D3F0B"/>
    <w:rsid w:val="357F50D9"/>
    <w:rsid w:val="363B5550"/>
    <w:rsid w:val="365612FD"/>
    <w:rsid w:val="36943FCB"/>
    <w:rsid w:val="36DB2752"/>
    <w:rsid w:val="372C7489"/>
    <w:rsid w:val="37346343"/>
    <w:rsid w:val="376059F1"/>
    <w:rsid w:val="37DB6E08"/>
    <w:rsid w:val="38DF0886"/>
    <w:rsid w:val="390738CD"/>
    <w:rsid w:val="39AC3E6F"/>
    <w:rsid w:val="39B624A1"/>
    <w:rsid w:val="39DC4689"/>
    <w:rsid w:val="3A6C4ABB"/>
    <w:rsid w:val="3A884CF3"/>
    <w:rsid w:val="3A9C2A69"/>
    <w:rsid w:val="3AD3182C"/>
    <w:rsid w:val="3B2246F4"/>
    <w:rsid w:val="3B270E92"/>
    <w:rsid w:val="3B9D05E2"/>
    <w:rsid w:val="3B9D3F7B"/>
    <w:rsid w:val="3BC06A63"/>
    <w:rsid w:val="3C667A62"/>
    <w:rsid w:val="3C6A32A3"/>
    <w:rsid w:val="3E12779E"/>
    <w:rsid w:val="3F1F628A"/>
    <w:rsid w:val="3F675A63"/>
    <w:rsid w:val="405B2817"/>
    <w:rsid w:val="40880423"/>
    <w:rsid w:val="410D5C20"/>
    <w:rsid w:val="417B1318"/>
    <w:rsid w:val="41C47EF6"/>
    <w:rsid w:val="42385B16"/>
    <w:rsid w:val="42646472"/>
    <w:rsid w:val="426D5209"/>
    <w:rsid w:val="42865E45"/>
    <w:rsid w:val="4333766F"/>
    <w:rsid w:val="460974D0"/>
    <w:rsid w:val="465A5737"/>
    <w:rsid w:val="467013C7"/>
    <w:rsid w:val="47272909"/>
    <w:rsid w:val="47274EA5"/>
    <w:rsid w:val="477E5776"/>
    <w:rsid w:val="47E52DBD"/>
    <w:rsid w:val="491E6E30"/>
    <w:rsid w:val="49F24D74"/>
    <w:rsid w:val="4A8239AC"/>
    <w:rsid w:val="4AB90145"/>
    <w:rsid w:val="4B8F3797"/>
    <w:rsid w:val="4B955763"/>
    <w:rsid w:val="4BCA2AE9"/>
    <w:rsid w:val="4BD241C4"/>
    <w:rsid w:val="4C905659"/>
    <w:rsid w:val="4CA105BB"/>
    <w:rsid w:val="4D373A83"/>
    <w:rsid w:val="4D667939"/>
    <w:rsid w:val="4DA36676"/>
    <w:rsid w:val="4E1604C8"/>
    <w:rsid w:val="4F251118"/>
    <w:rsid w:val="4F762266"/>
    <w:rsid w:val="4F7F116C"/>
    <w:rsid w:val="507B57E7"/>
    <w:rsid w:val="50AA1AC0"/>
    <w:rsid w:val="50CF7020"/>
    <w:rsid w:val="5118422D"/>
    <w:rsid w:val="516D3442"/>
    <w:rsid w:val="51DD2D32"/>
    <w:rsid w:val="51E8562E"/>
    <w:rsid w:val="525A132C"/>
    <w:rsid w:val="52C97E5A"/>
    <w:rsid w:val="52D5662A"/>
    <w:rsid w:val="52F74406"/>
    <w:rsid w:val="53934B54"/>
    <w:rsid w:val="53E0203D"/>
    <w:rsid w:val="53E12527"/>
    <w:rsid w:val="54300587"/>
    <w:rsid w:val="54C803CC"/>
    <w:rsid w:val="55AF6D00"/>
    <w:rsid w:val="56412769"/>
    <w:rsid w:val="566D4D40"/>
    <w:rsid w:val="56A439CF"/>
    <w:rsid w:val="58485D61"/>
    <w:rsid w:val="587467D3"/>
    <w:rsid w:val="588958A6"/>
    <w:rsid w:val="5A9C3CD6"/>
    <w:rsid w:val="5AEE1D63"/>
    <w:rsid w:val="5B4F5FAC"/>
    <w:rsid w:val="5B9A0EEA"/>
    <w:rsid w:val="5BB33550"/>
    <w:rsid w:val="5C5C3E00"/>
    <w:rsid w:val="5CF32068"/>
    <w:rsid w:val="5D3E5D3B"/>
    <w:rsid w:val="5DDC37DC"/>
    <w:rsid w:val="5E061D99"/>
    <w:rsid w:val="5E520F35"/>
    <w:rsid w:val="5F0553BD"/>
    <w:rsid w:val="60A736C7"/>
    <w:rsid w:val="60E27E14"/>
    <w:rsid w:val="62510A72"/>
    <w:rsid w:val="62582FD8"/>
    <w:rsid w:val="627D0311"/>
    <w:rsid w:val="62B66F99"/>
    <w:rsid w:val="631B5D11"/>
    <w:rsid w:val="63AE0261"/>
    <w:rsid w:val="63EC0666"/>
    <w:rsid w:val="664753CF"/>
    <w:rsid w:val="66E73FB6"/>
    <w:rsid w:val="66E81477"/>
    <w:rsid w:val="671F7FC1"/>
    <w:rsid w:val="676137BD"/>
    <w:rsid w:val="679407CF"/>
    <w:rsid w:val="67C9021A"/>
    <w:rsid w:val="680B6587"/>
    <w:rsid w:val="696551FD"/>
    <w:rsid w:val="6A4A4F78"/>
    <w:rsid w:val="6A8E6A5E"/>
    <w:rsid w:val="6BDC690F"/>
    <w:rsid w:val="6BF81301"/>
    <w:rsid w:val="6C603ED1"/>
    <w:rsid w:val="6CA77794"/>
    <w:rsid w:val="6DFB07D2"/>
    <w:rsid w:val="6ED143A0"/>
    <w:rsid w:val="6F123BFA"/>
    <w:rsid w:val="6F4777AB"/>
    <w:rsid w:val="712552E9"/>
    <w:rsid w:val="727679FE"/>
    <w:rsid w:val="72E81551"/>
    <w:rsid w:val="730B3AFD"/>
    <w:rsid w:val="738D5D90"/>
    <w:rsid w:val="73F8387D"/>
    <w:rsid w:val="750F2602"/>
    <w:rsid w:val="7528698E"/>
    <w:rsid w:val="75EB5768"/>
    <w:rsid w:val="76EB638F"/>
    <w:rsid w:val="77036C8E"/>
    <w:rsid w:val="779F354D"/>
    <w:rsid w:val="77DD72EF"/>
    <w:rsid w:val="790C33F6"/>
    <w:rsid w:val="7944331F"/>
    <w:rsid w:val="79635F11"/>
    <w:rsid w:val="7A077E3B"/>
    <w:rsid w:val="7A74036C"/>
    <w:rsid w:val="7AEC23D6"/>
    <w:rsid w:val="7B287880"/>
    <w:rsid w:val="7B5010A4"/>
    <w:rsid w:val="7B985E29"/>
    <w:rsid w:val="7BBC722B"/>
    <w:rsid w:val="7C303191"/>
    <w:rsid w:val="7C9A0DDC"/>
    <w:rsid w:val="7C9A7756"/>
    <w:rsid w:val="7CF84916"/>
    <w:rsid w:val="7D03307F"/>
    <w:rsid w:val="7D53523B"/>
    <w:rsid w:val="7D5D00D6"/>
    <w:rsid w:val="7E950759"/>
    <w:rsid w:val="7EEA4BC7"/>
    <w:rsid w:val="7F0D5DA2"/>
    <w:rsid w:val="7F466D1E"/>
    <w:rsid w:val="7F752A34"/>
    <w:rsid w:val="7F7A0B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2">
    <w:name w:val="heading 2"/>
    <w:basedOn w:val="1"/>
    <w:next w:val="3"/>
    <w:qFormat/>
    <w:locked/>
    <w:uiPriority w:val="0"/>
    <w:pPr>
      <w:keepNext/>
      <w:keepLines/>
      <w:spacing w:before="260" w:beforeLines="0" w:after="260" w:afterLines="0" w:line="413" w:lineRule="auto"/>
      <w:outlineLvl w:val="1"/>
    </w:pPr>
    <w:rPr>
      <w:rFonts w:ascii="Arial" w:hAnsi="Arial" w:eastAsia="黑体"/>
      <w:b/>
      <w:sz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locked/>
    <w:uiPriority w:val="0"/>
    <w:pPr>
      <w:ind w:firstLine="420"/>
    </w:pPr>
  </w:style>
  <w:style w:type="paragraph" w:styleId="5">
    <w:name w:val="Body Text Indent"/>
    <w:basedOn w:val="1"/>
    <w:qFormat/>
    <w:locked/>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6">
    <w:name w:val="footer"/>
    <w:basedOn w:val="1"/>
    <w:link w:val="21"/>
    <w:qFormat/>
    <w:uiPriority w:val="99"/>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99"/>
    <w:rPr>
      <w:rFonts w:ascii="Times New Roman" w:hAnsi="Times New Roman" w:cs="Times New Roman"/>
      <w:szCs w:val="24"/>
    </w:rPr>
  </w:style>
  <w:style w:type="paragraph" w:styleId="9">
    <w:name w:val="footnote text"/>
    <w:basedOn w:val="1"/>
    <w:semiHidden/>
    <w:qFormat/>
    <w:locked/>
    <w:uiPriority w:val="0"/>
    <w:pPr>
      <w:snapToGrid w:val="0"/>
      <w:jc w:val="left"/>
    </w:pPr>
    <w:rPr>
      <w:sz w:val="18"/>
      <w:szCs w:val="18"/>
    </w:rPr>
  </w:style>
  <w:style w:type="paragraph" w:styleId="10">
    <w:name w:val="toc 2"/>
    <w:basedOn w:val="1"/>
    <w:next w:val="1"/>
    <w:qFormat/>
    <w:uiPriority w:val="99"/>
    <w:pPr>
      <w:ind w:left="420" w:leftChars="200"/>
    </w:pPr>
    <w:rPr>
      <w:rFonts w:ascii="Times New Roman" w:hAnsi="Times New Roman"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3"/>
    <w:qFormat/>
    <w:uiPriority w:val="99"/>
    <w:pPr>
      <w:spacing w:before="240" w:after="60"/>
      <w:jc w:val="center"/>
      <w:outlineLvl w:val="0"/>
    </w:pPr>
    <w:rPr>
      <w:rFonts w:ascii="Cambria" w:hAnsi="Cambria" w:cs="Times New Roman"/>
      <w:b/>
      <w:bCs/>
      <w:sz w:val="32"/>
      <w:szCs w:val="32"/>
    </w:rPr>
  </w:style>
  <w:style w:type="paragraph" w:styleId="13">
    <w:name w:val="Body Text First Indent 2"/>
    <w:basedOn w:val="5"/>
    <w:qFormat/>
    <w:locked/>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semiHidden/>
    <w:unhideWhenUsed/>
    <w:qFormat/>
    <w:locked/>
    <w:uiPriority w:val="99"/>
  </w:style>
  <w:style w:type="character" w:styleId="18">
    <w:name w:val="Hyperlink"/>
    <w:basedOn w:val="16"/>
    <w:qFormat/>
    <w:uiPriority w:val="99"/>
    <w:rPr>
      <w:rFonts w:cs="Times New Roman"/>
      <w:color w:val="0000FF"/>
      <w:u w:val="single"/>
    </w:rPr>
  </w:style>
  <w:style w:type="character" w:styleId="19">
    <w:name w:val="footnote reference"/>
    <w:basedOn w:val="16"/>
    <w:semiHidden/>
    <w:qFormat/>
    <w:locked/>
    <w:uiPriority w:val="0"/>
    <w:rPr>
      <w:vertAlign w:val="superscript"/>
    </w:rPr>
  </w:style>
  <w:style w:type="character" w:customStyle="1" w:styleId="20">
    <w:name w:val="Heading 1 Char"/>
    <w:basedOn w:val="16"/>
    <w:link w:val="4"/>
    <w:qFormat/>
    <w:locked/>
    <w:uiPriority w:val="99"/>
    <w:rPr>
      <w:rFonts w:ascii="Calibri" w:hAnsi="Calibri" w:cs="黑体"/>
      <w:b/>
      <w:bCs/>
      <w:kern w:val="44"/>
      <w:sz w:val="44"/>
      <w:szCs w:val="44"/>
    </w:rPr>
  </w:style>
  <w:style w:type="character" w:customStyle="1" w:styleId="21">
    <w:name w:val="Footer Char"/>
    <w:basedOn w:val="16"/>
    <w:link w:val="6"/>
    <w:semiHidden/>
    <w:qFormat/>
    <w:locked/>
    <w:uiPriority w:val="99"/>
    <w:rPr>
      <w:rFonts w:ascii="Times New Roman" w:hAnsi="Times New Roman" w:eastAsia="宋体" w:cs="Times New Roman"/>
      <w:sz w:val="18"/>
      <w:szCs w:val="18"/>
    </w:rPr>
  </w:style>
  <w:style w:type="character" w:customStyle="1" w:styleId="22">
    <w:name w:val="Header Char"/>
    <w:basedOn w:val="16"/>
    <w:link w:val="7"/>
    <w:semiHidden/>
    <w:qFormat/>
    <w:locked/>
    <w:uiPriority w:val="99"/>
    <w:rPr>
      <w:rFonts w:ascii="Times New Roman" w:hAnsi="Times New Roman" w:eastAsia="宋体" w:cs="Times New Roman"/>
      <w:sz w:val="18"/>
      <w:szCs w:val="18"/>
    </w:rPr>
  </w:style>
  <w:style w:type="character" w:customStyle="1" w:styleId="23">
    <w:name w:val="Title Char"/>
    <w:basedOn w:val="16"/>
    <w:link w:val="12"/>
    <w:qFormat/>
    <w:locked/>
    <w:uiPriority w:val="99"/>
    <w:rPr>
      <w:rFonts w:ascii="Cambria" w:hAnsi="Cambria" w:cs="Times New Roman"/>
      <w:b/>
      <w:bCs/>
      <w:sz w:val="32"/>
      <w:szCs w:val="32"/>
    </w:rPr>
  </w:style>
  <w:style w:type="character" w:customStyle="1" w:styleId="24">
    <w:name w:val="Page Number1"/>
    <w:basedOn w:val="16"/>
    <w:qFormat/>
    <w:uiPriority w:val="99"/>
    <w:rPr>
      <w:rFonts w:cs="Times New Roman"/>
    </w:rPr>
  </w:style>
  <w:style w:type="character" w:customStyle="1" w:styleId="25">
    <w:name w:val="font11"/>
    <w:basedOn w:val="16"/>
    <w:qFormat/>
    <w:uiPriority w:val="99"/>
    <w:rPr>
      <w:rFonts w:ascii="宋体" w:hAnsi="宋体" w:eastAsia="宋体" w:cs="宋体"/>
      <w:color w:val="000000"/>
      <w:sz w:val="18"/>
      <w:szCs w:val="18"/>
      <w:u w:val="none"/>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4509</Words>
  <Characters>4804</Characters>
  <Lines>0</Lines>
  <Paragraphs>0</Paragraphs>
  <TotalTime>245</TotalTime>
  <ScaleCrop>false</ScaleCrop>
  <LinksUpToDate>false</LinksUpToDate>
  <CharactersWithSpaces>4870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2017-05-03T09:08:00Z</cp:lastPrinted>
  <dcterms:modified xsi:type="dcterms:W3CDTF">2024-09-25T03:10:10Z</dcterms:modified>
  <dc:title>Administrator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13D4770214874877893F8BD575988AF2</vt:lpwstr>
  </property>
</Properties>
</file>