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曹妃甸临港商务区管理委员会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22</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按照《预算法》、《河北省预决算公开操作规程实施细则》规定，现将20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年部门预算公开如下：</w:t>
      </w: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rPr>
          <w:rFonts w:ascii="仿宋_GB2312" w:hAnsi="仿宋_GB2312" w:eastAsia="仿宋_GB2312" w:cs="宋体"/>
          <w:sz w:val="32"/>
          <w:szCs w:val="32"/>
        </w:rPr>
      </w:pPr>
      <w:r>
        <w:rPr>
          <w:rFonts w:hint="eastAsia" w:ascii="Times New Roman" w:hAnsi="Times New Roman" w:eastAsia="方正仿宋_GBK" w:cs="Times New Roman"/>
          <w:b/>
          <w:sz w:val="32"/>
          <w:szCs w:val="32"/>
        </w:rPr>
        <w:t xml:space="preserve">   部门</w:t>
      </w:r>
      <w:r>
        <w:rPr>
          <w:rFonts w:ascii="Times New Roman" w:hAnsi="Times New Roman" w:eastAsia="方正仿宋_GBK" w:cs="Times New Roman"/>
          <w:b/>
          <w:sz w:val="32"/>
          <w:szCs w:val="32"/>
        </w:rPr>
        <w:t>职责：</w:t>
      </w:r>
      <w:r>
        <w:rPr>
          <w:rFonts w:hint="eastAsia" w:ascii="仿宋_GB2312" w:hAnsi="仿宋_GB2312" w:eastAsia="仿宋_GB2312" w:cs="宋体"/>
          <w:sz w:val="32"/>
          <w:szCs w:val="32"/>
        </w:rPr>
        <w:t xml:space="preserve"> </w:t>
      </w:r>
    </w:p>
    <w:p>
      <w:pPr>
        <w:rPr>
          <w:rFonts w:ascii="仿宋_GB2312" w:hAnsi="仿宋_GB2312" w:eastAsia="仿宋_GB2312" w:cs="宋体"/>
          <w:sz w:val="32"/>
          <w:szCs w:val="32"/>
        </w:rPr>
      </w:pPr>
      <w:r>
        <w:rPr>
          <w:rFonts w:hint="eastAsia" w:ascii="仿宋_GB2312" w:hAnsi="仿宋_GB2312" w:eastAsia="仿宋_GB2312" w:cs="宋体"/>
          <w:sz w:val="32"/>
          <w:szCs w:val="32"/>
        </w:rPr>
        <w:t xml:space="preserve">    1、编制辖区的总体规划和经济发展规划，经批准后组织实施。</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2、组织对区域城市发展规划、建设规划提出建议，并协助组织实施。</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3、负责（或协助）做好辖区城市基础设施和公用设施的维护及管理。</w:t>
      </w:r>
    </w:p>
    <w:p>
      <w:pPr>
        <w:ind w:firstLine="640" w:firstLineChars="200"/>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rPr>
        <w:t>4、负责辖区项目谋划、招商引资、投资促进和企业服务。</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5、负责辖区生态建设、环境管理与保护。</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6、负责辖区第三产业发展和协调联系行业管理。</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7、负责辖区财务管理、国有资产管理和财务监督工作。</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8、负责辖区安全生产监督、管理。</w:t>
      </w:r>
    </w:p>
    <w:p>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9、负责协调辖区内上级有关部门派驻机构的工作。</w:t>
      </w:r>
    </w:p>
    <w:p>
      <w:pPr>
        <w:spacing w:line="360" w:lineRule="auto"/>
        <w:ind w:firstLine="640" w:firstLineChars="200"/>
        <w:rPr>
          <w:rFonts w:ascii="仿宋" w:hAnsi="仿宋" w:eastAsia="仿宋" w:cs="仿宋"/>
          <w:sz w:val="30"/>
          <w:szCs w:val="30"/>
        </w:rPr>
      </w:pPr>
      <w:r>
        <w:rPr>
          <w:rFonts w:hint="eastAsia" w:ascii="仿宋_GB2312" w:hAnsi="仿宋_GB2312" w:eastAsia="仿宋_GB2312" w:cs="宋体"/>
          <w:sz w:val="32"/>
          <w:szCs w:val="32"/>
        </w:rPr>
        <w:t>10、负责唐山市曹妃甸区政府交办的其他事项。</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1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单位性质</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单位规格</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曹妃甸临港商务区管理委员会</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正处级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2214" w:type="dxa"/>
            <w:vAlign w:val="center"/>
          </w:tcPr>
          <w:p>
            <w:pPr>
              <w:ind w:firstLine="140" w:firstLineChars="50"/>
              <w:rPr>
                <w:rFonts w:ascii="仿宋" w:hAnsi="仿宋" w:eastAsia="仿宋" w:cs="仿宋"/>
                <w:sz w:val="28"/>
                <w:szCs w:val="28"/>
              </w:rPr>
            </w:pPr>
            <w:r>
              <w:rPr>
                <w:rFonts w:hint="eastAsia" w:ascii="仿宋" w:hAnsi="仿宋" w:eastAsia="仿宋" w:cs="仿宋"/>
                <w:sz w:val="28"/>
                <w:szCs w:val="28"/>
              </w:rPr>
              <w:t>综合办公室</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城市管理局</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行政</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曹妃甸临港商务区投资贸易促进中心</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事业</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曹妃甸临港商务区经济发展局（安监执法大队）</w:t>
            </w:r>
          </w:p>
        </w:tc>
        <w:tc>
          <w:tcPr>
            <w:tcW w:w="2214" w:type="dxa"/>
            <w:vAlign w:val="center"/>
          </w:tcPr>
          <w:p>
            <w:pPr>
              <w:jc w:val="center"/>
              <w:rPr>
                <w:rFonts w:ascii="仿宋" w:hAnsi="仿宋" w:eastAsia="仿宋" w:cs="仿宋"/>
                <w:sz w:val="28"/>
                <w:szCs w:val="28"/>
              </w:rPr>
            </w:pPr>
            <w:r>
              <w:rPr>
                <w:rFonts w:hint="eastAsia" w:ascii="仿宋" w:hAnsi="仿宋" w:eastAsia="仿宋" w:cs="仿宋"/>
                <w:sz w:val="28"/>
                <w:szCs w:val="28"/>
              </w:rPr>
              <w:t>事业</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正科级</w:t>
            </w:r>
          </w:p>
        </w:tc>
        <w:tc>
          <w:tcPr>
            <w:tcW w:w="2215" w:type="dxa"/>
            <w:vAlign w:val="center"/>
          </w:tcPr>
          <w:p>
            <w:pPr>
              <w:jc w:val="center"/>
              <w:rPr>
                <w:rFonts w:ascii="仿宋" w:hAnsi="仿宋" w:eastAsia="仿宋" w:cs="仿宋"/>
                <w:sz w:val="28"/>
                <w:szCs w:val="28"/>
              </w:rPr>
            </w:pPr>
            <w:r>
              <w:rPr>
                <w:rFonts w:hint="eastAsia" w:ascii="仿宋" w:hAnsi="仿宋" w:eastAsia="仿宋" w:cs="仿宋"/>
                <w:sz w:val="28"/>
                <w:szCs w:val="28"/>
              </w:rPr>
              <w:t>财政性资金基本保证</w:t>
            </w:r>
          </w:p>
        </w:tc>
      </w:tr>
    </w:tbl>
    <w:p>
      <w:pPr>
        <w:autoSpaceDE w:val="0"/>
        <w:autoSpaceDN w:val="0"/>
        <w:adjustRightInd w:val="0"/>
        <w:jc w:val="left"/>
        <w:rPr>
          <w:rFonts w:ascii="方正仿宋_GBK" w:hAnsi="Times New Roman" w:eastAsia="方正仿宋_GBK" w:cs="Times New Roman"/>
          <w:b/>
          <w:sz w:val="32"/>
          <w:szCs w:val="32"/>
        </w:rPr>
      </w:pPr>
    </w:p>
    <w:p>
      <w:pPr>
        <w:rPr>
          <w:rFonts w:ascii="黑体" w:hAnsi="黑体" w:eastAsia="黑体" w:cs="Times New Roman"/>
          <w:sz w:val="32"/>
          <w:szCs w:val="32"/>
        </w:rPr>
      </w:pPr>
      <w:r>
        <w:rPr>
          <w:rFonts w:hint="eastAsia" w:ascii="黑体" w:hAnsi="黑体" w:eastAsia="黑体" w:cs="Times New Roman"/>
          <w:sz w:val="32"/>
          <w:szCs w:val="32"/>
        </w:rPr>
        <w:t xml:space="preserve">    二、部门预算安排的总体情况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rPr>
        <w:t xml:space="preserve"> </w:t>
      </w:r>
    </w:p>
    <w:p>
      <w:pPr>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本部门当年全部收入，20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2393.59</w:t>
      </w:r>
      <w:r>
        <w:rPr>
          <w:rFonts w:hint="eastAsia" w:ascii="仿宋_GB2312" w:hAnsi="仿宋_GB2312" w:eastAsia="仿宋_GB2312" w:cs="仿宋_GB2312"/>
          <w:sz w:val="32"/>
          <w:szCs w:val="32"/>
        </w:rPr>
        <w:t>万元，全部为一般公共预算收入</w:t>
      </w:r>
      <w:r>
        <w:rPr>
          <w:rFonts w:hint="eastAsia" w:ascii="仿宋_GB2312" w:hAnsi="仿宋_GB2312" w:eastAsia="仿宋_GB2312" w:cs="仿宋_GB2312"/>
          <w:sz w:val="32"/>
          <w:szCs w:val="32"/>
          <w:lang w:val="en-US" w:eastAsia="zh-CN"/>
        </w:rPr>
        <w:t>.</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收支预算总表支出栏、基本支出表、项目支出表按经济分类和支出功能分类科目编制，反映曹妃甸临港商务区管理委员会年度部门预算中支出预算的总体情况。20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年部门支出预算为</w:t>
      </w:r>
      <w:r>
        <w:rPr>
          <w:rFonts w:hint="eastAsia" w:ascii="仿宋_GB2312" w:hAnsi="仿宋_GB2312" w:eastAsia="仿宋_GB2312" w:cs="仿宋_GB2312"/>
          <w:sz w:val="32"/>
          <w:szCs w:val="32"/>
          <w:lang w:val="en-US" w:eastAsia="zh-CN"/>
        </w:rPr>
        <w:t>2393.59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613.44</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579.4</w:t>
      </w:r>
      <w:r>
        <w:rPr>
          <w:rFonts w:hint="eastAsia" w:ascii="仿宋_GB2312" w:hAnsi="仿宋_GB2312" w:eastAsia="仿宋_GB2312" w:cs="仿宋_GB2312"/>
          <w:sz w:val="32"/>
          <w:szCs w:val="32"/>
        </w:rPr>
        <w:t>万元和公用经费</w:t>
      </w:r>
      <w:r>
        <w:rPr>
          <w:rFonts w:hint="eastAsia" w:ascii="仿宋_GB2312" w:hAnsi="仿宋_GB2312" w:eastAsia="仿宋_GB2312" w:cs="仿宋_GB2312"/>
          <w:sz w:val="32"/>
          <w:szCs w:val="32"/>
          <w:lang w:val="en-US" w:eastAsia="zh-CN"/>
        </w:rPr>
        <w:t>34.04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1780.15</w:t>
      </w:r>
      <w:r>
        <w:rPr>
          <w:rFonts w:hint="eastAsia" w:ascii="仿宋_GB2312" w:hAnsi="仿宋_GB2312" w:eastAsia="仿宋_GB2312" w:cs="仿宋_GB2312"/>
          <w:sz w:val="32"/>
          <w:szCs w:val="32"/>
        </w:rPr>
        <w:t>万元，全部为本级支出。</w:t>
      </w:r>
    </w:p>
    <w:p>
      <w:pPr>
        <w:numPr>
          <w:ilvl w:val="0"/>
          <w:numId w:val="2"/>
        </w:num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rPr>
          <w:rFonts w:ascii="仿宋_GB2312" w:hAnsi="仿宋_GB2312" w:eastAsia="仿宋_GB2312" w:cs="仿宋_GB2312"/>
          <w:color w:val="auto"/>
          <w:sz w:val="32"/>
          <w:szCs w:val="32"/>
          <w:highlight w:val="none"/>
        </w:rPr>
      </w:pPr>
      <w:r>
        <w:rPr>
          <w:rFonts w:hint="eastAsia" w:ascii="Times New Roman" w:hAnsi="Times New Roman" w:eastAsia="方正仿宋_GBK" w:cs="Times New Roman"/>
          <w:color w:val="auto"/>
          <w:sz w:val="32"/>
          <w:szCs w:val="32"/>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年部门预算较20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698.86</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117.65</w:t>
      </w:r>
      <w:r>
        <w:rPr>
          <w:rFonts w:hint="eastAsia" w:ascii="仿宋_GB2312" w:hAnsi="仿宋_GB2312" w:eastAsia="仿宋_GB2312" w:cs="仿宋_GB2312"/>
          <w:color w:val="auto"/>
          <w:sz w:val="32"/>
          <w:szCs w:val="32"/>
        </w:rPr>
        <w:t>万元；项目支出较上年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581.21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color w:val="auto"/>
          <w:sz w:val="32"/>
          <w:szCs w:val="32"/>
          <w:highlight w:val="none"/>
          <w:lang w:val="en-US" w:eastAsia="zh-CN"/>
        </w:rPr>
        <w:t>原因</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体育公园项目、京津冀招商组预算引起增加821万元，2022年预算较2021年压减20%引起减少239万元</w:t>
      </w:r>
      <w:r>
        <w:rPr>
          <w:rFonts w:hint="eastAsia" w:ascii="仿宋_GB2312" w:hAnsi="仿宋_GB2312" w:eastAsia="仿宋_GB2312" w:cs="仿宋_GB2312"/>
          <w:color w:val="auto"/>
          <w:sz w:val="32"/>
          <w:szCs w:val="32"/>
          <w:highlight w:val="none"/>
        </w:rPr>
        <w:t>。</w:t>
      </w:r>
    </w:p>
    <w:p>
      <w:pPr>
        <w:numPr>
          <w:ilvl w:val="0"/>
          <w:numId w:val="3"/>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机关运行经费共计安排 </w:t>
      </w:r>
      <w:r>
        <w:rPr>
          <w:rFonts w:hint="eastAsia" w:ascii="仿宋_GB2312" w:hAnsi="仿宋_GB2312" w:eastAsia="仿宋_GB2312" w:cs="仿宋_GB2312"/>
          <w:sz w:val="32"/>
          <w:szCs w:val="32"/>
          <w:lang w:val="en-US" w:eastAsia="zh-CN"/>
        </w:rPr>
        <w:t>34.04</w:t>
      </w:r>
      <w:r>
        <w:rPr>
          <w:rFonts w:hint="eastAsia" w:ascii="仿宋_GB2312" w:hAnsi="仿宋_GB2312" w:eastAsia="仿宋_GB2312" w:cs="仿宋_GB2312"/>
          <w:sz w:val="32"/>
          <w:szCs w:val="32"/>
        </w:rPr>
        <w:t>万元，主要用于保证机关正常运转的办公及印刷费、邮电费、差旅费、培训费、会议费、福利费、办公设备购置费、日常维修费、办公楼取暖费、公务车运行维护费等支出。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年我部门财政拨款“三公”经费预算安排</w:t>
      </w:r>
      <w:r>
        <w:rPr>
          <w:rFonts w:hint="eastAsia" w:ascii="仿宋_GB2312" w:hAnsi="仿宋_GB2312" w:eastAsia="仿宋_GB2312" w:cs="仿宋_GB2312"/>
          <w:sz w:val="32"/>
          <w:szCs w:val="32"/>
          <w:lang w:val="en-US" w:eastAsia="zh-CN"/>
        </w:rPr>
        <w:t>29.36</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年“三公”经费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万元，其中：因公出国（境）费0万元，比20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年无增减变化；公务用车购置及运行维护费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万元（其中：公务用车购置费为0万元，公务用车运行维护费为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万元），比上年减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23.36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15.7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lang w:eastAsia="zh-CN"/>
        </w:rPr>
        <w:t>京津冀招商组</w:t>
      </w:r>
      <w:r>
        <w:rPr>
          <w:rFonts w:hint="eastAsia" w:ascii="仿宋_GB2312" w:hAnsi="仿宋_GB2312" w:eastAsia="仿宋_GB2312" w:cs="仿宋_GB2312"/>
          <w:color w:val="auto"/>
          <w:sz w:val="32"/>
          <w:szCs w:val="32"/>
          <w:lang w:val="en-US" w:eastAsia="zh-CN"/>
        </w:rPr>
        <w:t>2022年度预算并入临港商务区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五、绩效预算信息</w:t>
      </w:r>
    </w:p>
    <w:p>
      <w:pPr>
        <w:autoSpaceDE w:val="0"/>
        <w:autoSpaceDN w:val="0"/>
        <w:adjustRightInd w:val="0"/>
        <w:ind w:left="198" w:firstLine="640" w:firstLineChars="200"/>
        <w:jc w:val="left"/>
        <w:rPr>
          <w:rFonts w:hint="eastAsia" w:ascii="仿宋_GB2312" w:hAnsi="仿宋_GB2312" w:eastAsia="仿宋_GB2312" w:cs="仿宋_GB2312"/>
          <w:sz w:val="32"/>
          <w:szCs w:val="32"/>
        </w:rPr>
      </w:pPr>
      <w:bookmarkStart w:id="0" w:name="_Toc65227540"/>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总体绩效目标</w:t>
      </w:r>
      <w:bookmarkEnd w:id="0"/>
      <w:r>
        <w:rPr>
          <w:rFonts w:hint="eastAsia" w:ascii="仿宋_GB2312" w:hAnsi="仿宋_GB2312" w:eastAsia="仿宋_GB2312" w:cs="仿宋_GB2312"/>
          <w:sz w:val="32"/>
          <w:szCs w:val="32"/>
          <w:lang w:eastAsia="zh-CN"/>
        </w:rPr>
        <w:t>：</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园区将在区委、区政府的正确领导下，立足园区实际，严格按照“12345”工作思路，即坚定一个核心（绩效指标）、明确两条主线（打造生产服务区、生活服务区）、围绕三个主基调（抓招商、上项目、促运营）、突出四大招商方向（大宗商品贸易、港口后服务、企业总部及商业综合体、仓储物流加工）、实现五个目标（增税收、聚人气、促繁荣、保稳定、快发展），严作风、抓落实，全力促进临港商务区工作再上新台阶。</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2022年，园区计划实施重点项目26个，总投资172.02亿元，包含计划新开工项目8个，总投资126.42亿元；续建项目10个，总投资45.6亿元；前期重点洽谈项目8个，其中，投资百亿元以上项目1个。</w:t>
      </w:r>
    </w:p>
    <w:p>
      <w:pPr>
        <w:autoSpaceDE w:val="0"/>
        <w:autoSpaceDN w:val="0"/>
        <w:adjustRightInd w:val="0"/>
        <w:ind w:left="198" w:firstLine="640" w:firstLineChars="200"/>
        <w:jc w:val="left"/>
        <w:rPr>
          <w:rFonts w:hint="eastAsia" w:ascii="仿宋_GB2312" w:hAnsi="仿宋_GB2312" w:eastAsia="仿宋_GB2312" w:cs="仿宋_GB2312"/>
          <w:sz w:val="32"/>
          <w:szCs w:val="32"/>
        </w:rPr>
      </w:pPr>
    </w:p>
    <w:p>
      <w:pPr>
        <w:jc w:val="center"/>
        <w:outlineLvl w:val="0"/>
        <w:rPr>
          <w:rFonts w:hint="eastAsia" w:ascii="仿宋" w:hAnsi="仿宋" w:eastAsia="仿宋" w:cs="仿宋"/>
          <w:color w:val="auto"/>
          <w:sz w:val="32"/>
          <w:szCs w:val="32"/>
        </w:rPr>
      </w:pPr>
      <w:bookmarkStart w:id="1" w:name="_Toc1641566"/>
      <w:r>
        <w:rPr>
          <w:rFonts w:hint="eastAsia" w:ascii="方正小标宋_GBK" w:eastAsia="方正小标宋_GBK"/>
          <w:color w:val="auto"/>
          <w:sz w:val="32"/>
        </w:rPr>
        <w:t>部门职责-工作活动绩效目标</w:t>
      </w:r>
      <w:r>
        <w:rPr>
          <w:rStyle w:val="15"/>
          <w:rFonts w:ascii="方正小标宋_GBK" w:eastAsia="方正小标宋_GBK"/>
          <w:color w:val="auto"/>
          <w:sz w:val="32"/>
        </w:rPr>
        <w:footnoteReference w:id="0" w:customMarkFollows="1"/>
        <w:sym w:font="Symbol" w:char="F020"/>
      </w:r>
      <w:bookmarkEnd w:id="1"/>
    </w:p>
    <w:tbl>
      <w:tblPr>
        <w:tblStyle w:val="10"/>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803</w:t>
            </w:r>
            <w:r>
              <w:rPr>
                <w:rFonts w:hint="eastAsia" w:ascii="方正小标宋_GBK" w:eastAsia="方正小标宋_GBK"/>
                <w:sz w:val="24"/>
              </w:rPr>
              <w:t>临港商务区管理委员会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一、海域使用管理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126.61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编制海域论证报告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做好海域使用论证评估工作</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海域使用论证报告数量</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lang w:val="en-US" w:eastAsia="zh-CN"/>
              </w:rPr>
              <w:t>4</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3</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2</w:t>
            </w:r>
          </w:p>
        </w:tc>
        <w:tc>
          <w:tcPr>
            <w:tcW w:w="737" w:type="dxa"/>
            <w:shd w:val="clear" w:color="auto" w:fill="auto"/>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、企业服务</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126.61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编制海域论证报告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全程为企业服务，办理前期手续，加快项目早日落地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海域使用论证报告数量</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4</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3</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2</w:t>
            </w:r>
          </w:p>
        </w:tc>
        <w:tc>
          <w:tcPr>
            <w:tcW w:w="737" w:type="dxa"/>
            <w:shd w:val="clear" w:color="auto" w:fill="auto"/>
            <w:vAlign w:val="center"/>
          </w:tcPr>
          <w:p>
            <w:pPr>
              <w:spacing w:line="300" w:lineRule="exact"/>
              <w:jc w:val="center"/>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二</w:t>
            </w:r>
            <w:r>
              <w:rPr>
                <w:rFonts w:hint="eastAsia" w:ascii="方正书宋_GBK" w:eastAsia="方正书宋_GBK"/>
                <w:b/>
              </w:rPr>
              <w:t>、对内商贸管理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404</w:t>
            </w:r>
          </w:p>
        </w:tc>
        <w:tc>
          <w:tcPr>
            <w:tcW w:w="29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招商引资专项经费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，瞄准重点区域、重点客商和商务机构，加强企业对接、园区对接，项目对接，宣传临港商务区投资环境，力争在重点产业引进一批战略支撑项目、龙头企业和协力配套企业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兑现率</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150</w:t>
            </w:r>
          </w:p>
        </w:tc>
        <w:tc>
          <w:tcPr>
            <w:tcW w:w="2976" w:type="dxa"/>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eastAsia="zh-CN"/>
              </w:rPr>
              <w:t>园区招商引资专项经费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，瞄准重点区域、重点客商和商务机构，加强企业对接、园区对接，项目对接，宣传临港商务区投资环境，力争在重点产业引进一批战略支撑项目、龙头企业和协力配套企业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兑现率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、招商引资</w:t>
            </w:r>
          </w:p>
        </w:tc>
        <w:tc>
          <w:tcPr>
            <w:tcW w:w="1276" w:type="dxa"/>
            <w:vMerge w:val="restart"/>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254</w:t>
            </w:r>
          </w:p>
        </w:tc>
        <w:tc>
          <w:tcPr>
            <w:tcW w:w="2976" w:type="dxa"/>
            <w:vMerge w:val="restart"/>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京津冀招商组经费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，瞄准重点区域、重点客商和商务机构，加强企业对接、园区对接，项目对接，宣传临港商务区投资环境，力争在重点产业引进一批战略支撑项目、龙头企业和协力配套企业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外地招商地区数量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招商引资规模增长</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三</w:t>
            </w:r>
            <w:r>
              <w:rPr>
                <w:rFonts w:hint="eastAsia" w:ascii="方正书宋_GBK" w:eastAsia="方正书宋_GBK"/>
                <w:b/>
              </w:rPr>
              <w:t>、发展体育事业</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推动多元化体育服务体系建设，推动体育公共服务和体育体制改革。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贯彻落实《全民健身条例》，推行全民健身计划，组织开展群众体育活动，加强群众体育设施建设，指导群众科学健身，指导开展群众性体育活动，会同有关部门举办职工综合性运动会，开展国民体质监测。</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委托机构持续运营月数</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、群众体育</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加强体育公共服务体系建设，促进全区体育事业全面协调可持续发展。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发展全民健身事业，完善全民健身服务体系，满足群众健身需求</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委托机构持续运营月数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四</w:t>
            </w:r>
            <w:r>
              <w:rPr>
                <w:rFonts w:hint="eastAsia" w:ascii="方正书宋_GBK" w:eastAsia="方正书宋_GBK"/>
                <w:b/>
              </w:rPr>
              <w:t>、城市容貌环境综合整治</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改善工业区人居环境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加强临港商务区规划管理，协调区内空间布局，改善人居环境，促进经济社会全面协调可持续发展。</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工作目标完成量</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、环境综合整治</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完成临港商务区景观提升改造一期工程、临港商务区南区停车位划线工程、曹妃甸十一家小商业及中山路围墙工程、曹妃甸中山路两侧广告牌制作维修工程、曹高新</w:t>
            </w:r>
            <w:r>
              <w:rPr>
                <w:rFonts w:ascii="方正书宋_GBK" w:eastAsia="方正书宋_GBK"/>
              </w:rPr>
              <w:t>531</w:t>
            </w:r>
            <w:r>
              <w:rPr>
                <w:rFonts w:hint="eastAsia" w:ascii="方正书宋_GBK" w:eastAsia="方正书宋_GBK"/>
              </w:rPr>
              <w:t>线路亿丰</w:t>
            </w:r>
            <w:r>
              <w:rPr>
                <w:rFonts w:ascii="方正书宋_GBK" w:eastAsia="方正书宋_GBK"/>
              </w:rPr>
              <w:t>5A</w:t>
            </w:r>
            <w:r>
              <w:rPr>
                <w:rFonts w:hint="eastAsia" w:ascii="方正书宋_GBK" w:eastAsia="方正书宋_GBK"/>
              </w:rPr>
              <w:t>写字楼项目段改造项目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加强管理，提高城市承载能力和宜居度。加强工业区建设，改善工业区人居环境，实现统筹发展。协调和指导推进城镇化工作，加快城镇化进程。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工作目标完成量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lang w:eastAsia="zh-CN"/>
              </w:rPr>
              <w:t>五</w:t>
            </w:r>
            <w:r>
              <w:rPr>
                <w:rFonts w:hint="eastAsia" w:ascii="方正书宋_GBK" w:eastAsia="方正书宋_GBK"/>
                <w:b/>
              </w:rPr>
              <w:t>、城市养护</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542.13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指导实施城市市政设施、园林、垃圾处理、道路清扫等设施建设，指导临港商务区的绿化和生物多样性工作；指导临港商务区城镇绿道绿廊建设；指导市政公用设施安全和应急管理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加强管理，提高城市承载能力和宜居度，改善人居环境，实现统筹发展。</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配套设备完善程度</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、养护经费</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542.13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支付养护人员费用及购买养护车辆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完善养护工作配套设备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配套设备完善程度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bookmarkStart w:id="2" w:name="_GoBack" w:colFirst="4" w:colLast="8"/>
            <w:r>
              <w:rPr>
                <w:rFonts w:hint="eastAsia" w:ascii="方正书宋_GBK" w:eastAsia="方正书宋_GBK"/>
                <w:b/>
                <w:lang w:eastAsia="zh-CN"/>
              </w:rPr>
              <w:t>六</w:t>
            </w:r>
            <w:r>
              <w:rPr>
                <w:rFonts w:hint="eastAsia" w:ascii="方正书宋_GBK" w:eastAsia="方正书宋_GBK"/>
                <w:b/>
              </w:rPr>
              <w:t>、机关政务管理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90.41</w:t>
            </w:r>
          </w:p>
        </w:tc>
        <w:tc>
          <w:tcPr>
            <w:tcW w:w="29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负责机关综合业务管理和机关综合事务管理</w:t>
            </w:r>
            <w:r>
              <w:rPr>
                <w:rFonts w:hint="eastAsia" w:ascii="方正书宋_GBK" w:eastAsia="方正书宋_GBK"/>
                <w:lang w:eastAsia="zh-CN"/>
              </w:rPr>
              <w:t>、社区管理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机关运行顺畅</w:t>
            </w:r>
          </w:p>
        </w:tc>
        <w:tc>
          <w:tcPr>
            <w:tcW w:w="1417" w:type="dxa"/>
            <w:shd w:val="clear" w:color="auto" w:fill="auto"/>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&lt;90%</w:t>
            </w:r>
          </w:p>
        </w:tc>
      </w:tr>
      <w:bookmarkEnd w:id="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90.41</w:t>
            </w:r>
          </w:p>
        </w:tc>
        <w:tc>
          <w:tcPr>
            <w:tcW w:w="29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做好会议培训组织，内部信息化建设与维护，人事、党务管理等工作。</w:t>
            </w:r>
            <w:r>
              <w:rPr>
                <w:rFonts w:hint="eastAsia" w:ascii="方正书宋_GBK" w:eastAsia="方正书宋_GBK"/>
                <w:lang w:eastAsia="zh-CN"/>
              </w:rPr>
              <w:t>社区管理工作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保障机关正常工作有效运转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lang w:val="en-US" w:eastAsia="zh-CN"/>
        </w:rPr>
        <w:t>22</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743.61</w:t>
      </w:r>
      <w:r>
        <w:rPr>
          <w:rFonts w:ascii="Times New Roman" w:hAnsi="Times New Roman" w:eastAsia="方正仿宋_GBK" w:cs="Times New Roman"/>
          <w:sz w:val="32"/>
          <w:szCs w:val="24"/>
        </w:rPr>
        <w:t>万元。具体内容见下表。</w:t>
      </w:r>
    </w:p>
    <w:tbl>
      <w:tblPr>
        <w:tblStyle w:val="10"/>
        <w:tblW w:w="15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52"/>
        <w:gridCol w:w="573"/>
        <w:gridCol w:w="573"/>
        <w:gridCol w:w="573"/>
        <w:gridCol w:w="573"/>
        <w:gridCol w:w="573"/>
        <w:gridCol w:w="573"/>
        <w:gridCol w:w="573"/>
        <w:gridCol w:w="573"/>
        <w:gridCol w:w="573"/>
        <w:gridCol w:w="573"/>
        <w:gridCol w:w="573"/>
        <w:gridCol w:w="573"/>
        <w:gridCol w:w="573"/>
        <w:gridCol w:w="573"/>
        <w:gridCol w:w="2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90" w:type="dxa"/>
            <w:gridSpan w:val="7"/>
            <w:tcBorders>
              <w:top w:val="single" w:color="FFFFFF" w:sz="6" w:space="0"/>
              <w:left w:val="single" w:color="FFFFFF" w:sz="6" w:space="0"/>
              <w:right w:val="single" w:color="FFFFFF" w:sz="6" w:space="0"/>
            </w:tcBorders>
            <w:vAlign w:val="center"/>
          </w:tcPr>
          <w:p>
            <w:pPr>
              <w:pStyle w:val="21"/>
            </w:pPr>
            <w:r>
              <w:t>803临港商务区管理委员会</w:t>
            </w:r>
          </w:p>
        </w:tc>
        <w:tc>
          <w:tcPr>
            <w:tcW w:w="7168"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25" w:type="dxa"/>
            <w:gridSpan w:val="2"/>
            <w:vAlign w:val="center"/>
          </w:tcPr>
          <w:p>
            <w:pPr>
              <w:pStyle w:val="23"/>
            </w:pPr>
            <w:r>
              <w:t>政府采购项目来源</w:t>
            </w:r>
          </w:p>
        </w:tc>
        <w:tc>
          <w:tcPr>
            <w:tcW w:w="573" w:type="dxa"/>
            <w:vMerge w:val="restart"/>
            <w:vAlign w:val="center"/>
          </w:tcPr>
          <w:p>
            <w:pPr>
              <w:pStyle w:val="23"/>
            </w:pPr>
            <w:r>
              <w:t>采购物品名称</w:t>
            </w:r>
          </w:p>
        </w:tc>
        <w:tc>
          <w:tcPr>
            <w:tcW w:w="573" w:type="dxa"/>
            <w:vMerge w:val="restart"/>
            <w:vAlign w:val="center"/>
          </w:tcPr>
          <w:p>
            <w:pPr>
              <w:pStyle w:val="23"/>
            </w:pPr>
            <w:r>
              <w:t>政府采购目录序号</w:t>
            </w:r>
          </w:p>
        </w:tc>
        <w:tc>
          <w:tcPr>
            <w:tcW w:w="573" w:type="dxa"/>
            <w:vMerge w:val="restart"/>
            <w:vAlign w:val="center"/>
          </w:tcPr>
          <w:p>
            <w:pPr>
              <w:pStyle w:val="23"/>
            </w:pPr>
            <w:r>
              <w:t>计量  单位</w:t>
            </w:r>
          </w:p>
        </w:tc>
        <w:tc>
          <w:tcPr>
            <w:tcW w:w="573" w:type="dxa"/>
            <w:vMerge w:val="restart"/>
            <w:vAlign w:val="center"/>
          </w:tcPr>
          <w:p>
            <w:pPr>
              <w:pStyle w:val="23"/>
            </w:pPr>
            <w:r>
              <w:t>数量</w:t>
            </w:r>
          </w:p>
        </w:tc>
        <w:tc>
          <w:tcPr>
            <w:tcW w:w="573" w:type="dxa"/>
            <w:vMerge w:val="restart"/>
            <w:vAlign w:val="center"/>
          </w:tcPr>
          <w:p>
            <w:pPr>
              <w:pStyle w:val="23"/>
            </w:pPr>
            <w:r>
              <w:t>单价</w:t>
            </w:r>
          </w:p>
        </w:tc>
        <w:tc>
          <w:tcPr>
            <w:tcW w:w="4584" w:type="dxa"/>
            <w:gridSpan w:val="8"/>
            <w:vAlign w:val="center"/>
          </w:tcPr>
          <w:p>
            <w:pPr>
              <w:pStyle w:val="23"/>
            </w:pPr>
            <w:r>
              <w:t>政府采购金额（当年部门预算安排资金）</w:t>
            </w:r>
          </w:p>
        </w:tc>
        <w:tc>
          <w:tcPr>
            <w:tcW w:w="2584" w:type="dxa"/>
            <w:vMerge w:val="restart"/>
            <w:vAlign w:val="center"/>
          </w:tcPr>
          <w:p>
            <w:pPr>
              <w:pStyle w:val="2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0" w:hRule="atLeast"/>
          <w:tblHeader/>
          <w:jc w:val="center"/>
        </w:trPr>
        <w:tc>
          <w:tcPr>
            <w:tcW w:w="4752" w:type="dxa"/>
            <w:vAlign w:val="center"/>
          </w:tcPr>
          <w:p>
            <w:pPr>
              <w:pStyle w:val="23"/>
            </w:pPr>
            <w:r>
              <w:t>项目名称</w:t>
            </w:r>
          </w:p>
        </w:tc>
        <w:tc>
          <w:tcPr>
            <w:tcW w:w="573" w:type="dxa"/>
            <w:vAlign w:val="center"/>
          </w:tcPr>
          <w:p>
            <w:pPr>
              <w:pStyle w:val="23"/>
            </w:pPr>
            <w:r>
              <w:t>预算    资金</w:t>
            </w:r>
          </w:p>
        </w:tc>
        <w:tc>
          <w:tcPr>
            <w:tcW w:w="573" w:type="dxa"/>
            <w:vMerge w:val="continue"/>
          </w:tcPr>
          <w:p/>
        </w:tc>
        <w:tc>
          <w:tcPr>
            <w:tcW w:w="573" w:type="dxa"/>
            <w:vMerge w:val="continue"/>
          </w:tcPr>
          <w:p/>
        </w:tc>
        <w:tc>
          <w:tcPr>
            <w:tcW w:w="573" w:type="dxa"/>
            <w:vMerge w:val="continue"/>
          </w:tcPr>
          <w:p/>
        </w:tc>
        <w:tc>
          <w:tcPr>
            <w:tcW w:w="573" w:type="dxa"/>
            <w:vMerge w:val="continue"/>
          </w:tcPr>
          <w:p/>
        </w:tc>
        <w:tc>
          <w:tcPr>
            <w:tcW w:w="573" w:type="dxa"/>
            <w:vMerge w:val="continue"/>
          </w:tcPr>
          <w:p/>
        </w:tc>
        <w:tc>
          <w:tcPr>
            <w:tcW w:w="573" w:type="dxa"/>
            <w:vAlign w:val="center"/>
          </w:tcPr>
          <w:p>
            <w:pPr>
              <w:pStyle w:val="23"/>
            </w:pPr>
            <w:r>
              <w:t>合计</w:t>
            </w:r>
          </w:p>
        </w:tc>
        <w:tc>
          <w:tcPr>
            <w:tcW w:w="573" w:type="dxa"/>
            <w:vAlign w:val="center"/>
          </w:tcPr>
          <w:p>
            <w:pPr>
              <w:pStyle w:val="23"/>
            </w:pPr>
            <w:r>
              <w:t>一般公共预算拨款</w:t>
            </w:r>
          </w:p>
        </w:tc>
        <w:tc>
          <w:tcPr>
            <w:tcW w:w="573" w:type="dxa"/>
            <w:vAlign w:val="center"/>
          </w:tcPr>
          <w:p>
            <w:pPr>
              <w:pStyle w:val="23"/>
            </w:pPr>
            <w:r>
              <w:t>基金预算拨款</w:t>
            </w:r>
          </w:p>
        </w:tc>
        <w:tc>
          <w:tcPr>
            <w:tcW w:w="573" w:type="dxa"/>
            <w:vAlign w:val="center"/>
          </w:tcPr>
          <w:p>
            <w:pPr>
              <w:pStyle w:val="23"/>
            </w:pPr>
            <w:r>
              <w:t>国有资本经营预算拨款</w:t>
            </w:r>
          </w:p>
        </w:tc>
        <w:tc>
          <w:tcPr>
            <w:tcW w:w="573" w:type="dxa"/>
            <w:vAlign w:val="center"/>
          </w:tcPr>
          <w:p>
            <w:pPr>
              <w:pStyle w:val="23"/>
            </w:pPr>
            <w:r>
              <w:t>财政专户核拨</w:t>
            </w:r>
          </w:p>
        </w:tc>
        <w:tc>
          <w:tcPr>
            <w:tcW w:w="573" w:type="dxa"/>
            <w:vAlign w:val="center"/>
          </w:tcPr>
          <w:p>
            <w:pPr>
              <w:pStyle w:val="23"/>
            </w:pPr>
            <w:r>
              <w:t>单位    资金</w:t>
            </w:r>
          </w:p>
        </w:tc>
        <w:tc>
          <w:tcPr>
            <w:tcW w:w="573" w:type="dxa"/>
            <w:vAlign w:val="center"/>
          </w:tcPr>
          <w:p>
            <w:pPr>
              <w:pStyle w:val="23"/>
            </w:pPr>
            <w:r>
              <w:t>财政拨    款结转</w:t>
            </w:r>
          </w:p>
        </w:tc>
        <w:tc>
          <w:tcPr>
            <w:tcW w:w="573" w:type="dxa"/>
            <w:vAlign w:val="center"/>
          </w:tcPr>
          <w:p>
            <w:pPr>
              <w:pStyle w:val="23"/>
            </w:pPr>
            <w:r>
              <w:t>非财政    拨款结    转结余</w:t>
            </w:r>
          </w:p>
        </w:tc>
        <w:tc>
          <w:tcPr>
            <w:tcW w:w="25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2" w:type="dxa"/>
            <w:vAlign w:val="center"/>
          </w:tcPr>
          <w:p>
            <w:pPr>
              <w:pStyle w:val="24"/>
            </w:pPr>
            <w:r>
              <w:t>合  计</w:t>
            </w:r>
          </w:p>
        </w:tc>
        <w:tc>
          <w:tcPr>
            <w:tcW w:w="573" w:type="dxa"/>
            <w:vAlign w:val="center"/>
          </w:tcPr>
          <w:p>
            <w:pPr>
              <w:pStyle w:val="25"/>
            </w:pPr>
          </w:p>
        </w:tc>
        <w:tc>
          <w:tcPr>
            <w:tcW w:w="573" w:type="dxa"/>
            <w:vAlign w:val="center"/>
          </w:tcPr>
          <w:p>
            <w:pPr>
              <w:pStyle w:val="26"/>
            </w:pPr>
          </w:p>
        </w:tc>
        <w:tc>
          <w:tcPr>
            <w:tcW w:w="573" w:type="dxa"/>
            <w:vAlign w:val="center"/>
          </w:tcPr>
          <w:p>
            <w:pPr>
              <w:pStyle w:val="26"/>
            </w:pPr>
          </w:p>
        </w:tc>
        <w:tc>
          <w:tcPr>
            <w:tcW w:w="573" w:type="dxa"/>
            <w:vAlign w:val="center"/>
          </w:tcPr>
          <w:p>
            <w:pPr>
              <w:pStyle w:val="24"/>
            </w:pPr>
          </w:p>
        </w:tc>
        <w:tc>
          <w:tcPr>
            <w:tcW w:w="573" w:type="dxa"/>
            <w:vAlign w:val="center"/>
          </w:tcPr>
          <w:p>
            <w:pPr>
              <w:pStyle w:val="25"/>
            </w:pPr>
          </w:p>
        </w:tc>
        <w:tc>
          <w:tcPr>
            <w:tcW w:w="573" w:type="dxa"/>
            <w:vAlign w:val="center"/>
          </w:tcPr>
          <w:p>
            <w:pPr>
              <w:pStyle w:val="25"/>
            </w:pPr>
          </w:p>
        </w:tc>
        <w:tc>
          <w:tcPr>
            <w:tcW w:w="573" w:type="dxa"/>
            <w:vAlign w:val="center"/>
          </w:tcPr>
          <w:p>
            <w:pPr>
              <w:pStyle w:val="25"/>
            </w:pPr>
            <w:r>
              <w:t>743.61</w:t>
            </w:r>
          </w:p>
        </w:tc>
        <w:tc>
          <w:tcPr>
            <w:tcW w:w="573" w:type="dxa"/>
            <w:vAlign w:val="center"/>
          </w:tcPr>
          <w:p>
            <w:pPr>
              <w:pStyle w:val="25"/>
            </w:pPr>
            <w:r>
              <w:t>743.61</w:t>
            </w: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2584" w:type="dxa"/>
            <w:vAlign w:val="center"/>
          </w:tcPr>
          <w:p>
            <w:pPr>
              <w:pStyle w:val="25"/>
            </w:pPr>
            <w:r>
              <w:t>351.61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2" w:type="dxa"/>
            <w:vAlign w:val="center"/>
          </w:tcPr>
          <w:p>
            <w:pPr>
              <w:pStyle w:val="24"/>
            </w:pPr>
            <w:r>
              <w:t>临港商务区管理委员会本级小计</w:t>
            </w:r>
          </w:p>
        </w:tc>
        <w:tc>
          <w:tcPr>
            <w:tcW w:w="573" w:type="dxa"/>
            <w:vAlign w:val="center"/>
          </w:tcPr>
          <w:p>
            <w:pPr>
              <w:pStyle w:val="25"/>
            </w:pPr>
          </w:p>
        </w:tc>
        <w:tc>
          <w:tcPr>
            <w:tcW w:w="573" w:type="dxa"/>
            <w:vAlign w:val="center"/>
          </w:tcPr>
          <w:p>
            <w:pPr>
              <w:pStyle w:val="26"/>
            </w:pPr>
          </w:p>
        </w:tc>
        <w:tc>
          <w:tcPr>
            <w:tcW w:w="573" w:type="dxa"/>
            <w:vAlign w:val="center"/>
          </w:tcPr>
          <w:p>
            <w:pPr>
              <w:pStyle w:val="26"/>
            </w:pPr>
          </w:p>
        </w:tc>
        <w:tc>
          <w:tcPr>
            <w:tcW w:w="573" w:type="dxa"/>
            <w:vAlign w:val="center"/>
          </w:tcPr>
          <w:p>
            <w:pPr>
              <w:pStyle w:val="24"/>
            </w:pPr>
          </w:p>
        </w:tc>
        <w:tc>
          <w:tcPr>
            <w:tcW w:w="573" w:type="dxa"/>
            <w:vAlign w:val="center"/>
          </w:tcPr>
          <w:p>
            <w:pPr>
              <w:pStyle w:val="25"/>
            </w:pPr>
          </w:p>
        </w:tc>
        <w:tc>
          <w:tcPr>
            <w:tcW w:w="573" w:type="dxa"/>
            <w:vAlign w:val="center"/>
          </w:tcPr>
          <w:p>
            <w:pPr>
              <w:pStyle w:val="25"/>
            </w:pPr>
          </w:p>
        </w:tc>
        <w:tc>
          <w:tcPr>
            <w:tcW w:w="573" w:type="dxa"/>
            <w:vAlign w:val="center"/>
          </w:tcPr>
          <w:p>
            <w:pPr>
              <w:pStyle w:val="25"/>
            </w:pPr>
            <w:r>
              <w:t>743.61</w:t>
            </w:r>
          </w:p>
        </w:tc>
        <w:tc>
          <w:tcPr>
            <w:tcW w:w="573" w:type="dxa"/>
            <w:vAlign w:val="center"/>
          </w:tcPr>
          <w:p>
            <w:pPr>
              <w:pStyle w:val="25"/>
            </w:pPr>
            <w:r>
              <w:t>743.61</w:t>
            </w: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573" w:type="dxa"/>
            <w:vAlign w:val="center"/>
          </w:tcPr>
          <w:p>
            <w:pPr>
              <w:pStyle w:val="25"/>
            </w:pPr>
          </w:p>
        </w:tc>
        <w:tc>
          <w:tcPr>
            <w:tcW w:w="2584" w:type="dxa"/>
            <w:vAlign w:val="center"/>
          </w:tcPr>
          <w:p>
            <w:pPr>
              <w:pStyle w:val="25"/>
            </w:pPr>
            <w:r>
              <w:t>351.61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2" w:type="dxa"/>
            <w:vAlign w:val="center"/>
          </w:tcPr>
          <w:p>
            <w:pPr>
              <w:pStyle w:val="27"/>
            </w:pPr>
            <w:r>
              <w:t>曹妃甸工业区临港商务区体育公园一期工程</w:t>
            </w:r>
          </w:p>
        </w:tc>
        <w:tc>
          <w:tcPr>
            <w:tcW w:w="573" w:type="dxa"/>
            <w:vAlign w:val="center"/>
          </w:tcPr>
          <w:p>
            <w:pPr>
              <w:pStyle w:val="28"/>
            </w:pPr>
            <w:r>
              <w:t>567.00</w:t>
            </w:r>
          </w:p>
        </w:tc>
        <w:tc>
          <w:tcPr>
            <w:tcW w:w="573" w:type="dxa"/>
            <w:vAlign w:val="center"/>
          </w:tcPr>
          <w:p>
            <w:pPr>
              <w:pStyle w:val="27"/>
            </w:pPr>
            <w:r>
              <w:t>室外体育和娱乐设施工程施工</w:t>
            </w:r>
          </w:p>
        </w:tc>
        <w:tc>
          <w:tcPr>
            <w:tcW w:w="573" w:type="dxa"/>
            <w:vAlign w:val="center"/>
          </w:tcPr>
          <w:p>
            <w:pPr>
              <w:pStyle w:val="27"/>
            </w:pPr>
            <w:r>
              <w:t>B021501</w:t>
            </w:r>
          </w:p>
        </w:tc>
        <w:tc>
          <w:tcPr>
            <w:tcW w:w="573" w:type="dxa"/>
            <w:vAlign w:val="center"/>
          </w:tcPr>
          <w:p>
            <w:pPr>
              <w:pStyle w:val="29"/>
            </w:pPr>
            <w:r>
              <w:t>个</w:t>
            </w:r>
          </w:p>
        </w:tc>
        <w:tc>
          <w:tcPr>
            <w:tcW w:w="573" w:type="dxa"/>
            <w:vAlign w:val="center"/>
          </w:tcPr>
          <w:p>
            <w:pPr>
              <w:pStyle w:val="28"/>
            </w:pPr>
            <w:r>
              <w:t>1</w:t>
            </w:r>
          </w:p>
        </w:tc>
        <w:tc>
          <w:tcPr>
            <w:tcW w:w="573" w:type="dxa"/>
            <w:vAlign w:val="center"/>
          </w:tcPr>
          <w:p>
            <w:pPr>
              <w:pStyle w:val="28"/>
            </w:pPr>
            <w:r>
              <w:t>567.00</w:t>
            </w:r>
          </w:p>
        </w:tc>
        <w:tc>
          <w:tcPr>
            <w:tcW w:w="573" w:type="dxa"/>
            <w:vAlign w:val="center"/>
          </w:tcPr>
          <w:p>
            <w:pPr>
              <w:pStyle w:val="28"/>
            </w:pPr>
            <w:r>
              <w:t>567.00</w:t>
            </w:r>
          </w:p>
        </w:tc>
        <w:tc>
          <w:tcPr>
            <w:tcW w:w="573" w:type="dxa"/>
            <w:vAlign w:val="center"/>
          </w:tcPr>
          <w:p>
            <w:pPr>
              <w:pStyle w:val="28"/>
            </w:pPr>
            <w:r>
              <w:t>567.00</w:t>
            </w: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2584" w:type="dxa"/>
            <w:vAlign w:val="center"/>
          </w:tcPr>
          <w:p>
            <w:pPr>
              <w:pStyle w:val="28"/>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2" w:type="dxa"/>
            <w:vAlign w:val="center"/>
          </w:tcPr>
          <w:p>
            <w:pPr>
              <w:pStyle w:val="27"/>
            </w:pPr>
            <w:r>
              <w:t>环境治理费用2022</w:t>
            </w:r>
          </w:p>
        </w:tc>
        <w:tc>
          <w:tcPr>
            <w:tcW w:w="573" w:type="dxa"/>
            <w:vAlign w:val="center"/>
          </w:tcPr>
          <w:p>
            <w:pPr>
              <w:pStyle w:val="28"/>
            </w:pPr>
            <w:r>
              <w:t>50.00</w:t>
            </w:r>
          </w:p>
        </w:tc>
        <w:tc>
          <w:tcPr>
            <w:tcW w:w="573" w:type="dxa"/>
            <w:vAlign w:val="center"/>
          </w:tcPr>
          <w:p>
            <w:pPr>
              <w:pStyle w:val="27"/>
            </w:pPr>
            <w:r>
              <w:t>城市市容管理服务</w:t>
            </w:r>
          </w:p>
        </w:tc>
        <w:tc>
          <w:tcPr>
            <w:tcW w:w="573" w:type="dxa"/>
            <w:vAlign w:val="center"/>
          </w:tcPr>
          <w:p>
            <w:pPr>
              <w:pStyle w:val="27"/>
            </w:pPr>
            <w:r>
              <w:t>C1304</w:t>
            </w:r>
          </w:p>
        </w:tc>
        <w:tc>
          <w:tcPr>
            <w:tcW w:w="573" w:type="dxa"/>
            <w:vAlign w:val="center"/>
          </w:tcPr>
          <w:p>
            <w:pPr>
              <w:pStyle w:val="29"/>
            </w:pPr>
            <w:r>
              <w:t>个</w:t>
            </w:r>
          </w:p>
        </w:tc>
        <w:tc>
          <w:tcPr>
            <w:tcW w:w="573" w:type="dxa"/>
            <w:vAlign w:val="center"/>
          </w:tcPr>
          <w:p>
            <w:pPr>
              <w:pStyle w:val="28"/>
            </w:pPr>
            <w:r>
              <w:t>1</w:t>
            </w:r>
          </w:p>
        </w:tc>
        <w:tc>
          <w:tcPr>
            <w:tcW w:w="573" w:type="dxa"/>
            <w:vAlign w:val="center"/>
          </w:tcPr>
          <w:p>
            <w:pPr>
              <w:pStyle w:val="28"/>
            </w:pPr>
            <w:r>
              <w:t>50.00</w:t>
            </w:r>
          </w:p>
        </w:tc>
        <w:tc>
          <w:tcPr>
            <w:tcW w:w="573" w:type="dxa"/>
            <w:vAlign w:val="center"/>
          </w:tcPr>
          <w:p>
            <w:pPr>
              <w:pStyle w:val="28"/>
            </w:pPr>
            <w:r>
              <w:t>50.00</w:t>
            </w:r>
          </w:p>
        </w:tc>
        <w:tc>
          <w:tcPr>
            <w:tcW w:w="573" w:type="dxa"/>
            <w:vAlign w:val="center"/>
          </w:tcPr>
          <w:p>
            <w:pPr>
              <w:pStyle w:val="28"/>
            </w:pPr>
            <w:r>
              <w:t>50.00</w:t>
            </w: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2584" w:type="dxa"/>
            <w:vAlign w:val="center"/>
          </w:tcPr>
          <w:p>
            <w:pPr>
              <w:pStyle w:val="28"/>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52" w:type="dxa"/>
            <w:vAlign w:val="center"/>
          </w:tcPr>
          <w:p>
            <w:pPr>
              <w:pStyle w:val="27"/>
            </w:pPr>
            <w:r>
              <w:t>入区项目用海预审手续办理费用2022</w:t>
            </w:r>
          </w:p>
        </w:tc>
        <w:tc>
          <w:tcPr>
            <w:tcW w:w="573" w:type="dxa"/>
            <w:vAlign w:val="center"/>
          </w:tcPr>
          <w:p>
            <w:pPr>
              <w:pStyle w:val="28"/>
            </w:pPr>
            <w:r>
              <w:t>126.61</w:t>
            </w:r>
          </w:p>
        </w:tc>
        <w:tc>
          <w:tcPr>
            <w:tcW w:w="573" w:type="dxa"/>
            <w:vAlign w:val="center"/>
          </w:tcPr>
          <w:p>
            <w:pPr>
              <w:pStyle w:val="27"/>
            </w:pPr>
            <w:r>
              <w:t>海洋服务</w:t>
            </w:r>
          </w:p>
        </w:tc>
        <w:tc>
          <w:tcPr>
            <w:tcW w:w="573" w:type="dxa"/>
            <w:vAlign w:val="center"/>
          </w:tcPr>
          <w:p>
            <w:pPr>
              <w:pStyle w:val="27"/>
            </w:pPr>
            <w:r>
              <w:t>C0905</w:t>
            </w:r>
          </w:p>
        </w:tc>
        <w:tc>
          <w:tcPr>
            <w:tcW w:w="573" w:type="dxa"/>
            <w:vAlign w:val="center"/>
          </w:tcPr>
          <w:p>
            <w:pPr>
              <w:pStyle w:val="29"/>
            </w:pPr>
            <w:r>
              <w:t>个</w:t>
            </w:r>
          </w:p>
        </w:tc>
        <w:tc>
          <w:tcPr>
            <w:tcW w:w="573" w:type="dxa"/>
            <w:vAlign w:val="center"/>
          </w:tcPr>
          <w:p>
            <w:pPr>
              <w:pStyle w:val="28"/>
            </w:pPr>
            <w:r>
              <w:t>1</w:t>
            </w:r>
          </w:p>
        </w:tc>
        <w:tc>
          <w:tcPr>
            <w:tcW w:w="573" w:type="dxa"/>
            <w:vAlign w:val="center"/>
          </w:tcPr>
          <w:p>
            <w:pPr>
              <w:pStyle w:val="28"/>
            </w:pPr>
            <w:r>
              <w:t>126.61</w:t>
            </w:r>
          </w:p>
        </w:tc>
        <w:tc>
          <w:tcPr>
            <w:tcW w:w="573" w:type="dxa"/>
            <w:vAlign w:val="center"/>
          </w:tcPr>
          <w:p>
            <w:pPr>
              <w:pStyle w:val="28"/>
            </w:pPr>
            <w:r>
              <w:t>126.61</w:t>
            </w:r>
          </w:p>
        </w:tc>
        <w:tc>
          <w:tcPr>
            <w:tcW w:w="573" w:type="dxa"/>
            <w:vAlign w:val="center"/>
          </w:tcPr>
          <w:p>
            <w:pPr>
              <w:pStyle w:val="28"/>
            </w:pPr>
            <w:r>
              <w:t>126.61</w:t>
            </w: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573" w:type="dxa"/>
            <w:vAlign w:val="center"/>
          </w:tcPr>
          <w:p>
            <w:pPr>
              <w:pStyle w:val="28"/>
            </w:pPr>
          </w:p>
        </w:tc>
        <w:tc>
          <w:tcPr>
            <w:tcW w:w="2584" w:type="dxa"/>
            <w:vAlign w:val="center"/>
          </w:tcPr>
          <w:p>
            <w:pPr>
              <w:pStyle w:val="28"/>
            </w:pPr>
            <w:r>
              <w:t>126.61</w:t>
            </w:r>
          </w:p>
        </w:tc>
      </w:tr>
    </w:tbl>
    <w:p>
      <w:pPr>
        <w:jc w:val="left"/>
        <w:rPr>
          <w:rFonts w:hint="eastAsia" w:ascii="黑体" w:hAnsi="黑体" w:eastAsia="黑体" w:cs="黑体"/>
          <w:sz w:val="32"/>
          <w:szCs w:val="32"/>
          <w:lang w:eastAsia="zh-CN"/>
        </w:rPr>
      </w:pPr>
    </w:p>
    <w:p>
      <w:pPr>
        <w:jc w:val="left"/>
      </w:pPr>
      <w:r>
        <w:t xml:space="preserve">                                              </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黑体" w:hAnsi="黑体" w:eastAsia="黑体" w:cs="Times New Roman"/>
          <w:sz w:val="32"/>
          <w:szCs w:val="32"/>
          <w:lang w:eastAsia="zh-CN"/>
        </w:rPr>
        <w:t>七</w:t>
      </w:r>
      <w:r>
        <w:rPr>
          <w:rFonts w:hint="eastAsia" w:ascii="黑体" w:hAnsi="黑体" w:eastAsia="黑体" w:cs="Times New Roman"/>
          <w:sz w:val="32"/>
          <w:szCs w:val="32"/>
        </w:rPr>
        <w:t>、国有资产信息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73.13</w:t>
      </w:r>
      <w:r>
        <w:rPr>
          <w:rFonts w:hint="eastAsia" w:ascii="仿宋_GB2312" w:hAnsi="黑体" w:eastAsia="仿宋_GB2312" w:cs="Times New Roman"/>
          <w:sz w:val="32"/>
          <w:szCs w:val="32"/>
        </w:rPr>
        <w:t>万元（详见下表），本年度拟购置固定资产主要为电脑、</w:t>
      </w:r>
      <w:r>
        <w:rPr>
          <w:rFonts w:hint="eastAsia" w:ascii="仿宋_GB2312" w:hAnsi="黑体" w:eastAsia="仿宋_GB2312" w:cs="Times New Roman"/>
          <w:sz w:val="32"/>
          <w:szCs w:val="32"/>
          <w:lang w:eastAsia="zh-CN"/>
        </w:rPr>
        <w:t>复印机、扫描仪、打印机等，</w:t>
      </w:r>
      <w:r>
        <w:rPr>
          <w:rFonts w:hint="eastAsia" w:ascii="仿宋_GB2312" w:hAnsi="黑体" w:eastAsia="仿宋_GB2312" w:cs="Times New Roman"/>
          <w:sz w:val="32"/>
          <w:szCs w:val="32"/>
        </w:rPr>
        <w:t xml:space="preserve">共计 </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color w:val="auto"/>
          <w:sz w:val="32"/>
          <w:szCs w:val="32"/>
        </w:rPr>
        <w:t>万元</w:t>
      </w:r>
      <w:r>
        <w:rPr>
          <w:rFonts w:hint="eastAsia" w:ascii="仿宋_GB2312" w:hAnsi="黑体" w:eastAsia="仿宋_GB2312" w:cs="Times New Roman"/>
          <w:sz w:val="32"/>
          <w:szCs w:val="32"/>
        </w:rPr>
        <w:t>，均是20万元以下的设备。</w:t>
      </w:r>
    </w:p>
    <w:tbl>
      <w:tblPr>
        <w:tblStyle w:val="10"/>
        <w:tblpPr w:leftFromText="180" w:rightFromText="180" w:vertAnchor="text" w:horzAnchor="page" w:tblpX="1516" w:tblpY="46"/>
        <w:tblOverlap w:val="never"/>
        <w:tblW w:w="13482" w:type="dxa"/>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曹妃甸临港商务区管理委员会固定资产占用情况表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曹妃甸临港商务区管理委员会</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73.13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73.13</w:t>
            </w:r>
          </w:p>
        </w:tc>
      </w:tr>
    </w:tbl>
    <w:p>
      <w:pPr>
        <w:ind w:firstLine="640"/>
        <w:rPr>
          <w:rFonts w:ascii="仿宋_GB2312" w:hAnsi="黑体" w:eastAsia="仿宋_GB2312" w:cs="Times New Roman"/>
          <w:color w:val="FF0000"/>
          <w:sz w:val="32"/>
          <w:szCs w:val="32"/>
        </w:rPr>
      </w:pPr>
    </w:p>
    <w:p>
      <w:pPr>
        <w:rPr>
          <w:rFonts w:ascii="仿宋_GB2312" w:hAnsi="黑体" w:eastAsia="仿宋_GB2312" w:cs="Times New Roman"/>
          <w:sz w:val="32"/>
          <w:szCs w:val="32"/>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1、一般预算收入：区级财政当年拨付的资金。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取暖费、公务车运行维护费等。</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9"/>
        <w:jc w:val="both"/>
        <w:rPr>
          <w:rFonts w:ascii="仿宋_GB2312" w:hAnsi="仿宋_GB2312" w:eastAsia="仿宋_GB2312" w:cs="仿宋_GB2312"/>
          <w:sz w:val="32"/>
          <w:szCs w:val="32"/>
        </w:rPr>
      </w:pPr>
    </w:p>
    <w:sectPr>
      <w:headerReference r:id="rId4" w:type="default"/>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9"/>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kMzg1MDE0ODI0ZmNjYWNkNjZkMTI4MmNiZmEyM2YifQ=="/>
  </w:docVars>
  <w:rsids>
    <w:rsidRoot w:val="00172A27"/>
    <w:rsid w:val="00113584"/>
    <w:rsid w:val="001420C1"/>
    <w:rsid w:val="00172A27"/>
    <w:rsid w:val="00324EF3"/>
    <w:rsid w:val="003432E1"/>
    <w:rsid w:val="00380CDC"/>
    <w:rsid w:val="003C08D4"/>
    <w:rsid w:val="003C1C61"/>
    <w:rsid w:val="00587522"/>
    <w:rsid w:val="00590E84"/>
    <w:rsid w:val="00626B37"/>
    <w:rsid w:val="006449E0"/>
    <w:rsid w:val="00650CB3"/>
    <w:rsid w:val="00663BD7"/>
    <w:rsid w:val="00773D21"/>
    <w:rsid w:val="007B7B15"/>
    <w:rsid w:val="007E66E9"/>
    <w:rsid w:val="007F4C1D"/>
    <w:rsid w:val="008329A5"/>
    <w:rsid w:val="008B5384"/>
    <w:rsid w:val="00912FFA"/>
    <w:rsid w:val="00986033"/>
    <w:rsid w:val="00A52021"/>
    <w:rsid w:val="00A634FA"/>
    <w:rsid w:val="00AD4352"/>
    <w:rsid w:val="00BD524A"/>
    <w:rsid w:val="00C31292"/>
    <w:rsid w:val="00CC385E"/>
    <w:rsid w:val="00DC6237"/>
    <w:rsid w:val="00E26771"/>
    <w:rsid w:val="00E3792F"/>
    <w:rsid w:val="00E62020"/>
    <w:rsid w:val="00EE100E"/>
    <w:rsid w:val="00F91252"/>
    <w:rsid w:val="02335EF2"/>
    <w:rsid w:val="036C0CF7"/>
    <w:rsid w:val="04001BA6"/>
    <w:rsid w:val="04044D5E"/>
    <w:rsid w:val="051036F0"/>
    <w:rsid w:val="06FC6128"/>
    <w:rsid w:val="0786678C"/>
    <w:rsid w:val="081465EC"/>
    <w:rsid w:val="08B872E5"/>
    <w:rsid w:val="09883C1E"/>
    <w:rsid w:val="099B2EB5"/>
    <w:rsid w:val="0AEE7FB4"/>
    <w:rsid w:val="0B3B7A03"/>
    <w:rsid w:val="0BB83154"/>
    <w:rsid w:val="0CD15A47"/>
    <w:rsid w:val="0D3D7863"/>
    <w:rsid w:val="0D623AE3"/>
    <w:rsid w:val="0ED36822"/>
    <w:rsid w:val="11B14DCE"/>
    <w:rsid w:val="11BD1627"/>
    <w:rsid w:val="11BD51BB"/>
    <w:rsid w:val="11E01097"/>
    <w:rsid w:val="12345231"/>
    <w:rsid w:val="137C701F"/>
    <w:rsid w:val="13FE75A2"/>
    <w:rsid w:val="16610B8D"/>
    <w:rsid w:val="16A23471"/>
    <w:rsid w:val="173E1959"/>
    <w:rsid w:val="17A2610B"/>
    <w:rsid w:val="17B27C12"/>
    <w:rsid w:val="182B5206"/>
    <w:rsid w:val="1894492B"/>
    <w:rsid w:val="18E406CF"/>
    <w:rsid w:val="19333DDE"/>
    <w:rsid w:val="1A6C0E84"/>
    <w:rsid w:val="1A7C3068"/>
    <w:rsid w:val="1B6C046B"/>
    <w:rsid w:val="1C6D28A3"/>
    <w:rsid w:val="1CBC256F"/>
    <w:rsid w:val="1CC5044C"/>
    <w:rsid w:val="1D6B6348"/>
    <w:rsid w:val="1DC43078"/>
    <w:rsid w:val="1E3D1D19"/>
    <w:rsid w:val="1F436A91"/>
    <w:rsid w:val="1FC2649C"/>
    <w:rsid w:val="1FD96E30"/>
    <w:rsid w:val="20490F69"/>
    <w:rsid w:val="20880B42"/>
    <w:rsid w:val="209A153B"/>
    <w:rsid w:val="20D06600"/>
    <w:rsid w:val="20F50835"/>
    <w:rsid w:val="210E3606"/>
    <w:rsid w:val="229D6B92"/>
    <w:rsid w:val="22BC1920"/>
    <w:rsid w:val="232836D2"/>
    <w:rsid w:val="253476E6"/>
    <w:rsid w:val="2573511A"/>
    <w:rsid w:val="26A175C9"/>
    <w:rsid w:val="26B55F79"/>
    <w:rsid w:val="26D567F4"/>
    <w:rsid w:val="2B2D036C"/>
    <w:rsid w:val="2C343CEB"/>
    <w:rsid w:val="2C4D2BB8"/>
    <w:rsid w:val="2C973BA3"/>
    <w:rsid w:val="2CD91EE1"/>
    <w:rsid w:val="2D3D47D0"/>
    <w:rsid w:val="2D9F209F"/>
    <w:rsid w:val="2DFA07EA"/>
    <w:rsid w:val="2FAF2DC0"/>
    <w:rsid w:val="2FCF4EA7"/>
    <w:rsid w:val="30907E14"/>
    <w:rsid w:val="31C124B4"/>
    <w:rsid w:val="327E4D0E"/>
    <w:rsid w:val="33D10929"/>
    <w:rsid w:val="348C34E1"/>
    <w:rsid w:val="35050A2B"/>
    <w:rsid w:val="35E4427F"/>
    <w:rsid w:val="36420C11"/>
    <w:rsid w:val="364948E9"/>
    <w:rsid w:val="37346343"/>
    <w:rsid w:val="376059F1"/>
    <w:rsid w:val="378562A6"/>
    <w:rsid w:val="37A62F06"/>
    <w:rsid w:val="37E613C3"/>
    <w:rsid w:val="38205BD3"/>
    <w:rsid w:val="3840172D"/>
    <w:rsid w:val="388A5995"/>
    <w:rsid w:val="39164305"/>
    <w:rsid w:val="39B624A1"/>
    <w:rsid w:val="39CA1B1C"/>
    <w:rsid w:val="3B023290"/>
    <w:rsid w:val="3B9D05E2"/>
    <w:rsid w:val="3B9D3F7B"/>
    <w:rsid w:val="3BC06A63"/>
    <w:rsid w:val="3DD678DB"/>
    <w:rsid w:val="3F675A63"/>
    <w:rsid w:val="417B1318"/>
    <w:rsid w:val="41E11FE7"/>
    <w:rsid w:val="42646472"/>
    <w:rsid w:val="43142845"/>
    <w:rsid w:val="45302297"/>
    <w:rsid w:val="460974D0"/>
    <w:rsid w:val="477E5776"/>
    <w:rsid w:val="47E05B00"/>
    <w:rsid w:val="47E52DBD"/>
    <w:rsid w:val="488E081D"/>
    <w:rsid w:val="4A5F65FA"/>
    <w:rsid w:val="4D667939"/>
    <w:rsid w:val="4D8E1576"/>
    <w:rsid w:val="4F762266"/>
    <w:rsid w:val="50224C36"/>
    <w:rsid w:val="507B57E7"/>
    <w:rsid w:val="516D3442"/>
    <w:rsid w:val="525A132C"/>
    <w:rsid w:val="526060A3"/>
    <w:rsid w:val="52F74406"/>
    <w:rsid w:val="533A36F9"/>
    <w:rsid w:val="53934B54"/>
    <w:rsid w:val="547C3C4A"/>
    <w:rsid w:val="56412769"/>
    <w:rsid w:val="56A439CF"/>
    <w:rsid w:val="588958A6"/>
    <w:rsid w:val="58BE06BF"/>
    <w:rsid w:val="5C5C3E00"/>
    <w:rsid w:val="5C7D4781"/>
    <w:rsid w:val="5C85420F"/>
    <w:rsid w:val="5CF32068"/>
    <w:rsid w:val="5F4B23CD"/>
    <w:rsid w:val="6247632B"/>
    <w:rsid w:val="643E1B5D"/>
    <w:rsid w:val="66D946F5"/>
    <w:rsid w:val="67485718"/>
    <w:rsid w:val="67C9021A"/>
    <w:rsid w:val="68DD7B51"/>
    <w:rsid w:val="6A825732"/>
    <w:rsid w:val="6BDC690F"/>
    <w:rsid w:val="6BF81301"/>
    <w:rsid w:val="6CD804BA"/>
    <w:rsid w:val="6D7246D0"/>
    <w:rsid w:val="6E5C6DF0"/>
    <w:rsid w:val="6F123BFA"/>
    <w:rsid w:val="712552E9"/>
    <w:rsid w:val="732D307B"/>
    <w:rsid w:val="73963462"/>
    <w:rsid w:val="74402B38"/>
    <w:rsid w:val="766A563A"/>
    <w:rsid w:val="768C1C2C"/>
    <w:rsid w:val="779F354D"/>
    <w:rsid w:val="77AD1B46"/>
    <w:rsid w:val="7944331F"/>
    <w:rsid w:val="79C10D54"/>
    <w:rsid w:val="7A3669E7"/>
    <w:rsid w:val="7AEC23D6"/>
    <w:rsid w:val="7BBC722B"/>
    <w:rsid w:val="7C4A7FCB"/>
    <w:rsid w:val="7C9A7756"/>
    <w:rsid w:val="7D775054"/>
    <w:rsid w:val="7EFA114F"/>
    <w:rsid w:val="7F2410A3"/>
    <w:rsid w:val="7F40641B"/>
    <w:rsid w:val="7F752A3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semiHidden/>
    <w:qFormat/>
    <w:uiPriority w:val="0"/>
    <w:pPr>
      <w:snapToGrid w:val="0"/>
      <w:jc w:val="left"/>
    </w:pPr>
    <w:rPr>
      <w:sz w:val="18"/>
      <w:szCs w:val="18"/>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basedOn w:val="12"/>
    <w:semiHidden/>
    <w:qFormat/>
    <w:uiPriority w:val="0"/>
    <w:rPr>
      <w:vertAlign w:val="superscript"/>
    </w:rPr>
  </w:style>
  <w:style w:type="character" w:customStyle="1" w:styleId="16">
    <w:name w:val="页脚 Char"/>
    <w:basedOn w:val="12"/>
    <w:link w:val="3"/>
    <w:semiHidden/>
    <w:qFormat/>
    <w:uiPriority w:val="0"/>
    <w:rPr>
      <w:rFonts w:ascii="Times New Roman" w:hAnsi="Times New Roman" w:eastAsia="宋体" w:cs="Times New Roman"/>
      <w:sz w:val="18"/>
      <w:szCs w:val="18"/>
    </w:rPr>
  </w:style>
  <w:style w:type="character" w:customStyle="1" w:styleId="17">
    <w:name w:val="页眉 Char"/>
    <w:basedOn w:val="12"/>
    <w:link w:val="4"/>
    <w:semiHidden/>
    <w:qFormat/>
    <w:uiPriority w:val="0"/>
    <w:rPr>
      <w:rFonts w:ascii="Times New Roman" w:hAnsi="Times New Roman" w:eastAsia="宋体" w:cs="Times New Roman"/>
      <w:sz w:val="18"/>
      <w:szCs w:val="18"/>
    </w:rPr>
  </w:style>
  <w:style w:type="character" w:customStyle="1" w:styleId="18">
    <w:name w:val="页码1"/>
    <w:basedOn w:val="12"/>
    <w:qFormat/>
    <w:uiPriority w:val="0"/>
  </w:style>
  <w:style w:type="character" w:customStyle="1" w:styleId="19">
    <w:name w:val="font11"/>
    <w:basedOn w:val="12"/>
    <w:qFormat/>
    <w:uiPriority w:val="0"/>
    <w:rPr>
      <w:rFonts w:hint="eastAsia" w:ascii="宋体" w:hAnsi="宋体" w:eastAsia="宋体" w:cs="宋体"/>
      <w:color w:val="000000"/>
      <w:sz w:val="18"/>
      <w:szCs w:val="18"/>
      <w:u w:val="none"/>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3262</Words>
  <Characters>3634</Characters>
  <Lines>37</Lines>
  <Paragraphs>10</Paragraphs>
  <TotalTime>0</TotalTime>
  <ScaleCrop>false</ScaleCrop>
  <LinksUpToDate>false</LinksUpToDate>
  <CharactersWithSpaces>3769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2021-03-12T07:00:00Z</cp:lastPrinted>
  <dcterms:modified xsi:type="dcterms:W3CDTF">2022-07-01T02:22:44Z</dcterms:modified>
  <dc:title>Administrator</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899899829A214F6099FABD6ABDA65A18</vt:lpwstr>
  </property>
</Properties>
</file>