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唐山市曹妃甸区湿地和鸟类省级自然保护区管理服务中心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唐山市曹妃甸区湿地和鸟类省级自然保护区管理服务中心编制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1.2023年湿地二期绿化养护服务绩效目标表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2.保护区封闭管理费绩效目标表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3.湿地保护专项经费绩效目标表</w:t>
      </w:r>
      <w:r>
        <w:tab/>
      </w:r>
      <w:r>
        <w:fldChar w:fldCharType="begin"/>
      </w:r>
      <w:r>
        <w:instrText xml:space="preserve">PAGEREF _Toc_4_4_0000000006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4.湿地维护公司经费绩效目标表</w:t>
      </w:r>
      <w:r>
        <w:tab/>
      </w:r>
      <w:r>
        <w:fldChar w:fldCharType="begin"/>
      </w:r>
      <w:r>
        <w:instrText xml:space="preserve">PAGEREF _Toc_4_4_0000000007 \h</w:instrText>
      </w:r>
      <w:r>
        <w:fldChar w:fldCharType="separate"/>
      </w:r>
      <w:r>
        <w:t>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曹妃甸区湿地和鸟类省级自然保护区管理服务中心总体绩效目标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pPr>
        <w:pStyle w:val="8"/>
      </w:pPr>
      <w:r>
        <w:t>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1、夯实项目工作，强力推进提档升级。</w:t>
      </w:r>
    </w:p>
    <w:p>
      <w:pPr>
        <w:pStyle w:val="9"/>
      </w:pPr>
      <w:r>
        <w:t>绩效目标:按预算项目完成各项工作。</w:t>
      </w:r>
    </w:p>
    <w:p>
      <w:pPr>
        <w:pStyle w:val="9"/>
      </w:pPr>
      <w:r>
        <w:t>绩效指标：项目完成率≥95%</w:t>
      </w:r>
    </w:p>
    <w:p>
      <w:pPr>
        <w:pStyle w:val="9"/>
      </w:pPr>
      <w:r>
        <w:t>2、落实保护规划，夯实基础建设，统筹兼顾</w:t>
      </w:r>
    </w:p>
    <w:p>
      <w:pPr>
        <w:pStyle w:val="9"/>
      </w:pPr>
      <w:r>
        <w:t>绩效目标:按合同规定时间完成项目。</w:t>
      </w:r>
    </w:p>
    <w:p>
      <w:pPr>
        <w:pStyle w:val="9"/>
      </w:pPr>
      <w:r>
        <w:t>绩效指标：按时完成率≥95%</w:t>
      </w:r>
    </w:p>
    <w:p>
      <w:pPr>
        <w:pStyle w:val="9"/>
      </w:pPr>
      <w:r>
        <w:t>3、坚持绿色发展，强力推进生态修复，创新管理机制</w:t>
      </w:r>
    </w:p>
    <w:p>
      <w:pPr>
        <w:pStyle w:val="9"/>
      </w:pPr>
      <w:r>
        <w:t>绩效目标:提高湿地养护管理水平。</w:t>
      </w:r>
    </w:p>
    <w:p>
      <w:pPr>
        <w:pStyle w:val="9"/>
      </w:pPr>
      <w:r>
        <w:t>绩效指标：提高管理水平≥95%</w:t>
      </w:r>
    </w:p>
    <w:p>
      <w:pPr>
        <w:pStyle w:val="9"/>
      </w:pPr>
      <w:r>
        <w:t>4、提升保护意识，强力推进野生动物保护工作</w:t>
      </w:r>
    </w:p>
    <w:p>
      <w:pPr>
        <w:pStyle w:val="9"/>
      </w:pPr>
      <w:r>
        <w:t>绩效目标:根据科学指导，保护生物多样性。</w:t>
      </w:r>
    </w:p>
    <w:p>
      <w:pPr>
        <w:pStyle w:val="9"/>
      </w:pPr>
      <w:r>
        <w:t>绩效指标：提高工作效率≥90%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1、加强领导。管理服务中心成立了以主任为组长的项目领导小组，领导小组的职责是：研究解决项目实施中出现的问题，指导、协调、监督、检查项目建设的进度、质量。</w:t>
      </w:r>
    </w:p>
    <w:p>
      <w:pPr>
        <w:pStyle w:val="10"/>
      </w:pPr>
      <w:r>
        <w:t>2、分解工作，明确责任。各个项目和工作明确到处室和具体个人。</w:t>
      </w:r>
    </w:p>
    <w:p>
      <w:pPr>
        <w:pStyle w:val="10"/>
      </w:pPr>
      <w:r>
        <w:t>3、规范项目资金使用和项目实施的管理，项目申报和资金拨付均遵循了相关制度规定，资金管理较规范。</w:t>
      </w:r>
    </w:p>
    <w:p>
      <w:pPr>
        <w:pStyle w:val="10"/>
      </w:pPr>
      <w:r>
        <w:t>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一</w:t>
      </w:r>
      <w:r>
        <w:rPr>
          <w:rFonts w:hint="eastAsia"/>
          <w:lang w:val="en-US" w:eastAsia="zh-CN"/>
        </w:rPr>
        <w:t>系</w:t>
      </w:r>
      <w:r>
        <w:t>列保障预算执行、保障预算绩效充分发挥的规章制度。从而提高了预算绩效效能，化解了财务和财政资金风险，为项目的顺利开展提供了有力保障。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bookmarkStart w:id="7" w:name="_GoBack"/>
      <w:bookmarkEnd w:id="7"/>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1.2023年湿地二期绿化养护服务绩效目标表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13020923P00007710001R</w:t>
            </w:r>
          </w:p>
        </w:tc>
        <w:tc>
          <w:tcPr>
            <w:tcW w:w="1587" w:type="dxa"/>
            <w:vAlign w:val="center"/>
          </w:tcPr>
          <w:p>
            <w:pPr>
              <w:pStyle w:val="14"/>
            </w:pPr>
            <w:r>
              <w:t>项目名称</w:t>
            </w:r>
          </w:p>
        </w:tc>
        <w:tc>
          <w:tcPr>
            <w:tcW w:w="4422" w:type="dxa"/>
            <w:gridSpan w:val="3"/>
            <w:vAlign w:val="center"/>
          </w:tcPr>
          <w:p>
            <w:pPr>
              <w:pStyle w:val="13"/>
            </w:pPr>
            <w:r>
              <w:t>2023年湿地二期绿化养护服务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对湿地进行绿化养护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w:t>
            </w:r>
          </w:p>
        </w:tc>
        <w:tc>
          <w:tcPr>
            <w:tcW w:w="2891" w:type="dxa"/>
            <w:vAlign w:val="center"/>
          </w:tcPr>
          <w:p>
            <w:pPr>
              <w:pStyle w:val="13"/>
            </w:pPr>
            <w:r>
              <w:t>完成项目数</w:t>
            </w:r>
          </w:p>
        </w:tc>
        <w:tc>
          <w:tcPr>
            <w:tcW w:w="1276" w:type="dxa"/>
            <w:vAlign w:val="center"/>
          </w:tcPr>
          <w:p>
            <w:pPr>
              <w:pStyle w:val="13"/>
            </w:pPr>
            <w:r>
              <w:t>1个</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绿化成活率</w:t>
            </w:r>
          </w:p>
        </w:tc>
        <w:tc>
          <w:tcPr>
            <w:tcW w:w="2891" w:type="dxa"/>
            <w:vAlign w:val="center"/>
          </w:tcPr>
          <w:p>
            <w:pPr>
              <w:pStyle w:val="13"/>
            </w:pPr>
            <w:r>
              <w:t>维持保护区内绿化成活率</w:t>
            </w:r>
          </w:p>
        </w:tc>
        <w:tc>
          <w:tcPr>
            <w:tcW w:w="1276" w:type="dxa"/>
            <w:vAlign w:val="center"/>
          </w:tcPr>
          <w:p>
            <w:pPr>
              <w:pStyle w:val="13"/>
            </w:pPr>
            <w:r>
              <w:t>≥90%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年底前完成项目</w:t>
            </w:r>
          </w:p>
        </w:tc>
        <w:tc>
          <w:tcPr>
            <w:tcW w:w="1276" w:type="dxa"/>
            <w:vAlign w:val="center"/>
          </w:tcPr>
          <w:p>
            <w:pPr>
              <w:pStyle w:val="13"/>
            </w:pPr>
            <w:r>
              <w:t>2023年12月31日</w:t>
            </w:r>
          </w:p>
        </w:tc>
        <w:tc>
          <w:tcPr>
            <w:tcW w:w="1843" w:type="dxa"/>
            <w:vAlign w:val="center"/>
          </w:tcPr>
          <w:p>
            <w:pPr>
              <w:pStyle w:val="13"/>
            </w:pPr>
            <w:r>
              <w:t>规定内完成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支出数不超预算成本</w:t>
            </w:r>
          </w:p>
        </w:tc>
        <w:tc>
          <w:tcPr>
            <w:tcW w:w="1276" w:type="dxa"/>
            <w:vAlign w:val="center"/>
          </w:tcPr>
          <w:p>
            <w:pPr>
              <w:pStyle w:val="13"/>
            </w:pPr>
            <w:r>
              <w:t>≤50万元</w:t>
            </w:r>
          </w:p>
        </w:tc>
        <w:tc>
          <w:tcPr>
            <w:tcW w:w="1843" w:type="dxa"/>
            <w:vAlign w:val="center"/>
          </w:tcPr>
          <w:p>
            <w:pPr>
              <w:pStyle w:val="13"/>
            </w:pPr>
            <w:r>
              <w:t>支出数不超预算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保护生态环境</w:t>
            </w:r>
          </w:p>
        </w:tc>
        <w:tc>
          <w:tcPr>
            <w:tcW w:w="2891" w:type="dxa"/>
            <w:vAlign w:val="center"/>
          </w:tcPr>
          <w:p>
            <w:pPr>
              <w:pStyle w:val="13"/>
            </w:pPr>
            <w:r>
              <w:t>通过保护绿化对生态环境产生积极影响维持程度</w:t>
            </w:r>
          </w:p>
        </w:tc>
        <w:tc>
          <w:tcPr>
            <w:tcW w:w="1276" w:type="dxa"/>
            <w:vAlign w:val="center"/>
          </w:tcPr>
          <w:p>
            <w:pPr>
              <w:pStyle w:val="13"/>
            </w:pPr>
            <w:r>
              <w:t>≥90%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参考上年历史标准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2.保护区封闭管理费绩效目标表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13020923P00007510001E</w:t>
            </w:r>
          </w:p>
        </w:tc>
        <w:tc>
          <w:tcPr>
            <w:tcW w:w="1587" w:type="dxa"/>
            <w:vAlign w:val="center"/>
          </w:tcPr>
          <w:p>
            <w:pPr>
              <w:pStyle w:val="14"/>
            </w:pPr>
            <w:r>
              <w:t>项目名称</w:t>
            </w:r>
          </w:p>
        </w:tc>
        <w:tc>
          <w:tcPr>
            <w:tcW w:w="4422" w:type="dxa"/>
            <w:gridSpan w:val="3"/>
            <w:vAlign w:val="center"/>
          </w:tcPr>
          <w:p>
            <w:pPr>
              <w:pStyle w:val="13"/>
            </w:pPr>
            <w:r>
              <w:t>保护区封闭管理费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加强保护区管控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生态安全</w:t>
            </w:r>
          </w:p>
        </w:tc>
        <w:tc>
          <w:tcPr>
            <w:tcW w:w="2891" w:type="dxa"/>
            <w:vAlign w:val="center"/>
          </w:tcPr>
          <w:p>
            <w:pPr>
              <w:pStyle w:val="13"/>
            </w:pPr>
            <w:r>
              <w:t>发生生态事故数</w:t>
            </w:r>
          </w:p>
        </w:tc>
        <w:tc>
          <w:tcPr>
            <w:tcW w:w="1276" w:type="dxa"/>
            <w:vAlign w:val="center"/>
          </w:tcPr>
          <w:p>
            <w:pPr>
              <w:pStyle w:val="13"/>
            </w:pPr>
            <w:r>
              <w:t>&lt;1个</w:t>
            </w:r>
          </w:p>
        </w:tc>
        <w:tc>
          <w:tcPr>
            <w:tcW w:w="1843" w:type="dxa"/>
            <w:vAlign w:val="center"/>
          </w:tcPr>
          <w:p>
            <w:pPr>
              <w:pStyle w:val="13"/>
            </w:pPr>
            <w:r>
              <w:t>参照上年历史标准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工作高质量完成率</w:t>
            </w:r>
          </w:p>
        </w:tc>
        <w:tc>
          <w:tcPr>
            <w:tcW w:w="1276" w:type="dxa"/>
            <w:vAlign w:val="center"/>
          </w:tcPr>
          <w:p>
            <w:pPr>
              <w:pStyle w:val="13"/>
            </w:pPr>
            <w:r>
              <w:t>≥90%</w:t>
            </w:r>
          </w:p>
        </w:tc>
        <w:tc>
          <w:tcPr>
            <w:tcW w:w="1843" w:type="dxa"/>
            <w:vAlign w:val="center"/>
          </w:tcPr>
          <w:p>
            <w:pPr>
              <w:pStyle w:val="13"/>
            </w:pPr>
            <w:r>
              <w:t>参照上年历史标准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年底前完成项目</w:t>
            </w:r>
          </w:p>
        </w:tc>
        <w:tc>
          <w:tcPr>
            <w:tcW w:w="1276" w:type="dxa"/>
            <w:vAlign w:val="center"/>
          </w:tcPr>
          <w:p>
            <w:pPr>
              <w:pStyle w:val="13"/>
            </w:pPr>
            <w:r>
              <w:t>2023年12月31日</w:t>
            </w:r>
          </w:p>
        </w:tc>
        <w:tc>
          <w:tcPr>
            <w:tcW w:w="1843" w:type="dxa"/>
            <w:vAlign w:val="center"/>
          </w:tcPr>
          <w:p>
            <w:pPr>
              <w:pStyle w:val="13"/>
            </w:pPr>
            <w:r>
              <w:t>规定时间内完成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不超预算成本支出数</w:t>
            </w:r>
          </w:p>
        </w:tc>
        <w:tc>
          <w:tcPr>
            <w:tcW w:w="1276" w:type="dxa"/>
            <w:vAlign w:val="center"/>
          </w:tcPr>
          <w:p>
            <w:pPr>
              <w:pStyle w:val="13"/>
            </w:pPr>
            <w:r>
              <w:t>≤100万元</w:t>
            </w:r>
          </w:p>
        </w:tc>
        <w:tc>
          <w:tcPr>
            <w:tcW w:w="1843" w:type="dxa"/>
            <w:vAlign w:val="center"/>
          </w:tcPr>
          <w:p>
            <w:pPr>
              <w:pStyle w:val="13"/>
            </w:pPr>
            <w:r>
              <w:t>不超预算成本支出数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促进经济</w:t>
            </w:r>
          </w:p>
        </w:tc>
        <w:tc>
          <w:tcPr>
            <w:tcW w:w="2891" w:type="dxa"/>
            <w:vAlign w:val="center"/>
          </w:tcPr>
          <w:p>
            <w:pPr>
              <w:pStyle w:val="13"/>
            </w:pPr>
            <w:r>
              <w:t>项目支出促进保护区经济发展维持程度</w:t>
            </w:r>
          </w:p>
        </w:tc>
        <w:tc>
          <w:tcPr>
            <w:tcW w:w="1276" w:type="dxa"/>
            <w:vAlign w:val="center"/>
          </w:tcPr>
          <w:p>
            <w:pPr>
              <w:pStyle w:val="13"/>
            </w:pPr>
            <w:r>
              <w:t>≥90%</w:t>
            </w:r>
          </w:p>
        </w:tc>
        <w:tc>
          <w:tcPr>
            <w:tcW w:w="1843" w:type="dxa"/>
            <w:vAlign w:val="center"/>
          </w:tcPr>
          <w:p>
            <w:pPr>
              <w:pStyle w:val="13"/>
            </w:pPr>
            <w:r>
              <w:t>参照上年历史标准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参照上年历史标准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3.湿地保护专项经费绩效目标表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13020923P009736100028</w:t>
            </w:r>
          </w:p>
        </w:tc>
        <w:tc>
          <w:tcPr>
            <w:tcW w:w="1587" w:type="dxa"/>
            <w:vAlign w:val="center"/>
          </w:tcPr>
          <w:p>
            <w:pPr>
              <w:pStyle w:val="14"/>
            </w:pPr>
            <w:r>
              <w:t>项目名称</w:t>
            </w:r>
          </w:p>
        </w:tc>
        <w:tc>
          <w:tcPr>
            <w:tcW w:w="4422" w:type="dxa"/>
            <w:gridSpan w:val="3"/>
            <w:vAlign w:val="center"/>
          </w:tcPr>
          <w:p>
            <w:pPr>
              <w:pStyle w:val="13"/>
            </w:pPr>
            <w:r>
              <w:t>湿地保护专项经费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50.60</w:t>
            </w:r>
          </w:p>
        </w:tc>
        <w:tc>
          <w:tcPr>
            <w:tcW w:w="1587" w:type="dxa"/>
            <w:vAlign w:val="center"/>
          </w:tcPr>
          <w:p>
            <w:pPr>
              <w:pStyle w:val="14"/>
            </w:pPr>
            <w:r>
              <w:t>其中：财政    资金</w:t>
            </w:r>
          </w:p>
        </w:tc>
        <w:tc>
          <w:tcPr>
            <w:tcW w:w="1304" w:type="dxa"/>
            <w:vAlign w:val="center"/>
          </w:tcPr>
          <w:p>
            <w:pPr>
              <w:pStyle w:val="13"/>
            </w:pPr>
            <w:r>
              <w:t>50.60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保障湿地工作正常运行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w:t>
            </w:r>
          </w:p>
        </w:tc>
        <w:tc>
          <w:tcPr>
            <w:tcW w:w="2891" w:type="dxa"/>
            <w:vAlign w:val="center"/>
          </w:tcPr>
          <w:p>
            <w:pPr>
              <w:pStyle w:val="13"/>
            </w:pPr>
            <w:r>
              <w:t>完成项目数</w:t>
            </w:r>
          </w:p>
        </w:tc>
        <w:tc>
          <w:tcPr>
            <w:tcW w:w="1276" w:type="dxa"/>
            <w:vAlign w:val="center"/>
          </w:tcPr>
          <w:p>
            <w:pPr>
              <w:pStyle w:val="13"/>
            </w:pPr>
            <w:r>
              <w:t>1个</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工作保障率</w:t>
            </w:r>
          </w:p>
        </w:tc>
        <w:tc>
          <w:tcPr>
            <w:tcW w:w="2891" w:type="dxa"/>
            <w:vAlign w:val="center"/>
          </w:tcPr>
          <w:p>
            <w:pPr>
              <w:pStyle w:val="13"/>
            </w:pPr>
            <w:r>
              <w:t>工作质量保障程度</w:t>
            </w:r>
          </w:p>
        </w:tc>
        <w:tc>
          <w:tcPr>
            <w:tcW w:w="1276" w:type="dxa"/>
            <w:vAlign w:val="center"/>
          </w:tcPr>
          <w:p>
            <w:pPr>
              <w:pStyle w:val="13"/>
            </w:pPr>
            <w:r>
              <w:t>100%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年底前完成项目</w:t>
            </w:r>
          </w:p>
        </w:tc>
        <w:tc>
          <w:tcPr>
            <w:tcW w:w="1276" w:type="dxa"/>
            <w:vAlign w:val="center"/>
          </w:tcPr>
          <w:p>
            <w:pPr>
              <w:pStyle w:val="13"/>
            </w:pPr>
            <w:r>
              <w:t>2023年12月31日</w:t>
            </w:r>
          </w:p>
        </w:tc>
        <w:tc>
          <w:tcPr>
            <w:tcW w:w="1843" w:type="dxa"/>
            <w:vAlign w:val="center"/>
          </w:tcPr>
          <w:p>
            <w:pPr>
              <w:pStyle w:val="13"/>
            </w:pPr>
            <w:r>
              <w:t>规定时间内完成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不超预算支出数</w:t>
            </w:r>
          </w:p>
        </w:tc>
        <w:tc>
          <w:tcPr>
            <w:tcW w:w="1276" w:type="dxa"/>
            <w:vAlign w:val="center"/>
          </w:tcPr>
          <w:p>
            <w:pPr>
              <w:pStyle w:val="13"/>
            </w:pPr>
            <w:r>
              <w:t>≤50.6万元</w:t>
            </w:r>
          </w:p>
        </w:tc>
        <w:tc>
          <w:tcPr>
            <w:tcW w:w="1843" w:type="dxa"/>
            <w:vAlign w:val="center"/>
          </w:tcPr>
          <w:p>
            <w:pPr>
              <w:pStyle w:val="13"/>
            </w:pPr>
            <w:r>
              <w:t>支出数不超预算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促进经济</w:t>
            </w:r>
          </w:p>
        </w:tc>
        <w:tc>
          <w:tcPr>
            <w:tcW w:w="2891" w:type="dxa"/>
            <w:vAlign w:val="center"/>
          </w:tcPr>
          <w:p>
            <w:pPr>
              <w:pStyle w:val="13"/>
            </w:pPr>
            <w:r>
              <w:t>项目支出促进保护区经济发展维持程度</w:t>
            </w:r>
          </w:p>
        </w:tc>
        <w:tc>
          <w:tcPr>
            <w:tcW w:w="1276" w:type="dxa"/>
            <w:vAlign w:val="center"/>
          </w:tcPr>
          <w:p>
            <w:pPr>
              <w:pStyle w:val="13"/>
            </w:pPr>
            <w:r>
              <w:t>≥90%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参考上年历史标准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4.湿地维护公司经费绩效目标表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327001唐山市曹妃甸区湿地和鸟类省级自然保护区管理服务中心本级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13020923P00006710001J</w:t>
            </w:r>
          </w:p>
        </w:tc>
        <w:tc>
          <w:tcPr>
            <w:tcW w:w="1587" w:type="dxa"/>
            <w:vAlign w:val="center"/>
          </w:tcPr>
          <w:p>
            <w:pPr>
              <w:pStyle w:val="14"/>
            </w:pPr>
            <w:r>
              <w:t>项目名称</w:t>
            </w:r>
          </w:p>
        </w:tc>
        <w:tc>
          <w:tcPr>
            <w:tcW w:w="4422" w:type="dxa"/>
            <w:gridSpan w:val="3"/>
            <w:vAlign w:val="center"/>
          </w:tcPr>
          <w:p>
            <w:pPr>
              <w:pStyle w:val="13"/>
            </w:pPr>
            <w:r>
              <w:t>湿地维护公司经费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114.24</w:t>
            </w:r>
          </w:p>
        </w:tc>
        <w:tc>
          <w:tcPr>
            <w:tcW w:w="1587" w:type="dxa"/>
            <w:vAlign w:val="center"/>
          </w:tcPr>
          <w:p>
            <w:pPr>
              <w:pStyle w:val="14"/>
            </w:pPr>
            <w:r>
              <w:t>其中：财政    资金</w:t>
            </w:r>
          </w:p>
        </w:tc>
        <w:tc>
          <w:tcPr>
            <w:tcW w:w="1304" w:type="dxa"/>
            <w:vAlign w:val="center"/>
          </w:tcPr>
          <w:p>
            <w:pPr>
              <w:pStyle w:val="13"/>
            </w:pPr>
            <w:r>
              <w:t>114.24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保障维护公司正常运行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w:t>
            </w:r>
          </w:p>
        </w:tc>
        <w:tc>
          <w:tcPr>
            <w:tcW w:w="2891" w:type="dxa"/>
            <w:vAlign w:val="center"/>
          </w:tcPr>
          <w:p>
            <w:pPr>
              <w:pStyle w:val="13"/>
            </w:pPr>
            <w:r>
              <w:t>年底完成项目数</w:t>
            </w:r>
          </w:p>
        </w:tc>
        <w:tc>
          <w:tcPr>
            <w:tcW w:w="1276" w:type="dxa"/>
            <w:vAlign w:val="center"/>
          </w:tcPr>
          <w:p>
            <w:pPr>
              <w:pStyle w:val="13"/>
            </w:pPr>
            <w:r>
              <w:t>1个</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工作保障率</w:t>
            </w:r>
          </w:p>
        </w:tc>
        <w:tc>
          <w:tcPr>
            <w:tcW w:w="2891" w:type="dxa"/>
            <w:vAlign w:val="center"/>
          </w:tcPr>
          <w:p>
            <w:pPr>
              <w:pStyle w:val="13"/>
            </w:pPr>
            <w:r>
              <w:t>工作质量保障程度</w:t>
            </w:r>
          </w:p>
        </w:tc>
        <w:tc>
          <w:tcPr>
            <w:tcW w:w="1276" w:type="dxa"/>
            <w:vAlign w:val="center"/>
          </w:tcPr>
          <w:p>
            <w:pPr>
              <w:pStyle w:val="13"/>
            </w:pPr>
            <w:r>
              <w:t>≥90%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及时性</w:t>
            </w:r>
          </w:p>
        </w:tc>
        <w:tc>
          <w:tcPr>
            <w:tcW w:w="2891" w:type="dxa"/>
            <w:vAlign w:val="center"/>
          </w:tcPr>
          <w:p>
            <w:pPr>
              <w:pStyle w:val="13"/>
            </w:pPr>
            <w:r>
              <w:t>资金在年底前完成支出</w:t>
            </w:r>
          </w:p>
        </w:tc>
        <w:tc>
          <w:tcPr>
            <w:tcW w:w="1276" w:type="dxa"/>
            <w:vAlign w:val="center"/>
          </w:tcPr>
          <w:p>
            <w:pPr>
              <w:pStyle w:val="13"/>
            </w:pPr>
            <w:r>
              <w:t>2023年12月31日</w:t>
            </w:r>
          </w:p>
        </w:tc>
        <w:tc>
          <w:tcPr>
            <w:tcW w:w="1843" w:type="dxa"/>
            <w:vAlign w:val="center"/>
          </w:tcPr>
          <w:p>
            <w:pPr>
              <w:pStyle w:val="13"/>
            </w:pPr>
            <w:r>
              <w:t>规定时间内完成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不超预算支出数</w:t>
            </w:r>
          </w:p>
        </w:tc>
        <w:tc>
          <w:tcPr>
            <w:tcW w:w="2891" w:type="dxa"/>
            <w:vAlign w:val="center"/>
          </w:tcPr>
          <w:p>
            <w:pPr>
              <w:pStyle w:val="13"/>
            </w:pPr>
            <w:r>
              <w:t>支出数不超预算成本</w:t>
            </w:r>
          </w:p>
        </w:tc>
        <w:tc>
          <w:tcPr>
            <w:tcW w:w="1276" w:type="dxa"/>
            <w:vAlign w:val="center"/>
          </w:tcPr>
          <w:p>
            <w:pPr>
              <w:pStyle w:val="13"/>
            </w:pPr>
            <w:r>
              <w:t>≤114.24万元</w:t>
            </w:r>
          </w:p>
        </w:tc>
        <w:tc>
          <w:tcPr>
            <w:tcW w:w="1843" w:type="dxa"/>
            <w:vAlign w:val="center"/>
          </w:tcPr>
          <w:p>
            <w:pPr>
              <w:pStyle w:val="13"/>
            </w:pPr>
            <w:r>
              <w:t>支出数不超预算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促进经济</w:t>
            </w:r>
          </w:p>
        </w:tc>
        <w:tc>
          <w:tcPr>
            <w:tcW w:w="2891" w:type="dxa"/>
            <w:vAlign w:val="center"/>
          </w:tcPr>
          <w:p>
            <w:pPr>
              <w:pStyle w:val="13"/>
            </w:pPr>
            <w:r>
              <w:t>项目支出促进保护区经济发展维持程度</w:t>
            </w:r>
          </w:p>
        </w:tc>
        <w:tc>
          <w:tcPr>
            <w:tcW w:w="1276" w:type="dxa"/>
            <w:vAlign w:val="center"/>
          </w:tcPr>
          <w:p>
            <w:pPr>
              <w:pStyle w:val="13"/>
            </w:pPr>
            <w:r>
              <w:t>≥90%</w:t>
            </w:r>
          </w:p>
        </w:tc>
        <w:tc>
          <w:tcPr>
            <w:tcW w:w="1843" w:type="dxa"/>
            <w:vAlign w:val="center"/>
          </w:tcPr>
          <w:p>
            <w:pPr>
              <w:pStyle w:val="13"/>
            </w:pPr>
            <w:r>
              <w:t>参考上年历史标准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参考上年历史标准</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2FFE4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2023-03-22T16:12:27Z</dcterms:created>
  <dcterms:modified xsi:type="dcterms:W3CDTF">2023-03-22T08:12:27Z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2023-03-22T16:12:28Z</dcterms:created>
  <dcterms:modified xsi:type="dcterms:W3CDTF">2023-03-22T08:12:28Z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2023-03-22T16:12:26Z</dcterms:created>
  <dcterms:modified xsi:type="dcterms:W3CDTF">2023-03-22T08:12:26Z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2023-03-22T16:12:27Z</dcterms:created>
  <dcterms:modified xsi:type="dcterms:W3CDTF">2023-03-22T08:12:27Z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2023-03-22T16:12:26Z</dcterms:created>
  <dcterms:modified xsi:type="dcterms:W3CDTF">2023-03-22T08:12:26Z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2023-03-22T16:12:26Z</dcterms:created>
  <dcterms:modified xsi:type="dcterms:W3CDTF">2023-03-22T08:12:26Z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6f76296-c054-42f3-aa48-09e96cbeac68}">
  <ds:schemaRefs/>
</ds:datastoreItem>
</file>

<file path=customXml/itemProps10.xml><?xml version="1.0" encoding="utf-8"?>
<ds:datastoreItem xmlns:ds="http://schemas.openxmlformats.org/officeDocument/2006/customXml" ds:itemID="{6b2811bf-abfe-493d-a5ee-148f088d9a91}">
  <ds:schemaRefs/>
</ds:datastoreItem>
</file>

<file path=customXml/itemProps11.xml><?xml version="1.0" encoding="utf-8"?>
<ds:datastoreItem xmlns:ds="http://schemas.openxmlformats.org/officeDocument/2006/customXml" ds:itemID="{a96a0e2d-a6b5-4cc6-a0c7-bee6f48a8fa6}">
  <ds:schemaRefs/>
</ds:datastoreItem>
</file>

<file path=customXml/itemProps12.xml><?xml version="1.0" encoding="utf-8"?>
<ds:datastoreItem xmlns:ds="http://schemas.openxmlformats.org/officeDocument/2006/customXml" ds:itemID="{3087e28b-c640-4c2b-9b58-0cde38ad0224}">
  <ds:schemaRefs/>
</ds:datastoreItem>
</file>

<file path=customXml/itemProps2.xml><?xml version="1.0" encoding="utf-8"?>
<ds:datastoreItem xmlns:ds="http://schemas.openxmlformats.org/officeDocument/2006/customXml" ds:itemID="{b38a72c8-8ea7-456c-aea6-1790808dbeb5}">
  <ds:schemaRefs/>
</ds:datastoreItem>
</file>

<file path=customXml/itemProps3.xml><?xml version="1.0" encoding="utf-8"?>
<ds:datastoreItem xmlns:ds="http://schemas.openxmlformats.org/officeDocument/2006/customXml" ds:itemID="{78d614cb-86b5-4732-b2e5-ec101ad3f250}">
  <ds:schemaRefs/>
</ds:datastoreItem>
</file>

<file path=customXml/itemProps4.xml><?xml version="1.0" encoding="utf-8"?>
<ds:datastoreItem xmlns:ds="http://schemas.openxmlformats.org/officeDocument/2006/customXml" ds:itemID="{47f7d365-2890-46f9-813a-a9662cce2f36}">
  <ds:schemaRefs/>
</ds:datastoreItem>
</file>

<file path=customXml/itemProps5.xml><?xml version="1.0" encoding="utf-8"?>
<ds:datastoreItem xmlns:ds="http://schemas.openxmlformats.org/officeDocument/2006/customXml" ds:itemID="{171e8bf2-e05b-4086-8aad-2d1f5b39550b}">
  <ds:schemaRefs/>
</ds:datastoreItem>
</file>

<file path=customXml/itemProps6.xml><?xml version="1.0" encoding="utf-8"?>
<ds:datastoreItem xmlns:ds="http://schemas.openxmlformats.org/officeDocument/2006/customXml" ds:itemID="{cdeef567-8932-4892-9a13-1a7f9da52758}">
  <ds:schemaRefs/>
</ds:datastoreItem>
</file>

<file path=customXml/itemProps7.xml><?xml version="1.0" encoding="utf-8"?>
<ds:datastoreItem xmlns:ds="http://schemas.openxmlformats.org/officeDocument/2006/customXml" ds:itemID="{4a274081-ba7b-4933-9c2c-404d2e7c67d3}">
  <ds:schemaRefs/>
</ds:datastoreItem>
</file>

<file path=customXml/itemProps8.xml><?xml version="1.0" encoding="utf-8"?>
<ds:datastoreItem xmlns:ds="http://schemas.openxmlformats.org/officeDocument/2006/customXml" ds:itemID="{a41d631c-a227-49e0-88ba-e142e31cd548}">
  <ds:schemaRefs/>
</ds:datastoreItem>
</file>

<file path=customXml/itemProps9.xml><?xml version="1.0" encoding="utf-8"?>
<ds:datastoreItem xmlns:ds="http://schemas.openxmlformats.org/officeDocument/2006/customXml" ds:itemID="{95705b1d-3e45-4e4d-b971-b4049d6e7c3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2023-03-22T16:12:00Z</dcterms:created>
  <dc:creator>User</dc:creator>
  <cp:lastModifiedBy>User</cp:lastModifiedBy>
  <dcterms:modified xsi:type="dcterms:W3CDTF">2023-08-08T02:41:33Z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5722966B277A440BA1EF2C4AF5E291C4_12</vt:lpwstr>
  </property>
</Properties>
</file>