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31E2">
      <w:pPr>
        <w:spacing w:before="0" w:after="0" w:line="240" w:lineRule="auto"/>
        <w:ind w:firstLine="0"/>
        <w:jc w:val="left"/>
        <w:outlineLvl w:val="9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  <w:t>预算信息公开情况说明</w:t>
      </w:r>
    </w:p>
    <w:p w14:paraId="5B24A337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"_Toc_3_3_0000000010"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部门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职责及机构设置情况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</w:p>
    <w:p w14:paraId="172DEF03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"_Toc_3_3_0000000011"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部门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预算安排的总体情况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</w:p>
    <w:p w14:paraId="72F81915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"_Toc_3_3_0000000012"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三、机关运行经费安排情况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</w:p>
    <w:p w14:paraId="0BFAEFDD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"_Toc_3_3_0000000013"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四、财政拨款“三公”经费预算情况及增减变化原因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</w:p>
    <w:p w14:paraId="6AE38FC9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"_Toc_3_3_0000000014"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单位项目预算安排情况及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绩效目标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</w:p>
    <w:p w14:paraId="2D64E761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"_Toc_3_3_0000000015"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六、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政府采购情况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</w:p>
    <w:p w14:paraId="77619854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"_Toc_3_3_0000000016"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七、国有资产信息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</w:t>
      </w:r>
    </w:p>
    <w:p w14:paraId="37B4BE9C">
      <w:pPr>
        <w:pStyle w:val="5"/>
        <w:tabs>
          <w:tab w:val="right" w:leader="dot" w:pos="14562"/>
        </w:tabs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"_Toc_3_3_0000000017"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八、名词解释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</w:p>
    <w:p w14:paraId="5C9E7941">
      <w:pPr>
        <w:pStyle w:val="5"/>
        <w:tabs>
          <w:tab w:val="right" w:leader="dot" w:pos="14562"/>
        </w:tabs>
        <w:rPr>
          <w:rFonts w:hint="eastAsia" w:eastAsia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\l "_Toc_3_3_0000000018"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九、其他需要说明的事项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</w:p>
    <w:p w14:paraId="53DF782D">
      <w:pPr>
        <w:pStyle w:val="5"/>
        <w:tabs>
          <w:tab w:val="right" w:leader="dot" w:pos="14562"/>
        </w:tabs>
      </w:pPr>
    </w:p>
    <w:p w14:paraId="3C071033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fldChar w:fldCharType="end"/>
      </w:r>
    </w:p>
    <w:p w14:paraId="3F4ACDEB">
      <w:pPr>
        <w:jc w:val="both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35CDEF5E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唐山市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曹妃甸区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消防救援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大队</w:t>
      </w: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年部门预算信息公开</w:t>
      </w:r>
    </w:p>
    <w:p w14:paraId="3511C33D">
      <w:pPr>
        <w:numPr>
          <w:ilvl w:val="0"/>
          <w:numId w:val="0"/>
        </w:numPr>
        <w:spacing w:line="500" w:lineRule="exact"/>
        <w:ind w:firstLine="960" w:firstLineChars="3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按照《预算法》、《河北省预决算公开操作规程实施细则》规定，现将20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年部门预算公开如下：</w:t>
      </w:r>
    </w:p>
    <w:p w14:paraId="2F8F5057">
      <w:pPr>
        <w:numPr>
          <w:ilvl w:val="0"/>
          <w:numId w:val="1"/>
        </w:numPr>
        <w:ind w:firstLine="64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部门职责及机构设置情况</w:t>
      </w:r>
    </w:p>
    <w:p w14:paraId="0C0053A4">
      <w:pPr>
        <w:numPr>
          <w:ilvl w:val="0"/>
          <w:numId w:val="2"/>
        </w:numPr>
        <w:spacing w:line="50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部门职责</w:t>
      </w:r>
    </w:p>
    <w:p w14:paraId="31E528F8">
      <w:pPr>
        <w:numPr>
          <w:ilvl w:val="0"/>
          <w:numId w:val="0"/>
        </w:numPr>
        <w:spacing w:line="500" w:lineRule="exact"/>
        <w:ind w:firstLine="960" w:firstLineChars="3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根据《唐山市曹妃甸区消防救援大队职能配置、内设机构和人员编制规定》， 唐山市曹妃甸区消防救援大队的主要职责是：</w:t>
      </w:r>
    </w:p>
    <w:p w14:paraId="726703F0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（一）主要承担全区综合性消防救援工作，负责指挥调度相关灾害事故救援行动。</w:t>
      </w:r>
    </w:p>
    <w:p w14:paraId="0F8EF03B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（二）承担重要会议、大型活动消防安全保卫工作。</w:t>
      </w:r>
    </w:p>
    <w:p w14:paraId="1DCB444C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（三）承担区火灾预防、消防监督执法以及火灾事故调查处理相关工作，依法行使消防安全综合监管职能，推动落实消防安全责任制。</w:t>
      </w:r>
    </w:p>
    <w:p w14:paraId="44D7274A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（四）参与拟订区消防专项规划，参与起草地方性消防法规、规章草案并监督实施。</w:t>
      </w:r>
    </w:p>
    <w:p w14:paraId="347A3721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（五）负责消防救援预案编制、战术研究和执勤战备、训练演练等工作。</w:t>
      </w:r>
    </w:p>
    <w:p w14:paraId="2AC697C1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（六）负责消防救援信息化和应急通信建设，承担综合性消防救援行动应急通信保障工作。</w:t>
      </w:r>
    </w:p>
    <w:p w14:paraId="6D071F9C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 w14:paraId="60E4218B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（七）负责区消防安全宣传教育，组织指导社会消防力量建设。</w:t>
      </w:r>
    </w:p>
    <w:p w14:paraId="15B441B7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（八）负责区消防应急救援专业队伍规划、建设与调度指挥，参与组织协调动员各类社会救援力量参加救援任务。</w:t>
      </w:r>
    </w:p>
    <w:p w14:paraId="1D3AAC94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32"/>
          <w:szCs w:val="32"/>
        </w:rPr>
        <w:t>机构设置：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30D7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5641CBD5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单位名称</w:t>
            </w:r>
          </w:p>
        </w:tc>
        <w:tc>
          <w:tcPr>
            <w:tcW w:w="3543" w:type="dxa"/>
          </w:tcPr>
          <w:p w14:paraId="3BCF479A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单位性质</w:t>
            </w:r>
          </w:p>
        </w:tc>
        <w:tc>
          <w:tcPr>
            <w:tcW w:w="3544" w:type="dxa"/>
          </w:tcPr>
          <w:p w14:paraId="31188791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单位规格</w:t>
            </w:r>
          </w:p>
        </w:tc>
        <w:tc>
          <w:tcPr>
            <w:tcW w:w="3544" w:type="dxa"/>
          </w:tcPr>
          <w:p w14:paraId="5DB56649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经费保障形式</w:t>
            </w:r>
          </w:p>
        </w:tc>
      </w:tr>
      <w:tr w14:paraId="0BC0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543" w:type="dxa"/>
          </w:tcPr>
          <w:p w14:paraId="0F3F0BE2">
            <w:pPr>
              <w:jc w:val="center"/>
              <w:outlineLvl w:val="0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唐山市</w:t>
            </w:r>
            <w:r>
              <w:rPr>
                <w:rFonts w:hint="eastAsia" w:ascii="宋体" w:hAnsi="宋体" w:cs="宋体"/>
                <w:sz w:val="32"/>
                <w:szCs w:val="32"/>
              </w:rPr>
              <w:t>曹妃甸区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消防救援大队</w:t>
            </w:r>
          </w:p>
        </w:tc>
        <w:tc>
          <w:tcPr>
            <w:tcW w:w="3543" w:type="dxa"/>
            <w:vAlign w:val="center"/>
          </w:tcPr>
          <w:p w14:paraId="5002C288">
            <w:pPr>
              <w:spacing w:line="300" w:lineRule="exact"/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行政</w:t>
            </w:r>
          </w:p>
        </w:tc>
        <w:tc>
          <w:tcPr>
            <w:tcW w:w="3544" w:type="dxa"/>
            <w:vAlign w:val="center"/>
          </w:tcPr>
          <w:p w14:paraId="3EA1D209">
            <w:pPr>
              <w:spacing w:line="300" w:lineRule="exact"/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副</w:t>
            </w:r>
            <w:r>
              <w:rPr>
                <w:rFonts w:ascii="宋体" w:hAnsi="宋体" w:cs="宋体"/>
                <w:sz w:val="32"/>
                <w:szCs w:val="32"/>
              </w:rPr>
              <w:t>处（县）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级</w:t>
            </w:r>
          </w:p>
        </w:tc>
        <w:tc>
          <w:tcPr>
            <w:tcW w:w="3544" w:type="dxa"/>
            <w:vAlign w:val="center"/>
          </w:tcPr>
          <w:p w14:paraId="1B9132BD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6DCC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3543" w:type="dxa"/>
          </w:tcPr>
          <w:p w14:paraId="4CF8A591">
            <w:pPr>
              <w:jc w:val="center"/>
              <w:outlineLvl w:val="0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唐山市曹妃甸区</w:t>
            </w:r>
            <w:r>
              <w:rPr>
                <w:rFonts w:hint="eastAsia" w:ascii="宋体" w:hAnsi="宋体" w:cs="宋体"/>
                <w:sz w:val="32"/>
                <w:szCs w:val="32"/>
              </w:rPr>
              <w:t>滨海大街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消防救援站</w:t>
            </w:r>
          </w:p>
        </w:tc>
        <w:tc>
          <w:tcPr>
            <w:tcW w:w="3543" w:type="dxa"/>
            <w:vAlign w:val="center"/>
          </w:tcPr>
          <w:p w14:paraId="60FD898D">
            <w:pPr>
              <w:spacing w:line="300" w:lineRule="exact"/>
              <w:jc w:val="center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5A1904BB">
            <w:pPr>
              <w:jc w:val="center"/>
              <w:outlineLvl w:val="0"/>
            </w:pPr>
          </w:p>
          <w:p w14:paraId="48CE32FA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32"/>
                <w:szCs w:val="32"/>
              </w:rPr>
              <w:t>处（县）级</w:t>
            </w:r>
          </w:p>
        </w:tc>
        <w:tc>
          <w:tcPr>
            <w:tcW w:w="3544" w:type="dxa"/>
            <w:vAlign w:val="center"/>
          </w:tcPr>
          <w:p w14:paraId="7154A0C3">
            <w:pPr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2739FBDB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</w:tbl>
    <w:p w14:paraId="44F3024E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二、部门预算安排的总体情况</w:t>
      </w:r>
    </w:p>
    <w:p w14:paraId="61912407">
      <w:pPr>
        <w:ind w:firstLine="640" w:firstLineChars="20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、收入说明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 w14:paraId="532F3ACF">
      <w:pPr>
        <w:ind w:firstLine="640" w:firstLineChars="200"/>
        <w:rPr>
          <w:rFonts w:ascii="Times New Roman" w:hAnsi="Times New Roman" w:eastAsia="Times New Roman" w:cs="Times New Roman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本部门当年总</w:t>
      </w:r>
      <w:r>
        <w:rPr>
          <w:rFonts w:hint="eastAsia" w:ascii="宋体" w:hAnsi="宋体" w:cs="宋体"/>
          <w:sz w:val="32"/>
          <w:szCs w:val="32"/>
        </w:rPr>
        <w:t>收入</w:t>
      </w:r>
      <w:r>
        <w:rPr>
          <w:rFonts w:hint="eastAsia" w:ascii="宋体" w:hAnsi="宋体" w:cs="宋体"/>
          <w:sz w:val="32"/>
          <w:szCs w:val="32"/>
          <w:lang w:eastAsia="zh-CN"/>
        </w:rPr>
        <w:t>情况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唐山市曹妃甸区</w:t>
      </w:r>
      <w:r>
        <w:rPr>
          <w:rFonts w:hint="eastAsia" w:ascii="宋体" w:hAnsi="宋体" w:cs="宋体"/>
          <w:sz w:val="32"/>
          <w:szCs w:val="32"/>
        </w:rPr>
        <w:t>消防</w:t>
      </w:r>
      <w:r>
        <w:rPr>
          <w:rFonts w:hint="eastAsia" w:ascii="宋体" w:hAnsi="宋体" w:cs="宋体"/>
          <w:sz w:val="32"/>
          <w:szCs w:val="32"/>
          <w:lang w:eastAsia="zh-CN"/>
        </w:rPr>
        <w:t>救援</w:t>
      </w:r>
      <w:r>
        <w:rPr>
          <w:rFonts w:hint="eastAsia" w:ascii="宋体" w:hAnsi="宋体" w:cs="宋体"/>
          <w:sz w:val="32"/>
          <w:szCs w:val="32"/>
        </w:rPr>
        <w:t>大队</w:t>
      </w: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年预算收入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724.66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hint="eastAsia" w:ascii="宋体" w:hAnsi="宋体" w:cs="宋体"/>
          <w:sz w:val="32"/>
          <w:szCs w:val="32"/>
          <w:highlight w:val="none"/>
        </w:rPr>
        <w:t>其中：一般公共预算收入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724.66</w:t>
      </w:r>
      <w:r>
        <w:rPr>
          <w:rFonts w:hint="eastAsia" w:ascii="宋体" w:hAnsi="宋体" w:cs="宋体"/>
          <w:sz w:val="32"/>
          <w:szCs w:val="32"/>
          <w:highlight w:val="none"/>
        </w:rPr>
        <w:t>万元，基金预算拨款收入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  <w:highlight w:val="none"/>
        </w:rPr>
        <w:t>万元，国有资本经营预算拨款收入0万元，财政专户核拨收入0万元，其他来源收入0万元。</w:t>
      </w:r>
    </w:p>
    <w:p w14:paraId="26FD9706">
      <w:pPr>
        <w:numPr>
          <w:ilvl w:val="0"/>
          <w:numId w:val="0"/>
        </w:numPr>
        <w:ind w:firstLine="640" w:firstLineChars="20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cs="宋体"/>
          <w:sz w:val="32"/>
          <w:szCs w:val="32"/>
        </w:rPr>
        <w:t>支出说明</w:t>
      </w:r>
    </w:p>
    <w:p w14:paraId="433EC05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收支预算总表支出栏、基本支出表、项目支出表按经济分类和支出功能分类科目编制，反映唐山市曹妃甸区</w:t>
      </w:r>
      <w:r>
        <w:rPr>
          <w:rFonts w:hint="eastAsia" w:ascii="宋体" w:hAnsi="宋体" w:cs="宋体"/>
          <w:sz w:val="32"/>
          <w:szCs w:val="32"/>
          <w:lang w:eastAsia="zh-CN"/>
        </w:rPr>
        <w:t>消防救援</w:t>
      </w:r>
      <w:r>
        <w:rPr>
          <w:rFonts w:hint="eastAsia" w:ascii="宋体" w:hAnsi="宋体" w:cs="宋体"/>
          <w:sz w:val="32"/>
          <w:szCs w:val="32"/>
        </w:rPr>
        <w:t>大队年度部门预算中支出预算的总体情况。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曹妃甸区</w:t>
      </w:r>
      <w:r>
        <w:rPr>
          <w:rFonts w:hint="eastAsia" w:ascii="宋体" w:hAnsi="宋体" w:eastAsia="宋体" w:cs="宋体"/>
          <w:sz w:val="32"/>
          <w:szCs w:val="32"/>
        </w:rPr>
        <w:t>消防</w:t>
      </w:r>
      <w:r>
        <w:rPr>
          <w:rFonts w:hint="eastAsia" w:ascii="宋体" w:hAnsi="宋体" w:cs="宋体"/>
          <w:sz w:val="32"/>
          <w:szCs w:val="32"/>
          <w:lang w:eastAsia="zh-CN"/>
        </w:rPr>
        <w:t>救援</w:t>
      </w:r>
      <w:r>
        <w:rPr>
          <w:rFonts w:hint="eastAsia" w:ascii="宋体" w:hAnsi="宋体" w:eastAsia="宋体" w:cs="宋体"/>
          <w:sz w:val="32"/>
          <w:szCs w:val="32"/>
        </w:rPr>
        <w:t>大队支出预算为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724.66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其中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0万元，</w:t>
      </w:r>
      <w:r>
        <w:rPr>
          <w:rFonts w:hint="eastAsia" w:ascii="宋体" w:hAnsi="宋体" w:eastAsia="宋体" w:cs="宋体"/>
          <w:sz w:val="32"/>
          <w:szCs w:val="32"/>
        </w:rPr>
        <w:t>项目支出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724.66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其中运转经费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574.66万元，消防专项规划项目60万元，消防车库新建项目90万元，</w:t>
      </w:r>
      <w:r>
        <w:rPr>
          <w:rFonts w:hint="eastAsia" w:ascii="宋体" w:hAnsi="宋体" w:eastAsia="宋体" w:cs="宋体"/>
          <w:sz w:val="32"/>
          <w:szCs w:val="32"/>
        </w:rPr>
        <w:t>全部为本级支出。</w:t>
      </w:r>
    </w:p>
    <w:p w14:paraId="4AA15747">
      <w:pPr>
        <w:numPr>
          <w:ilvl w:val="0"/>
          <w:numId w:val="0"/>
        </w:numPr>
        <w:ind w:firstLine="640" w:firstLineChars="20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cs="宋体"/>
          <w:sz w:val="32"/>
          <w:szCs w:val="32"/>
        </w:rPr>
        <w:t>比上年增减情况</w:t>
      </w:r>
    </w:p>
    <w:p w14:paraId="1E020C0C">
      <w:pPr>
        <w:ind w:firstLine="640"/>
        <w:rPr>
          <w:rFonts w:hint="default" w:ascii="??_GB2312" w:hAnsi="??_GB2312" w:eastAsia="宋体" w:cs="??_GB2312"/>
          <w:sz w:val="32"/>
          <w:szCs w:val="32"/>
          <w:lang w:val="en-US" w:eastAsia="zh-CN"/>
        </w:rPr>
      </w:pP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曹妃甸区</w:t>
      </w:r>
      <w:r>
        <w:rPr>
          <w:rFonts w:hint="eastAsia" w:ascii="宋体" w:hAnsi="宋体" w:cs="宋体"/>
          <w:sz w:val="32"/>
          <w:szCs w:val="32"/>
        </w:rPr>
        <w:t>消防</w:t>
      </w:r>
      <w:r>
        <w:rPr>
          <w:rFonts w:hint="eastAsia" w:ascii="宋体" w:hAnsi="宋体" w:cs="宋体"/>
          <w:sz w:val="32"/>
          <w:szCs w:val="32"/>
          <w:lang w:eastAsia="zh-CN"/>
        </w:rPr>
        <w:t>救援</w:t>
      </w:r>
      <w:r>
        <w:rPr>
          <w:rFonts w:hint="eastAsia" w:ascii="宋体" w:hAnsi="宋体" w:cs="宋体"/>
          <w:sz w:val="32"/>
          <w:szCs w:val="32"/>
        </w:rPr>
        <w:t>大队预算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较</w:t>
      </w: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22</w:t>
      </w:r>
      <w:r>
        <w:rPr>
          <w:rFonts w:hint="eastAsia" w:ascii="??_GB2312" w:hAnsi="??_GB2312" w:cs="??_GB2312"/>
          <w:sz w:val="32"/>
          <w:szCs w:val="32"/>
        </w:rPr>
        <w:t>年</w:t>
      </w:r>
      <w:r>
        <w:rPr>
          <w:rFonts w:hint="eastAsia" w:ascii="??_GB2312" w:hAnsi="??_GB2312" w:cs="??_GB2312"/>
          <w:sz w:val="32"/>
          <w:szCs w:val="32"/>
          <w:lang w:eastAsia="zh-CN"/>
        </w:rPr>
        <w:t>减少了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109.92</w:t>
      </w:r>
      <w:r>
        <w:rPr>
          <w:rFonts w:hint="eastAsia" w:ascii="宋体" w:hAnsi="宋体" w:cs="宋体"/>
          <w:sz w:val="32"/>
          <w:szCs w:val="32"/>
        </w:rPr>
        <w:t>万元。其</w:t>
      </w:r>
      <w:r>
        <w:rPr>
          <w:rFonts w:hint="eastAsia" w:ascii="宋体" w:hAnsi="宋体" w:cs="宋体"/>
          <w:sz w:val="32"/>
          <w:szCs w:val="32"/>
          <w:lang w:eastAsia="zh-CN"/>
        </w:rPr>
        <w:t>中</w:t>
      </w:r>
      <w:r>
        <w:rPr>
          <w:rFonts w:hint="eastAsia" w:ascii="宋体" w:hAnsi="宋体" w:cs="宋体"/>
          <w:sz w:val="32"/>
          <w:szCs w:val="32"/>
        </w:rPr>
        <w:t>项目支出</w:t>
      </w:r>
      <w:r>
        <w:rPr>
          <w:rFonts w:hint="eastAsia" w:ascii="宋体" w:hAnsi="宋体" w:cs="宋体"/>
          <w:sz w:val="32"/>
          <w:szCs w:val="32"/>
          <w:lang w:eastAsia="zh-CN"/>
        </w:rPr>
        <w:t>减少了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109.92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hint="eastAsia" w:ascii="宋体" w:hAnsi="宋体" w:cs="宋体"/>
          <w:sz w:val="32"/>
          <w:szCs w:val="32"/>
          <w:lang w:eastAsia="zh-CN"/>
        </w:rPr>
        <w:t>减少原因主要是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2023年年初预算未安排机关运转经费。</w:t>
      </w:r>
    </w:p>
    <w:p w14:paraId="5E9E429E"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</w:rPr>
        <w:t>三、机关运行经费安排情况</w:t>
      </w:r>
    </w:p>
    <w:p w14:paraId="318D2A83">
      <w:pPr>
        <w:autoSpaceDE w:val="0"/>
        <w:autoSpaceDN w:val="0"/>
        <w:adjustRightInd w:val="0"/>
        <w:ind w:left="198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机关运行经费共计安排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万元，主要用于保证消防</w:t>
      </w:r>
      <w:r>
        <w:rPr>
          <w:rFonts w:hint="eastAsia" w:ascii="宋体" w:hAnsi="宋体" w:cs="宋体"/>
          <w:sz w:val="32"/>
          <w:szCs w:val="32"/>
          <w:lang w:eastAsia="zh-CN"/>
        </w:rPr>
        <w:t>队</w:t>
      </w:r>
      <w:r>
        <w:rPr>
          <w:rFonts w:hint="eastAsia" w:ascii="宋体" w:hAnsi="宋体" w:cs="宋体"/>
          <w:sz w:val="32"/>
          <w:szCs w:val="32"/>
        </w:rPr>
        <w:t>正常运转的办公费、电费、印刷费、邮电费、取暖费、维修费、专用材料费、</w:t>
      </w:r>
      <w:r>
        <w:rPr>
          <w:rFonts w:hint="eastAsia" w:ascii="宋体" w:hAnsi="宋体" w:cs="宋体"/>
          <w:sz w:val="32"/>
          <w:szCs w:val="32"/>
          <w:lang w:eastAsia="zh-CN"/>
        </w:rPr>
        <w:t>专用燃料费、</w:t>
      </w:r>
      <w:r>
        <w:rPr>
          <w:rFonts w:hint="eastAsia" w:ascii="宋体" w:hAnsi="宋体" w:cs="宋体"/>
          <w:sz w:val="32"/>
          <w:szCs w:val="32"/>
        </w:rPr>
        <w:t>劳务费、办公设备购置费、公务车运行维护费</w:t>
      </w:r>
      <w:r>
        <w:rPr>
          <w:rFonts w:hint="eastAsia" w:ascii="宋体" w:hAnsi="宋体" w:cs="宋体"/>
          <w:sz w:val="32"/>
          <w:szCs w:val="32"/>
          <w:lang w:eastAsia="zh-CN"/>
        </w:rPr>
        <w:t>、其他业务费</w:t>
      </w:r>
      <w:r>
        <w:rPr>
          <w:rFonts w:hint="eastAsia" w:ascii="宋体" w:hAnsi="宋体" w:cs="宋体"/>
          <w:sz w:val="32"/>
          <w:szCs w:val="32"/>
        </w:rPr>
        <w:t>等支出。</w:t>
      </w:r>
    </w:p>
    <w:p w14:paraId="76CD10D1">
      <w:pPr>
        <w:numPr>
          <w:ilvl w:val="0"/>
          <w:numId w:val="3"/>
        </w:numPr>
        <w:autoSpaceDE w:val="0"/>
        <w:autoSpaceDN w:val="0"/>
        <w:adjustRightInd w:val="0"/>
        <w:ind w:left="410" w:leftChars="0" w:firstLine="64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财政拨款“三公”经费预算情况及增减变化原因</w:t>
      </w:r>
    </w:p>
    <w:p w14:paraId="4F4F7EB1"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??_GB2312" w:hAnsi="??_GB2312" w:eastAsia="Times New Roman" w:cs="??_GB2312"/>
          <w:color w:val="FF0000"/>
          <w:sz w:val="32"/>
          <w:szCs w:val="32"/>
        </w:rPr>
        <w:t xml:space="preserve">   </w:t>
      </w:r>
      <w:r>
        <w:rPr>
          <w:rFonts w:ascii="??_GB2312" w:hAnsi="??_GB2312" w:eastAsia="Times New Roman" w:cs="??_GB2312"/>
          <w:sz w:val="32"/>
          <w:szCs w:val="32"/>
        </w:rPr>
        <w:t xml:space="preserve"> 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年，财政拨款</w:t>
      </w:r>
      <w:r>
        <w:rPr>
          <w:rFonts w:ascii="??_GB2312" w:hAnsi="??_GB2312" w:eastAsia="Times New Roman" w:cs="??_GB2312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三公</w:t>
      </w:r>
      <w:r>
        <w:rPr>
          <w:rFonts w:ascii="??_GB2312" w:hAnsi="??_GB2312" w:eastAsia="Times New Roman" w:cs="??_GB2312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经费预算安排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2022年预算安排“三公”经费减少6万元。原因是压减预算未安排运转公用经费。</w:t>
      </w:r>
      <w:r>
        <w:rPr>
          <w:rFonts w:hint="eastAsia" w:ascii="宋体" w:hAnsi="宋体" w:cs="宋体"/>
          <w:sz w:val="32"/>
          <w:szCs w:val="32"/>
        </w:rPr>
        <w:t>其中：因公出国（境）费</w:t>
      </w:r>
      <w:r>
        <w:rPr>
          <w:rFonts w:ascii="??_GB2312" w:hAnsi="??_GB2312" w:eastAsia="Times New Roman" w:cs="??_GB2312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万元，没有增减变化；</w:t>
      </w:r>
      <w:r>
        <w:rPr>
          <w:rFonts w:hint="eastAsia" w:ascii="宋体" w:hAnsi="宋体" w:cs="宋体"/>
          <w:sz w:val="32"/>
          <w:szCs w:val="32"/>
          <w:lang w:eastAsia="zh-CN"/>
        </w:rPr>
        <w:t>公务用车购置及运行维护费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0万元，比上年预算减少6万元（其中：</w:t>
      </w:r>
      <w:r>
        <w:rPr>
          <w:rFonts w:hint="eastAsia" w:ascii="宋体" w:hAnsi="宋体" w:cs="宋体"/>
          <w:sz w:val="32"/>
          <w:szCs w:val="32"/>
          <w:lang w:eastAsia="zh-CN"/>
        </w:rPr>
        <w:t>公务用车购置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0万元，没有增减变化；</w:t>
      </w:r>
      <w:r>
        <w:rPr>
          <w:rFonts w:hint="eastAsia" w:ascii="宋体" w:hAnsi="宋体" w:cs="宋体"/>
          <w:sz w:val="32"/>
          <w:szCs w:val="32"/>
        </w:rPr>
        <w:t>公务用车运行</w:t>
      </w:r>
      <w:r>
        <w:rPr>
          <w:rFonts w:hint="eastAsia" w:ascii="宋体" w:hAnsi="宋体" w:cs="宋体"/>
          <w:sz w:val="32"/>
          <w:szCs w:val="32"/>
          <w:lang w:eastAsia="zh-CN"/>
        </w:rPr>
        <w:t>维护费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比上年减少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6万元），原因是压减预算未安排运转公用经费，</w:t>
      </w:r>
      <w:r>
        <w:rPr>
          <w:rFonts w:hint="eastAsia" w:ascii="宋体" w:hAnsi="宋体" w:cs="宋体"/>
          <w:sz w:val="32"/>
          <w:szCs w:val="32"/>
        </w:rPr>
        <w:t>公务接待费</w:t>
      </w:r>
      <w:r>
        <w:rPr>
          <w:rFonts w:ascii="??_GB2312" w:hAnsi="??_GB2312" w:eastAsia="Times New Roman" w:cs="??_GB2312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万元，没有增减变化。</w:t>
      </w:r>
    </w:p>
    <w:p w14:paraId="45025549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五、绩效预算信息</w:t>
      </w:r>
      <w:bookmarkStart w:id="2" w:name="_GoBack"/>
      <w:bookmarkEnd w:id="2"/>
    </w:p>
    <w:p w14:paraId="02498CF8">
      <w:pPr>
        <w:autoSpaceDE w:val="0"/>
        <w:autoSpaceDN w:val="0"/>
        <w:adjustRightInd w:val="0"/>
        <w:ind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bookmarkStart w:id="0" w:name="_Toc_2_2_0000000001"/>
      <w:r>
        <w:rPr>
          <w:rFonts w:ascii="??_GB2312" w:hAnsi="??_GB2312" w:eastAsia="Times New Roman" w:cs="??_GB2312"/>
          <w:sz w:val="32"/>
          <w:szCs w:val="32"/>
        </w:rPr>
        <w:t>一、总体绩效目标</w:t>
      </w:r>
      <w:bookmarkEnd w:id="0"/>
    </w:p>
    <w:p w14:paraId="04448F73">
      <w:pPr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sz w:val="32"/>
          <w:szCs w:val="32"/>
        </w:rPr>
      </w:pPr>
      <w:bookmarkStart w:id="1" w:name="_Toc_2_2_0000000002"/>
      <w:r>
        <w:rPr>
          <w:rFonts w:ascii="??_GB2312" w:hAnsi="??_GB2312" w:eastAsia="Times New Roman" w:cs="??_GB2312"/>
          <w:sz w:val="32"/>
          <w:szCs w:val="32"/>
        </w:rPr>
        <w:t>按照《中华人民共和国消防法》、《河北省消防条例》、《河北省消防安全责任制规定》、《唐山市消防安全责任制实施细则》等规定，认真贯彻落实上级党委、政府关于加强消防工作的一系列重要部署，加大对消防事业的投入，做好消防宣传与法律监督管理，民众消防安全素质不断提升，社会消防安全环境有效改善。城市消防基础设施和消防装备建设取得新突破，消防执法规范化工作取得新进展，综合应急救援能力得到提升。有效应对处置各类灾害事故，加快推进消防安全治理体系和治理能力现代化，全力确保曹妃甸区火灾形势稳定，最大程度减少人民群众生命财产损失，为全区经济社会发展和广大人民群众安居乐业营造安全、和谐、稳定的消防安全环境。为将曹妃甸区打造成全省沿海经济增长极、“一港双城”建设核心承载区、唐山高质量发展“第二空间”提供坚强消防安全保障。</w:t>
      </w:r>
    </w:p>
    <w:p w14:paraId="46830012">
      <w:pPr>
        <w:autoSpaceDE w:val="0"/>
        <w:autoSpaceDN w:val="0"/>
        <w:adjustRightInd w:val="0"/>
        <w:ind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二、分项绩效目标</w:t>
      </w:r>
      <w:bookmarkEnd w:id="1"/>
    </w:p>
    <w:p w14:paraId="2ADBBDEE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（一）做好法律监督管理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eastAsia="zh-CN"/>
        </w:rPr>
        <w:t>工作</w:t>
      </w:r>
    </w:p>
    <w:p w14:paraId="187F6584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绩效目标：对机关、团体、企业、事业单位遵守消防法律、法规情况进行监督管理，对专职、义务消防队进行指导，督促有关单位整改火灾隐患，落实消防安全措施，防止火灾的发生，减少火灾的损失。</w:t>
      </w:r>
    </w:p>
    <w:p w14:paraId="23737683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绩效指标：对机关、团体、企业、事业单位遵守消防法律、法规情况进行监督管理。每月监督检查100次，全年完成监督检查1200次。</w:t>
      </w:r>
    </w:p>
    <w:p w14:paraId="2BBBC876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（二）做好防灭火及社会抢险救援工作</w:t>
      </w:r>
    </w:p>
    <w:p w14:paraId="1A1129DD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绩效目标：积极参加社会抢险救援，保卫国家经济建设，保护公共财产和人民生命财产的安全。</w:t>
      </w:r>
    </w:p>
    <w:p w14:paraId="05B25210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绩效指标：积极参加各类火灾扑救工作及社会抢险救援，保卫国家经济建设，保护公共财产和人民生命财产的安全。加强消防救援装备基础设施建设，提升消防救援能力和服务水平，减少火灾及各类事故灾害损失。</w:t>
      </w:r>
    </w:p>
    <w:p w14:paraId="3E4C5F14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（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eastAsia="zh-CN"/>
        </w:rPr>
        <w:t>三</w:t>
      </w: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）做好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eastAsia="zh-CN"/>
        </w:rPr>
        <w:t>消防宣传工作</w:t>
      </w:r>
    </w:p>
    <w:p w14:paraId="19EF42FA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绩效目标：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eastAsia="zh-CN"/>
        </w:rPr>
        <w:t>加强社会面火灾防控力度，要求</w:t>
      </w: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机关、团体、企业、事业单位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eastAsia="zh-CN"/>
        </w:rPr>
        <w:t>定期开展消防培训；利用重大活动、消防宣传月及节假日期间采取面对面、视频、公众号等多种形式抓好消防宣传，培养公众自护自救能力。</w:t>
      </w:r>
    </w:p>
    <w:p w14:paraId="7EA52443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绩效指标：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eastAsia="zh-CN"/>
        </w:rPr>
        <w:t>提高公众的消防安全意识，提升公众减少火灾危害的知识，帮助公众掌握逃生处置知识，增强公众在防火安全方面的社会责任</w:t>
      </w: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。</w:t>
      </w:r>
    </w:p>
    <w:p w14:paraId="389A2141">
      <w:pPr>
        <w:numPr>
          <w:ilvl w:val="0"/>
          <w:numId w:val="0"/>
        </w:numPr>
        <w:spacing w:line="500" w:lineRule="exact"/>
        <w:ind w:left="1050" w:leftChars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Times New Roman"/>
          <w:sz w:val="32"/>
          <w:szCs w:val="32"/>
        </w:rPr>
        <w:t>政府采购预算情况</w:t>
      </w:r>
    </w:p>
    <w:p w14:paraId="6693164B">
      <w:pPr>
        <w:widowControl w:val="0"/>
        <w:autoSpaceDE w:val="0"/>
        <w:autoSpaceDN w:val="0"/>
        <w:adjustRightInd w:val="0"/>
        <w:ind w:firstLine="960" w:firstLineChars="300"/>
        <w:jc w:val="left"/>
        <w:rPr>
          <w:rFonts w:ascii="??_GB2312" w:hAnsi="??_GB2312" w:eastAsia="Times New Roman" w:cs="??_GB2312"/>
          <w:kern w:val="2"/>
          <w:sz w:val="32"/>
          <w:szCs w:val="32"/>
          <w:lang w:eastAsia="zh-CN"/>
        </w:rPr>
      </w:pP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202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val="en-US" w:eastAsia="zh-CN"/>
        </w:rPr>
        <w:t>3</w:t>
      </w: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年，唐山市曹妃甸区消防救援大队安排政府采购预算</w:t>
      </w:r>
      <w:r>
        <w:rPr>
          <w:rFonts w:hint="eastAsia" w:ascii="??_GB2312" w:hAnsi="??_GB2312" w:eastAsia="Times New Roman" w:cs="??_GB2312"/>
          <w:kern w:val="2"/>
          <w:sz w:val="32"/>
          <w:szCs w:val="32"/>
          <w:lang w:val="en-US" w:eastAsia="zh-CN"/>
        </w:rPr>
        <w:t>150.00</w:t>
      </w:r>
      <w:r>
        <w:rPr>
          <w:rFonts w:ascii="??_GB2312" w:hAnsi="??_GB2312" w:eastAsia="Times New Roman" w:cs="??_GB2312"/>
          <w:kern w:val="2"/>
          <w:sz w:val="32"/>
          <w:szCs w:val="32"/>
          <w:lang w:eastAsia="zh-CN"/>
        </w:rPr>
        <w:t>万元。具体内容见下表。</w:t>
      </w:r>
    </w:p>
    <w:p w14:paraId="5227FA18">
      <w:pPr>
        <w:numPr>
          <w:ilvl w:val="0"/>
          <w:numId w:val="0"/>
        </w:numPr>
        <w:autoSpaceDE w:val="0"/>
        <w:autoSpaceDN w:val="0"/>
        <w:adjustRightInd w:val="0"/>
        <w:ind w:leftChars="200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</w:p>
    <w:p w14:paraId="7F1CF5BF">
      <w:pPr>
        <w:jc w:val="center"/>
      </w:pPr>
      <w:r>
        <w:rPr>
          <w:rFonts w:ascii="Times New Roman" w:hAnsi="Times New Roman" w:eastAsia="Times New Roman" w:cs="Times New Roman"/>
          <w:sz w:val="32"/>
          <w:szCs w:val="24"/>
        </w:rPr>
        <w:t xml:space="preserve"> 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>单位政府采购预算</w:t>
      </w:r>
    </w:p>
    <w:tbl>
      <w:tblPr>
        <w:tblStyle w:val="9"/>
        <w:tblW w:w="160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912"/>
        <w:gridCol w:w="1356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7E43E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702A16">
            <w:pPr>
              <w:pStyle w:val="21"/>
            </w:pPr>
            <w:r>
              <w:t>427唐山市曹妃甸区消防救援大队</w:t>
            </w:r>
          </w:p>
        </w:tc>
        <w:tc>
          <w:tcPr>
            <w:tcW w:w="8676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B80158">
            <w:pPr>
              <w:pStyle w:val="22"/>
            </w:pPr>
            <w:r>
              <w:t>单位：万元</w:t>
            </w:r>
          </w:p>
        </w:tc>
      </w:tr>
      <w:tr w14:paraId="1DF96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50B903AA">
            <w:pPr>
              <w:pStyle w:val="23"/>
            </w:pPr>
            <w:r>
              <w:t>政府采购项目来源</w:t>
            </w:r>
          </w:p>
        </w:tc>
        <w:tc>
          <w:tcPr>
            <w:tcW w:w="912" w:type="dxa"/>
            <w:vMerge w:val="restart"/>
            <w:vAlign w:val="center"/>
          </w:tcPr>
          <w:p w14:paraId="6418F9A7">
            <w:pPr>
              <w:pStyle w:val="23"/>
            </w:pPr>
            <w:r>
              <w:t>采购物品名称</w:t>
            </w:r>
          </w:p>
        </w:tc>
        <w:tc>
          <w:tcPr>
            <w:tcW w:w="1356" w:type="dxa"/>
            <w:vMerge w:val="restart"/>
            <w:vAlign w:val="center"/>
          </w:tcPr>
          <w:p w14:paraId="578332D3">
            <w:pPr>
              <w:pStyle w:val="23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28BED5EE">
            <w:pPr>
              <w:pStyle w:val="23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 w14:paraId="5E1C4CFC">
            <w:pPr>
              <w:pStyle w:val="23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00BD0A66">
            <w:pPr>
              <w:pStyle w:val="23"/>
            </w:pPr>
            <w:r>
              <w:t>单价</w:t>
            </w:r>
          </w:p>
        </w:tc>
        <w:tc>
          <w:tcPr>
            <w:tcW w:w="7712" w:type="dxa"/>
            <w:gridSpan w:val="8"/>
            <w:vAlign w:val="center"/>
          </w:tcPr>
          <w:p w14:paraId="68189CB6">
            <w:pPr>
              <w:pStyle w:val="23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1AA7D887">
            <w:pPr>
              <w:pStyle w:val="23"/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  预留中  小微企  业份额</w:t>
            </w:r>
          </w:p>
        </w:tc>
      </w:tr>
      <w:tr w14:paraId="5C927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4EA02A8C">
            <w:pPr>
              <w:pStyle w:val="23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52C9BAE">
            <w:pPr>
              <w:pStyle w:val="23"/>
            </w:pPr>
            <w:r>
              <w:t>预算    资金</w:t>
            </w:r>
          </w:p>
        </w:tc>
        <w:tc>
          <w:tcPr>
            <w:tcW w:w="912" w:type="dxa"/>
            <w:vMerge w:val="continue"/>
          </w:tcPr>
          <w:p w14:paraId="29BD3050"/>
        </w:tc>
        <w:tc>
          <w:tcPr>
            <w:tcW w:w="1356" w:type="dxa"/>
            <w:vMerge w:val="continue"/>
          </w:tcPr>
          <w:p w14:paraId="4BFD9744"/>
        </w:tc>
        <w:tc>
          <w:tcPr>
            <w:tcW w:w="709" w:type="dxa"/>
            <w:vMerge w:val="continue"/>
          </w:tcPr>
          <w:p w14:paraId="20C67A2B"/>
        </w:tc>
        <w:tc>
          <w:tcPr>
            <w:tcW w:w="850" w:type="dxa"/>
            <w:vMerge w:val="continue"/>
          </w:tcPr>
          <w:p w14:paraId="0D61B555"/>
        </w:tc>
        <w:tc>
          <w:tcPr>
            <w:tcW w:w="850" w:type="dxa"/>
            <w:vMerge w:val="continue"/>
          </w:tcPr>
          <w:p w14:paraId="15404A15"/>
        </w:tc>
        <w:tc>
          <w:tcPr>
            <w:tcW w:w="964" w:type="dxa"/>
            <w:vAlign w:val="center"/>
          </w:tcPr>
          <w:p w14:paraId="55A8D65B">
            <w:pPr>
              <w:pStyle w:val="23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66C0F4D5">
            <w:pPr>
              <w:pStyle w:val="23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531B3465">
            <w:pPr>
              <w:pStyle w:val="23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62DB1E8D">
            <w:pPr>
              <w:pStyle w:val="23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2DB51A25">
            <w:pPr>
              <w:pStyle w:val="23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6BBD3647">
            <w:pPr>
              <w:pStyle w:val="23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50A19A30">
            <w:pPr>
              <w:pStyle w:val="23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14:paraId="53AE7ECE">
            <w:pPr>
              <w:pStyle w:val="23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 w14:paraId="4D6FFA3F"/>
        </w:tc>
      </w:tr>
      <w:tr w14:paraId="71AC4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F4BBB54">
            <w:pPr>
              <w:pStyle w:val="2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964" w:type="dxa"/>
            <w:vAlign w:val="center"/>
          </w:tcPr>
          <w:p w14:paraId="12F6902A">
            <w:pPr>
              <w:pStyle w:val="25"/>
              <w:rPr>
                <w:rFonts w:hint="eastAsia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1F5A6C1">
            <w:pPr>
              <w:pStyle w:val="24"/>
            </w:pPr>
          </w:p>
        </w:tc>
        <w:tc>
          <w:tcPr>
            <w:tcW w:w="1356" w:type="dxa"/>
            <w:vAlign w:val="center"/>
          </w:tcPr>
          <w:p w14:paraId="3C85676E">
            <w:pPr>
              <w:pStyle w:val="24"/>
              <w:rPr>
                <w:rFonts w:hint="eastAsia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17B6581">
            <w:pPr>
              <w:pStyle w:val="26"/>
              <w:rPr>
                <w:rFonts w:hint="eastAsia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0D3B6B3">
            <w:pPr>
              <w:pStyle w:val="25"/>
              <w:rPr>
                <w:rFonts w:hint="eastAsia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F31D2B0">
            <w:pPr>
              <w:pStyle w:val="25"/>
              <w:rPr>
                <w:rFonts w:hint="eastAsia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15585A21"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150.00</w:t>
            </w:r>
          </w:p>
        </w:tc>
        <w:tc>
          <w:tcPr>
            <w:tcW w:w="964" w:type="dxa"/>
            <w:vAlign w:val="center"/>
          </w:tcPr>
          <w:p w14:paraId="223ABBA0"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150.00</w:t>
            </w:r>
          </w:p>
        </w:tc>
        <w:tc>
          <w:tcPr>
            <w:tcW w:w="964" w:type="dxa"/>
            <w:vAlign w:val="center"/>
          </w:tcPr>
          <w:p w14:paraId="45597A49">
            <w:pPr>
              <w:pStyle w:val="25"/>
            </w:pPr>
          </w:p>
        </w:tc>
        <w:tc>
          <w:tcPr>
            <w:tcW w:w="964" w:type="dxa"/>
            <w:vAlign w:val="center"/>
          </w:tcPr>
          <w:p w14:paraId="3E117023">
            <w:pPr>
              <w:pStyle w:val="25"/>
            </w:pPr>
          </w:p>
        </w:tc>
        <w:tc>
          <w:tcPr>
            <w:tcW w:w="964" w:type="dxa"/>
            <w:vAlign w:val="center"/>
          </w:tcPr>
          <w:p w14:paraId="6F6FBE9E">
            <w:pPr>
              <w:pStyle w:val="25"/>
            </w:pPr>
          </w:p>
        </w:tc>
        <w:tc>
          <w:tcPr>
            <w:tcW w:w="964" w:type="dxa"/>
            <w:vAlign w:val="center"/>
          </w:tcPr>
          <w:p w14:paraId="222CB4DC">
            <w:pPr>
              <w:pStyle w:val="25"/>
            </w:pPr>
          </w:p>
        </w:tc>
        <w:tc>
          <w:tcPr>
            <w:tcW w:w="964" w:type="dxa"/>
            <w:vAlign w:val="center"/>
          </w:tcPr>
          <w:p w14:paraId="57AE5F38">
            <w:pPr>
              <w:pStyle w:val="25"/>
            </w:pPr>
          </w:p>
        </w:tc>
        <w:tc>
          <w:tcPr>
            <w:tcW w:w="964" w:type="dxa"/>
            <w:vAlign w:val="center"/>
          </w:tcPr>
          <w:p w14:paraId="1F168A18">
            <w:pPr>
              <w:pStyle w:val="25"/>
            </w:pPr>
          </w:p>
        </w:tc>
        <w:tc>
          <w:tcPr>
            <w:tcW w:w="964" w:type="dxa"/>
            <w:vAlign w:val="center"/>
          </w:tcPr>
          <w:p w14:paraId="6E007786"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150.00</w:t>
            </w:r>
          </w:p>
        </w:tc>
      </w:tr>
      <w:tr w14:paraId="5B67B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39D7F37">
            <w:pPr>
              <w:pStyle w:val="2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新建消防车车库</w:t>
            </w:r>
          </w:p>
        </w:tc>
        <w:tc>
          <w:tcPr>
            <w:tcW w:w="964" w:type="dxa"/>
            <w:vAlign w:val="center"/>
          </w:tcPr>
          <w:p w14:paraId="684EB4E6"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912" w:type="dxa"/>
            <w:vAlign w:val="center"/>
          </w:tcPr>
          <w:p w14:paraId="436980E1">
            <w:pPr>
              <w:pStyle w:val="24"/>
            </w:pPr>
            <w:r>
              <w:t>其他构筑物工程施工</w:t>
            </w:r>
          </w:p>
        </w:tc>
        <w:tc>
          <w:tcPr>
            <w:tcW w:w="1356" w:type="dxa"/>
            <w:vAlign w:val="center"/>
          </w:tcPr>
          <w:p w14:paraId="28DD250E">
            <w:pPr>
              <w:pStyle w:val="2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B02990000</w:t>
            </w:r>
          </w:p>
        </w:tc>
        <w:tc>
          <w:tcPr>
            <w:tcW w:w="709" w:type="dxa"/>
            <w:vAlign w:val="center"/>
          </w:tcPr>
          <w:p w14:paraId="7B295EE7">
            <w:pPr>
              <w:pStyle w:val="2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850" w:type="dxa"/>
            <w:vAlign w:val="center"/>
          </w:tcPr>
          <w:p w14:paraId="311D1358">
            <w:pPr>
              <w:pStyle w:val="2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7078AB06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964" w:type="dxa"/>
            <w:vAlign w:val="center"/>
          </w:tcPr>
          <w:p w14:paraId="51001D47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964" w:type="dxa"/>
            <w:vAlign w:val="center"/>
          </w:tcPr>
          <w:p w14:paraId="5AB953C6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964" w:type="dxa"/>
            <w:vAlign w:val="center"/>
          </w:tcPr>
          <w:p w14:paraId="42407BE4">
            <w:pPr>
              <w:pStyle w:val="25"/>
            </w:pPr>
          </w:p>
        </w:tc>
        <w:tc>
          <w:tcPr>
            <w:tcW w:w="964" w:type="dxa"/>
            <w:vAlign w:val="center"/>
          </w:tcPr>
          <w:p w14:paraId="0731A239">
            <w:pPr>
              <w:pStyle w:val="25"/>
            </w:pPr>
          </w:p>
        </w:tc>
        <w:tc>
          <w:tcPr>
            <w:tcW w:w="964" w:type="dxa"/>
            <w:vAlign w:val="center"/>
          </w:tcPr>
          <w:p w14:paraId="5B6023A0">
            <w:pPr>
              <w:pStyle w:val="25"/>
            </w:pPr>
          </w:p>
        </w:tc>
        <w:tc>
          <w:tcPr>
            <w:tcW w:w="964" w:type="dxa"/>
            <w:vAlign w:val="center"/>
          </w:tcPr>
          <w:p w14:paraId="074A1D0E">
            <w:pPr>
              <w:pStyle w:val="25"/>
            </w:pPr>
          </w:p>
        </w:tc>
        <w:tc>
          <w:tcPr>
            <w:tcW w:w="964" w:type="dxa"/>
            <w:vAlign w:val="center"/>
          </w:tcPr>
          <w:p w14:paraId="3D2085C4">
            <w:pPr>
              <w:pStyle w:val="25"/>
            </w:pPr>
          </w:p>
        </w:tc>
        <w:tc>
          <w:tcPr>
            <w:tcW w:w="964" w:type="dxa"/>
            <w:vAlign w:val="center"/>
          </w:tcPr>
          <w:p w14:paraId="72093AF9">
            <w:pPr>
              <w:pStyle w:val="25"/>
            </w:pPr>
          </w:p>
        </w:tc>
        <w:tc>
          <w:tcPr>
            <w:tcW w:w="964" w:type="dxa"/>
            <w:vAlign w:val="center"/>
          </w:tcPr>
          <w:p w14:paraId="5FFD80E9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</w:tr>
      <w:tr w14:paraId="14C33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AD94709">
            <w:pPr>
              <w:pStyle w:val="2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消防规划经费</w:t>
            </w:r>
          </w:p>
        </w:tc>
        <w:tc>
          <w:tcPr>
            <w:tcW w:w="964" w:type="dxa"/>
            <w:vAlign w:val="center"/>
          </w:tcPr>
          <w:p w14:paraId="4C7D7B1B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</w:t>
            </w:r>
          </w:p>
        </w:tc>
        <w:tc>
          <w:tcPr>
            <w:tcW w:w="912" w:type="dxa"/>
            <w:vAlign w:val="center"/>
          </w:tcPr>
          <w:p w14:paraId="103FE575">
            <w:pPr>
              <w:pStyle w:val="24"/>
            </w:pPr>
            <w:r>
              <w:t>区域规划和设计服务</w:t>
            </w:r>
          </w:p>
        </w:tc>
        <w:tc>
          <w:tcPr>
            <w:tcW w:w="1356" w:type="dxa"/>
            <w:vAlign w:val="center"/>
          </w:tcPr>
          <w:p w14:paraId="3EEDFA9C">
            <w:pPr>
              <w:pStyle w:val="2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C13010000</w:t>
            </w:r>
          </w:p>
        </w:tc>
        <w:tc>
          <w:tcPr>
            <w:tcW w:w="709" w:type="dxa"/>
            <w:vAlign w:val="center"/>
          </w:tcPr>
          <w:p w14:paraId="71ACC547">
            <w:pPr>
              <w:pStyle w:val="2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850" w:type="dxa"/>
            <w:vAlign w:val="center"/>
          </w:tcPr>
          <w:p w14:paraId="315EC4FF">
            <w:pPr>
              <w:pStyle w:val="2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7A0D47FB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</w:t>
            </w:r>
          </w:p>
        </w:tc>
        <w:tc>
          <w:tcPr>
            <w:tcW w:w="964" w:type="dxa"/>
            <w:vAlign w:val="center"/>
          </w:tcPr>
          <w:p w14:paraId="45650CF3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</w:t>
            </w:r>
          </w:p>
        </w:tc>
        <w:tc>
          <w:tcPr>
            <w:tcW w:w="964" w:type="dxa"/>
            <w:vAlign w:val="center"/>
          </w:tcPr>
          <w:p w14:paraId="73B72FB5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</w:t>
            </w:r>
          </w:p>
        </w:tc>
        <w:tc>
          <w:tcPr>
            <w:tcW w:w="964" w:type="dxa"/>
            <w:vAlign w:val="center"/>
          </w:tcPr>
          <w:p w14:paraId="15FB9BBE">
            <w:pPr>
              <w:pStyle w:val="25"/>
            </w:pPr>
          </w:p>
        </w:tc>
        <w:tc>
          <w:tcPr>
            <w:tcW w:w="964" w:type="dxa"/>
            <w:vAlign w:val="center"/>
          </w:tcPr>
          <w:p w14:paraId="24CA618F">
            <w:pPr>
              <w:pStyle w:val="25"/>
            </w:pPr>
          </w:p>
        </w:tc>
        <w:tc>
          <w:tcPr>
            <w:tcW w:w="964" w:type="dxa"/>
            <w:vAlign w:val="center"/>
          </w:tcPr>
          <w:p w14:paraId="3D930151">
            <w:pPr>
              <w:pStyle w:val="25"/>
            </w:pPr>
          </w:p>
        </w:tc>
        <w:tc>
          <w:tcPr>
            <w:tcW w:w="964" w:type="dxa"/>
            <w:vAlign w:val="center"/>
          </w:tcPr>
          <w:p w14:paraId="34B99946">
            <w:pPr>
              <w:pStyle w:val="25"/>
            </w:pPr>
          </w:p>
        </w:tc>
        <w:tc>
          <w:tcPr>
            <w:tcW w:w="964" w:type="dxa"/>
            <w:vAlign w:val="center"/>
          </w:tcPr>
          <w:p w14:paraId="3576B09E">
            <w:pPr>
              <w:pStyle w:val="25"/>
            </w:pPr>
          </w:p>
        </w:tc>
        <w:tc>
          <w:tcPr>
            <w:tcW w:w="964" w:type="dxa"/>
            <w:vAlign w:val="center"/>
          </w:tcPr>
          <w:p w14:paraId="080FBC17">
            <w:pPr>
              <w:pStyle w:val="25"/>
            </w:pPr>
          </w:p>
        </w:tc>
        <w:tc>
          <w:tcPr>
            <w:tcW w:w="964" w:type="dxa"/>
            <w:vAlign w:val="center"/>
          </w:tcPr>
          <w:p w14:paraId="3294C52B">
            <w:pPr>
              <w:pStyle w:val="2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</w:t>
            </w:r>
          </w:p>
        </w:tc>
      </w:tr>
    </w:tbl>
    <w:p w14:paraId="6163DBA2"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宋体"/>
          <w:sz w:val="32"/>
          <w:szCs w:val="24"/>
          <w:lang w:eastAsia="zh-CN"/>
        </w:rPr>
      </w:pPr>
    </w:p>
    <w:p w14:paraId="1E1CAD35"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七、国有资产信息</w:t>
      </w:r>
    </w:p>
    <w:p w14:paraId="1A189FFA">
      <w:pPr>
        <w:ind w:left="420" w:leftChars="200" w:firstLine="537" w:firstLineChars="168"/>
        <w:rPr>
          <w:rFonts w:hint="default" w:ascii="??_GB2312" w:hAnsi="黑体" w:eastAsia="宋体" w:cs="Times New Roman"/>
          <w:color w:val="FF0000"/>
          <w:sz w:val="32"/>
          <w:szCs w:val="32"/>
          <w:lang w:val="en-US" w:eastAsia="zh-CN"/>
        </w:rPr>
      </w:pPr>
      <w:r>
        <w:rPr>
          <w:rFonts w:ascii="??_GB2312" w:hAnsi="黑体" w:eastAsia="Times New Roman" w:cs="Times New Roman"/>
          <w:sz w:val="32"/>
          <w:szCs w:val="32"/>
        </w:rPr>
        <w:t>上年末固定资产金额</w:t>
      </w:r>
      <w:r>
        <w:rPr>
          <w:rFonts w:ascii="??_GB2312" w:hAnsi="黑体" w:eastAsia="Times New Roman" w:cs="Times New Roman"/>
          <w:color w:val="auto"/>
          <w:sz w:val="32"/>
          <w:szCs w:val="32"/>
        </w:rPr>
        <w:t>为</w:t>
      </w:r>
      <w:r>
        <w:rPr>
          <w:rFonts w:hint="eastAsia" w:ascii="??_GB2312" w:hAnsi="黑体" w:cs="Times New Roman"/>
          <w:color w:val="auto"/>
          <w:sz w:val="32"/>
          <w:szCs w:val="32"/>
          <w:lang w:val="en-US" w:eastAsia="zh-CN"/>
        </w:rPr>
        <w:t>3456.07</w:t>
      </w:r>
      <w:r>
        <w:rPr>
          <w:rFonts w:ascii="??_GB2312" w:hAnsi="黑体" w:eastAsia="Times New Roman" w:cs="Times New Roman"/>
          <w:color w:val="auto"/>
          <w:sz w:val="32"/>
          <w:szCs w:val="32"/>
        </w:rPr>
        <w:t>万</w:t>
      </w:r>
      <w:r>
        <w:rPr>
          <w:rFonts w:ascii="??_GB2312" w:hAnsi="黑体" w:eastAsia="Times New Roman" w:cs="Times New Roman"/>
          <w:sz w:val="32"/>
          <w:szCs w:val="32"/>
        </w:rPr>
        <w:t>元（详见下表），本年度拟购置固定资产</w:t>
      </w:r>
      <w:r>
        <w:rPr>
          <w:rFonts w:hint="eastAsia" w:ascii="??_GB2312" w:hAnsi="黑体" w:cs="Times New Roman"/>
          <w:sz w:val="32"/>
          <w:szCs w:val="32"/>
          <w:lang w:val="en-US" w:eastAsia="zh-CN"/>
        </w:rPr>
        <w:t>90万元。</w:t>
      </w: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5DC9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E40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唐山市曹妃甸区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消防救援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大队固定资产占用情况表</w:t>
            </w:r>
          </w:p>
        </w:tc>
      </w:tr>
      <w:tr w14:paraId="44DA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616E">
            <w:pPr>
              <w:widowControl/>
              <w:jc w:val="left"/>
              <w:rPr>
                <w:rFonts w:hint="eastAsia" w:asci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唐山市曹妃甸区消防救援大队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C1BE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14:paraId="105E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57D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9365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8C17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694A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B75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E991B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DF7F3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3456.07</w:t>
            </w:r>
          </w:p>
        </w:tc>
      </w:tr>
      <w:tr w14:paraId="7897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704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49557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3998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1D292">
            <w:pPr>
              <w:widowControl/>
              <w:jc w:val="center"/>
              <w:rPr>
                <w:rFonts w:hint="default" w:ascii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1302.10</w:t>
            </w:r>
          </w:p>
        </w:tc>
      </w:tr>
      <w:tr w14:paraId="1AF1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44E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11B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3E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46361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16F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17C11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73252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1627.07</w:t>
            </w:r>
          </w:p>
        </w:tc>
      </w:tr>
      <w:tr w14:paraId="0FC6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047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BA12C"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325FA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56.6</w:t>
            </w:r>
          </w:p>
        </w:tc>
      </w:tr>
      <w:tr w14:paraId="58CF3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66C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54053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91B9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470.3</w:t>
            </w:r>
          </w:p>
        </w:tc>
      </w:tr>
    </w:tbl>
    <w:p w14:paraId="3333A6F7">
      <w:pPr>
        <w:rPr>
          <w:rFonts w:ascii="??_GB2312" w:hAnsi="黑体" w:eastAsia="Times New Roman" w:cs="Times New Roman"/>
          <w:sz w:val="32"/>
          <w:szCs w:val="32"/>
        </w:rPr>
      </w:pPr>
    </w:p>
    <w:p w14:paraId="48A73C1D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</w:rPr>
        <w:t>、名词解释</w:t>
      </w:r>
    </w:p>
    <w:p w14:paraId="509688EB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、一般预算收入：</w:t>
      </w:r>
      <w:r>
        <w:rPr>
          <w:rFonts w:hint="eastAsia" w:ascii="宋体" w:hAnsi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cs="宋体"/>
          <w:sz w:val="32"/>
          <w:szCs w:val="32"/>
        </w:rPr>
        <w:t>级财政当年拨付的资金。</w:t>
      </w:r>
    </w:p>
    <w:p w14:paraId="667DB3B1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、基本支出：为保障机构正常运转，完成日常工作任务，而发生的人员支出和公用支出。</w:t>
      </w:r>
    </w:p>
    <w:p w14:paraId="5F1CC86D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、项目支出：是指在基本支出之外，为完成特定行政任务和事业发展目标，而发生的支出。</w:t>
      </w:r>
    </w:p>
    <w:p w14:paraId="48918899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 w14:paraId="2C8F004E">
      <w:pPr>
        <w:autoSpaceDE w:val="0"/>
        <w:autoSpaceDN w:val="0"/>
        <w:adjustRightInd w:val="0"/>
        <w:ind w:left="420" w:leftChars="200" w:firstLine="643" w:firstLineChars="200"/>
        <w:jc w:val="left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 w14:paraId="52214789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??_GB2312" w:hAnsi="??_GB2312" w:eastAsia="Times New Roman" w:cs="??_GB2312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65A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4F1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4F1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FD9C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302D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1B8C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A172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2934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4CE1C6"/>
    <w:multiLevelType w:val="singleLevel"/>
    <w:tmpl w:val="594CE1C6"/>
    <w:lvl w:ilvl="0" w:tentative="0">
      <w:start w:val="4"/>
      <w:numFmt w:val="chineseCounting"/>
      <w:suff w:val="nothing"/>
      <w:lvlText w:val="%1、"/>
      <w:lvlJc w:val="left"/>
      <w:pPr>
        <w:ind w:left="212"/>
      </w:pPr>
      <w:rPr>
        <w:rFonts w:cs="Times New Roman"/>
      </w:rPr>
    </w:lvl>
  </w:abstractNum>
  <w:abstractNum w:abstractNumId="2">
    <w:nsid w:val="7437D040"/>
    <w:multiLevelType w:val="singleLevel"/>
    <w:tmpl w:val="7437D0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GFhOWQzOTI3MzYyYzZkZTM0NWFkZTRkZDk2ZDEifQ=="/>
  </w:docVars>
  <w:rsids>
    <w:rsidRoot w:val="00172A27"/>
    <w:rsid w:val="0004433B"/>
    <w:rsid w:val="000673DD"/>
    <w:rsid w:val="00172A27"/>
    <w:rsid w:val="001C42F8"/>
    <w:rsid w:val="002D5153"/>
    <w:rsid w:val="002F6676"/>
    <w:rsid w:val="00380997"/>
    <w:rsid w:val="003E2B9A"/>
    <w:rsid w:val="00411FAB"/>
    <w:rsid w:val="004D14E0"/>
    <w:rsid w:val="00593417"/>
    <w:rsid w:val="00614FCD"/>
    <w:rsid w:val="006B6426"/>
    <w:rsid w:val="00A5267D"/>
    <w:rsid w:val="00AD101B"/>
    <w:rsid w:val="00C602A7"/>
    <w:rsid w:val="00D30A42"/>
    <w:rsid w:val="00D51A3D"/>
    <w:rsid w:val="00E431C5"/>
    <w:rsid w:val="00F53B3C"/>
    <w:rsid w:val="012A239C"/>
    <w:rsid w:val="019C7C30"/>
    <w:rsid w:val="02335EF2"/>
    <w:rsid w:val="03090497"/>
    <w:rsid w:val="04D503A2"/>
    <w:rsid w:val="04D63CC6"/>
    <w:rsid w:val="054D67D7"/>
    <w:rsid w:val="059E7B97"/>
    <w:rsid w:val="05CB35CC"/>
    <w:rsid w:val="06B16299"/>
    <w:rsid w:val="06C1476A"/>
    <w:rsid w:val="07DE7DC9"/>
    <w:rsid w:val="081465EC"/>
    <w:rsid w:val="0820386A"/>
    <w:rsid w:val="085A5FF7"/>
    <w:rsid w:val="08A95FA5"/>
    <w:rsid w:val="08B872E5"/>
    <w:rsid w:val="09092077"/>
    <w:rsid w:val="09231CED"/>
    <w:rsid w:val="092558D8"/>
    <w:rsid w:val="09CB3DD4"/>
    <w:rsid w:val="0A2F600A"/>
    <w:rsid w:val="0A5125DC"/>
    <w:rsid w:val="0A691AC0"/>
    <w:rsid w:val="0ABE2AF7"/>
    <w:rsid w:val="0B9B7752"/>
    <w:rsid w:val="0C1069CD"/>
    <w:rsid w:val="0C8A426D"/>
    <w:rsid w:val="0CFF01E7"/>
    <w:rsid w:val="0D0901FD"/>
    <w:rsid w:val="0D2546FA"/>
    <w:rsid w:val="0D3D7863"/>
    <w:rsid w:val="0D6940AE"/>
    <w:rsid w:val="0DAB6E6C"/>
    <w:rsid w:val="0DAF6A4C"/>
    <w:rsid w:val="0DB86629"/>
    <w:rsid w:val="0DF41F9F"/>
    <w:rsid w:val="0E603B08"/>
    <w:rsid w:val="0F1C0F39"/>
    <w:rsid w:val="0FA97864"/>
    <w:rsid w:val="10040034"/>
    <w:rsid w:val="10667503"/>
    <w:rsid w:val="106F0F18"/>
    <w:rsid w:val="108B1164"/>
    <w:rsid w:val="10915DFA"/>
    <w:rsid w:val="10C216A5"/>
    <w:rsid w:val="10F65709"/>
    <w:rsid w:val="11AC6046"/>
    <w:rsid w:val="11B14DCE"/>
    <w:rsid w:val="11BD51BB"/>
    <w:rsid w:val="12D270D2"/>
    <w:rsid w:val="12E506F2"/>
    <w:rsid w:val="12F40DF6"/>
    <w:rsid w:val="134A41DC"/>
    <w:rsid w:val="1375326E"/>
    <w:rsid w:val="13914772"/>
    <w:rsid w:val="13FE75A2"/>
    <w:rsid w:val="143C333E"/>
    <w:rsid w:val="144C4819"/>
    <w:rsid w:val="145C7D89"/>
    <w:rsid w:val="148A7C64"/>
    <w:rsid w:val="14CC196F"/>
    <w:rsid w:val="14CF5E38"/>
    <w:rsid w:val="14E930C8"/>
    <w:rsid w:val="14FB53F2"/>
    <w:rsid w:val="1543556B"/>
    <w:rsid w:val="15EA7522"/>
    <w:rsid w:val="161C4FA1"/>
    <w:rsid w:val="168A1168"/>
    <w:rsid w:val="16A701A7"/>
    <w:rsid w:val="16BA4DEF"/>
    <w:rsid w:val="173E1959"/>
    <w:rsid w:val="17A95DC3"/>
    <w:rsid w:val="17B27C12"/>
    <w:rsid w:val="182B5206"/>
    <w:rsid w:val="185076DA"/>
    <w:rsid w:val="18A62454"/>
    <w:rsid w:val="18E406CF"/>
    <w:rsid w:val="19286154"/>
    <w:rsid w:val="194574B8"/>
    <w:rsid w:val="19AF0340"/>
    <w:rsid w:val="19E44D4F"/>
    <w:rsid w:val="1A204D2F"/>
    <w:rsid w:val="1A5C753D"/>
    <w:rsid w:val="1A6C0E84"/>
    <w:rsid w:val="1A7C3068"/>
    <w:rsid w:val="1A924D3A"/>
    <w:rsid w:val="1ABC6E82"/>
    <w:rsid w:val="1ACE7A54"/>
    <w:rsid w:val="1B226348"/>
    <w:rsid w:val="1B541631"/>
    <w:rsid w:val="1B6C046B"/>
    <w:rsid w:val="1BE53302"/>
    <w:rsid w:val="1C2221FC"/>
    <w:rsid w:val="1C6462EB"/>
    <w:rsid w:val="1C6D28A3"/>
    <w:rsid w:val="1C9B32F7"/>
    <w:rsid w:val="1CA325E5"/>
    <w:rsid w:val="1CC5044C"/>
    <w:rsid w:val="1D4A0F47"/>
    <w:rsid w:val="1D6A54E7"/>
    <w:rsid w:val="1DC43078"/>
    <w:rsid w:val="1DE31299"/>
    <w:rsid w:val="1E0025B4"/>
    <w:rsid w:val="1ECF6A22"/>
    <w:rsid w:val="1EFD53AF"/>
    <w:rsid w:val="1F436A91"/>
    <w:rsid w:val="20490F69"/>
    <w:rsid w:val="20880B42"/>
    <w:rsid w:val="20A400E7"/>
    <w:rsid w:val="20D06600"/>
    <w:rsid w:val="2146759E"/>
    <w:rsid w:val="21B366E4"/>
    <w:rsid w:val="23600A1C"/>
    <w:rsid w:val="237952BB"/>
    <w:rsid w:val="23963804"/>
    <w:rsid w:val="23F13D03"/>
    <w:rsid w:val="23F46835"/>
    <w:rsid w:val="23F95635"/>
    <w:rsid w:val="249343C9"/>
    <w:rsid w:val="24E84C05"/>
    <w:rsid w:val="253476E6"/>
    <w:rsid w:val="2573511A"/>
    <w:rsid w:val="25884F35"/>
    <w:rsid w:val="259E0AE0"/>
    <w:rsid w:val="262C16D1"/>
    <w:rsid w:val="26A175C9"/>
    <w:rsid w:val="26B55F79"/>
    <w:rsid w:val="26CA1FAE"/>
    <w:rsid w:val="27221124"/>
    <w:rsid w:val="27343DE2"/>
    <w:rsid w:val="273721EA"/>
    <w:rsid w:val="278C2826"/>
    <w:rsid w:val="279D52A2"/>
    <w:rsid w:val="284968B4"/>
    <w:rsid w:val="28543FD9"/>
    <w:rsid w:val="28594129"/>
    <w:rsid w:val="28601AF2"/>
    <w:rsid w:val="28617C24"/>
    <w:rsid w:val="28DA1AF6"/>
    <w:rsid w:val="297F5466"/>
    <w:rsid w:val="29C432E8"/>
    <w:rsid w:val="29EE469B"/>
    <w:rsid w:val="2A113DA1"/>
    <w:rsid w:val="2ADE76CE"/>
    <w:rsid w:val="2AF975AA"/>
    <w:rsid w:val="2B082BAD"/>
    <w:rsid w:val="2B2D036C"/>
    <w:rsid w:val="2B410FE9"/>
    <w:rsid w:val="2B504338"/>
    <w:rsid w:val="2B5D7A1A"/>
    <w:rsid w:val="2BCE7F4E"/>
    <w:rsid w:val="2C061DDE"/>
    <w:rsid w:val="2C0A32BC"/>
    <w:rsid w:val="2C343CEB"/>
    <w:rsid w:val="2C973BA3"/>
    <w:rsid w:val="2CD91EE1"/>
    <w:rsid w:val="2CF46F11"/>
    <w:rsid w:val="2D1459E8"/>
    <w:rsid w:val="2D227746"/>
    <w:rsid w:val="2D3D47D0"/>
    <w:rsid w:val="2D5C3717"/>
    <w:rsid w:val="2D9F209F"/>
    <w:rsid w:val="2DFA07EA"/>
    <w:rsid w:val="2E5A260F"/>
    <w:rsid w:val="2F9718C9"/>
    <w:rsid w:val="2FAF2DC0"/>
    <w:rsid w:val="2FE36387"/>
    <w:rsid w:val="2FEE2E38"/>
    <w:rsid w:val="302713B3"/>
    <w:rsid w:val="3053138C"/>
    <w:rsid w:val="30E81A5D"/>
    <w:rsid w:val="30FD1A2A"/>
    <w:rsid w:val="30FD6AE9"/>
    <w:rsid w:val="31341B25"/>
    <w:rsid w:val="317907B9"/>
    <w:rsid w:val="321560C6"/>
    <w:rsid w:val="32872E51"/>
    <w:rsid w:val="32916E0B"/>
    <w:rsid w:val="32A82BED"/>
    <w:rsid w:val="32B1065A"/>
    <w:rsid w:val="330C64E2"/>
    <w:rsid w:val="33EF2E31"/>
    <w:rsid w:val="340F5162"/>
    <w:rsid w:val="34CC0F38"/>
    <w:rsid w:val="350157B8"/>
    <w:rsid w:val="35066A3B"/>
    <w:rsid w:val="35CF16A6"/>
    <w:rsid w:val="362A10BD"/>
    <w:rsid w:val="36392466"/>
    <w:rsid w:val="364B7322"/>
    <w:rsid w:val="366D1BB3"/>
    <w:rsid w:val="36E56E3C"/>
    <w:rsid w:val="372903C2"/>
    <w:rsid w:val="37346343"/>
    <w:rsid w:val="376059F1"/>
    <w:rsid w:val="377914CC"/>
    <w:rsid w:val="37934448"/>
    <w:rsid w:val="37C434CD"/>
    <w:rsid w:val="38183751"/>
    <w:rsid w:val="38D43FE5"/>
    <w:rsid w:val="395F4C0D"/>
    <w:rsid w:val="398B5761"/>
    <w:rsid w:val="39B624A1"/>
    <w:rsid w:val="39CD2D2E"/>
    <w:rsid w:val="39FB760C"/>
    <w:rsid w:val="3A4C294A"/>
    <w:rsid w:val="3AC8059F"/>
    <w:rsid w:val="3AFD2855"/>
    <w:rsid w:val="3B1D60DE"/>
    <w:rsid w:val="3B7D37CF"/>
    <w:rsid w:val="3B83478A"/>
    <w:rsid w:val="3B9D05E2"/>
    <w:rsid w:val="3B9D3F7B"/>
    <w:rsid w:val="3BC06A63"/>
    <w:rsid w:val="3BDD0986"/>
    <w:rsid w:val="3C384BE4"/>
    <w:rsid w:val="3C8D26A6"/>
    <w:rsid w:val="3C9C75F9"/>
    <w:rsid w:val="3CDA3962"/>
    <w:rsid w:val="3CFC7ECA"/>
    <w:rsid w:val="3D1D7AE2"/>
    <w:rsid w:val="3E6C761E"/>
    <w:rsid w:val="3E965AED"/>
    <w:rsid w:val="3F675A63"/>
    <w:rsid w:val="40240161"/>
    <w:rsid w:val="40551F8F"/>
    <w:rsid w:val="407C2426"/>
    <w:rsid w:val="40B20202"/>
    <w:rsid w:val="41692E50"/>
    <w:rsid w:val="417B1318"/>
    <w:rsid w:val="419C34E5"/>
    <w:rsid w:val="419F040D"/>
    <w:rsid w:val="41FF77AE"/>
    <w:rsid w:val="42646472"/>
    <w:rsid w:val="42A41A2E"/>
    <w:rsid w:val="42E316CA"/>
    <w:rsid w:val="43761E3C"/>
    <w:rsid w:val="448130F9"/>
    <w:rsid w:val="44B058D0"/>
    <w:rsid w:val="45101056"/>
    <w:rsid w:val="45E25BB6"/>
    <w:rsid w:val="45F96FF6"/>
    <w:rsid w:val="460974D0"/>
    <w:rsid w:val="46451F49"/>
    <w:rsid w:val="471252BF"/>
    <w:rsid w:val="475066E2"/>
    <w:rsid w:val="477E5776"/>
    <w:rsid w:val="47E52DBD"/>
    <w:rsid w:val="488B5B00"/>
    <w:rsid w:val="489E0CC2"/>
    <w:rsid w:val="48B2042F"/>
    <w:rsid w:val="49A87C69"/>
    <w:rsid w:val="49D505C4"/>
    <w:rsid w:val="4A0940F1"/>
    <w:rsid w:val="4A456440"/>
    <w:rsid w:val="4AD240E4"/>
    <w:rsid w:val="4B4B2FA2"/>
    <w:rsid w:val="4B4C2876"/>
    <w:rsid w:val="4BCF4683"/>
    <w:rsid w:val="4BE67FC3"/>
    <w:rsid w:val="4C2832E3"/>
    <w:rsid w:val="4D224FAD"/>
    <w:rsid w:val="4D667939"/>
    <w:rsid w:val="4E4514FC"/>
    <w:rsid w:val="4ECC47AD"/>
    <w:rsid w:val="4EDD6388"/>
    <w:rsid w:val="4F086285"/>
    <w:rsid w:val="4F290E39"/>
    <w:rsid w:val="4F762266"/>
    <w:rsid w:val="4FEA6F7C"/>
    <w:rsid w:val="50340BE5"/>
    <w:rsid w:val="507B57E7"/>
    <w:rsid w:val="50B01F2D"/>
    <w:rsid w:val="50B06AAD"/>
    <w:rsid w:val="513275DC"/>
    <w:rsid w:val="51595E1C"/>
    <w:rsid w:val="516D3442"/>
    <w:rsid w:val="523A5B1F"/>
    <w:rsid w:val="525A132C"/>
    <w:rsid w:val="52F74406"/>
    <w:rsid w:val="52FF1FDD"/>
    <w:rsid w:val="53934B54"/>
    <w:rsid w:val="541438B3"/>
    <w:rsid w:val="550679C2"/>
    <w:rsid w:val="5569764D"/>
    <w:rsid w:val="55F26B94"/>
    <w:rsid w:val="563D166F"/>
    <w:rsid w:val="56412769"/>
    <w:rsid w:val="56A439CF"/>
    <w:rsid w:val="573856CB"/>
    <w:rsid w:val="57561823"/>
    <w:rsid w:val="57597432"/>
    <w:rsid w:val="57B21116"/>
    <w:rsid w:val="57D54E5A"/>
    <w:rsid w:val="57E97DCB"/>
    <w:rsid w:val="580A086F"/>
    <w:rsid w:val="588958A6"/>
    <w:rsid w:val="58C5140A"/>
    <w:rsid w:val="590C07F4"/>
    <w:rsid w:val="59557D09"/>
    <w:rsid w:val="59870125"/>
    <w:rsid w:val="59B82744"/>
    <w:rsid w:val="5A032EDB"/>
    <w:rsid w:val="5B0113A7"/>
    <w:rsid w:val="5B3475AF"/>
    <w:rsid w:val="5B5C63C2"/>
    <w:rsid w:val="5B7E6B9D"/>
    <w:rsid w:val="5B842721"/>
    <w:rsid w:val="5B8B705E"/>
    <w:rsid w:val="5BBF4D19"/>
    <w:rsid w:val="5BEB0213"/>
    <w:rsid w:val="5C5C3E00"/>
    <w:rsid w:val="5CCA349C"/>
    <w:rsid w:val="5CD179E4"/>
    <w:rsid w:val="5CEB430F"/>
    <w:rsid w:val="5CF32068"/>
    <w:rsid w:val="5D121EA6"/>
    <w:rsid w:val="5D3A53BB"/>
    <w:rsid w:val="5D8059C7"/>
    <w:rsid w:val="5EC11FB5"/>
    <w:rsid w:val="60AC6002"/>
    <w:rsid w:val="60E6759D"/>
    <w:rsid w:val="610F2376"/>
    <w:rsid w:val="617C048C"/>
    <w:rsid w:val="626B5043"/>
    <w:rsid w:val="62C06F29"/>
    <w:rsid w:val="62EA5906"/>
    <w:rsid w:val="63054C87"/>
    <w:rsid w:val="63DB49FE"/>
    <w:rsid w:val="63DB5825"/>
    <w:rsid w:val="64660C5F"/>
    <w:rsid w:val="64880910"/>
    <w:rsid w:val="65E30CFB"/>
    <w:rsid w:val="65FC5FA9"/>
    <w:rsid w:val="66581072"/>
    <w:rsid w:val="66D760DA"/>
    <w:rsid w:val="67352E69"/>
    <w:rsid w:val="679B05B6"/>
    <w:rsid w:val="67C9021A"/>
    <w:rsid w:val="68284979"/>
    <w:rsid w:val="68355718"/>
    <w:rsid w:val="68757351"/>
    <w:rsid w:val="69290FB9"/>
    <w:rsid w:val="69730F21"/>
    <w:rsid w:val="69BE4453"/>
    <w:rsid w:val="69CC1F32"/>
    <w:rsid w:val="6A10017A"/>
    <w:rsid w:val="6A152CA1"/>
    <w:rsid w:val="6A2911A5"/>
    <w:rsid w:val="6A49146D"/>
    <w:rsid w:val="6B8B45C8"/>
    <w:rsid w:val="6BDC690F"/>
    <w:rsid w:val="6BF81301"/>
    <w:rsid w:val="6BFF0856"/>
    <w:rsid w:val="6C386EDB"/>
    <w:rsid w:val="6C4C15A1"/>
    <w:rsid w:val="6CBA09B7"/>
    <w:rsid w:val="6CE853EC"/>
    <w:rsid w:val="6D6B269C"/>
    <w:rsid w:val="6DC11353"/>
    <w:rsid w:val="6E0E6314"/>
    <w:rsid w:val="6E100846"/>
    <w:rsid w:val="6E517A89"/>
    <w:rsid w:val="6E57760C"/>
    <w:rsid w:val="6E8403B7"/>
    <w:rsid w:val="6E9D01E3"/>
    <w:rsid w:val="6EA12176"/>
    <w:rsid w:val="6EB4294B"/>
    <w:rsid w:val="6EBE4702"/>
    <w:rsid w:val="6EEF684B"/>
    <w:rsid w:val="6F123BFA"/>
    <w:rsid w:val="70035707"/>
    <w:rsid w:val="708C5CDB"/>
    <w:rsid w:val="70933AD9"/>
    <w:rsid w:val="70E476A5"/>
    <w:rsid w:val="712552E9"/>
    <w:rsid w:val="71AE56FF"/>
    <w:rsid w:val="71CE44DF"/>
    <w:rsid w:val="71DF28DB"/>
    <w:rsid w:val="72311A5F"/>
    <w:rsid w:val="72FA63AC"/>
    <w:rsid w:val="73137B05"/>
    <w:rsid w:val="73291D57"/>
    <w:rsid w:val="73314581"/>
    <w:rsid w:val="73613DC2"/>
    <w:rsid w:val="738B027A"/>
    <w:rsid w:val="73B55DCB"/>
    <w:rsid w:val="7474079A"/>
    <w:rsid w:val="749269C3"/>
    <w:rsid w:val="75116444"/>
    <w:rsid w:val="75F12B5F"/>
    <w:rsid w:val="760C5321"/>
    <w:rsid w:val="76512CA1"/>
    <w:rsid w:val="76622AFC"/>
    <w:rsid w:val="772D3807"/>
    <w:rsid w:val="779F354D"/>
    <w:rsid w:val="77AC71A8"/>
    <w:rsid w:val="77F91F50"/>
    <w:rsid w:val="780C2A9F"/>
    <w:rsid w:val="785D1F99"/>
    <w:rsid w:val="78F82198"/>
    <w:rsid w:val="79126E7E"/>
    <w:rsid w:val="7944331F"/>
    <w:rsid w:val="794A2B8C"/>
    <w:rsid w:val="79677595"/>
    <w:rsid w:val="79B72947"/>
    <w:rsid w:val="79C40B28"/>
    <w:rsid w:val="7A2E24EA"/>
    <w:rsid w:val="7ABF53BF"/>
    <w:rsid w:val="7ADF519A"/>
    <w:rsid w:val="7AEC23D6"/>
    <w:rsid w:val="7B4F711E"/>
    <w:rsid w:val="7B5B3F97"/>
    <w:rsid w:val="7BB62026"/>
    <w:rsid w:val="7BBC722B"/>
    <w:rsid w:val="7BCC2F43"/>
    <w:rsid w:val="7C382861"/>
    <w:rsid w:val="7C544D06"/>
    <w:rsid w:val="7C7A0AC6"/>
    <w:rsid w:val="7C9A7756"/>
    <w:rsid w:val="7CCE7AE0"/>
    <w:rsid w:val="7D1D7A0E"/>
    <w:rsid w:val="7D4E6265"/>
    <w:rsid w:val="7DF56E52"/>
    <w:rsid w:val="7DFA4230"/>
    <w:rsid w:val="7F752A34"/>
    <w:rsid w:val="7F9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qFormat/>
    <w:uiPriority w:val="99"/>
    <w:rPr>
      <w:rFonts w:ascii="Times New Roman" w:hAnsi="Times New Roman" w:cs="Times New Roman"/>
      <w:szCs w:val="24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3">
    <w:name w:val="页脚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Char"/>
    <w:basedOn w:val="10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6">
    <w:name w:val="Page Number1"/>
    <w:basedOn w:val="10"/>
    <w:qFormat/>
    <w:uiPriority w:val="99"/>
    <w:rPr>
      <w:rFonts w:cs="Times New Roman"/>
    </w:rPr>
  </w:style>
  <w:style w:type="character" w:customStyle="1" w:styleId="17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22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2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2759</Words>
  <Characters>2958</Characters>
  <Lines>310</Lines>
  <Paragraphs>87</Paragraphs>
  <TotalTime>0</TotalTime>
  <ScaleCrop>false</ScaleCrop>
  <LinksUpToDate>false</LinksUpToDate>
  <CharactersWithSpaces>3026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2017-01-22T17:29:00Z</dcterms:created>
  <dc:creator>guest</dc:creator>
  <cp:lastModifiedBy>迷彩迷</cp:lastModifiedBy>
  <cp:lastPrinted>2020-03-30T08:21:00Z</cp:lastPrinted>
  <dcterms:modified xsi:type="dcterms:W3CDTF">2024-10-23T02:27:24Z</dcterms:modified>
  <dc:title>Administrator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5C11EEB782484FE0AFC01E598D0E025B_13</vt:lpwstr>
  </property>
</Properties>
</file>