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中共唐山市曹妃甸区</w:t>
      </w:r>
      <w:r>
        <w:rPr>
          <w:rFonts w:hint="eastAsia" w:ascii="Times New Roman" w:hAnsi="Times New Roman" w:cs="Times New Roman" w:eastAsiaTheme="minorEastAsia"/>
          <w:sz w:val="52"/>
          <w:szCs w:val="52"/>
        </w:rPr>
        <w:t>委</w:t>
      </w:r>
      <w:r>
        <w:rPr>
          <w:rFonts w:hint="eastAsia" w:ascii="Times New Roman" w:hAnsi="Times New Roman" w:eastAsia="方正小标宋_GBK" w:cs="Times New Roman"/>
          <w:sz w:val="52"/>
          <w:szCs w:val="52"/>
        </w:rPr>
        <w:t>党校</w:t>
      </w:r>
      <w:r>
        <w:rPr>
          <w:rFonts w:ascii="Times New Roman" w:hAnsi="Times New Roman" w:eastAsia="方正小标宋_GBK" w:cs="Times New Roman"/>
          <w:sz w:val="52"/>
          <w:szCs w:val="52"/>
        </w:rPr>
        <w:t>20</w:t>
      </w:r>
      <w:r>
        <w:rPr>
          <w:rFonts w:hint="eastAsia" w:ascii="Times New Roman" w:hAnsi="Times New Roman" w:eastAsia="方正小标宋_GBK" w:cs="Times New Roman"/>
          <w:sz w:val="52"/>
          <w:szCs w:val="52"/>
        </w:rPr>
        <w:t>21年部门预算信息公开</w:t>
      </w:r>
    </w:p>
    <w:p>
      <w:pPr>
        <w:jc w:val="center"/>
        <w:rPr>
          <w:rFonts w:ascii="Times New Roman" w:hAnsi="Times New Roman" w:eastAsia="方正小标宋_GBK" w:cs="Times New Roman"/>
          <w:sz w:val="52"/>
          <w:szCs w:val="52"/>
        </w:rPr>
      </w:pPr>
    </w:p>
    <w:p>
      <w:pPr>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按照《预算法》、《河北省预决算公开操作规程实施细则》规定，现将</w:t>
      </w:r>
      <w:r>
        <w:rPr>
          <w:rFonts w:cs="仿宋" w:asciiTheme="minorEastAsia" w:hAnsiTheme="minorEastAsia" w:eastAsiaTheme="minorEastAsia"/>
          <w:sz w:val="32"/>
          <w:szCs w:val="32"/>
        </w:rPr>
        <w:t>20</w:t>
      </w:r>
      <w:r>
        <w:rPr>
          <w:rFonts w:hint="eastAsia" w:cs="仿宋" w:asciiTheme="minorEastAsia" w:hAnsiTheme="minorEastAsia" w:eastAsiaTheme="minorEastAsia"/>
          <w:sz w:val="32"/>
          <w:szCs w:val="32"/>
        </w:rPr>
        <w:t>21年部门预算公开如下：</w:t>
      </w:r>
    </w:p>
    <w:p>
      <w:pPr>
        <w:numPr>
          <w:ilvl w:val="0"/>
          <w:numId w:val="1"/>
        </w:numPr>
        <w:ind w:firstLine="640"/>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部门职责及机构设置情况</w:t>
      </w:r>
    </w:p>
    <w:p>
      <w:pPr>
        <w:spacing w:line="600" w:lineRule="exact"/>
        <w:ind w:firstLine="642" w:firstLineChars="200"/>
        <w:rPr>
          <w:rFonts w:cs="Times New Roman" w:asciiTheme="minorEastAsia" w:hAnsiTheme="minorEastAsia" w:eastAsiaTheme="minorEastAsia"/>
          <w:b/>
          <w:sz w:val="32"/>
          <w:szCs w:val="32"/>
        </w:rPr>
      </w:pPr>
      <w:r>
        <w:rPr>
          <w:rFonts w:cs="Times New Roman" w:asciiTheme="minorEastAsia" w:hAnsiTheme="minorEastAsia" w:eastAsiaTheme="minorEastAsia"/>
          <w:b/>
          <w:sz w:val="32"/>
          <w:szCs w:val="32"/>
        </w:rPr>
        <w:t xml:space="preserve">   </w:t>
      </w:r>
      <w:r>
        <w:rPr>
          <w:rFonts w:hint="eastAsia" w:cs="Times New Roman" w:asciiTheme="minorEastAsia" w:hAnsiTheme="minorEastAsia" w:eastAsiaTheme="minorEastAsia"/>
          <w:b/>
          <w:sz w:val="32"/>
          <w:szCs w:val="32"/>
        </w:rPr>
        <w:t>部门职责：</w:t>
      </w:r>
    </w:p>
    <w:p>
      <w:pPr>
        <w:spacing w:line="540" w:lineRule="exact"/>
        <w:ind w:firstLine="64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（一）发挥干部教育培训主渠道作用，有计划地培训乡科级领导干部、基层</w:t>
      </w:r>
      <w:bookmarkStart w:id="0" w:name="_GoBack"/>
      <w:bookmarkEnd w:id="0"/>
      <w:r>
        <w:rPr>
          <w:rFonts w:hint="eastAsia" w:cs="仿宋" w:asciiTheme="minorEastAsia" w:hAnsiTheme="minorEastAsia" w:eastAsiaTheme="minorEastAsia"/>
          <w:sz w:val="32"/>
          <w:szCs w:val="32"/>
          <w:lang w:eastAsia="zh-CN"/>
        </w:rPr>
        <w:t>党支部书记</w:t>
      </w:r>
      <w:r>
        <w:rPr>
          <w:rFonts w:hint="eastAsia" w:cs="仿宋" w:asciiTheme="minorEastAsia" w:hAnsiTheme="minorEastAsia" w:eastAsiaTheme="minorEastAsia"/>
          <w:sz w:val="32"/>
          <w:szCs w:val="32"/>
        </w:rPr>
        <w:t>、优秀中青年干部、理论宣传骨干，负责对学员在培训期间的表现进行考核，提出考核意见。</w:t>
      </w:r>
    </w:p>
    <w:p>
      <w:pPr>
        <w:spacing w:line="540" w:lineRule="exact"/>
        <w:ind w:firstLine="64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二）对学员进行马克思列宁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spacing w:line="540" w:lineRule="exact"/>
        <w:ind w:firstLine="64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（三）开展重大理论问题和现实问题研究，承担区委决策咨询服务，发挥新型智库作用。</w:t>
      </w:r>
    </w:p>
    <w:p>
      <w:pPr>
        <w:spacing w:line="540" w:lineRule="exact"/>
        <w:ind w:firstLine="64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（四）受区委委托，举办各类专题研讨班，结合曹妃甸区实际，研讨中央提出的重大理论、战略和方针政策问题，省委、市委、区委重要决策部署。</w:t>
      </w:r>
    </w:p>
    <w:p>
      <w:pPr>
        <w:spacing w:line="540" w:lineRule="exact"/>
        <w:ind w:firstLine="64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（五）完成区委、区政府交办的其他任务。</w:t>
      </w:r>
    </w:p>
    <w:p>
      <w:pPr>
        <w:autoSpaceDE w:val="0"/>
        <w:autoSpaceDN w:val="0"/>
        <w:adjustRightInd w:val="0"/>
        <w:jc w:val="left"/>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机构设置：</w:t>
      </w:r>
    </w:p>
    <w:tbl>
      <w:tblPr>
        <w:tblStyle w:val="9"/>
        <w:tblpPr w:leftFromText="180" w:rightFromText="180" w:vertAnchor="text" w:horzAnchor="page" w:tblpX="1446"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Borders>
              <w:top w:val="single" w:color="auto" w:sz="4" w:space="0"/>
              <w:left w:val="single" w:color="auto" w:sz="4" w:space="0"/>
              <w:bottom w:val="single" w:color="auto" w:sz="4" w:space="0"/>
              <w:right w:val="single" w:color="auto" w:sz="4" w:space="0"/>
            </w:tcBorders>
          </w:tcPr>
          <w:p>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单位名称</w:t>
            </w:r>
          </w:p>
        </w:tc>
        <w:tc>
          <w:tcPr>
            <w:tcW w:w="3543" w:type="dxa"/>
            <w:tcBorders>
              <w:top w:val="single" w:color="auto" w:sz="4" w:space="0"/>
              <w:left w:val="single" w:color="auto" w:sz="4" w:space="0"/>
              <w:bottom w:val="single" w:color="auto" w:sz="4" w:space="0"/>
              <w:right w:val="single" w:color="auto" w:sz="4" w:space="0"/>
            </w:tcBorders>
          </w:tcPr>
          <w:p>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单位性质</w:t>
            </w:r>
          </w:p>
        </w:tc>
        <w:tc>
          <w:tcPr>
            <w:tcW w:w="3544" w:type="dxa"/>
            <w:tcBorders>
              <w:top w:val="single" w:color="auto" w:sz="4" w:space="0"/>
              <w:left w:val="single" w:color="auto" w:sz="4" w:space="0"/>
              <w:bottom w:val="single" w:color="auto" w:sz="4" w:space="0"/>
              <w:right w:val="single" w:color="auto" w:sz="4" w:space="0"/>
            </w:tcBorders>
          </w:tcPr>
          <w:p>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单位规格</w:t>
            </w:r>
          </w:p>
        </w:tc>
        <w:tc>
          <w:tcPr>
            <w:tcW w:w="3544" w:type="dxa"/>
            <w:tcBorders>
              <w:top w:val="single" w:color="auto" w:sz="4" w:space="0"/>
              <w:left w:val="single" w:color="auto" w:sz="4" w:space="0"/>
              <w:bottom w:val="single" w:color="auto" w:sz="4" w:space="0"/>
              <w:right w:val="single" w:color="auto" w:sz="4" w:space="0"/>
            </w:tcBorders>
          </w:tcPr>
          <w:p>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3543" w:type="dxa"/>
            <w:tcBorders>
              <w:top w:val="single" w:color="auto" w:sz="4" w:space="0"/>
              <w:left w:val="single" w:color="auto" w:sz="4" w:space="0"/>
              <w:bottom w:val="single" w:color="auto" w:sz="4" w:space="0"/>
              <w:right w:val="single" w:color="auto" w:sz="4" w:space="0"/>
            </w:tcBorders>
            <w:vAlign w:val="center"/>
          </w:tcPr>
          <w:p>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中共唐山市曹妃甸区委党校</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事业（部分人员参公）</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正科级</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财政拨款</w:t>
            </w:r>
          </w:p>
        </w:tc>
      </w:tr>
    </w:tbl>
    <w:p>
      <w:pPr>
        <w:rPr>
          <w:rFonts w:cs="Times New Roman" w:asciiTheme="minorEastAsia" w:hAnsiTheme="minorEastAsia" w:eastAsiaTheme="minorEastAsia"/>
          <w:b/>
          <w:sz w:val="32"/>
          <w:szCs w:val="32"/>
        </w:rPr>
      </w:pPr>
      <w:r>
        <w:rPr>
          <w:rFonts w:cs="Times New Roman" w:asciiTheme="minorEastAsia" w:hAnsiTheme="minorEastAsia" w:eastAsiaTheme="minorEastAsia"/>
          <w:sz w:val="32"/>
          <w:szCs w:val="32"/>
        </w:rPr>
        <w:t xml:space="preserve">  </w:t>
      </w:r>
      <w:r>
        <w:rPr>
          <w:rFonts w:cs="Times New Roman" w:asciiTheme="minorEastAsia" w:hAnsiTheme="minorEastAsia" w:eastAsiaTheme="minorEastAsia"/>
          <w:b/>
          <w:sz w:val="32"/>
          <w:szCs w:val="32"/>
        </w:rPr>
        <w:t xml:space="preserve">  </w:t>
      </w:r>
      <w:r>
        <w:rPr>
          <w:rFonts w:hint="eastAsia" w:cs="Times New Roman" w:asciiTheme="minorEastAsia" w:hAnsiTheme="minorEastAsia" w:eastAsiaTheme="minorEastAsia"/>
          <w:b/>
          <w:sz w:val="32"/>
          <w:szCs w:val="32"/>
        </w:rPr>
        <w:t>二、部门预算安排的总体情况</w:t>
      </w:r>
    </w:p>
    <w:p>
      <w:pPr>
        <w:ind w:firstLine="640" w:firstLineChars="200"/>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1</w:t>
      </w:r>
      <w:r>
        <w:rPr>
          <w:rFonts w:hint="eastAsia" w:cs="Times New Roman" w:asciiTheme="minorEastAsia" w:hAnsiTheme="minorEastAsia" w:eastAsiaTheme="minorEastAsia"/>
          <w:sz w:val="32"/>
          <w:szCs w:val="32"/>
        </w:rPr>
        <w:t>、收入说明</w:t>
      </w:r>
      <w:r>
        <w:rPr>
          <w:rFonts w:cs="Times New Roman" w:asciiTheme="minorEastAsia" w:hAnsiTheme="minorEastAsia" w:eastAsiaTheme="minorEastAsia"/>
          <w:sz w:val="32"/>
          <w:szCs w:val="32"/>
        </w:rPr>
        <w:t xml:space="preserve"> </w:t>
      </w:r>
    </w:p>
    <w:p>
      <w:pPr>
        <w:ind w:firstLine="640" w:firstLineChars="200"/>
        <w:rPr>
          <w:rFonts w:cs="Times New Roman" w:asciiTheme="minorEastAsia" w:hAnsiTheme="minorEastAsia" w:eastAsiaTheme="minorEastAsia"/>
          <w:sz w:val="32"/>
          <w:szCs w:val="32"/>
        </w:rPr>
      </w:pPr>
      <w:r>
        <w:rPr>
          <w:rFonts w:hint="eastAsia" w:cs="宋体" w:asciiTheme="minorEastAsia" w:hAnsiTheme="minorEastAsia" w:eastAsiaTheme="minorEastAsia"/>
          <w:sz w:val="32"/>
          <w:szCs w:val="32"/>
        </w:rPr>
        <w:t>本部门当年全部收入，</w:t>
      </w: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21</w:t>
      </w:r>
      <w:r>
        <w:rPr>
          <w:rFonts w:hint="eastAsia" w:cs="宋体" w:asciiTheme="minorEastAsia" w:hAnsiTheme="minorEastAsia" w:eastAsiaTheme="minorEastAsia"/>
          <w:sz w:val="32"/>
          <w:szCs w:val="32"/>
        </w:rPr>
        <w:t>年预算收入</w:t>
      </w:r>
      <w:r>
        <w:rPr>
          <w:rFonts w:hint="eastAsia" w:cs="Arial" w:asciiTheme="minorEastAsia" w:hAnsiTheme="minorEastAsia" w:eastAsiaTheme="minorEastAsia"/>
          <w:kern w:val="0"/>
          <w:sz w:val="32"/>
          <w:szCs w:val="32"/>
        </w:rPr>
        <w:t>332.7万</w:t>
      </w:r>
      <w:r>
        <w:rPr>
          <w:rFonts w:hint="eastAsia" w:cs="宋体" w:asciiTheme="minorEastAsia" w:hAnsiTheme="minorEastAsia" w:eastAsiaTheme="minorEastAsia"/>
          <w:sz w:val="32"/>
          <w:szCs w:val="32"/>
        </w:rPr>
        <w:t>元，全部为一般公共预算收入。</w:t>
      </w:r>
    </w:p>
    <w:p>
      <w:pPr>
        <w:numPr>
          <w:ilvl w:val="0"/>
          <w:numId w:val="2"/>
        </w:numPr>
        <w:ind w:firstLine="640"/>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支出说明</w:t>
      </w:r>
    </w:p>
    <w:p>
      <w:pPr>
        <w:rPr>
          <w:rFonts w:cs="Arial" w:asciiTheme="minorEastAsia" w:hAnsiTheme="minorEastAsia" w:eastAsiaTheme="minorEastAsia"/>
          <w:kern w:val="0"/>
          <w:sz w:val="32"/>
          <w:szCs w:val="32"/>
        </w:rPr>
      </w:pPr>
      <w:r>
        <w:rPr>
          <w:rFonts w:cs="Times New Roman" w:asciiTheme="minorEastAsia" w:hAnsiTheme="minorEastAsia" w:eastAsiaTheme="minorEastAsia"/>
          <w:sz w:val="32"/>
          <w:szCs w:val="32"/>
        </w:rPr>
        <w:t xml:space="preserve">    </w:t>
      </w:r>
      <w:r>
        <w:rPr>
          <w:rFonts w:cs="??_GB2312" w:asciiTheme="minorEastAsia" w:hAnsiTheme="minorEastAsia" w:eastAsiaTheme="minorEastAsia"/>
          <w:sz w:val="32"/>
          <w:szCs w:val="32"/>
        </w:rPr>
        <w:t xml:space="preserve"> </w:t>
      </w:r>
      <w:r>
        <w:rPr>
          <w:rFonts w:hint="eastAsia" w:cs="宋体" w:asciiTheme="minorEastAsia" w:hAnsiTheme="minorEastAsia" w:eastAsiaTheme="minorEastAsia"/>
          <w:sz w:val="32"/>
          <w:szCs w:val="32"/>
        </w:rPr>
        <w:t>收支预算总表支出栏、基本支出表、项目支出表按经济分类和支出功能分类科目编制，反映中共唐山市曹妃甸区委党校2021年度部门预算中支出预算的总体情况。</w:t>
      </w: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21</w:t>
      </w:r>
      <w:r>
        <w:rPr>
          <w:rFonts w:hint="eastAsia" w:cs="宋体" w:asciiTheme="minorEastAsia" w:hAnsiTheme="minorEastAsia" w:eastAsiaTheme="minorEastAsia"/>
          <w:sz w:val="32"/>
          <w:szCs w:val="32"/>
        </w:rPr>
        <w:t>年部门支出预算为</w:t>
      </w:r>
      <w:r>
        <w:rPr>
          <w:rFonts w:hint="eastAsia" w:cs="Arial" w:asciiTheme="minorEastAsia" w:hAnsiTheme="minorEastAsia" w:eastAsiaTheme="minorEastAsia"/>
          <w:kern w:val="0"/>
          <w:sz w:val="32"/>
          <w:szCs w:val="32"/>
        </w:rPr>
        <w:t>332.7</w:t>
      </w:r>
      <w:r>
        <w:rPr>
          <w:rFonts w:hint="eastAsia" w:cs="宋体" w:asciiTheme="minorEastAsia" w:hAnsiTheme="minorEastAsia" w:eastAsiaTheme="minorEastAsia"/>
          <w:sz w:val="32"/>
          <w:szCs w:val="32"/>
        </w:rPr>
        <w:t>万元，其中基本支出</w:t>
      </w:r>
      <w:r>
        <w:rPr>
          <w:rFonts w:hint="eastAsia" w:cs="宋体" w:asciiTheme="minorEastAsia" w:hAnsiTheme="minorEastAsia" w:eastAsiaTheme="minorEastAsia"/>
          <w:color w:val="000000"/>
          <w:kern w:val="0"/>
          <w:sz w:val="32"/>
          <w:szCs w:val="32"/>
        </w:rPr>
        <w:t>308.2</w:t>
      </w:r>
      <w:r>
        <w:rPr>
          <w:rFonts w:hint="eastAsia" w:cs="宋体" w:asciiTheme="minorEastAsia" w:hAnsiTheme="minorEastAsia" w:eastAsiaTheme="minorEastAsia"/>
          <w:sz w:val="32"/>
          <w:szCs w:val="32"/>
        </w:rPr>
        <w:t>万元，包括人员经费</w:t>
      </w:r>
      <w:r>
        <w:rPr>
          <w:rFonts w:hint="eastAsia" w:cs="宋体" w:asciiTheme="minorEastAsia" w:hAnsiTheme="minorEastAsia" w:eastAsiaTheme="minorEastAsia"/>
          <w:color w:val="000000"/>
          <w:kern w:val="0"/>
          <w:sz w:val="32"/>
          <w:szCs w:val="32"/>
        </w:rPr>
        <w:t>282.53</w:t>
      </w:r>
      <w:r>
        <w:rPr>
          <w:rFonts w:hint="eastAsia" w:cs="宋体" w:asciiTheme="minorEastAsia" w:hAnsiTheme="minorEastAsia" w:eastAsiaTheme="minorEastAsia"/>
          <w:sz w:val="32"/>
          <w:szCs w:val="32"/>
        </w:rPr>
        <w:t>万元和日常公用经费</w:t>
      </w:r>
      <w:r>
        <w:rPr>
          <w:rFonts w:hint="eastAsia" w:cs="宋体" w:asciiTheme="minorEastAsia" w:hAnsiTheme="minorEastAsia" w:eastAsiaTheme="minorEastAsia"/>
          <w:color w:val="000000"/>
          <w:kern w:val="0"/>
          <w:sz w:val="32"/>
          <w:szCs w:val="32"/>
        </w:rPr>
        <w:t>25.67</w:t>
      </w:r>
      <w:r>
        <w:rPr>
          <w:rFonts w:hint="eastAsia" w:cs="宋体" w:asciiTheme="minorEastAsia" w:hAnsiTheme="minorEastAsia" w:eastAsiaTheme="minorEastAsia"/>
          <w:sz w:val="32"/>
          <w:szCs w:val="32"/>
        </w:rPr>
        <w:t>万元；项目支出</w:t>
      </w:r>
      <w:r>
        <w:rPr>
          <w:rFonts w:hint="eastAsia" w:cs="??_GB2312" w:asciiTheme="minorEastAsia" w:hAnsiTheme="minorEastAsia" w:eastAsiaTheme="minorEastAsia"/>
          <w:sz w:val="32"/>
          <w:szCs w:val="32"/>
        </w:rPr>
        <w:t>24.5</w:t>
      </w:r>
      <w:r>
        <w:rPr>
          <w:rFonts w:hint="eastAsia" w:cs="宋体" w:asciiTheme="minorEastAsia" w:hAnsiTheme="minorEastAsia" w:eastAsiaTheme="minorEastAsia"/>
          <w:sz w:val="32"/>
          <w:szCs w:val="32"/>
        </w:rPr>
        <w:t>万元，全部为本级支出。</w:t>
      </w:r>
    </w:p>
    <w:p>
      <w:pPr>
        <w:numPr>
          <w:ilvl w:val="0"/>
          <w:numId w:val="2"/>
        </w:numPr>
        <w:ind w:firstLine="640"/>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比上年增减情况</w:t>
      </w:r>
    </w:p>
    <w:p>
      <w:pPr>
        <w:ind w:firstLine="630"/>
        <w:rPr>
          <w:rFonts w:cs="宋体" w:asciiTheme="minorEastAsia" w:hAnsiTheme="minorEastAsia" w:eastAsiaTheme="minorEastAsia"/>
          <w:sz w:val="32"/>
          <w:szCs w:val="32"/>
        </w:rPr>
      </w:pP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21</w:t>
      </w:r>
      <w:r>
        <w:rPr>
          <w:rFonts w:hint="eastAsia" w:cs="宋体" w:asciiTheme="minorEastAsia" w:hAnsiTheme="minorEastAsia" w:eastAsiaTheme="minorEastAsia"/>
          <w:sz w:val="32"/>
          <w:szCs w:val="32"/>
        </w:rPr>
        <w:t>年部门预算较</w:t>
      </w: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20</w:t>
      </w:r>
      <w:r>
        <w:rPr>
          <w:rFonts w:hint="eastAsia" w:cs="宋体" w:asciiTheme="minorEastAsia" w:hAnsiTheme="minorEastAsia" w:eastAsiaTheme="minorEastAsia"/>
          <w:sz w:val="32"/>
          <w:szCs w:val="32"/>
        </w:rPr>
        <w:t>年减少10.89万元，其中基本支出较2020年减少9.24万元，其原因为压缩开支，1人退休人员经费减少。专项支出较2020年减少1.65万元，其原因为场地租金减少导致上缴财政专户款减少。</w:t>
      </w:r>
    </w:p>
    <w:p>
      <w:pPr>
        <w:ind w:firstLine="630"/>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三、机关运行经费安排情况</w:t>
      </w:r>
    </w:p>
    <w:p>
      <w:pPr>
        <w:autoSpaceDE w:val="0"/>
        <w:autoSpaceDN w:val="0"/>
        <w:adjustRightInd w:val="0"/>
        <w:ind w:left="198" w:firstLine="640" w:firstLineChars="200"/>
        <w:jc w:val="left"/>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机关运行经费共计安排</w:t>
      </w:r>
      <w:r>
        <w:rPr>
          <w:rFonts w:hint="eastAsia" w:cs="??_GB2312" w:asciiTheme="minorEastAsia" w:hAnsiTheme="minorEastAsia" w:eastAsiaTheme="minorEastAsia"/>
          <w:sz w:val="32"/>
          <w:szCs w:val="32"/>
        </w:rPr>
        <w:t>25.67</w:t>
      </w:r>
      <w:r>
        <w:rPr>
          <w:rFonts w:hint="eastAsia" w:cs="宋体" w:asciiTheme="minorEastAsia" w:hAnsiTheme="minorEastAsia" w:eastAsiaTheme="minorEastAsia"/>
          <w:sz w:val="32"/>
          <w:szCs w:val="32"/>
        </w:rPr>
        <w:t>万元，主要用于保证机关正常运转的办公及印刷费、邮电费、差旅费、培训费、会议费、福利费、一般设备购置费、日常维修费、办公楼物业管理费、公务车运行维护费等支出。</w:t>
      </w:r>
    </w:p>
    <w:p>
      <w:pPr>
        <w:autoSpaceDE w:val="0"/>
        <w:autoSpaceDN w:val="0"/>
        <w:adjustRightInd w:val="0"/>
        <w:ind w:left="198" w:firstLine="642" w:firstLineChars="200"/>
        <w:jc w:val="left"/>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四、财政拨款“三公”经费预算情况及增减变化原因</w:t>
      </w:r>
    </w:p>
    <w:p>
      <w:pPr>
        <w:ind w:left="198" w:firstLine="640"/>
        <w:rPr>
          <w:rFonts w:ascii="宋体" w:hAnsi="宋体" w:cs="宋体" w:eastAsiaTheme="minorEastAsia"/>
          <w:sz w:val="32"/>
        </w:rPr>
      </w:pPr>
      <w:r>
        <w:rPr>
          <w:rFonts w:ascii="仿宋_GB2312" w:hAnsi="仿宋_GB2312" w:eastAsia="仿宋_GB2312" w:cs="仿宋_GB2312"/>
          <w:sz w:val="32"/>
        </w:rPr>
        <w:t>20</w:t>
      </w:r>
      <w:r>
        <w:rPr>
          <w:rFonts w:hint="eastAsia" w:ascii="仿宋_GB2312" w:hAnsi="仿宋_GB2312" w:eastAsia="仿宋_GB2312" w:cs="仿宋_GB2312"/>
          <w:sz w:val="32"/>
        </w:rPr>
        <w:t>21</w:t>
      </w:r>
      <w:r>
        <w:rPr>
          <w:rFonts w:ascii="宋体" w:hAnsi="宋体" w:cs="宋体"/>
          <w:sz w:val="32"/>
        </w:rPr>
        <w:t>年</w:t>
      </w:r>
      <w:r>
        <w:rPr>
          <w:rFonts w:hint="eastAsia" w:ascii="宋体" w:hAnsi="宋体" w:cs="宋体"/>
          <w:sz w:val="32"/>
        </w:rPr>
        <w:t>我部门</w:t>
      </w:r>
      <w:r>
        <w:rPr>
          <w:rFonts w:ascii="宋体" w:hAnsi="宋体" w:cs="宋体"/>
          <w:sz w:val="32"/>
        </w:rPr>
        <w:t>“三公”经费</w:t>
      </w:r>
      <w:r>
        <w:rPr>
          <w:rFonts w:hint="eastAsia" w:ascii="宋体" w:hAnsi="宋体" w:cs="宋体"/>
          <w:sz w:val="32"/>
        </w:rPr>
        <w:t>预算</w:t>
      </w:r>
      <w:r>
        <w:rPr>
          <w:rFonts w:ascii="宋体" w:hAnsi="宋体" w:cs="宋体"/>
          <w:sz w:val="32"/>
        </w:rPr>
        <w:t>安排</w:t>
      </w:r>
      <w:r>
        <w:rPr>
          <w:rFonts w:hint="eastAsia" w:ascii="仿宋_GB2312" w:hAnsi="仿宋_GB2312" w:eastAsia="仿宋_GB2312" w:cs="仿宋_GB2312"/>
          <w:sz w:val="32"/>
        </w:rPr>
        <w:t>4</w:t>
      </w:r>
      <w:r>
        <w:rPr>
          <w:rFonts w:ascii="宋体" w:hAnsi="宋体" w:cs="宋体"/>
          <w:sz w:val="32"/>
        </w:rPr>
        <w:t>万元</w:t>
      </w:r>
      <w:r>
        <w:rPr>
          <w:rFonts w:hint="eastAsia" w:ascii="宋体" w:hAnsi="宋体" w:cs="宋体"/>
          <w:sz w:val="32"/>
        </w:rPr>
        <w:t>，较上年预算</w:t>
      </w:r>
      <w:r>
        <w:rPr>
          <w:rFonts w:hint="eastAsia" w:ascii="宋体" w:hAnsi="宋体" w:cs="宋体" w:eastAsiaTheme="minorEastAsia"/>
          <w:sz w:val="32"/>
        </w:rPr>
        <w:t>减少2</w:t>
      </w:r>
      <w:r>
        <w:rPr>
          <w:rFonts w:hint="eastAsia" w:ascii="宋体" w:hAnsi="宋体" w:cs="宋体"/>
          <w:sz w:val="32"/>
        </w:rPr>
        <w:t>万元，主要是</w:t>
      </w:r>
      <w:r>
        <w:rPr>
          <w:rFonts w:hint="eastAsia" w:cs="宋体" w:asciiTheme="minorEastAsia" w:hAnsiTheme="minorEastAsia" w:eastAsiaTheme="minorEastAsia"/>
          <w:sz w:val="32"/>
          <w:szCs w:val="32"/>
        </w:rPr>
        <w:t>按照财政局预算要求减少预算</w:t>
      </w:r>
      <w:r>
        <w:rPr>
          <w:rFonts w:hint="eastAsia" w:ascii="宋体" w:hAnsi="宋体" w:cs="宋体"/>
          <w:sz w:val="32"/>
        </w:rPr>
        <w:t>。具体安排情况为</w:t>
      </w:r>
      <w:r>
        <w:rPr>
          <w:rFonts w:ascii="宋体" w:hAnsi="宋体" w:cs="宋体"/>
          <w:sz w:val="32"/>
        </w:rPr>
        <w:t>：</w:t>
      </w:r>
    </w:p>
    <w:p>
      <w:pPr>
        <w:ind w:left="198" w:firstLine="640"/>
        <w:rPr>
          <w:rFonts w:ascii="宋体" w:hAnsi="宋体" w:cs="宋体" w:eastAsiaTheme="minorEastAsia"/>
          <w:sz w:val="32"/>
        </w:rPr>
      </w:pPr>
      <w:r>
        <w:rPr>
          <w:rFonts w:hint="eastAsia" w:ascii="宋体" w:hAnsi="宋体" w:cs="宋体"/>
          <w:sz w:val="32"/>
        </w:rPr>
        <w:t>（一）</w:t>
      </w:r>
      <w:r>
        <w:rPr>
          <w:rFonts w:ascii="宋体" w:hAnsi="宋体" w:cs="宋体"/>
          <w:sz w:val="32"/>
        </w:rPr>
        <w:t>公务用车购置及运</w:t>
      </w:r>
      <w:r>
        <w:rPr>
          <w:rFonts w:hint="eastAsia" w:ascii="宋体" w:hAnsi="宋体" w:cs="宋体"/>
          <w:sz w:val="32"/>
        </w:rPr>
        <w:t>维</w:t>
      </w:r>
      <w:r>
        <w:rPr>
          <w:rFonts w:ascii="宋体" w:hAnsi="宋体" w:cs="宋体"/>
          <w:sz w:val="32"/>
        </w:rPr>
        <w:t>费</w:t>
      </w:r>
      <w:r>
        <w:rPr>
          <w:rFonts w:hint="eastAsia" w:ascii="宋体" w:hAnsi="宋体" w:cs="宋体"/>
          <w:sz w:val="32"/>
        </w:rPr>
        <w:t>。共计安排</w:t>
      </w:r>
      <w:r>
        <w:rPr>
          <w:rFonts w:hint="eastAsia" w:ascii="仿宋_GB2312" w:hAnsi="仿宋_GB2312" w:eastAsia="仿宋_GB2312" w:cs="仿宋_GB2312"/>
          <w:sz w:val="32"/>
        </w:rPr>
        <w:t>4</w:t>
      </w:r>
      <w:r>
        <w:rPr>
          <w:rFonts w:ascii="宋体" w:hAnsi="宋体" w:cs="宋体"/>
          <w:sz w:val="32"/>
        </w:rPr>
        <w:t>万元</w:t>
      </w:r>
      <w:r>
        <w:rPr>
          <w:rFonts w:hint="eastAsia" w:ascii="宋体" w:hAnsi="宋体" w:cs="宋体"/>
          <w:sz w:val="32"/>
        </w:rPr>
        <w:t>，较上年</w:t>
      </w:r>
      <w:r>
        <w:rPr>
          <w:rFonts w:hint="eastAsia" w:ascii="宋体" w:hAnsi="宋体" w:cs="宋体" w:eastAsiaTheme="minorEastAsia"/>
          <w:sz w:val="32"/>
        </w:rPr>
        <w:t>减少2</w:t>
      </w:r>
      <w:r>
        <w:rPr>
          <w:rFonts w:hint="eastAsia" w:ascii="宋体" w:hAnsi="宋体" w:cs="宋体"/>
          <w:sz w:val="32"/>
        </w:rPr>
        <w:t>万元，</w:t>
      </w:r>
      <w:r>
        <w:rPr>
          <w:rFonts w:hint="eastAsia" w:cs="宋体" w:asciiTheme="minorEastAsia" w:hAnsiTheme="minorEastAsia" w:eastAsiaTheme="minorEastAsia"/>
          <w:sz w:val="32"/>
          <w:szCs w:val="32"/>
        </w:rPr>
        <w:t>其原因为按照财政局预算要求较少</w:t>
      </w:r>
      <w:r>
        <w:rPr>
          <w:rFonts w:hint="eastAsia" w:ascii="宋体" w:hAnsi="宋体" w:cs="宋体"/>
          <w:sz w:val="32"/>
        </w:rPr>
        <w:t>。</w:t>
      </w:r>
      <w:r>
        <w:rPr>
          <w:rFonts w:hint="eastAsia" w:ascii="宋体" w:hAnsi="宋体" w:cs="宋体"/>
          <w:sz w:val="32"/>
        </w:rPr>
        <w:sym w:font="Wingdings" w:char="F081"/>
      </w:r>
      <w:r>
        <w:rPr>
          <w:rFonts w:hint="eastAsia" w:ascii="宋体" w:hAnsi="宋体" w:cs="宋体"/>
          <w:sz w:val="32"/>
        </w:rPr>
        <w:t>公务用车购置安排</w:t>
      </w:r>
      <w:r>
        <w:rPr>
          <w:rFonts w:hint="eastAsia" w:ascii="宋体" w:hAnsi="宋体" w:cs="宋体" w:eastAsiaTheme="minorEastAsia"/>
          <w:sz w:val="32"/>
        </w:rPr>
        <w:t>0</w:t>
      </w:r>
      <w:r>
        <w:rPr>
          <w:rFonts w:hint="eastAsia" w:ascii="宋体" w:hAnsi="宋体" w:cs="宋体"/>
          <w:sz w:val="32"/>
        </w:rPr>
        <w:t>万元，较上年</w:t>
      </w:r>
      <w:r>
        <w:rPr>
          <w:rFonts w:hint="eastAsia" w:ascii="宋体" w:hAnsi="宋体" w:cs="宋体" w:eastAsiaTheme="minorEastAsia"/>
          <w:sz w:val="32"/>
        </w:rPr>
        <w:t>无增减变化</w:t>
      </w:r>
      <w:r>
        <w:rPr>
          <w:rFonts w:hint="eastAsia" w:ascii="宋体" w:hAnsi="宋体" w:cs="宋体"/>
          <w:sz w:val="32"/>
        </w:rPr>
        <w:sym w:font="Wingdings" w:char="F082"/>
      </w:r>
      <w:r>
        <w:rPr>
          <w:rFonts w:hint="eastAsia" w:ascii="宋体" w:hAnsi="宋体" w:cs="宋体" w:eastAsiaTheme="minorEastAsia"/>
          <w:sz w:val="32"/>
        </w:rPr>
        <w:t>公务用车</w:t>
      </w:r>
      <w:r>
        <w:rPr>
          <w:rFonts w:hint="eastAsia" w:ascii="宋体" w:hAnsi="宋体" w:cs="宋体"/>
          <w:sz w:val="32"/>
        </w:rPr>
        <w:t>运行维护经费安排4万元，较上年减少2万元，主要原因为</w:t>
      </w:r>
      <w:r>
        <w:rPr>
          <w:rFonts w:hint="eastAsia" w:cs="宋体" w:asciiTheme="minorEastAsia" w:hAnsiTheme="minorEastAsia" w:eastAsiaTheme="minorEastAsia"/>
          <w:sz w:val="32"/>
          <w:szCs w:val="32"/>
        </w:rPr>
        <w:t>按照财政局预算要求减少预算，</w:t>
      </w:r>
      <w:r>
        <w:rPr>
          <w:rFonts w:hint="eastAsia" w:ascii="宋体" w:hAnsi="宋体" w:cs="宋体"/>
          <w:sz w:val="32"/>
        </w:rPr>
        <w:t>节约开支，压缩公车运行维护费。</w:t>
      </w:r>
    </w:p>
    <w:p>
      <w:pPr>
        <w:ind w:left="198" w:firstLine="640"/>
        <w:rPr>
          <w:rFonts w:ascii="宋体" w:hAnsi="宋体" w:cs="宋体" w:eastAsiaTheme="minorEastAsia"/>
          <w:sz w:val="32"/>
        </w:rPr>
      </w:pPr>
      <w:r>
        <w:rPr>
          <w:rFonts w:hint="eastAsia" w:ascii="宋体" w:hAnsi="宋体" w:cs="宋体"/>
          <w:sz w:val="32"/>
        </w:rPr>
        <w:t>（二）</w:t>
      </w:r>
      <w:r>
        <w:rPr>
          <w:rFonts w:ascii="宋体" w:hAnsi="宋体" w:cs="宋体"/>
          <w:sz w:val="32"/>
        </w:rPr>
        <w:t>公务接待费</w:t>
      </w:r>
      <w:r>
        <w:rPr>
          <w:rFonts w:hint="eastAsia" w:ascii="宋体" w:hAnsi="宋体" w:cs="宋体"/>
          <w:sz w:val="32"/>
        </w:rPr>
        <w:t>。安排</w:t>
      </w:r>
      <w:r>
        <w:rPr>
          <w:rFonts w:hint="eastAsia" w:ascii="仿宋_GB2312" w:hAnsi="仿宋_GB2312" w:eastAsia="仿宋_GB2312" w:cs="仿宋_GB2312"/>
          <w:sz w:val="32"/>
        </w:rPr>
        <w:t>0</w:t>
      </w:r>
      <w:r>
        <w:rPr>
          <w:rFonts w:ascii="宋体" w:hAnsi="宋体" w:cs="宋体"/>
          <w:sz w:val="32"/>
        </w:rPr>
        <w:t>万元</w:t>
      </w:r>
      <w:r>
        <w:rPr>
          <w:rFonts w:hint="eastAsia" w:ascii="宋体" w:hAnsi="宋体" w:cs="宋体"/>
          <w:sz w:val="32"/>
        </w:rPr>
        <w:t>，较</w:t>
      </w:r>
      <w:r>
        <w:rPr>
          <w:rFonts w:ascii="宋体" w:hAnsi="宋体" w:cs="宋体"/>
          <w:sz w:val="32"/>
        </w:rPr>
        <w:t>上年</w:t>
      </w:r>
      <w:r>
        <w:rPr>
          <w:rFonts w:hint="eastAsia" w:ascii="宋体" w:hAnsi="宋体" w:cs="宋体"/>
          <w:sz w:val="32"/>
        </w:rPr>
        <w:t>预算无增减变化。</w:t>
      </w:r>
    </w:p>
    <w:p>
      <w:pPr>
        <w:ind w:left="198" w:firstLine="640"/>
        <w:rPr>
          <w:rFonts w:ascii="仿宋_GB2312" w:hAnsi="仿宋_GB2312" w:cs="仿宋_GB2312" w:eastAsiaTheme="minorEastAsia"/>
          <w:sz w:val="32"/>
        </w:rPr>
      </w:pPr>
      <w:r>
        <w:rPr>
          <w:rFonts w:hint="eastAsia" w:ascii="宋体" w:hAnsi="宋体" w:cs="宋体"/>
          <w:sz w:val="32"/>
        </w:rPr>
        <w:t>（三）</w:t>
      </w:r>
      <w:r>
        <w:rPr>
          <w:rFonts w:ascii="宋体" w:hAnsi="宋体" w:cs="宋体"/>
          <w:sz w:val="32"/>
        </w:rPr>
        <w:t>因公出国（境）费</w:t>
      </w:r>
      <w:r>
        <w:rPr>
          <w:rFonts w:hint="eastAsia" w:ascii="宋体" w:hAnsi="宋体" w:cs="宋体"/>
          <w:sz w:val="32"/>
        </w:rPr>
        <w:t>。安排</w:t>
      </w:r>
      <w:r>
        <w:rPr>
          <w:rFonts w:ascii="仿宋_GB2312" w:hAnsi="仿宋_GB2312" w:eastAsia="仿宋_GB2312" w:cs="仿宋_GB2312"/>
          <w:sz w:val="32"/>
        </w:rPr>
        <w:t>0</w:t>
      </w:r>
      <w:r>
        <w:rPr>
          <w:rFonts w:ascii="宋体" w:hAnsi="宋体" w:cs="宋体"/>
          <w:sz w:val="32"/>
        </w:rPr>
        <w:t>万元</w:t>
      </w:r>
      <w:r>
        <w:rPr>
          <w:rFonts w:hint="eastAsia" w:ascii="宋体" w:hAnsi="宋体" w:cs="宋体"/>
          <w:sz w:val="32"/>
        </w:rPr>
        <w:t>，较上年无增减变化。</w:t>
      </w:r>
    </w:p>
    <w:p>
      <w:pPr>
        <w:autoSpaceDE w:val="0"/>
        <w:autoSpaceDN w:val="0"/>
        <w:adjustRightInd w:val="0"/>
        <w:ind w:left="198" w:firstLine="642" w:firstLineChars="200"/>
        <w:jc w:val="left"/>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五、绩效预算信息</w:t>
      </w:r>
    </w:p>
    <w:p>
      <w:pPr>
        <w:spacing w:line="500" w:lineRule="exact"/>
        <w:ind w:firstLine="642" w:firstLineChars="200"/>
        <w:jc w:val="left"/>
        <w:rPr>
          <w:rFonts w:cs="Times New Roman" w:asciiTheme="minorEastAsia" w:hAnsiTheme="minorEastAsia" w:eastAsiaTheme="minorEastAsia"/>
          <w:b/>
          <w:sz w:val="32"/>
          <w:szCs w:val="32"/>
        </w:rPr>
      </w:pPr>
      <w:r>
        <w:rPr>
          <w:rFonts w:cs="Times New Roman" w:asciiTheme="minorEastAsia" w:hAnsiTheme="minorEastAsia" w:eastAsiaTheme="minorEastAsia"/>
          <w:b/>
          <w:sz w:val="32"/>
          <w:szCs w:val="32"/>
        </w:rPr>
        <w:t xml:space="preserve"> </w:t>
      </w:r>
      <w:r>
        <w:rPr>
          <w:rFonts w:hint="eastAsia" w:cs="Times New Roman" w:asciiTheme="minorEastAsia" w:hAnsiTheme="minorEastAsia" w:eastAsiaTheme="minorEastAsia"/>
          <w:b/>
          <w:sz w:val="32"/>
          <w:szCs w:val="32"/>
        </w:rPr>
        <w:t>总体绩效目标：</w:t>
      </w:r>
    </w:p>
    <w:p>
      <w:pPr>
        <w:pStyle w:val="17"/>
        <w:widowControl w:val="0"/>
        <w:spacing w:line="550" w:lineRule="exact"/>
        <w:ind w:firstLine="640"/>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1、充分发挥全面从严治党引领保障作用，切实提高党员干部的</w:t>
      </w:r>
      <w:r>
        <w:rPr>
          <w:rFonts w:hint="eastAsia" w:cs="宋体" w:asciiTheme="minorEastAsia" w:hAnsiTheme="minorEastAsia" w:eastAsiaTheme="minorEastAsia"/>
          <w:kern w:val="2"/>
          <w:sz w:val="32"/>
          <w:szCs w:val="32"/>
          <w:lang w:eastAsia="zh-CN"/>
        </w:rPr>
        <w:t>政治判断力、政治领悟力、政治执行力</w:t>
      </w:r>
      <w:r>
        <w:rPr>
          <w:rFonts w:hint="eastAsia" w:cs="宋体" w:asciiTheme="minorEastAsia" w:hAnsiTheme="minorEastAsia" w:eastAsiaTheme="minorEastAsia"/>
          <w:kern w:val="2"/>
          <w:sz w:val="32"/>
          <w:szCs w:val="32"/>
        </w:rPr>
        <w:t>。切实担负起管党治党主体责任，不断增强“四个意识”、坚定“四个自信”、做到“两个维护”，把严的主基调长期坚持下去。时刻自重自省自警自励，慎独慎微慎初慎终，做政治信念坚定、遵规守纪的明白人。</w:t>
      </w:r>
    </w:p>
    <w:p>
      <w:pPr>
        <w:pStyle w:val="17"/>
        <w:widowControl w:val="0"/>
        <w:spacing w:line="550" w:lineRule="exact"/>
        <w:ind w:firstLine="640"/>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2、坚持人民至上、生命至上，一如既往扎实做好常态化疫情防控工作。坚决扛起打赢疫情防控阻击战的重大政治责任，克服麻痹思想、厌战情绪，认真查找和强化疫情防控的薄弱环节，外防输入，内防反弹。扎实搞好人员摸排、来校登记、体温检测、消毒消杀、值班值守等各项基础性工作。</w:t>
      </w:r>
    </w:p>
    <w:p>
      <w:pPr>
        <w:pStyle w:val="17"/>
        <w:widowControl w:val="0"/>
        <w:spacing w:line="550" w:lineRule="exact"/>
        <w:ind w:firstLine="640"/>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3、扎实开展干部培训和党员教育工作。根据区委干训计划和区委组织部具体要求，服务全区改革发展大局，搞好全区科局级干部培训班等专题培训活动。</w:t>
      </w:r>
    </w:p>
    <w:p>
      <w:pPr>
        <w:pStyle w:val="17"/>
        <w:widowControl w:val="0"/>
        <w:spacing w:line="550" w:lineRule="exact"/>
        <w:ind w:firstLine="640"/>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4、严格落实巡视整改任务，认真抓好意识形态领域工作。建立意识形态工作责任制检查考核制度，建立健全考核机制，严格追责问责，守牢党校意识形态主阵地，严肃党校课堂政治纪律。</w:t>
      </w:r>
    </w:p>
    <w:p>
      <w:pPr>
        <w:pStyle w:val="17"/>
        <w:widowControl w:val="0"/>
        <w:spacing w:line="550" w:lineRule="exact"/>
        <w:ind w:firstLine="640"/>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5、以提高教师队伍素质为重点，切实加强业务培训、能力提升工作。坚持集中学习研讨与分散自学相结合，同时积极参加省市党校专题培训班，提高教学科研能力。</w:t>
      </w:r>
    </w:p>
    <w:p>
      <w:pPr>
        <w:pStyle w:val="17"/>
        <w:widowControl w:val="0"/>
        <w:spacing w:line="550" w:lineRule="exact"/>
        <w:ind w:firstLine="640"/>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6、以提升组织力为重点，突出政治功能，不断增强党支部的凝聚力创造力战斗力。贯彻民主集中制原则，严格按程序决策、按规矩办事，严肃规范党内政治生活。严格落实“三会一课”制度，创新活动载体，提高党员的思想政治素质和业务素质，构建</w:t>
      </w:r>
      <w:r>
        <w:rPr>
          <w:rFonts w:hint="eastAsia" w:cs="宋体" w:asciiTheme="minorEastAsia" w:hAnsiTheme="minorEastAsia" w:eastAsiaTheme="minorEastAsia"/>
          <w:kern w:val="2"/>
          <w:sz w:val="32"/>
          <w:szCs w:val="32"/>
          <w:lang w:eastAsia="zh-CN"/>
        </w:rPr>
        <w:t>不忘初心、牢记使命</w:t>
      </w:r>
      <w:r>
        <w:rPr>
          <w:rFonts w:hint="eastAsia" w:cs="宋体" w:asciiTheme="minorEastAsia" w:hAnsiTheme="minorEastAsia" w:eastAsiaTheme="minorEastAsia"/>
          <w:kern w:val="2"/>
          <w:sz w:val="32"/>
          <w:szCs w:val="32"/>
        </w:rPr>
        <w:t>的长效机制。</w:t>
      </w:r>
    </w:p>
    <w:p>
      <w:pPr>
        <w:ind w:firstLine="560" w:firstLineChars="200"/>
        <w:jc w:val="left"/>
        <w:rPr>
          <w:sz w:val="28"/>
          <w:szCs w:val="28"/>
        </w:rPr>
      </w:pPr>
      <w:r>
        <w:rPr>
          <w:rFonts w:ascii="方正书宋_GBK" w:eastAsia="方正书宋_GBK"/>
          <w:sz w:val="28"/>
          <w:szCs w:val="28"/>
        </w:rPr>
        <w:t xml:space="preserve">     </w:t>
      </w:r>
      <w:r>
        <w:rPr>
          <w:rFonts w:hint="eastAsia" w:ascii="方正楷体_GBK" w:eastAsia="方正楷体_GBK"/>
          <w:b/>
          <w:color w:val="000000"/>
          <w:sz w:val="28"/>
          <w:szCs w:val="28"/>
        </w:rPr>
        <w:t>职责分类绩效目标</w:t>
      </w:r>
      <w:r>
        <w:rPr>
          <w:rFonts w:hint="eastAsia" w:ascii="方正楷体_GBK" w:eastAsiaTheme="minorEastAsia"/>
          <w:b/>
          <w:color w:val="000000"/>
          <w:sz w:val="28"/>
          <w:szCs w:val="28"/>
        </w:rPr>
        <w:t>(见下表)</w:t>
      </w:r>
      <w:r>
        <w:rPr>
          <w:rFonts w:hint="eastAsia" w:ascii="方正楷体_GBK" w:eastAsia="方正楷体_GBK"/>
          <w:b/>
          <w:color w:val="000000"/>
          <w:sz w:val="28"/>
          <w:szCs w:val="28"/>
        </w:rPr>
        <w:t>：</w:t>
      </w:r>
      <w:r>
        <w:rPr>
          <w:sz w:val="28"/>
          <w:szCs w:val="28"/>
        </w:rPr>
        <w:t xml:space="preserve">    </w:t>
      </w: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281</w:t>
            </w:r>
            <w:r>
              <w:rPr>
                <w:rFonts w:hint="eastAsia" w:ascii="方正小标宋_GBK" w:eastAsia="方正小标宋_GBK"/>
                <w:sz w:val="24"/>
              </w:rPr>
              <w:t>党校中共曹妃甸区委党校</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一、培训教育</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5</w:t>
            </w:r>
            <w:r>
              <w:rPr>
                <w:rFonts w:ascii="方正书宋_GBK" w:eastAsia="方正书宋_GBK"/>
              </w:rPr>
              <w:t>.00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根据党中央、省市和县委关于建设高素质干部队伍的要求，有计划地培训、轮训党员领导干部和宣传骨干；结合全县经济社会发展实际，以研讨中央重大理论和方针、政策问题为目的，举办各种专题研讨班</w:t>
            </w:r>
            <w:r>
              <w:rPr>
                <w:rFonts w:ascii="方正书宋_GBK" w:eastAsia="方正书宋_GBK"/>
              </w:rPr>
              <w:t>;</w:t>
            </w:r>
            <w:r>
              <w:rPr>
                <w:rFonts w:hint="eastAsia" w:ascii="方正书宋_GBK" w:eastAsia="方正书宋_GBK"/>
              </w:rPr>
              <w:t>利用教学资源进行干部短期培训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不断提高教学水平、完善教学设施、优化教学布局、丰富教学手段，围绕全县工作大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、组织培训班</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r>
              <w:rPr>
                <w:rFonts w:ascii="方正书宋_GBK" w:eastAsia="方正书宋_GBK"/>
              </w:rPr>
              <w:t>.00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根据县委组织部的干训计划，培训、轮训领导干部和理论骨干；受县委、县政府及有关职能部门委托，结合全县经济社会发展实际，举办各种专题培训、研讨班。</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通过外请专家学者授课，开拓学员思路；通过现场教学、情景教学、案例教学，有效提高培训质量，提高学员解决实际问题的能力。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培训、轮训工作完成率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特色教学百分比</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委托单位满意率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学员教学满意率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、师资与学科建设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加强师资培训、交流、培养，引进高水平人才，加强学科建设和学科培育，形成有党校特色的优势学科和教学基地。</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通过重点培育和建设，形成几门有党校特色的优势学科。</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特色优势学科门数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党校特色教材教案比率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、教学事物管理</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10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组织实施与教学活动和学员培训相关的综合管理和后勤保障事物</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通过严格的行政后勤管理，为学员培训和教学科研活动创造良好的硬件环境和后勤保障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后勤保障事务完成率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受训学员后勤管理综合满意率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二、理论研究和决策咨询</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开展对马克思主义中国化最新成果、全县重大现实问题及战略问题的研究，为推进党的理论创新服务，为县委、县政府及有关部门决策咨询服务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党的中心任务、重大战略部署及相关重大现实理论问题开展调查研究，有效推进理论创新，立项一批有质量的课题；通过开展调查研究，拿出一批有质量的成果为领导决策服务；通过对党的路线方针政策的宣传和重大理论问题的分析解读，使党员领导干部和群众掌握马克思主义的立场、观点、方法，坚定理想信念，始终和党中央保持一致。</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、理论研究</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对优秀科研成果和成绩突出的优秀科研人才进行定项资助。宣传党和国家的路线方针政策，推进理论和实践创新。</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推动教研人员的科研交流和理论探索，产出高质量的理论成果。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科研课题立项数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、决策咨询和政策宣讲</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承担县领导交办的调研任务，围绕县委县政府中心工作，开展决策咨询研究；组织有关领导、教师到各乡镇及相关部门进行政策宣讲。</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通过决策咨询研究，设立一批有质量的决策咨询服务项目，拿出一批优秀的决策咨询成果，为领导决策咨询服务，发挥思想库和智囊团的作用。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送教下乡次数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对外宣讲次数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决策咨询研究工作完成率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宣讲满意度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bl>
    <w:p>
      <w:pPr>
        <w:autoSpaceDE w:val="0"/>
        <w:autoSpaceDN w:val="0"/>
        <w:adjustRightInd w:val="0"/>
        <w:jc w:val="left"/>
        <w:rPr>
          <w:rFonts w:ascii="黑体" w:hAnsi="黑体" w:eastAsia="黑体" w:cs="Times New Roman"/>
          <w:b/>
          <w:sz w:val="32"/>
          <w:szCs w:val="32"/>
        </w:rPr>
      </w:pPr>
      <w:r>
        <w:rPr>
          <w:rFonts w:hint="eastAsia" w:ascii="黑体" w:hAnsi="黑体" w:eastAsia="黑体" w:cs="Times New Roman"/>
          <w:b/>
          <w:sz w:val="32"/>
          <w:szCs w:val="32"/>
        </w:rPr>
        <w:t>六、政府采购预算情况</w:t>
      </w:r>
    </w:p>
    <w:p>
      <w:pPr>
        <w:outlineLvl w:val="0"/>
        <w:rPr>
          <w:rFonts w:ascii="Times New Roman" w:hAnsi="Times New Roman" w:eastAsia="方正仿宋_GBK" w:cs="Times New Roman"/>
          <w:sz w:val="32"/>
          <w:szCs w:val="24"/>
        </w:rPr>
      </w:pPr>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rPr>
        <w:t>21年没有安排政府采购预算，具体内容详见下表。</w:t>
      </w:r>
    </w:p>
    <w:tbl>
      <w:tblPr>
        <w:tblStyle w:val="9"/>
        <w:tblpPr w:leftFromText="180" w:rightFromText="180" w:vertAnchor="text" w:horzAnchor="page" w:tblpX="1422" w:tblpY="265"/>
        <w:tblOverlap w:val="never"/>
        <w:tblW w:w="1489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6"/>
        <w:gridCol w:w="1089"/>
        <w:gridCol w:w="1471"/>
        <w:gridCol w:w="1471"/>
        <w:gridCol w:w="681"/>
        <w:gridCol w:w="871"/>
        <w:gridCol w:w="970"/>
        <w:gridCol w:w="992"/>
        <w:gridCol w:w="1089"/>
        <w:gridCol w:w="1089"/>
        <w:gridCol w:w="1089"/>
        <w:gridCol w:w="1089"/>
        <w:gridCol w:w="10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blHeader/>
        </w:trPr>
        <w:tc>
          <w:tcPr>
            <w:tcW w:w="8459"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28</w:t>
            </w:r>
            <w:r>
              <w:rPr>
                <w:rFonts w:hint="eastAsia" w:ascii="方正小标宋_GBK" w:eastAsiaTheme="minorEastAsia"/>
                <w:sz w:val="24"/>
              </w:rPr>
              <w:t>1</w:t>
            </w:r>
            <w:r>
              <w:rPr>
                <w:rFonts w:hint="eastAsia" w:ascii="方正小标宋_GBK" w:eastAsia="方正小标宋_GBK"/>
                <w:sz w:val="24"/>
              </w:rPr>
              <w:t>曹妃甸区党校</w:t>
            </w:r>
          </w:p>
        </w:tc>
        <w:tc>
          <w:tcPr>
            <w:tcW w:w="6440"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blHeader/>
        </w:trPr>
        <w:tc>
          <w:tcPr>
            <w:tcW w:w="2995"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47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47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681"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71"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70"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440"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6" w:hRule="atLeast"/>
          <w:tblHeader/>
        </w:trPr>
        <w:tc>
          <w:tcPr>
            <w:tcW w:w="1906"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89"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471" w:type="dxa"/>
            <w:vMerge w:val="continue"/>
            <w:vAlign w:val="center"/>
          </w:tcPr>
          <w:p>
            <w:pPr>
              <w:spacing w:line="300" w:lineRule="exact"/>
              <w:jc w:val="left"/>
              <w:outlineLvl w:val="0"/>
              <w:rPr>
                <w:rFonts w:eastAsia="方正仿宋_GBK"/>
                <w:sz w:val="28"/>
              </w:rPr>
            </w:pPr>
          </w:p>
        </w:tc>
        <w:tc>
          <w:tcPr>
            <w:tcW w:w="1471" w:type="dxa"/>
            <w:vMerge w:val="continue"/>
            <w:vAlign w:val="center"/>
          </w:tcPr>
          <w:p>
            <w:pPr>
              <w:spacing w:line="300" w:lineRule="exact"/>
              <w:jc w:val="left"/>
              <w:outlineLvl w:val="0"/>
              <w:rPr>
                <w:rFonts w:eastAsia="方正仿宋_GBK"/>
                <w:sz w:val="28"/>
              </w:rPr>
            </w:pPr>
          </w:p>
        </w:tc>
        <w:tc>
          <w:tcPr>
            <w:tcW w:w="681" w:type="dxa"/>
            <w:vMerge w:val="continue"/>
            <w:vAlign w:val="center"/>
          </w:tcPr>
          <w:p>
            <w:pPr>
              <w:spacing w:line="300" w:lineRule="exact"/>
              <w:jc w:val="left"/>
              <w:outlineLvl w:val="0"/>
              <w:rPr>
                <w:rFonts w:eastAsia="方正仿宋_GBK"/>
                <w:sz w:val="28"/>
              </w:rPr>
            </w:pPr>
          </w:p>
        </w:tc>
        <w:tc>
          <w:tcPr>
            <w:tcW w:w="871" w:type="dxa"/>
            <w:vMerge w:val="continue"/>
            <w:vAlign w:val="center"/>
          </w:tcPr>
          <w:p>
            <w:pPr>
              <w:spacing w:line="300" w:lineRule="exact"/>
              <w:jc w:val="left"/>
              <w:outlineLvl w:val="0"/>
              <w:rPr>
                <w:rFonts w:eastAsia="方正仿宋_GBK"/>
                <w:sz w:val="28"/>
              </w:rPr>
            </w:pPr>
          </w:p>
        </w:tc>
        <w:tc>
          <w:tcPr>
            <w:tcW w:w="970" w:type="dxa"/>
            <w:vMerge w:val="continue"/>
            <w:vAlign w:val="center"/>
          </w:tcPr>
          <w:p>
            <w:pPr>
              <w:spacing w:line="300" w:lineRule="exact"/>
              <w:jc w:val="left"/>
              <w:outlineLvl w:val="0"/>
              <w:rPr>
                <w:rFonts w:eastAsia="方正仿宋_GBK"/>
                <w:sz w:val="28"/>
              </w:rPr>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089"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089"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089"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089"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092"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rPr>
        <w:tc>
          <w:tcPr>
            <w:tcW w:w="1906"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89" w:type="dxa"/>
            <w:vAlign w:val="center"/>
          </w:tcPr>
          <w:p>
            <w:pPr>
              <w:spacing w:line="300" w:lineRule="exact"/>
              <w:jc w:val="right"/>
              <w:rPr>
                <w:rFonts w:ascii="方正书宋_GBK" w:eastAsia="方正书宋_GBK"/>
                <w:b/>
              </w:rPr>
            </w:pPr>
          </w:p>
        </w:tc>
        <w:tc>
          <w:tcPr>
            <w:tcW w:w="1471" w:type="dxa"/>
            <w:vAlign w:val="center"/>
          </w:tcPr>
          <w:p>
            <w:pPr>
              <w:spacing w:line="300" w:lineRule="exact"/>
              <w:jc w:val="left"/>
              <w:rPr>
                <w:rFonts w:ascii="方正书宋_GBK" w:eastAsia="方正书宋_GBK"/>
                <w:b/>
              </w:rPr>
            </w:pPr>
          </w:p>
        </w:tc>
        <w:tc>
          <w:tcPr>
            <w:tcW w:w="1471" w:type="dxa"/>
            <w:vAlign w:val="center"/>
          </w:tcPr>
          <w:p>
            <w:pPr>
              <w:spacing w:line="300" w:lineRule="exact"/>
              <w:jc w:val="left"/>
              <w:rPr>
                <w:rFonts w:ascii="方正书宋_GBK" w:eastAsia="方正书宋_GBK"/>
                <w:b/>
              </w:rPr>
            </w:pPr>
          </w:p>
        </w:tc>
        <w:tc>
          <w:tcPr>
            <w:tcW w:w="681" w:type="dxa"/>
            <w:vAlign w:val="center"/>
          </w:tcPr>
          <w:p>
            <w:pPr>
              <w:spacing w:line="300" w:lineRule="exact"/>
              <w:jc w:val="center"/>
              <w:rPr>
                <w:rFonts w:ascii="方正书宋_GBK" w:eastAsia="方正书宋_GBK"/>
                <w:b/>
              </w:rPr>
            </w:pPr>
          </w:p>
        </w:tc>
        <w:tc>
          <w:tcPr>
            <w:tcW w:w="871" w:type="dxa"/>
            <w:vAlign w:val="center"/>
          </w:tcPr>
          <w:p>
            <w:pPr>
              <w:spacing w:line="300" w:lineRule="exact"/>
              <w:jc w:val="right"/>
              <w:rPr>
                <w:rFonts w:ascii="方正书宋_GBK" w:eastAsia="方正书宋_GBK"/>
                <w:b/>
              </w:rPr>
            </w:pPr>
          </w:p>
        </w:tc>
        <w:tc>
          <w:tcPr>
            <w:tcW w:w="970"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r>
              <w:rPr>
                <w:rFonts w:hint="eastAsia" w:ascii="方正书宋_GBK" w:eastAsia="方正书宋_GBK"/>
                <w:b/>
              </w:rPr>
              <w:t>0</w:t>
            </w:r>
          </w:p>
        </w:tc>
        <w:tc>
          <w:tcPr>
            <w:tcW w:w="1089" w:type="dxa"/>
            <w:vAlign w:val="center"/>
          </w:tcPr>
          <w:p>
            <w:pPr>
              <w:spacing w:line="300" w:lineRule="exact"/>
              <w:jc w:val="right"/>
              <w:rPr>
                <w:rFonts w:ascii="方正书宋_GBK" w:eastAsia="方正书宋_GBK"/>
                <w:b/>
              </w:rPr>
            </w:pPr>
          </w:p>
        </w:tc>
        <w:tc>
          <w:tcPr>
            <w:tcW w:w="1089" w:type="dxa"/>
            <w:vAlign w:val="center"/>
          </w:tcPr>
          <w:p>
            <w:pPr>
              <w:spacing w:line="300" w:lineRule="exact"/>
              <w:jc w:val="right"/>
              <w:rPr>
                <w:rFonts w:ascii="方正书宋_GBK" w:eastAsia="方正书宋_GBK"/>
                <w:b/>
              </w:rPr>
            </w:pPr>
          </w:p>
        </w:tc>
        <w:tc>
          <w:tcPr>
            <w:tcW w:w="1089" w:type="dxa"/>
            <w:vAlign w:val="center"/>
          </w:tcPr>
          <w:p>
            <w:pPr>
              <w:spacing w:line="300" w:lineRule="exact"/>
              <w:jc w:val="right"/>
              <w:rPr>
                <w:rFonts w:ascii="方正书宋_GBK" w:eastAsia="方正书宋_GBK"/>
                <w:b/>
              </w:rPr>
            </w:pPr>
          </w:p>
        </w:tc>
        <w:tc>
          <w:tcPr>
            <w:tcW w:w="1089" w:type="dxa"/>
            <w:vAlign w:val="center"/>
          </w:tcPr>
          <w:p>
            <w:pPr>
              <w:spacing w:line="300" w:lineRule="exact"/>
              <w:jc w:val="right"/>
              <w:rPr>
                <w:rFonts w:ascii="方正书宋_GBK" w:eastAsia="方正书宋_GBK"/>
                <w:b/>
              </w:rPr>
            </w:pPr>
          </w:p>
        </w:tc>
        <w:tc>
          <w:tcPr>
            <w:tcW w:w="1092"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rPr>
        <w:tc>
          <w:tcPr>
            <w:tcW w:w="1906" w:type="dxa"/>
            <w:vAlign w:val="center"/>
          </w:tcPr>
          <w:p>
            <w:pPr>
              <w:spacing w:line="300" w:lineRule="exact"/>
              <w:jc w:val="center"/>
              <w:rPr>
                <w:rFonts w:ascii="方正书宋_GBK" w:eastAsia="方正书宋_GBK"/>
                <w:b/>
              </w:rPr>
            </w:pPr>
          </w:p>
        </w:tc>
        <w:tc>
          <w:tcPr>
            <w:tcW w:w="1089" w:type="dxa"/>
            <w:vAlign w:val="center"/>
          </w:tcPr>
          <w:p>
            <w:pPr>
              <w:spacing w:line="300" w:lineRule="exact"/>
              <w:jc w:val="right"/>
              <w:rPr>
                <w:rFonts w:ascii="方正书宋_GBK" w:eastAsia="方正书宋_GBK"/>
                <w:b/>
              </w:rPr>
            </w:pPr>
          </w:p>
        </w:tc>
        <w:tc>
          <w:tcPr>
            <w:tcW w:w="1471" w:type="dxa"/>
            <w:vAlign w:val="center"/>
          </w:tcPr>
          <w:p>
            <w:pPr>
              <w:spacing w:line="300" w:lineRule="exact"/>
              <w:jc w:val="left"/>
              <w:rPr>
                <w:rFonts w:ascii="方正书宋_GBK" w:eastAsia="方正书宋_GBK"/>
                <w:b/>
              </w:rPr>
            </w:pPr>
          </w:p>
        </w:tc>
        <w:tc>
          <w:tcPr>
            <w:tcW w:w="1471" w:type="dxa"/>
            <w:vAlign w:val="center"/>
          </w:tcPr>
          <w:p>
            <w:pPr>
              <w:spacing w:line="300" w:lineRule="exact"/>
              <w:jc w:val="left"/>
              <w:rPr>
                <w:rFonts w:ascii="方正书宋_GBK" w:eastAsia="方正书宋_GBK"/>
                <w:b/>
              </w:rPr>
            </w:pPr>
          </w:p>
        </w:tc>
        <w:tc>
          <w:tcPr>
            <w:tcW w:w="681" w:type="dxa"/>
            <w:vAlign w:val="center"/>
          </w:tcPr>
          <w:p>
            <w:pPr>
              <w:spacing w:line="300" w:lineRule="exact"/>
              <w:jc w:val="center"/>
              <w:rPr>
                <w:rFonts w:ascii="方正书宋_GBK" w:eastAsia="方正书宋_GBK"/>
                <w:b/>
              </w:rPr>
            </w:pPr>
          </w:p>
        </w:tc>
        <w:tc>
          <w:tcPr>
            <w:tcW w:w="871" w:type="dxa"/>
            <w:vAlign w:val="center"/>
          </w:tcPr>
          <w:p>
            <w:pPr>
              <w:spacing w:line="300" w:lineRule="exact"/>
              <w:jc w:val="right"/>
              <w:rPr>
                <w:rFonts w:ascii="方正书宋_GBK" w:eastAsia="方正书宋_GBK"/>
                <w:b/>
              </w:rPr>
            </w:pPr>
          </w:p>
        </w:tc>
        <w:tc>
          <w:tcPr>
            <w:tcW w:w="970"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1089" w:type="dxa"/>
            <w:vAlign w:val="center"/>
          </w:tcPr>
          <w:p>
            <w:pPr>
              <w:spacing w:line="300" w:lineRule="exact"/>
              <w:jc w:val="right"/>
              <w:rPr>
                <w:rFonts w:ascii="方正书宋_GBK" w:eastAsia="方正书宋_GBK"/>
                <w:b/>
              </w:rPr>
            </w:pPr>
          </w:p>
        </w:tc>
        <w:tc>
          <w:tcPr>
            <w:tcW w:w="1089" w:type="dxa"/>
            <w:vAlign w:val="center"/>
          </w:tcPr>
          <w:p>
            <w:pPr>
              <w:spacing w:line="300" w:lineRule="exact"/>
              <w:jc w:val="right"/>
              <w:rPr>
                <w:rFonts w:ascii="方正书宋_GBK" w:eastAsia="方正书宋_GBK"/>
                <w:b/>
              </w:rPr>
            </w:pPr>
          </w:p>
        </w:tc>
        <w:tc>
          <w:tcPr>
            <w:tcW w:w="1089" w:type="dxa"/>
            <w:vAlign w:val="center"/>
          </w:tcPr>
          <w:p>
            <w:pPr>
              <w:spacing w:line="300" w:lineRule="exact"/>
              <w:jc w:val="right"/>
              <w:rPr>
                <w:rFonts w:ascii="方正书宋_GBK" w:eastAsia="方正书宋_GBK"/>
                <w:b/>
              </w:rPr>
            </w:pPr>
          </w:p>
        </w:tc>
        <w:tc>
          <w:tcPr>
            <w:tcW w:w="1089" w:type="dxa"/>
            <w:vAlign w:val="center"/>
          </w:tcPr>
          <w:p>
            <w:pPr>
              <w:spacing w:line="300" w:lineRule="exact"/>
              <w:jc w:val="right"/>
              <w:rPr>
                <w:rFonts w:ascii="方正书宋_GBK" w:eastAsia="方正书宋_GBK"/>
                <w:b/>
              </w:rPr>
            </w:pPr>
          </w:p>
        </w:tc>
        <w:tc>
          <w:tcPr>
            <w:tcW w:w="1092" w:type="dxa"/>
            <w:vAlign w:val="center"/>
          </w:tcPr>
          <w:p>
            <w:pPr>
              <w:spacing w:line="300" w:lineRule="exact"/>
              <w:jc w:val="right"/>
              <w:rPr>
                <w:rFonts w:ascii="方正书宋_GBK" w:eastAsia="方正书宋_GBK"/>
                <w:b/>
              </w:rPr>
            </w:pPr>
          </w:p>
        </w:tc>
      </w:tr>
    </w:tbl>
    <w:p>
      <w:pPr>
        <w:jc w:val="left"/>
        <w:rPr>
          <w:b/>
        </w:rPr>
      </w:pPr>
      <w:r>
        <w:rPr>
          <w:rFonts w:hint="eastAsia" w:ascii="黑体" w:hAnsi="黑体" w:eastAsia="黑体" w:cs="Times New Roman"/>
          <w:b/>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上年末固定资产原值金额为131.69万元（详见下表）</w:t>
      </w:r>
      <w:r>
        <w:rPr>
          <w:rFonts w:hint="eastAsia" w:ascii="Times New Roman" w:hAnsi="Times New Roman" w:eastAsia="方正仿宋_GBK" w:cs="Times New Roman"/>
          <w:sz w:val="32"/>
          <w:szCs w:val="24"/>
        </w:rPr>
        <w:t>。本年度拟购置固定资产只要为凭证柜及电视机等办公设备共计0.9万元，均为20万元以下的设备。</w:t>
      </w:r>
    </w:p>
    <w:p>
      <w:pPr>
        <w:ind w:firstLine="640"/>
        <w:rPr>
          <w:rFonts w:ascii="??_GB2312" w:hAnsi="黑体" w:eastAsia="Times New Roman" w:cs="Times New Roman"/>
          <w:color w:val="FF0000"/>
          <w:sz w:val="32"/>
          <w:szCs w:val="32"/>
        </w:rPr>
      </w:pPr>
    </w:p>
    <w:tbl>
      <w:tblPr>
        <w:tblStyle w:val="9"/>
        <w:tblW w:w="0" w:type="auto"/>
        <w:tblInd w:w="0"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曹妃甸区委党校部门固定资产占用情况表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编制部门：曹妃甸区委党校</w:t>
            </w:r>
          </w:p>
        </w:tc>
        <w:tc>
          <w:tcPr>
            <w:tcW w:w="5103" w:type="dxa"/>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w:t>
            </w:r>
            <w:r>
              <w:rPr>
                <w:rFonts w:hint="eastAsia" w:ascii="宋体" w:hAnsi="宋体" w:cs="宋体"/>
                <w:kern w:val="0"/>
                <w:sz w:val="22"/>
              </w:rPr>
              <w:t>20年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131.69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85.85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19.32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cs="宋体"/>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26.52</w:t>
            </w:r>
          </w:p>
        </w:tc>
      </w:tr>
    </w:tbl>
    <w:p>
      <w:pPr>
        <w:pStyle w:val="16"/>
        <w:numPr>
          <w:ilvl w:val="0"/>
          <w:numId w:val="3"/>
        </w:numPr>
        <w:autoSpaceDE w:val="0"/>
        <w:autoSpaceDN w:val="0"/>
        <w:adjustRightInd w:val="0"/>
        <w:ind w:firstLineChars="0"/>
        <w:jc w:val="left"/>
        <w:rPr>
          <w:rFonts w:ascii="黑体" w:hAnsi="黑体" w:eastAsia="黑体" w:cs="Times New Roman"/>
          <w:b/>
          <w:sz w:val="32"/>
          <w:szCs w:val="32"/>
        </w:rPr>
      </w:pPr>
      <w:r>
        <w:rPr>
          <w:rFonts w:hint="eastAsia" w:ascii="黑体" w:hAnsi="黑体" w:eastAsia="黑体" w:cs="Times New Roman"/>
          <w:b/>
          <w:sz w:val="32"/>
          <w:szCs w:val="32"/>
        </w:rPr>
        <w:t>名词解释</w:t>
      </w:r>
    </w:p>
    <w:p>
      <w:pPr>
        <w:autoSpaceDE w:val="0"/>
        <w:autoSpaceDN w:val="0"/>
        <w:adjustRightInd w:val="0"/>
        <w:ind w:left="420" w:leftChars="200" w:firstLine="640" w:firstLineChars="200"/>
        <w:jc w:val="left"/>
        <w:rPr>
          <w:rFonts w:ascii="??_GB2312" w:hAnsi="??_GB2312" w:eastAsia="Times New Roman" w:cs="??_GB2312"/>
          <w:sz w:val="32"/>
          <w:szCs w:val="32"/>
        </w:rPr>
      </w:pPr>
      <w:r>
        <w:rPr>
          <w:rFonts w:ascii="??_GB2312" w:hAnsi="??_GB2312" w:eastAsia="Times New Roman" w:cs="??_GB2312"/>
          <w:sz w:val="32"/>
          <w:szCs w:val="32"/>
        </w:rPr>
        <w:t>1</w:t>
      </w:r>
      <w:r>
        <w:rPr>
          <w:rFonts w:hint="eastAsia" w:ascii="宋体" w:hAnsi="宋体" w:cs="宋体"/>
          <w:sz w:val="32"/>
          <w:szCs w:val="32"/>
        </w:rPr>
        <w:t>、一般预算收入：区级财政当年拨付的资金。</w:t>
      </w:r>
    </w:p>
    <w:p>
      <w:pPr>
        <w:autoSpaceDE w:val="0"/>
        <w:autoSpaceDN w:val="0"/>
        <w:adjustRightInd w:val="0"/>
        <w:ind w:left="420" w:leftChars="200" w:firstLine="640" w:firstLineChars="200"/>
        <w:jc w:val="left"/>
        <w:rPr>
          <w:rFonts w:ascii="??_GB2312" w:hAnsi="??_GB2312" w:eastAsia="Times New Roman" w:cs="??_GB2312"/>
          <w:sz w:val="32"/>
          <w:szCs w:val="32"/>
        </w:rPr>
      </w:pPr>
      <w:r>
        <w:rPr>
          <w:rFonts w:ascii="??_GB2312" w:hAnsi="??_GB2312" w:eastAsia="Times New Roman" w:cs="??_GB2312"/>
          <w:sz w:val="32"/>
          <w:szCs w:val="32"/>
        </w:rPr>
        <w:t>2</w:t>
      </w:r>
      <w:r>
        <w:rPr>
          <w:rFonts w:hint="eastAsia" w:ascii="宋体" w:hAnsi="宋体" w:cs="宋体"/>
          <w:sz w:val="32"/>
          <w:szCs w:val="32"/>
        </w:rPr>
        <w:t>、基本支出：为保障机构正常运转，完成日常工作任务，而发生的人员支出和公用支出。</w:t>
      </w:r>
    </w:p>
    <w:p>
      <w:pPr>
        <w:autoSpaceDE w:val="0"/>
        <w:autoSpaceDN w:val="0"/>
        <w:adjustRightInd w:val="0"/>
        <w:ind w:left="420" w:leftChars="200" w:firstLine="640" w:firstLineChars="200"/>
        <w:jc w:val="left"/>
        <w:rPr>
          <w:rFonts w:ascii="??_GB2312" w:hAnsi="??_GB2312" w:eastAsia="Times New Roman" w:cs="??_GB2312"/>
          <w:sz w:val="32"/>
          <w:szCs w:val="32"/>
        </w:rPr>
      </w:pPr>
      <w:r>
        <w:rPr>
          <w:rFonts w:ascii="??_GB2312" w:hAnsi="??_GB2312" w:eastAsia="Times New Roman" w:cs="??_GB2312"/>
          <w:sz w:val="32"/>
          <w:szCs w:val="32"/>
        </w:rPr>
        <w:t>3</w:t>
      </w:r>
      <w:r>
        <w:rPr>
          <w:rFonts w:hint="eastAsia" w:ascii="宋体" w:hAnsi="宋体" w:cs="宋体"/>
          <w:sz w:val="32"/>
          <w:szCs w:val="32"/>
        </w:rPr>
        <w:t>、项目支出：是指在基本支出之外，为完成特定行政任务和事业发展目标，而发生的支出。</w:t>
      </w:r>
    </w:p>
    <w:p>
      <w:pPr>
        <w:autoSpaceDE w:val="0"/>
        <w:autoSpaceDN w:val="0"/>
        <w:adjustRightInd w:val="0"/>
        <w:ind w:left="420" w:leftChars="200" w:firstLine="640" w:firstLineChars="200"/>
        <w:jc w:val="left"/>
        <w:rPr>
          <w:rFonts w:ascii="??_GB2312" w:hAnsi="??_GB2312" w:eastAsia="Times New Roman" w:cs="??_GB2312"/>
          <w:sz w:val="32"/>
          <w:szCs w:val="32"/>
        </w:rPr>
      </w:pPr>
      <w:r>
        <w:rPr>
          <w:rFonts w:ascii="??_GB2312" w:hAnsi="??_GB2312" w:eastAsia="Times New Roman" w:cs="??_GB2312"/>
          <w:sz w:val="32"/>
          <w:szCs w:val="32"/>
        </w:rPr>
        <w:t>4</w:t>
      </w:r>
      <w:r>
        <w:rPr>
          <w:rFonts w:hint="eastAsia" w:ascii="宋体" w:hAnsi="宋体" w:cs="宋体"/>
          <w:sz w:val="32"/>
          <w:szCs w:val="32"/>
        </w:rPr>
        <w:t>、机关运行费：是指为保证行政单位（包括参照公务员管理的事业单位）运行，用于购买货物和服务的各项资金。主要包括：办公费、印刷费，水费、电费、邮电费、福利费、日常维修费、办公物业服务费、公务车运行维护费等。</w:t>
      </w:r>
    </w:p>
    <w:p>
      <w:pPr>
        <w:autoSpaceDE w:val="0"/>
        <w:autoSpaceDN w:val="0"/>
        <w:adjustRightInd w:val="0"/>
        <w:jc w:val="left"/>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autoSpaceDE w:val="0"/>
        <w:autoSpaceDN w:val="0"/>
        <w:adjustRightInd w:val="0"/>
        <w:ind w:firstLine="640" w:firstLineChars="200"/>
        <w:jc w:val="left"/>
        <w:rPr>
          <w:rFonts w:ascii="??_GB2312" w:hAnsi="??_GB2312" w:cs="??_GB2312" w:eastAsiaTheme="minorEastAsia"/>
          <w:sz w:val="32"/>
          <w:szCs w:val="32"/>
        </w:rPr>
      </w:pPr>
      <w:r>
        <w:rPr>
          <w:rFonts w:hint="eastAsia" w:ascii="??_GB2312" w:hAnsi="??_GB2312" w:cs="??_GB2312" w:eastAsiaTheme="minorEastAsia"/>
          <w:sz w:val="32"/>
          <w:szCs w:val="32"/>
        </w:rPr>
        <w:t>无</w:t>
      </w:r>
    </w:p>
    <w:sectPr>
      <w:headerReference r:id="rId3" w:type="default"/>
      <w:footerReference r:id="rId4"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_GB2312">
    <w:altName w:val="URW Bookman"/>
    <w:panose1 w:val="00000000000000000000"/>
    <w:charset w:val="00"/>
    <w:family w:val="auto"/>
    <w:pitch w:val="default"/>
    <w:sig w:usb0="00000000" w:usb1="00000000" w:usb2="00000000" w:usb3="00000000" w:csb0="00000001" w:csb1="00000000"/>
  </w:font>
  <w:font w:name="仿宋_GB2312">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宋体-方正超大字符集">
    <w:altName w:val="方正书宋_GBK"/>
    <w:panose1 w:val="03000509000000000000"/>
    <w:charset w:val="86"/>
    <w:family w:val="script"/>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A00002BF" w:usb1="38CF7CFA" w:usb2="00082016" w:usb3="00000000" w:csb0="0004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t xml:space="preserve"> </w:t>
    </w:r>
    <w:r>
      <w:fldChar w:fldCharType="begin"/>
    </w:r>
    <w:r>
      <w:instrText xml:space="preserve"> Page \* MERGEFORMAT </w:instrText>
    </w:r>
    <w:r>
      <w:fldChar w:fldCharType="separate"/>
    </w:r>
    <w:r>
      <w:t>4</w:t>
    </w:r>
    <w:r>
      <w:fldChar w:fldCharType="end"/>
    </w:r>
    <w:r>
      <w:t xml:space="preserve"> </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abstractNum w:abstractNumId="1">
    <w:nsid w:val="2CE34AB4"/>
    <w:multiLevelType w:val="multilevel"/>
    <w:tmpl w:val="2CE34AB4"/>
    <w:lvl w:ilvl="0" w:tentative="0">
      <w:start w:val="8"/>
      <w:numFmt w:val="japaneseCounting"/>
      <w:lvlText w:val="%1、"/>
      <w:lvlJc w:val="left"/>
      <w:pPr>
        <w:ind w:left="720" w:hanging="720"/>
      </w:pPr>
      <w:rPr>
        <w:rFonts w:hint="default" w:ascii="??_GB2312"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09A0EE"/>
    <w:multiLevelType w:val="singleLevel"/>
    <w:tmpl w:val="5909A0EE"/>
    <w:lvl w:ilvl="0" w:tentative="0">
      <w:start w:val="1"/>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true"/>
  <w:bordersDoNotSurroundFooter w:val="true"/>
  <w:documentProtection w:enforcement="0"/>
  <w:defaultTabStop w:val="420"/>
  <w:doNotHyphenateCaps/>
  <w:drawingGridHorizontalSpacing w:val="105"/>
  <w:drawingGridVerticalSpacing w:val="159"/>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Q2MThmYzI5ZmJjMDc4MmQ4ZWRmYzA1NjUzM2IifQ=="/>
  </w:docVars>
  <w:rsids>
    <w:rsidRoot w:val="00172A27"/>
    <w:rsid w:val="00005872"/>
    <w:rsid w:val="000069C9"/>
    <w:rsid w:val="00007175"/>
    <w:rsid w:val="000230EE"/>
    <w:rsid w:val="0004731A"/>
    <w:rsid w:val="00075A86"/>
    <w:rsid w:val="00086E7A"/>
    <w:rsid w:val="00094A88"/>
    <w:rsid w:val="000A4A5D"/>
    <w:rsid w:val="000F0282"/>
    <w:rsid w:val="000F1DB0"/>
    <w:rsid w:val="000F39A8"/>
    <w:rsid w:val="001048E4"/>
    <w:rsid w:val="00112C3E"/>
    <w:rsid w:val="001306AA"/>
    <w:rsid w:val="001335D1"/>
    <w:rsid w:val="00163395"/>
    <w:rsid w:val="00172A27"/>
    <w:rsid w:val="00183B5F"/>
    <w:rsid w:val="0019464D"/>
    <w:rsid w:val="001A7476"/>
    <w:rsid w:val="001A749F"/>
    <w:rsid w:val="001B20D2"/>
    <w:rsid w:val="001B2CF4"/>
    <w:rsid w:val="001B57CF"/>
    <w:rsid w:val="001B73FA"/>
    <w:rsid w:val="001C00E3"/>
    <w:rsid w:val="001D0122"/>
    <w:rsid w:val="001D1FD7"/>
    <w:rsid w:val="001F51EE"/>
    <w:rsid w:val="001F5DC0"/>
    <w:rsid w:val="0020019A"/>
    <w:rsid w:val="0020516D"/>
    <w:rsid w:val="00225BED"/>
    <w:rsid w:val="00235DB9"/>
    <w:rsid w:val="002364EA"/>
    <w:rsid w:val="002A5E05"/>
    <w:rsid w:val="002C66BC"/>
    <w:rsid w:val="002F20D4"/>
    <w:rsid w:val="002F72B1"/>
    <w:rsid w:val="003123F3"/>
    <w:rsid w:val="00316188"/>
    <w:rsid w:val="00325D61"/>
    <w:rsid w:val="0035539F"/>
    <w:rsid w:val="00362838"/>
    <w:rsid w:val="00367F12"/>
    <w:rsid w:val="003716D4"/>
    <w:rsid w:val="003727D2"/>
    <w:rsid w:val="003B6348"/>
    <w:rsid w:val="003D1B74"/>
    <w:rsid w:val="003E4A75"/>
    <w:rsid w:val="003E664A"/>
    <w:rsid w:val="004003ED"/>
    <w:rsid w:val="004067CB"/>
    <w:rsid w:val="004171E0"/>
    <w:rsid w:val="00426C7B"/>
    <w:rsid w:val="00447C4F"/>
    <w:rsid w:val="0045461A"/>
    <w:rsid w:val="004638D2"/>
    <w:rsid w:val="0048138C"/>
    <w:rsid w:val="004823AB"/>
    <w:rsid w:val="004B4A2C"/>
    <w:rsid w:val="004F6C92"/>
    <w:rsid w:val="00503904"/>
    <w:rsid w:val="00506C6C"/>
    <w:rsid w:val="00525F70"/>
    <w:rsid w:val="00531BE7"/>
    <w:rsid w:val="00550158"/>
    <w:rsid w:val="00552541"/>
    <w:rsid w:val="00553B95"/>
    <w:rsid w:val="00597E0B"/>
    <w:rsid w:val="005B2960"/>
    <w:rsid w:val="005B3605"/>
    <w:rsid w:val="005B3BB9"/>
    <w:rsid w:val="005B4415"/>
    <w:rsid w:val="005B625E"/>
    <w:rsid w:val="005D318D"/>
    <w:rsid w:val="005D534C"/>
    <w:rsid w:val="005E6613"/>
    <w:rsid w:val="005F1F84"/>
    <w:rsid w:val="005F3A9B"/>
    <w:rsid w:val="00602191"/>
    <w:rsid w:val="006164D6"/>
    <w:rsid w:val="006227FD"/>
    <w:rsid w:val="006637C3"/>
    <w:rsid w:val="006A506F"/>
    <w:rsid w:val="006A63EA"/>
    <w:rsid w:val="006D208A"/>
    <w:rsid w:val="006E5CB6"/>
    <w:rsid w:val="006F54D7"/>
    <w:rsid w:val="007040A8"/>
    <w:rsid w:val="00706081"/>
    <w:rsid w:val="00711830"/>
    <w:rsid w:val="00715414"/>
    <w:rsid w:val="007231CF"/>
    <w:rsid w:val="0072472F"/>
    <w:rsid w:val="00730644"/>
    <w:rsid w:val="007322B9"/>
    <w:rsid w:val="0074016B"/>
    <w:rsid w:val="0074297C"/>
    <w:rsid w:val="00756BEC"/>
    <w:rsid w:val="0076584A"/>
    <w:rsid w:val="00774386"/>
    <w:rsid w:val="0079771D"/>
    <w:rsid w:val="007A47D3"/>
    <w:rsid w:val="007D0D39"/>
    <w:rsid w:val="007D13B9"/>
    <w:rsid w:val="007E03CB"/>
    <w:rsid w:val="007E2EF2"/>
    <w:rsid w:val="007E46E4"/>
    <w:rsid w:val="007E4C46"/>
    <w:rsid w:val="007F3237"/>
    <w:rsid w:val="00810BA4"/>
    <w:rsid w:val="0083702B"/>
    <w:rsid w:val="00850ACC"/>
    <w:rsid w:val="00867E5C"/>
    <w:rsid w:val="008903C5"/>
    <w:rsid w:val="008968ED"/>
    <w:rsid w:val="008A58FD"/>
    <w:rsid w:val="008A78EF"/>
    <w:rsid w:val="008D46AE"/>
    <w:rsid w:val="008E2A9C"/>
    <w:rsid w:val="00905563"/>
    <w:rsid w:val="0090710A"/>
    <w:rsid w:val="00921562"/>
    <w:rsid w:val="00923231"/>
    <w:rsid w:val="00942D3F"/>
    <w:rsid w:val="00963359"/>
    <w:rsid w:val="009836A5"/>
    <w:rsid w:val="009961BE"/>
    <w:rsid w:val="009C1B3F"/>
    <w:rsid w:val="009D4812"/>
    <w:rsid w:val="009D51AD"/>
    <w:rsid w:val="009D7F8D"/>
    <w:rsid w:val="009F25D6"/>
    <w:rsid w:val="009F3D4B"/>
    <w:rsid w:val="00A112D2"/>
    <w:rsid w:val="00A134D4"/>
    <w:rsid w:val="00A27A57"/>
    <w:rsid w:val="00A335C6"/>
    <w:rsid w:val="00A40187"/>
    <w:rsid w:val="00A46775"/>
    <w:rsid w:val="00A52A70"/>
    <w:rsid w:val="00A56F6F"/>
    <w:rsid w:val="00A81366"/>
    <w:rsid w:val="00A95EB7"/>
    <w:rsid w:val="00AA2A0B"/>
    <w:rsid w:val="00AA6146"/>
    <w:rsid w:val="00AD7608"/>
    <w:rsid w:val="00B00F16"/>
    <w:rsid w:val="00B108EB"/>
    <w:rsid w:val="00B40B09"/>
    <w:rsid w:val="00B50C30"/>
    <w:rsid w:val="00B57544"/>
    <w:rsid w:val="00B57D0A"/>
    <w:rsid w:val="00B75533"/>
    <w:rsid w:val="00B80E8A"/>
    <w:rsid w:val="00BB6922"/>
    <w:rsid w:val="00BC0564"/>
    <w:rsid w:val="00BC7EDF"/>
    <w:rsid w:val="00BD57FC"/>
    <w:rsid w:val="00BE6142"/>
    <w:rsid w:val="00C22119"/>
    <w:rsid w:val="00C30123"/>
    <w:rsid w:val="00C34151"/>
    <w:rsid w:val="00C35724"/>
    <w:rsid w:val="00C57260"/>
    <w:rsid w:val="00C66002"/>
    <w:rsid w:val="00C701D6"/>
    <w:rsid w:val="00C76BDE"/>
    <w:rsid w:val="00C924E7"/>
    <w:rsid w:val="00C95C9A"/>
    <w:rsid w:val="00CB5DA3"/>
    <w:rsid w:val="00CD4D95"/>
    <w:rsid w:val="00D4081E"/>
    <w:rsid w:val="00D74AC0"/>
    <w:rsid w:val="00D806B6"/>
    <w:rsid w:val="00DB426F"/>
    <w:rsid w:val="00DB4EF4"/>
    <w:rsid w:val="00DC27EF"/>
    <w:rsid w:val="00DD0770"/>
    <w:rsid w:val="00E01F6D"/>
    <w:rsid w:val="00E04283"/>
    <w:rsid w:val="00E11652"/>
    <w:rsid w:val="00E22CF8"/>
    <w:rsid w:val="00E4225F"/>
    <w:rsid w:val="00E47E5B"/>
    <w:rsid w:val="00E56289"/>
    <w:rsid w:val="00E566F7"/>
    <w:rsid w:val="00E61A4A"/>
    <w:rsid w:val="00E639E1"/>
    <w:rsid w:val="00E81ACB"/>
    <w:rsid w:val="00ED7BFF"/>
    <w:rsid w:val="00EE07FD"/>
    <w:rsid w:val="00F02381"/>
    <w:rsid w:val="00F17690"/>
    <w:rsid w:val="00F65265"/>
    <w:rsid w:val="00F71BEE"/>
    <w:rsid w:val="00F76204"/>
    <w:rsid w:val="00F7620B"/>
    <w:rsid w:val="00F958F5"/>
    <w:rsid w:val="00FA04FB"/>
    <w:rsid w:val="00FB2C80"/>
    <w:rsid w:val="00FB2D29"/>
    <w:rsid w:val="00FC168C"/>
    <w:rsid w:val="00FC47A9"/>
    <w:rsid w:val="00FD216E"/>
    <w:rsid w:val="00FD284B"/>
    <w:rsid w:val="01237B34"/>
    <w:rsid w:val="02335EF2"/>
    <w:rsid w:val="081465EC"/>
    <w:rsid w:val="08B872E5"/>
    <w:rsid w:val="0D3D7863"/>
    <w:rsid w:val="11B14DCE"/>
    <w:rsid w:val="11BD51BB"/>
    <w:rsid w:val="13FE75A2"/>
    <w:rsid w:val="173E1959"/>
    <w:rsid w:val="17B27C12"/>
    <w:rsid w:val="182B5206"/>
    <w:rsid w:val="18E406CF"/>
    <w:rsid w:val="1A6C0E84"/>
    <w:rsid w:val="1A7C3068"/>
    <w:rsid w:val="1B6C046B"/>
    <w:rsid w:val="1C6D28A3"/>
    <w:rsid w:val="1CC5044C"/>
    <w:rsid w:val="1DC43078"/>
    <w:rsid w:val="1F436A91"/>
    <w:rsid w:val="20490F69"/>
    <w:rsid w:val="20880B42"/>
    <w:rsid w:val="20D06600"/>
    <w:rsid w:val="253476E6"/>
    <w:rsid w:val="2573511A"/>
    <w:rsid w:val="26A175C9"/>
    <w:rsid w:val="26B55F79"/>
    <w:rsid w:val="2B2D036C"/>
    <w:rsid w:val="2C343CEB"/>
    <w:rsid w:val="2C973BA3"/>
    <w:rsid w:val="2CD91EE1"/>
    <w:rsid w:val="2D3D47D0"/>
    <w:rsid w:val="2D9F209F"/>
    <w:rsid w:val="2DFA07EA"/>
    <w:rsid w:val="2FAF2DC0"/>
    <w:rsid w:val="37346343"/>
    <w:rsid w:val="376059F1"/>
    <w:rsid w:val="391A383D"/>
    <w:rsid w:val="39B624A1"/>
    <w:rsid w:val="3B9D05E2"/>
    <w:rsid w:val="3B9D3F7B"/>
    <w:rsid w:val="3BC06A63"/>
    <w:rsid w:val="3F675A63"/>
    <w:rsid w:val="41732653"/>
    <w:rsid w:val="417B1318"/>
    <w:rsid w:val="42646472"/>
    <w:rsid w:val="460974D0"/>
    <w:rsid w:val="477E5776"/>
    <w:rsid w:val="47E52DBD"/>
    <w:rsid w:val="4A1F4FCF"/>
    <w:rsid w:val="4D667939"/>
    <w:rsid w:val="4F762266"/>
    <w:rsid w:val="507B57E7"/>
    <w:rsid w:val="516D3442"/>
    <w:rsid w:val="525A132C"/>
    <w:rsid w:val="52F74406"/>
    <w:rsid w:val="53934B54"/>
    <w:rsid w:val="54BA7095"/>
    <w:rsid w:val="56412769"/>
    <w:rsid w:val="56A439CF"/>
    <w:rsid w:val="588958A6"/>
    <w:rsid w:val="5C5C3E00"/>
    <w:rsid w:val="5CE46DB3"/>
    <w:rsid w:val="5CF32068"/>
    <w:rsid w:val="67C9021A"/>
    <w:rsid w:val="6AAF6CB6"/>
    <w:rsid w:val="6BDC690F"/>
    <w:rsid w:val="6BF81301"/>
    <w:rsid w:val="6F123BFA"/>
    <w:rsid w:val="712552E9"/>
    <w:rsid w:val="779F354D"/>
    <w:rsid w:val="7944331F"/>
    <w:rsid w:val="7AEC23D6"/>
    <w:rsid w:val="7BBC722B"/>
    <w:rsid w:val="7C9A7756"/>
    <w:rsid w:val="7EC17BDC"/>
    <w:rsid w:val="7F752A34"/>
    <w:rsid w:val="EDE70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semiHidden/>
    <w:qFormat/>
    <w:uiPriority w:val="0"/>
    <w:rPr>
      <w:rFonts w:ascii="Times New Roman" w:hAnsi="Times New Roman" w:cs="Times New Roman"/>
      <w:szCs w:val="24"/>
    </w:rPr>
  </w:style>
  <w:style w:type="paragraph" w:styleId="6">
    <w:name w:val="toc 2"/>
    <w:basedOn w:val="1"/>
    <w:next w:val="1"/>
    <w:semiHidden/>
    <w:qFormat/>
    <w:uiPriority w:val="0"/>
    <w:pPr>
      <w:ind w:left="420" w:leftChars="200"/>
    </w:pPr>
    <w:rPr>
      <w:rFonts w:ascii="Times New Roman" w:hAnsi="Times New Roman"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character" w:styleId="11">
    <w:name w:val="Hyperlink"/>
    <w:qFormat/>
    <w:uiPriority w:val="0"/>
    <w:rPr>
      <w:color w:val="0000FF"/>
      <w:u w:val="single"/>
    </w:rPr>
  </w:style>
  <w:style w:type="character" w:customStyle="1" w:styleId="12">
    <w:name w:val="页脚 Char"/>
    <w:link w:val="3"/>
    <w:semiHidden/>
    <w:qFormat/>
    <w:locked/>
    <w:uiPriority w:val="0"/>
    <w:rPr>
      <w:rFonts w:ascii="Times New Roman" w:hAnsi="Times New Roman" w:eastAsia="宋体" w:cs="Times New Roman"/>
      <w:sz w:val="18"/>
      <w:szCs w:val="18"/>
    </w:rPr>
  </w:style>
  <w:style w:type="character" w:customStyle="1" w:styleId="13">
    <w:name w:val="页眉 Char"/>
    <w:link w:val="4"/>
    <w:semiHidden/>
    <w:qFormat/>
    <w:locked/>
    <w:uiPriority w:val="0"/>
    <w:rPr>
      <w:rFonts w:ascii="Times New Roman" w:hAnsi="Times New Roman" w:eastAsia="宋体" w:cs="Times New Roman"/>
      <w:sz w:val="18"/>
      <w:szCs w:val="18"/>
    </w:rPr>
  </w:style>
  <w:style w:type="character" w:customStyle="1" w:styleId="14">
    <w:name w:val="Page Number1"/>
    <w:qFormat/>
    <w:uiPriority w:val="0"/>
    <w:rPr>
      <w:rFonts w:cs="Times New Roman"/>
    </w:rPr>
  </w:style>
  <w:style w:type="character" w:customStyle="1" w:styleId="15">
    <w:name w:val="font11"/>
    <w:qFormat/>
    <w:uiPriority w:val="0"/>
    <w:rPr>
      <w:rFonts w:ascii="宋体" w:hAnsi="宋体" w:eastAsia="宋体" w:cs="宋体"/>
      <w:color w:val="000000"/>
      <w:sz w:val="18"/>
      <w:szCs w:val="18"/>
      <w:u w:val="none"/>
    </w:rPr>
  </w:style>
  <w:style w:type="paragraph" w:styleId="16">
    <w:name w:val="List Paragraph"/>
    <w:basedOn w:val="1"/>
    <w:qFormat/>
    <w:uiPriority w:val="99"/>
    <w:pPr>
      <w:ind w:firstLine="420" w:firstLineChars="200"/>
    </w:pPr>
  </w:style>
  <w:style w:type="paragraph" w:customStyle="1" w:styleId="17">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3535</Words>
  <Characters>3750</Characters>
  <Lines>29</Lines>
  <Paragraphs>8</Paragraphs>
  <TotalTime>724</TotalTime>
  <ScaleCrop>false</ScaleCrop>
  <LinksUpToDate>false</LinksUpToDate>
  <CharactersWithSpaces>3799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2017-11-13T10:12:00Z</dcterms:created>
  <dc:creator>guest</dc:creator>
  <cp:lastModifiedBy>user</cp:lastModifiedBy>
  <cp:lastPrinted>2017-05-03T17:08:00Z</cp:lastPrinted>
  <dcterms:modified xsi:type="dcterms:W3CDTF">2024-11-07T15:58:46Z</dcterms:modified>
  <dc:title>Administrator</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80610AEF2CCA4DB48BCF39C0438F4B0B_13</vt:lpwstr>
  </property>
</Properties>
</file>