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4" w:lineRule="auto"/>
      </w:pPr>
    </w:p>
    <w:p>
      <w:pPr>
        <w:spacing w:line="325" w:lineRule="auto"/>
      </w:pPr>
    </w:p>
    <w:p>
      <w:pPr>
        <w:pStyle w:val="2"/>
        <w:spacing w:before="81" w:line="244" w:lineRule="auto"/>
        <w:ind w:right="482" w:firstLine="466"/>
        <w:rPr>
          <w:rFonts w:hint="eastAsia"/>
        </w:rPr>
      </w:pPr>
    </w:p>
    <w:p>
      <w:pPr>
        <w:spacing w:line="14" w:lineRule="auto"/>
        <w:rPr>
          <w:sz w:val="2"/>
          <w:lang w:eastAsia="zh-CN"/>
        </w:rPr>
      </w:pPr>
      <w:r>
        <w:rPr>
          <w:rFonts w:eastAsia="Arial"/>
          <w:sz w:val="2"/>
          <w:szCs w:val="2"/>
          <w:lang w:eastAsia="zh-CN"/>
        </w:rPr>
        <w:br w:type="column"/>
      </w:r>
    </w:p>
    <w:p>
      <w:pPr>
        <w:spacing w:line="263" w:lineRule="auto"/>
        <w:rPr>
          <w:lang w:eastAsia="zh-CN"/>
        </w:rPr>
      </w:pPr>
      <w:r>
        <w:drawing>
          <wp:anchor distT="0" distB="0" distL="0" distR="0" simplePos="0" relativeHeight="251659264" behindDoc="1" locked="0" layoutInCell="1" allowOverlap="1">
            <wp:simplePos x="0" y="0"/>
            <wp:positionH relativeFrom="column">
              <wp:posOffset>424815</wp:posOffset>
            </wp:positionH>
            <wp:positionV relativeFrom="paragraph">
              <wp:posOffset>140335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3416807" cy="7555991"/>
                    </a:xfrm>
                    <a:prstGeom prst="rect">
                      <a:avLst/>
                    </a:prstGeom>
                  </pic:spPr>
                </pic:pic>
              </a:graphicData>
            </a:graphic>
          </wp:anchor>
        </w:drawing>
      </w:r>
    </w:p>
    <w:p>
      <w:pPr>
        <w:spacing w:line="263" w:lineRule="auto"/>
        <w:rPr>
          <w:lang w:eastAsia="zh-CN"/>
        </w:rPr>
      </w:pPr>
    </w:p>
    <w:p>
      <w:pPr>
        <w:spacing w:line="263" w:lineRule="auto"/>
        <w:rPr>
          <w:lang w:eastAsia="zh-CN"/>
        </w:rPr>
      </w:pPr>
    </w:p>
    <w:p>
      <w:pPr>
        <w:spacing w:line="263" w:lineRule="auto"/>
        <w:rPr>
          <w:lang w:eastAsia="zh-CN"/>
        </w:rPr>
      </w:pPr>
    </w:p>
    <w:p>
      <w:pPr>
        <w:spacing w:line="264" w:lineRule="auto"/>
        <w:rPr>
          <w:lang w:eastAsia="zh-CN"/>
        </w:rPr>
      </w:pPr>
    </w:p>
    <w:p>
      <w:pPr>
        <w:spacing w:line="264" w:lineRule="auto"/>
        <w:rPr>
          <w:lang w:eastAsia="zh-CN"/>
        </w:rPr>
      </w:pPr>
    </w:p>
    <w:p>
      <w:pPr>
        <w:spacing w:before="103" w:line="175" w:lineRule="auto"/>
        <w:ind w:left="2253" w:leftChars="511" w:hanging="1180" w:hangingChars="500"/>
        <w:rPr>
          <w:rFonts w:ascii="微软雅黑" w:hAnsi="微软雅黑" w:eastAsia="微软雅黑" w:cs="微软雅黑"/>
          <w:sz w:val="24"/>
          <w:szCs w:val="24"/>
          <w:lang w:eastAsia="zh-CN"/>
        </w:rPr>
      </w:pPr>
      <w:bookmarkStart w:id="0" w:name="_GoBack"/>
      <w:r>
        <w:rPr>
          <w:rFonts w:hint="eastAsia" w:ascii="微软雅黑" w:hAnsi="微软雅黑" w:eastAsia="微软雅黑" w:cs="微软雅黑"/>
          <w:color w:val="231F20"/>
          <w:spacing w:val="-2"/>
          <w:sz w:val="24"/>
          <w:szCs w:val="24"/>
          <w:lang w:eastAsia="zh-CN"/>
        </w:rPr>
        <w:t>道路货物运输经营者变更名称、地址等备案</w:t>
      </w:r>
      <w:r>
        <w:rPr>
          <w:rFonts w:ascii="微软雅黑" w:hAnsi="微软雅黑" w:eastAsia="微软雅黑" w:cs="微软雅黑"/>
          <w:color w:val="231F20"/>
          <w:spacing w:val="-2"/>
          <w:sz w:val="24"/>
          <w:szCs w:val="24"/>
          <w:lang w:eastAsia="zh-CN"/>
        </w:rPr>
        <w:t>服务指南</w:t>
      </w:r>
    </w:p>
    <w:bookmarkEnd w:id="0"/>
    <w:p>
      <w:pPr>
        <w:spacing w:before="201" w:line="202" w:lineRule="auto"/>
        <w:ind w:left="1014"/>
        <w:rPr>
          <w:rFonts w:ascii="微软雅黑" w:hAnsi="微软雅黑" w:eastAsia="微软雅黑" w:cs="微软雅黑"/>
          <w:sz w:val="22"/>
          <w:szCs w:val="22"/>
          <w:lang w:eastAsia="zh-CN"/>
        </w:rPr>
      </w:pPr>
      <w:r>
        <w:rPr>
          <w:rFonts w:ascii="微软雅黑" w:hAnsi="微软雅黑" w:eastAsia="微软雅黑" w:cs="微软雅黑"/>
          <w:color w:val="231F20"/>
          <w:spacing w:val="-4"/>
          <w:sz w:val="22"/>
          <w:szCs w:val="22"/>
          <w:lang w:eastAsia="zh-CN"/>
        </w:rPr>
        <w:t>一、事项名称</w:t>
      </w:r>
    </w:p>
    <w:p>
      <w:pPr>
        <w:pStyle w:val="2"/>
        <w:spacing w:before="30" w:line="232" w:lineRule="auto"/>
        <w:ind w:left="1012"/>
        <w:rPr>
          <w:lang w:eastAsia="zh-CN"/>
        </w:rPr>
      </w:pPr>
      <w:r>
        <w:rPr>
          <w:rFonts w:hint="eastAsia"/>
          <w:color w:val="231F20"/>
          <w:spacing w:val="-1"/>
          <w:lang w:eastAsia="zh-CN"/>
        </w:rPr>
        <w:t>道路货物运输经营者变更名称、地址等备案</w:t>
      </w:r>
    </w:p>
    <w:p>
      <w:pPr>
        <w:spacing w:before="32" w:line="204" w:lineRule="auto"/>
        <w:ind w:left="1013"/>
        <w:rPr>
          <w:rFonts w:ascii="微软雅黑" w:hAnsi="微软雅黑" w:eastAsia="微软雅黑" w:cs="微软雅黑"/>
          <w:sz w:val="22"/>
          <w:szCs w:val="22"/>
          <w:lang w:eastAsia="zh-CN"/>
        </w:rPr>
      </w:pPr>
      <w:r>
        <w:rPr>
          <w:rFonts w:ascii="微软雅黑" w:hAnsi="微软雅黑" w:eastAsia="微软雅黑" w:cs="微软雅黑"/>
          <w:color w:val="231F20"/>
          <w:spacing w:val="-2"/>
          <w:sz w:val="22"/>
          <w:szCs w:val="22"/>
          <w:lang w:eastAsia="zh-CN"/>
        </w:rPr>
        <w:t>二、办理依据</w:t>
      </w:r>
    </w:p>
    <w:p>
      <w:pPr>
        <w:spacing w:before="34" w:line="203" w:lineRule="auto"/>
        <w:ind w:left="1016"/>
        <w:rPr>
          <w:rFonts w:hint="default" w:ascii="方正仿宋简体" w:hAnsi="方正仿宋简体" w:eastAsia="方正仿宋简体" w:cs="方正仿宋简体"/>
          <w:snapToGrid w:val="0"/>
          <w:color w:val="231F20"/>
          <w:spacing w:val="-1"/>
          <w:sz w:val="22"/>
          <w:szCs w:val="22"/>
          <w:lang w:val="en-US" w:eastAsia="zh-CN" w:bidi="ar-SA"/>
        </w:rPr>
      </w:pPr>
      <w:r>
        <w:rPr>
          <w:rFonts w:hint="eastAsia" w:ascii="方正仿宋简体" w:hAnsi="方正仿宋简体" w:eastAsia="方正仿宋简体" w:cs="方正仿宋简体"/>
          <w:snapToGrid w:val="0"/>
          <w:color w:val="231F20"/>
          <w:spacing w:val="-1"/>
          <w:sz w:val="22"/>
          <w:szCs w:val="22"/>
          <w:lang w:val="en-US" w:eastAsia="zh-CN" w:bidi="ar-SA"/>
        </w:rPr>
        <w:t>《道路运输管理工作规范》第三章第六项</w:t>
      </w:r>
    </w:p>
    <w:p>
      <w:pPr>
        <w:spacing w:before="34" w:line="203" w:lineRule="auto"/>
        <w:ind w:left="1016"/>
        <w:rPr>
          <w:rFonts w:ascii="微软雅黑" w:hAnsi="微软雅黑" w:eastAsia="微软雅黑" w:cs="微软雅黑"/>
          <w:sz w:val="22"/>
          <w:szCs w:val="22"/>
          <w:lang w:eastAsia="zh-CN"/>
        </w:rPr>
      </w:pPr>
      <w:r>
        <w:rPr>
          <w:rFonts w:ascii="微软雅黑" w:hAnsi="微软雅黑" w:eastAsia="微软雅黑" w:cs="微软雅黑"/>
          <w:color w:val="231F20"/>
          <w:spacing w:val="-3"/>
          <w:sz w:val="22"/>
          <w:szCs w:val="22"/>
          <w:lang w:eastAsia="zh-CN"/>
        </w:rPr>
        <w:t>三、受理范围</w:t>
      </w:r>
    </w:p>
    <w:p>
      <w:pPr>
        <w:pStyle w:val="2"/>
        <w:spacing w:before="30" w:line="228" w:lineRule="auto"/>
        <w:ind w:left="1061"/>
        <w:rPr>
          <w:lang w:eastAsia="zh-CN"/>
        </w:rPr>
      </w:pPr>
      <w:r>
        <w:rPr>
          <w:color w:val="231F20"/>
          <w:spacing w:val="-14"/>
          <w:lang w:eastAsia="zh-CN"/>
        </w:rPr>
        <w:t>自然人</w:t>
      </w:r>
    </w:p>
    <w:p>
      <w:pPr>
        <w:spacing w:before="37" w:line="203" w:lineRule="auto"/>
        <w:ind w:left="1026"/>
        <w:rPr>
          <w:rFonts w:ascii="微软雅黑" w:hAnsi="微软雅黑" w:eastAsia="微软雅黑" w:cs="微软雅黑"/>
          <w:sz w:val="22"/>
          <w:szCs w:val="22"/>
          <w:lang w:eastAsia="zh-CN"/>
        </w:rPr>
      </w:pPr>
      <w:r>
        <w:rPr>
          <w:rFonts w:ascii="微软雅黑" w:hAnsi="微软雅黑" w:eastAsia="微软雅黑" w:cs="微软雅黑"/>
          <w:color w:val="231F20"/>
          <w:spacing w:val="-4"/>
          <w:sz w:val="22"/>
          <w:szCs w:val="22"/>
          <w:lang w:eastAsia="zh-CN"/>
        </w:rPr>
        <w:t>四、受理条件</w:t>
      </w:r>
    </w:p>
    <w:p>
      <w:pPr>
        <w:pStyle w:val="2"/>
        <w:spacing w:before="30" w:line="246" w:lineRule="auto"/>
        <w:ind w:left="583"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pPr>
        <w:spacing w:line="246" w:lineRule="auto"/>
        <w:rPr>
          <w:lang w:eastAsia="zh-CN"/>
        </w:rPr>
        <w:sectPr>
          <w:headerReference r:id="rId3" w:type="default"/>
          <w:footerReference r:id="rId4" w:type="default"/>
          <w:pgSz w:w="10772" w:h="11906"/>
          <w:pgMar w:top="1" w:right="2" w:bottom="1" w:left="576" w:header="0" w:footer="0" w:gutter="0"/>
          <w:cols w:equalWidth="0" w:num="2">
            <w:col w:w="4712" w:space="100"/>
            <w:col w:w="5381"/>
          </w:cols>
        </w:sectPr>
      </w:pPr>
    </w:p>
    <w:p>
      <w:pPr>
        <w:spacing w:before="39"/>
        <w:rPr>
          <w:lang w:eastAsia="zh-CN"/>
        </w:rPr>
      </w:pPr>
      <w:r>
        <w:pict>
          <v:rect id="_x0000_s1033" o:spid="_x0000_s1033" o:spt="1" style="position:absolute;left:0pt;margin-left:363.3pt;margin-top:144.65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32" o:spid="_x0000_s1032" o:spt="1" style="position:absolute;left:0pt;margin-left:365.1pt;margin-top:147.7pt;height:21.05pt;width:0.6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31" o:spid="_x0000_s1031" o:spt="1" style="position:absolute;left:0pt;margin-left:442.05pt;margin-top:179.6pt;height:0.6pt;width:39.1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311.85pt;margin-top:127.75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3937000</wp:posOffset>
            </wp:positionH>
            <wp:positionV relativeFrom="page">
              <wp:posOffset>1626235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53200" cy="463896"/>
                    </a:xfrm>
                    <a:prstGeom prst="rect">
                      <a:avLst/>
                    </a:prstGeom>
                  </pic:spPr>
                </pic:pic>
              </a:graphicData>
            </a:graphic>
          </wp:anchor>
        </w:drawing>
      </w:r>
      <w:r>
        <w:pict>
          <v:shape id="_x0000_s1029" o:spid="_x0000_s1029" o:spt="202" type="#_x0000_t202" style="position:absolute;left:0pt;margin-left:295.45pt;margin-top:163.55pt;height:32.7pt;width:33.45pt;mso-position-horizontal-relative:page;mso-position-vertical-relative:page;z-index:251661312;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txbxContent>
            </v:textbox>
          </v:shape>
        </w:pict>
      </w:r>
      <w:r>
        <w:pict>
          <v:shape id="_x0000_s1028" o:spid="_x0000_s1028" o:spt="202" type="#_x0000_t202" style="position:absolute;left:0pt;margin-left:415.75pt;margin-top:167.25pt;height:25.3pt;width:27.6pt;mso-position-horizontal-relative:page;mso-position-vertical-relative:page;z-index:251662336;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CellMar>
                        <w:top w:w="0" w:type="dxa"/>
                        <w:left w:w="0" w:type="dxa"/>
                        <w:bottom w:w="0" w:type="dxa"/>
                        <w:right w:w="0" w:type="dxa"/>
                      </w:tblCellMar>
                    </w:tblPrEx>
                    <w:trPr>
                      <w:trHeight w:val="445" w:hRule="atLeast"/>
                    </w:trPr>
                    <w:tc>
                      <w:tcPr>
                        <w:tcW w:w="501" w:type="dxa"/>
                      </w:tcPr>
                      <w:p>
                        <w:pPr>
                          <w:pStyle w:val="6"/>
                          <w:spacing w:before="142" w:line="220" w:lineRule="auto"/>
                          <w:ind w:left="95"/>
                        </w:pPr>
                        <w:r>
                          <w:rPr>
                            <w:color w:val="231F20"/>
                            <w:spacing w:val="-3"/>
                          </w:rPr>
                          <w:t>审核</w:t>
                        </w:r>
                      </w:p>
                    </w:tc>
                  </w:tr>
                </w:tbl>
                <w:p/>
              </w:txbxContent>
            </v:textbox>
          </v:shape>
        </w:pict>
      </w:r>
      <w:r>
        <w:pict>
          <v:shape id="_x0000_s1027" o:spid="_x0000_s1027" o:spt="202" type="#_x0000_t202" style="position:absolute;left:0pt;margin-left:479.55pt;margin-top:167.25pt;height:25.3pt;width:31.1pt;mso-position-horizontal-relative:page;mso-position-vertical-relative:page;z-index:251667456;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
                                      <a:stretch>
                                        <a:fillRect/>
                                      </a:stretch>
                                    </pic:blipFill>
                                    <pic:spPr>
                                      <a:xfrm>
                                        <a:off x="0" y="0"/>
                                        <a:ext cx="45115" cy="53187"/>
                                      </a:xfrm>
                                      <a:prstGeom prst="rect">
                                        <a:avLst/>
                                      </a:prstGeom>
                                    </pic:spPr>
                                  </pic:pic>
                                </a:graphicData>
                              </a:graphic>
                            </wp:inline>
                          </w:drawing>
                        </w:r>
                        <w:r>
                          <w:rPr>
                            <w:color w:val="231F20"/>
                            <w:spacing w:val="20"/>
                          </w:rPr>
                          <w:t xml:space="preserve"> </w:t>
                        </w:r>
                        <w:r>
                          <w:rPr>
                            <w:color w:val="231F20"/>
                            <w:spacing w:val="-4"/>
                          </w:rPr>
                          <w:t>办结</w:t>
                        </w:r>
                      </w:p>
                    </w:tc>
                  </w:tr>
                </w:tbl>
                <w:p/>
              </w:txbxContent>
            </v:textbox>
          </v:shape>
        </w:pict>
      </w:r>
      <w:r>
        <w:drawing>
          <wp:anchor distT="0" distB="0" distL="0" distR="0" simplePos="0" relativeHeight="251669504" behindDoc="0" locked="0" layoutInCell="0" allowOverlap="1">
            <wp:simplePos x="0" y="0"/>
            <wp:positionH relativeFrom="page">
              <wp:posOffset>4800600</wp:posOffset>
            </wp:positionH>
            <wp:positionV relativeFrom="page">
              <wp:posOffset>2258060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9"/>
                    <a:stretch>
                      <a:fillRect/>
                    </a:stretch>
                  </pic:blipFill>
                  <pic:spPr>
                    <a:xfrm>
                      <a:off x="0" y="0"/>
                      <a:ext cx="495524" cy="53187"/>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4159885</wp:posOffset>
            </wp:positionH>
            <wp:positionV relativeFrom="page">
              <wp:posOffset>2258060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
                    <a:stretch>
                      <a:fillRect/>
                    </a:stretch>
                  </pic:blipFill>
                  <pic:spPr>
                    <a:xfrm>
                      <a:off x="0" y="0"/>
                      <a:ext cx="316607" cy="53187"/>
                    </a:xfrm>
                    <a:prstGeom prst="rect">
                      <a:avLst/>
                    </a:prstGeom>
                  </pic:spPr>
                </pic:pic>
              </a:graphicData>
            </a:graphic>
          </wp:anchor>
        </w:drawing>
      </w:r>
      <w:r>
        <w:pict>
          <v:shape id="_x0000_s1026" o:spid="_x0000_s1026" o:spt="202" type="#_x0000_t202" style="position:absolute;left:0pt;margin-left:400.45pt;margin-top:211.8pt;height:25.3pt;width:58.4pt;mso-position-horizontal-relative:page;mso-position-vertical-relative:page;z-index:251660288;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tcPr>
                      <w:p>
                        <w:pPr>
                          <w:pStyle w:val="6"/>
                          <w:spacing w:before="6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pPr>
                    <w:rPr>
                      <w:lang w:eastAsia="zh-CN"/>
                    </w:rPr>
                  </w:pPr>
                </w:p>
              </w:txbxContent>
            </v:textbox>
          </v:shape>
        </w:pict>
      </w:r>
      <w:r>
        <w:drawing>
          <wp:anchor distT="0" distB="0" distL="0" distR="0" simplePos="0" relativeHeight="251665408" behindDoc="0" locked="0" layoutInCell="0" allowOverlap="1">
            <wp:simplePos x="0" y="0"/>
            <wp:positionH relativeFrom="page">
              <wp:posOffset>5427980</wp:posOffset>
            </wp:positionH>
            <wp:positionV relativeFrom="page">
              <wp:posOffset>2430780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1"/>
                    <a:stretch>
                      <a:fillRect/>
                    </a:stretch>
                  </pic:blipFill>
                  <pic:spPr>
                    <a:xfrm>
                      <a:off x="0" y="0"/>
                      <a:ext cx="53200" cy="269509"/>
                    </a:xfrm>
                    <a:prstGeom prst="rect">
                      <a:avLst/>
                    </a:prstGeom>
                  </pic:spPr>
                </pic:pic>
              </a:graphicData>
            </a:graphic>
          </wp:anchor>
        </w:drawing>
      </w:r>
    </w:p>
    <w:p>
      <w:pPr>
        <w:rPr>
          <w:lang w:eastAsia="zh-CN"/>
        </w:rPr>
        <w:sectPr>
          <w:pgSz w:w="10772" w:h="11906"/>
          <w:pgMar w:top="400" w:right="579" w:bottom="400" w:left="596" w:header="0" w:footer="0" w:gutter="0"/>
          <w:cols w:equalWidth="0" w:num="1">
            <w:col w:w="9596"/>
          </w:cols>
        </w:sectPr>
      </w:pPr>
    </w:p>
    <w:p>
      <w:pPr>
        <w:spacing w:before="49" w:line="204" w:lineRule="auto"/>
        <w:ind w:left="437"/>
        <w:rPr>
          <w:rFonts w:ascii="微软雅黑" w:hAnsi="微软雅黑" w:eastAsia="微软雅黑" w:cs="微软雅黑"/>
          <w:sz w:val="22"/>
          <w:szCs w:val="22"/>
          <w:lang w:eastAsia="zh-CN"/>
        </w:rPr>
      </w:pPr>
      <w:r>
        <w:rPr>
          <w:rFonts w:ascii="微软雅黑" w:hAnsi="微软雅黑" w:eastAsia="微软雅黑" w:cs="微软雅黑"/>
          <w:color w:val="231F20"/>
          <w:spacing w:val="-2"/>
          <w:sz w:val="22"/>
          <w:szCs w:val="22"/>
          <w:lang w:eastAsia="zh-CN"/>
        </w:rPr>
        <w:t>五、申请材料</w:t>
      </w:r>
    </w:p>
    <w:p>
      <w:pPr>
        <w:pStyle w:val="2"/>
        <w:spacing w:before="39" w:line="245" w:lineRule="auto"/>
        <w:ind w:left="7" w:right="1039" w:firstLine="408"/>
        <w:rPr>
          <w:lang w:eastAsia="zh-CN"/>
        </w:rPr>
      </w:pPr>
      <w:r>
        <w:rPr>
          <w:color w:val="231F20"/>
          <w:spacing w:val="2"/>
          <w:lang w:eastAsia="zh-CN"/>
        </w:rPr>
        <w:t>（一）</w:t>
      </w:r>
      <w:r>
        <w:rPr>
          <w:rFonts w:hint="eastAsia"/>
          <w:color w:val="231F20"/>
          <w:spacing w:val="2"/>
          <w:lang w:eastAsia="zh-CN"/>
        </w:rPr>
        <w:t>道路货物运输经营者变更</w:t>
      </w:r>
      <w:r>
        <w:rPr>
          <w:rFonts w:hint="eastAsia"/>
          <w:color w:val="231F20"/>
          <w:spacing w:val="2"/>
          <w:lang w:val="en-US" w:eastAsia="zh-CN"/>
        </w:rPr>
        <w:t>备案申请书</w:t>
      </w:r>
      <w:r>
        <w:rPr>
          <w:color w:val="231F20"/>
          <w:spacing w:val="-5"/>
          <w:lang w:eastAsia="zh-CN"/>
        </w:rPr>
        <w:t>；</w:t>
      </w:r>
    </w:p>
    <w:p>
      <w:pPr>
        <w:pStyle w:val="2"/>
        <w:spacing w:before="43" w:line="229" w:lineRule="auto"/>
        <w:ind w:left="416"/>
        <w:rPr>
          <w:lang w:eastAsia="zh-CN"/>
        </w:rPr>
      </w:pPr>
      <w:r>
        <w:rPr>
          <w:color w:val="231F20"/>
          <w:spacing w:val="-2"/>
          <w:lang w:eastAsia="zh-CN"/>
        </w:rPr>
        <w:t>（二）</w:t>
      </w:r>
      <w:r>
        <w:rPr>
          <w:rFonts w:hint="eastAsia"/>
          <w:color w:val="231F20"/>
          <w:spacing w:val="-2"/>
          <w:lang w:val="en-US" w:eastAsia="zh-CN"/>
        </w:rPr>
        <w:t>营业执照副本复印件及法定代表人身份证明</w:t>
      </w:r>
      <w:r>
        <w:rPr>
          <w:color w:val="231F20"/>
          <w:spacing w:val="-2"/>
          <w:lang w:eastAsia="zh-CN"/>
        </w:rPr>
        <w:t>；</w:t>
      </w:r>
    </w:p>
    <w:p>
      <w:pPr>
        <w:pStyle w:val="2"/>
        <w:spacing w:before="44" w:line="227" w:lineRule="auto"/>
        <w:ind w:left="416"/>
        <w:rPr>
          <w:lang w:eastAsia="zh-CN"/>
        </w:rPr>
      </w:pPr>
      <w:r>
        <w:rPr>
          <w:color w:val="231F20"/>
          <w:spacing w:val="-2"/>
          <w:lang w:eastAsia="zh-CN"/>
        </w:rPr>
        <w:t>（三）</w:t>
      </w:r>
      <w:r>
        <w:rPr>
          <w:rFonts w:hint="eastAsia"/>
          <w:color w:val="231F20"/>
          <w:spacing w:val="-2"/>
          <w:lang w:val="en-US" w:eastAsia="zh-CN"/>
        </w:rPr>
        <w:t>委托他人办理的，提交委托书和委托代理人身份证明</w:t>
      </w:r>
      <w:r>
        <w:rPr>
          <w:color w:val="231F20"/>
          <w:spacing w:val="-2"/>
          <w:lang w:eastAsia="zh-CN"/>
        </w:rPr>
        <w:t>；</w:t>
      </w:r>
    </w:p>
    <w:p>
      <w:pPr>
        <w:pStyle w:val="2"/>
        <w:spacing w:before="45" w:line="245" w:lineRule="auto"/>
        <w:ind w:left="1" w:right="1042" w:firstLine="415"/>
        <w:rPr>
          <w:lang w:eastAsia="zh-CN"/>
        </w:rPr>
      </w:pPr>
      <w:r>
        <w:rPr>
          <w:color w:val="231F20"/>
          <w:spacing w:val="1"/>
          <w:lang w:eastAsia="zh-CN"/>
        </w:rPr>
        <w:t>（四）</w:t>
      </w:r>
      <w:r>
        <w:rPr>
          <w:rFonts w:hint="eastAsia"/>
          <w:color w:val="231F20"/>
          <w:spacing w:val="1"/>
          <w:lang w:val="en-US" w:eastAsia="zh-CN"/>
        </w:rPr>
        <w:t>原《道路运输经营许可证》</w:t>
      </w:r>
      <w:r>
        <w:rPr>
          <w:color w:val="231F20"/>
          <w:spacing w:val="-9"/>
          <w:lang w:eastAsia="zh-CN"/>
        </w:rPr>
        <w:t>；</w:t>
      </w:r>
    </w:p>
    <w:p>
      <w:pPr>
        <w:pStyle w:val="2"/>
        <w:spacing w:before="44" w:line="230" w:lineRule="auto"/>
        <w:ind w:left="416"/>
        <w:rPr>
          <w:lang w:eastAsia="zh-CN"/>
        </w:rPr>
      </w:pPr>
    </w:p>
    <w:p>
      <w:pPr>
        <w:pStyle w:val="2"/>
        <w:spacing w:before="45" w:line="223" w:lineRule="auto"/>
        <w:ind w:left="1" w:right="1042" w:firstLine="415"/>
        <w:rPr>
          <w:lang w:eastAsia="zh-CN"/>
        </w:rPr>
      </w:pPr>
    </w:p>
    <w:p>
      <w:pPr>
        <w:spacing w:line="14" w:lineRule="auto"/>
        <w:rPr>
          <w:sz w:val="2"/>
          <w:lang w:eastAsia="zh-CN"/>
        </w:rPr>
      </w:pPr>
      <w:r>
        <w:rPr>
          <w:rFonts w:eastAsia="Arial"/>
          <w:sz w:val="2"/>
          <w:szCs w:val="2"/>
          <w:lang w:eastAsia="zh-CN"/>
        </w:rPr>
        <w:br w:type="column"/>
      </w:r>
    </w:p>
    <w:p>
      <w:pPr>
        <w:spacing w:line="203" w:lineRule="auto"/>
        <w:ind w:left="477"/>
        <w:rPr>
          <w:rFonts w:ascii="微软雅黑" w:hAnsi="微软雅黑" w:eastAsia="微软雅黑" w:cs="微软雅黑"/>
          <w:sz w:val="22"/>
          <w:szCs w:val="22"/>
          <w:lang w:eastAsia="zh-CN"/>
        </w:rPr>
      </w:pPr>
      <w:r>
        <w:rPr>
          <w:rFonts w:ascii="微软雅黑" w:hAnsi="微软雅黑" w:eastAsia="微软雅黑" w:cs="微软雅黑"/>
          <w:color w:val="231F20"/>
          <w:spacing w:val="-2"/>
          <w:sz w:val="22"/>
          <w:szCs w:val="22"/>
          <w:lang w:eastAsia="zh-CN"/>
        </w:rPr>
        <w:t>六、审批机关</w:t>
      </w:r>
    </w:p>
    <w:p>
      <w:pPr>
        <w:pStyle w:val="2"/>
        <w:spacing w:before="33" w:line="347" w:lineRule="exact"/>
        <w:ind w:left="475"/>
        <w:rPr>
          <w:lang w:eastAsia="zh-CN"/>
        </w:rPr>
      </w:pPr>
      <w:r>
        <w:rPr>
          <w:color w:val="231F20"/>
          <w:spacing w:val="-1"/>
          <w:position w:val="8"/>
          <w:lang w:eastAsia="zh-CN"/>
        </w:rPr>
        <w:t>唐山市曹妃甸区行政审批局</w:t>
      </w:r>
    </w:p>
    <w:p>
      <w:pPr>
        <w:spacing w:line="202" w:lineRule="auto"/>
        <w:ind w:left="47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22" w:lineRule="exact"/>
      </w:pPr>
    </w:p>
    <w:tbl>
      <w:tblPr>
        <w:tblStyle w:val="5"/>
        <w:tblW w:w="1301"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1" w:type="dxa"/>
          </w:tcPr>
          <w:p>
            <w:pPr>
              <w:pStyle w:val="6"/>
              <w:spacing w:before="69" w:line="208" w:lineRule="auto"/>
              <w:ind w:left="34"/>
              <w:rPr>
                <w:lang w:eastAsia="zh-CN"/>
              </w:rPr>
            </w:pPr>
            <w:r>
              <w:rPr>
                <w:color w:val="231F20"/>
                <w:spacing w:val="-7"/>
                <w:lang w:eastAsia="zh-CN"/>
              </w:rPr>
              <w:t>申请材料不全的，</w:t>
            </w:r>
          </w:p>
          <w:p>
            <w:pPr>
              <w:pStyle w:val="6"/>
              <w:spacing w:line="213" w:lineRule="auto"/>
              <w:ind w:left="252" w:right="84"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pPr>
        <w:spacing w:before="221"/>
        <w:rPr>
          <w:lang w:eastAsia="zh-CN"/>
        </w:rPr>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tcPr>
          <w:p>
            <w:pPr>
              <w:pStyle w:val="6"/>
              <w:spacing w:before="143" w:line="221" w:lineRule="auto"/>
              <w:ind w:left="93"/>
            </w:pPr>
            <w:r>
              <w:rPr>
                <w:color w:val="231F20"/>
                <w:spacing w:val="-3"/>
              </w:rPr>
              <w:t>受理</w:t>
            </w:r>
          </w:p>
        </w:tc>
      </w:tr>
    </w:tbl>
    <w:p>
      <w:pPr>
        <w:spacing w:line="423" w:lineRule="exact"/>
        <w:ind w:firstLine="1337"/>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2"/>
                    <a:stretch>
                      <a:fillRect/>
                    </a:stretch>
                  </pic:blipFill>
                  <pic:spPr>
                    <a:xfrm>
                      <a:off x="0" y="0"/>
                      <a:ext cx="53200" cy="268720"/>
                    </a:xfrm>
                    <a:prstGeom prst="rect">
                      <a:avLst/>
                    </a:prstGeom>
                  </pic:spPr>
                </pic:pic>
              </a:graphicData>
            </a:graphic>
          </wp:inline>
        </w:drawing>
      </w:r>
    </w:p>
    <w:p>
      <w:pPr>
        <w:spacing w:line="14" w:lineRule="exact"/>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14" w:line="203" w:lineRule="auto"/>
        <w:ind w:left="47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3" w:line="233" w:lineRule="auto"/>
        <w:ind w:left="487"/>
      </w:pPr>
      <w:r>
        <w:rPr>
          <w:color w:val="231F20"/>
          <w:spacing w:val="-2"/>
        </w:rPr>
        <w:t>法定时限：120个工作日</w:t>
      </w:r>
    </w:p>
    <w:p>
      <w:pPr>
        <w:pStyle w:val="2"/>
        <w:spacing w:before="35" w:line="232" w:lineRule="auto"/>
        <w:ind w:left="478"/>
      </w:pPr>
      <w:r>
        <w:rPr>
          <w:color w:val="231F20"/>
          <w:spacing w:val="-2"/>
        </w:rPr>
        <w:t>承诺时限：3个工作日</w:t>
      </w:r>
    </w:p>
    <w:p>
      <w:pPr>
        <w:spacing w:before="34" w:line="203" w:lineRule="auto"/>
        <w:ind w:left="47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2" w:line="233" w:lineRule="auto"/>
        <w:ind w:left="483"/>
      </w:pPr>
      <w:r>
        <w:rPr>
          <w:color w:val="231F20"/>
          <w:spacing w:val="-5"/>
        </w:rPr>
        <w:t>不收费</w:t>
      </w:r>
    </w:p>
    <w:p>
      <w:pPr>
        <w:spacing w:before="31" w:line="205" w:lineRule="auto"/>
        <w:ind w:left="478"/>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29" w:line="219" w:lineRule="auto"/>
        <w:ind w:left="481"/>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4" w:lineRule="auto"/>
        <w:ind w:left="463"/>
        <w:rPr>
          <w:rFonts w:ascii="微软雅黑" w:hAnsi="微软雅黑" w:eastAsia="微软雅黑" w:cs="微软雅黑"/>
          <w:sz w:val="22"/>
          <w:szCs w:val="22"/>
          <w:lang w:eastAsia="zh-CN"/>
        </w:rPr>
      </w:pPr>
      <w:r>
        <w:rPr>
          <w:rFonts w:hint="eastAsia" w:ascii="微软雅黑" w:hAnsi="微软雅黑" w:eastAsia="微软雅黑" w:cs="微软雅黑"/>
          <w:color w:val="231F20"/>
          <w:spacing w:val="-4"/>
          <w:sz w:val="22"/>
          <w:szCs w:val="22"/>
          <w:lang w:eastAsia="zh-CN"/>
        </w:rPr>
        <w:t>十一、办理地点</w:t>
      </w:r>
    </w:p>
    <w:p>
      <w:pPr>
        <w:pStyle w:val="2"/>
        <w:spacing w:before="41" w:line="244" w:lineRule="auto"/>
        <w:ind w:left="51" w:right="2" w:firstLine="409"/>
        <w:rPr>
          <w:rFonts w:hint="eastAsia" w:ascii="方正仿宋简体" w:hAnsi="方正仿宋简体" w:eastAsia="方正仿宋简体" w:cs="方正仿宋简体"/>
          <w:color w:val="231F20"/>
          <w:spacing w:val="-3"/>
          <w:lang w:eastAsia="zh-CN"/>
        </w:rPr>
      </w:pPr>
      <w:r>
        <w:rPr>
          <w:rFonts w:hint="eastAsia"/>
          <w:color w:val="231F20"/>
          <w:spacing w:val="-3"/>
          <w:lang w:eastAsia="zh-CN"/>
        </w:rPr>
        <w:t xml:space="preserve">1. </w:t>
      </w:r>
      <w:r>
        <w:rPr>
          <w:rFonts w:hint="eastAsia" w:ascii="宋体" w:hAnsi="宋体" w:eastAsia="宋体" w:cs="宋体"/>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hint="eastAsia" w:ascii="宋体" w:hAnsi="宋体" w:eastAsia="宋体" w:cs="宋体"/>
          <w:color w:val="231F20"/>
          <w:spacing w:val="-3"/>
          <w:lang w:eastAsia="zh-CN"/>
        </w:rPr>
        <w:t>（曹妃甸工业区兴业道</w:t>
      </w:r>
      <w:r>
        <w:rPr>
          <w:rFonts w:hint="eastAsia"/>
          <w:color w:val="231F20"/>
          <w:spacing w:val="-3"/>
          <w:lang w:eastAsia="zh-CN"/>
        </w:rPr>
        <w:t xml:space="preserve"> 1 </w:t>
      </w:r>
      <w:r>
        <w:rPr>
          <w:rFonts w:hint="eastAsia" w:ascii="宋体" w:hAnsi="宋体" w:eastAsia="宋体" w:cs="宋体"/>
          <w:color w:val="231F20"/>
          <w:spacing w:val="-3"/>
          <w:lang w:eastAsia="zh-CN"/>
        </w:rPr>
        <w:t>号二层）。</w:t>
      </w:r>
    </w:p>
    <w:p>
      <w:pPr>
        <w:pStyle w:val="2"/>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hint="eastAsia" w:ascii="宋体" w:hAnsi="宋体" w:eastAsia="宋体" w:cs="宋体"/>
          <w:color w:val="231F20"/>
          <w:spacing w:val="-3"/>
          <w:lang w:eastAsia="zh-CN"/>
        </w:rPr>
        <w:t>唐山市曹妃甸区垦区政务服务中心综合受理窗口</w:t>
      </w:r>
      <w:r>
        <w:rPr>
          <w:rFonts w:hint="eastAsia"/>
          <w:color w:val="231F20"/>
          <w:spacing w:val="-3"/>
          <w:lang w:eastAsia="zh-CN"/>
        </w:rPr>
        <w:t>W1-W6</w:t>
      </w:r>
      <w:r>
        <w:rPr>
          <w:rFonts w:hint="eastAsia" w:ascii="宋体" w:hAnsi="宋体" w:eastAsia="宋体" w:cs="宋体"/>
          <w:color w:val="231F20"/>
          <w:spacing w:val="-3"/>
          <w:lang w:eastAsia="zh-CN"/>
        </w:rPr>
        <w:t>（曹妃甸区唐海镇新城大街</w:t>
      </w:r>
      <w:r>
        <w:rPr>
          <w:rFonts w:hint="eastAsia"/>
          <w:color w:val="231F20"/>
          <w:spacing w:val="-3"/>
          <w:lang w:eastAsia="zh-CN"/>
        </w:rPr>
        <w:t xml:space="preserve"> 259 </w:t>
      </w:r>
      <w:r>
        <w:rPr>
          <w:rFonts w:hint="eastAsia" w:ascii="宋体" w:hAnsi="宋体" w:eastAsia="宋体" w:cs="宋体"/>
          <w:color w:val="231F20"/>
          <w:spacing w:val="-3"/>
          <w:lang w:eastAsia="zh-CN"/>
        </w:rPr>
        <w:t>号二层）。</w:t>
      </w:r>
    </w:p>
    <w:p>
      <w:pPr>
        <w:pStyle w:val="2"/>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hint="eastAsia" w:ascii="宋体" w:hAnsi="宋体" w:eastAsia="宋体" w:cs="宋体"/>
          <w:color w:val="231F20"/>
          <w:spacing w:val="-3"/>
          <w:lang w:eastAsia="zh-CN"/>
        </w:rPr>
        <w:t>唐山市曹妃甸区曹妃甸新城政务服务中心综合受理窗口</w:t>
      </w:r>
      <w:r>
        <w:rPr>
          <w:rFonts w:hint="eastAsia"/>
          <w:color w:val="231F20"/>
          <w:spacing w:val="-3"/>
          <w:lang w:eastAsia="zh-CN"/>
        </w:rPr>
        <w:t>B02-B05</w:t>
      </w:r>
      <w:r>
        <w:rPr>
          <w:rFonts w:hint="eastAsia" w:ascii="宋体" w:hAnsi="宋体" w:eastAsia="宋体" w:cs="宋体"/>
          <w:color w:val="231F20"/>
          <w:spacing w:val="-3"/>
          <w:lang w:eastAsia="zh-CN"/>
        </w:rPr>
        <w:t>（曹妃甸区新城通海路）。</w:t>
      </w:r>
    </w:p>
    <w:p>
      <w:pPr>
        <w:pStyle w:val="2"/>
        <w:spacing w:before="41" w:line="244" w:lineRule="auto"/>
        <w:ind w:left="51" w:right="2" w:firstLine="409"/>
        <w:rPr>
          <w:rFonts w:hint="eastAsia"/>
          <w:color w:val="231F20"/>
          <w:spacing w:val="-3"/>
          <w:lang w:eastAsia="zh-CN"/>
        </w:rPr>
      </w:pPr>
      <w:r>
        <w:rPr>
          <w:rFonts w:hint="eastAsia" w:ascii="宋体" w:hAnsi="宋体" w:eastAsia="宋体" w:cs="宋体"/>
          <w:color w:val="231F20"/>
          <w:spacing w:val="-3"/>
          <w:lang w:eastAsia="zh-CN"/>
        </w:rPr>
        <w:t>交通指引：</w:t>
      </w:r>
    </w:p>
    <w:p>
      <w:pPr>
        <w:pStyle w:val="2"/>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hint="eastAsia" w:ascii="宋体" w:hAnsi="宋体" w:eastAsia="宋体" w:cs="宋体"/>
          <w:color w:val="231F20"/>
          <w:spacing w:val="-3"/>
          <w:lang w:eastAsia="zh-CN"/>
        </w:rPr>
        <w:t>临港中心：乘坐公交</w:t>
      </w:r>
      <w:r>
        <w:rPr>
          <w:rFonts w:hint="eastAsia"/>
          <w:color w:val="231F20"/>
          <w:spacing w:val="-3"/>
          <w:lang w:eastAsia="zh-CN"/>
        </w:rPr>
        <w:t>K1</w:t>
      </w:r>
      <w:r>
        <w:rPr>
          <w:rFonts w:hint="eastAsia" w:ascii="宋体" w:hAnsi="宋体" w:eastAsia="宋体" w:cs="宋体"/>
          <w:color w:val="231F20"/>
          <w:spacing w:val="-3"/>
          <w:lang w:eastAsia="zh-CN"/>
        </w:rPr>
        <w:t>支线</w:t>
      </w:r>
      <w:r>
        <w:rPr>
          <w:rFonts w:hint="eastAsia"/>
          <w:color w:val="231F20"/>
          <w:spacing w:val="-3"/>
          <w:lang w:eastAsia="zh-CN"/>
        </w:rPr>
        <w:t>/K1</w:t>
      </w:r>
      <w:r>
        <w:rPr>
          <w:rFonts w:hint="eastAsia" w:ascii="宋体" w:hAnsi="宋体" w:eastAsia="宋体" w:cs="宋体"/>
          <w:color w:val="231F20"/>
          <w:spacing w:val="-3"/>
          <w:lang w:eastAsia="zh-CN"/>
        </w:rPr>
        <w:t>专线，四大联检下车（曹妃甸工业区兴业道</w:t>
      </w:r>
      <w:r>
        <w:rPr>
          <w:rFonts w:hint="eastAsia"/>
          <w:color w:val="231F20"/>
          <w:spacing w:val="-3"/>
          <w:lang w:eastAsia="zh-CN"/>
        </w:rPr>
        <w:t>1</w:t>
      </w:r>
      <w:r>
        <w:rPr>
          <w:rFonts w:hint="eastAsia" w:ascii="宋体" w:hAnsi="宋体" w:eastAsia="宋体" w:cs="宋体"/>
          <w:color w:val="231F20"/>
          <w:spacing w:val="-3"/>
          <w:lang w:eastAsia="zh-CN"/>
        </w:rPr>
        <w:t>号）；</w:t>
      </w:r>
    </w:p>
    <w:p>
      <w:pPr>
        <w:pStyle w:val="2"/>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hint="eastAsia" w:ascii="宋体" w:hAnsi="宋体" w:eastAsia="宋体" w:cs="宋体"/>
          <w:color w:val="231F20"/>
          <w:spacing w:val="-3"/>
          <w:lang w:eastAsia="zh-CN"/>
        </w:rPr>
        <w:t>垦区中心：乘坐公交</w:t>
      </w:r>
      <w:r>
        <w:rPr>
          <w:rFonts w:hint="eastAsia"/>
          <w:color w:val="231F20"/>
          <w:spacing w:val="-3"/>
          <w:lang w:eastAsia="zh-CN"/>
        </w:rPr>
        <w:t>101</w:t>
      </w:r>
      <w:r>
        <w:rPr>
          <w:rFonts w:hint="eastAsia" w:ascii="宋体" w:hAnsi="宋体" w:eastAsia="宋体" w:cs="宋体"/>
          <w:color w:val="231F20"/>
          <w:spacing w:val="-3"/>
          <w:lang w:eastAsia="zh-CN"/>
        </w:rPr>
        <w:t>路</w:t>
      </w:r>
      <w:r>
        <w:rPr>
          <w:rFonts w:hint="eastAsia"/>
          <w:color w:val="231F20"/>
          <w:spacing w:val="-3"/>
          <w:lang w:eastAsia="zh-CN"/>
        </w:rPr>
        <w:t>/102</w:t>
      </w:r>
      <w:r>
        <w:rPr>
          <w:rFonts w:hint="eastAsia" w:ascii="宋体" w:hAnsi="宋体" w:eastAsia="宋体" w:cs="宋体"/>
          <w:color w:val="231F20"/>
          <w:spacing w:val="-3"/>
          <w:lang w:eastAsia="zh-CN"/>
        </w:rPr>
        <w:t>路，行政审批大厅下车（曹妃甸新城大街与唐海路交叉口西行</w:t>
      </w:r>
      <w:r>
        <w:rPr>
          <w:rFonts w:hint="eastAsia"/>
          <w:color w:val="231F20"/>
          <w:spacing w:val="-3"/>
          <w:lang w:eastAsia="zh-CN"/>
        </w:rPr>
        <w:t>200</w:t>
      </w:r>
      <w:r>
        <w:rPr>
          <w:rFonts w:hint="eastAsia" w:ascii="宋体" w:hAnsi="宋体" w:eastAsia="宋体" w:cs="宋体"/>
          <w:color w:val="231F20"/>
          <w:spacing w:val="-3"/>
          <w:lang w:eastAsia="zh-CN"/>
        </w:rPr>
        <w:t>米）</w:t>
      </w:r>
    </w:p>
    <w:p>
      <w:pPr>
        <w:pStyle w:val="2"/>
        <w:spacing w:before="41" w:line="244" w:lineRule="auto"/>
        <w:ind w:left="51" w:right="2" w:firstLine="409"/>
        <w:rPr>
          <w:rFonts w:hint="eastAsia"/>
          <w:lang w:eastAsia="zh-CN"/>
        </w:rPr>
      </w:pPr>
      <w:r>
        <w:rPr>
          <w:rFonts w:hint="eastAsia"/>
          <w:color w:val="231F20"/>
          <w:spacing w:val="-3"/>
          <w:lang w:eastAsia="zh-CN"/>
        </w:rPr>
        <w:t>3.</w:t>
      </w:r>
      <w:r>
        <w:rPr>
          <w:rFonts w:hint="eastAsia" w:ascii="宋体" w:hAnsi="宋体" w:eastAsia="宋体" w:cs="宋体"/>
          <w:color w:val="231F20"/>
          <w:spacing w:val="-3"/>
          <w:lang w:eastAsia="zh-CN"/>
        </w:rPr>
        <w:t>新城中心：乘坐公交</w:t>
      </w:r>
      <w:r>
        <w:rPr>
          <w:rFonts w:hint="eastAsia"/>
          <w:color w:val="231F20"/>
          <w:spacing w:val="-3"/>
          <w:lang w:eastAsia="zh-CN"/>
        </w:rPr>
        <w:t>K2</w:t>
      </w:r>
      <w:r>
        <w:rPr>
          <w:rFonts w:hint="eastAsia" w:ascii="宋体" w:hAnsi="宋体" w:eastAsia="宋体" w:cs="宋体"/>
          <w:color w:val="231F20"/>
          <w:spacing w:val="-3"/>
          <w:lang w:eastAsia="zh-CN"/>
        </w:rPr>
        <w:t>路，新城服务中心下车（曹妃甸新城未来大道</w:t>
      </w:r>
      <w:r>
        <w:rPr>
          <w:rFonts w:hint="eastAsia"/>
          <w:color w:val="231F20"/>
          <w:spacing w:val="-3"/>
          <w:lang w:eastAsia="zh-CN"/>
        </w:rPr>
        <w:t>1</w:t>
      </w:r>
      <w:r>
        <w:rPr>
          <w:rFonts w:hint="eastAsia" w:ascii="宋体" w:hAnsi="宋体" w:eastAsia="宋体" w:cs="宋体"/>
          <w:color w:val="231F20"/>
          <w:spacing w:val="-3"/>
          <w:lang w:eastAsia="zh-CN"/>
        </w:rPr>
        <w:t>号）；</w:t>
      </w:r>
    </w:p>
    <w:p>
      <w:pPr>
        <w:spacing w:before="37" w:line="204" w:lineRule="auto"/>
        <w:ind w:left="463"/>
        <w:rPr>
          <w:rFonts w:hint="eastAsia" w:ascii="微软雅黑" w:hAnsi="微软雅黑" w:eastAsia="微软雅黑" w:cs="微软雅黑"/>
          <w:sz w:val="22"/>
          <w:szCs w:val="22"/>
          <w:lang w:eastAsia="zh-CN"/>
        </w:rPr>
      </w:pPr>
      <w:r>
        <w:rPr>
          <w:rFonts w:hint="eastAsia" w:ascii="微软雅黑" w:hAnsi="微软雅黑" w:eastAsia="微软雅黑" w:cs="微软雅黑"/>
          <w:color w:val="231F20"/>
          <w:spacing w:val="-2"/>
          <w:sz w:val="22"/>
          <w:szCs w:val="22"/>
          <w:lang w:eastAsia="zh-CN"/>
        </w:rPr>
        <w:t>十二、办公时间</w:t>
      </w:r>
    </w:p>
    <w:p>
      <w:pPr>
        <w:spacing w:before="34" w:line="201" w:lineRule="auto"/>
        <w:ind w:left="463"/>
        <w:rPr>
          <w:rFonts w:hint="eastAsia" w:ascii="方正仿宋简体" w:hAnsi="方正仿宋简体" w:eastAsia="方正仿宋简体" w:cs="方正仿宋简体"/>
          <w:color w:val="231F20"/>
          <w:spacing w:val="-3"/>
          <w:sz w:val="22"/>
          <w:szCs w:val="22"/>
          <w:lang w:eastAsia="zh-CN"/>
        </w:rPr>
      </w:pPr>
      <w:r>
        <w:rPr>
          <w:rFonts w:hint="eastAsia" w:ascii="方正仿宋简体" w:hAnsi="方正仿宋简体" w:eastAsia="方正仿宋简体" w:cs="方正仿宋简体"/>
          <w:color w:val="231F20"/>
          <w:spacing w:val="-3"/>
          <w:sz w:val="22"/>
          <w:szCs w:val="22"/>
          <w:lang w:eastAsia="zh-CN"/>
        </w:rPr>
        <w:t>周一到周五：春秋冬季（9月1日至5月31日）上午8:30～12:00，下午13:30～17:30；夏季（6月1日至8月31日）上午8:30～12:00，下午14:30～17:30，法定节假日除外。</w:t>
      </w:r>
    </w:p>
    <w:p>
      <w:pPr>
        <w:spacing w:before="34" w:line="201" w:lineRule="auto"/>
        <w:ind w:left="463"/>
        <w:rPr>
          <w:rFonts w:hint="eastAsia" w:ascii="微软雅黑" w:hAnsi="微软雅黑" w:eastAsia="微软雅黑" w:cs="微软雅黑"/>
          <w:sz w:val="22"/>
          <w:szCs w:val="22"/>
          <w:lang w:eastAsia="zh-CN"/>
        </w:rPr>
      </w:pPr>
      <w:r>
        <w:rPr>
          <w:rFonts w:hint="eastAsia" w:ascii="微软雅黑" w:hAnsi="微软雅黑" w:eastAsia="微软雅黑" w:cs="微软雅黑"/>
          <w:color w:val="231F20"/>
          <w:spacing w:val="-2"/>
          <w:sz w:val="22"/>
          <w:szCs w:val="22"/>
          <w:lang w:eastAsia="zh-CN"/>
        </w:rPr>
        <w:t>十三、咨询电话</w:t>
      </w:r>
    </w:p>
    <w:p>
      <w:pPr>
        <w:pStyle w:val="2"/>
        <w:spacing w:before="34" w:line="249" w:lineRule="auto"/>
        <w:ind w:left="21" w:right="21" w:firstLine="440"/>
        <w:rPr>
          <w:rFonts w:hint="eastAsia" w:ascii="方正仿宋简体" w:hAnsi="方正仿宋简体" w:eastAsia="方正仿宋简体" w:cs="方正仿宋简体"/>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hint="eastAsia" w:ascii="宋体" w:hAnsi="宋体" w:eastAsia="宋体" w:cs="宋体"/>
          <w:color w:val="231F20"/>
          <w:spacing w:val="5"/>
          <w:lang w:eastAsia="zh-CN"/>
        </w:rPr>
        <w:t>（临</w:t>
      </w:r>
      <w:r>
        <w:rPr>
          <w:rFonts w:hint="eastAsia"/>
          <w:color w:val="231F20"/>
          <w:spacing w:val="-34"/>
          <w:lang w:eastAsia="zh-CN"/>
        </w:rPr>
        <w:t xml:space="preserve"> </w:t>
      </w:r>
      <w:r>
        <w:rPr>
          <w:rFonts w:hint="eastAsia" w:ascii="宋体" w:hAnsi="宋体" w:eastAsia="宋体" w:cs="宋体"/>
          <w:color w:val="231F20"/>
          <w:spacing w:val="5"/>
          <w:lang w:eastAsia="zh-CN"/>
        </w:rPr>
        <w:t>港</w:t>
      </w:r>
      <w:r>
        <w:rPr>
          <w:rFonts w:hint="eastAsia"/>
          <w:color w:val="231F20"/>
          <w:spacing w:val="5"/>
          <w:lang w:eastAsia="zh-CN"/>
        </w:rPr>
        <w:t xml:space="preserve"> </w:t>
      </w:r>
      <w:r>
        <w:rPr>
          <w:rFonts w:hint="eastAsia" w:ascii="宋体" w:hAnsi="宋体" w:eastAsia="宋体" w:cs="宋体"/>
          <w:color w:val="231F20"/>
          <w:spacing w:val="5"/>
          <w:lang w:eastAsia="zh-CN"/>
        </w:rPr>
        <w:t>中心</w:t>
      </w:r>
      <w:r>
        <w:rPr>
          <w:rFonts w:hint="eastAsia"/>
          <w:color w:val="231F20"/>
          <w:spacing w:val="-52"/>
          <w:lang w:eastAsia="zh-CN"/>
        </w:rPr>
        <w:t xml:space="preserve"> </w:t>
      </w:r>
      <w:r>
        <w:rPr>
          <w:rFonts w:hint="eastAsia" w:ascii="宋体" w:hAnsi="宋体" w:eastAsia="宋体" w:cs="宋体"/>
          <w:color w:val="231F20"/>
          <w:spacing w:val="5"/>
          <w:lang w:eastAsia="zh-CN"/>
        </w:rPr>
        <w:t>）</w:t>
      </w:r>
      <w:r>
        <w:rPr>
          <w:rFonts w:hint="eastAsia"/>
          <w:color w:val="231F20"/>
          <w:spacing w:val="-51"/>
          <w:lang w:eastAsia="zh-CN"/>
        </w:rPr>
        <w:t xml:space="preserve"> </w:t>
      </w:r>
      <w:r>
        <w:rPr>
          <w:rFonts w:hint="eastAsia" w:ascii="宋体" w:hAnsi="宋体" w:eastAsia="宋体" w:cs="宋体"/>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hint="eastAsia" w:ascii="宋体" w:hAnsi="宋体" w:eastAsia="宋体" w:cs="宋体"/>
          <w:color w:val="231F20"/>
          <w:spacing w:val="-14"/>
          <w:lang w:eastAsia="zh-CN"/>
        </w:rPr>
        <w:t>（</w:t>
      </w:r>
      <w:r>
        <w:rPr>
          <w:rFonts w:hint="eastAsia"/>
          <w:color w:val="231F20"/>
          <w:spacing w:val="-14"/>
          <w:lang w:eastAsia="zh-CN"/>
        </w:rPr>
        <w:t xml:space="preserve"> </w:t>
      </w:r>
      <w:r>
        <w:rPr>
          <w:rFonts w:hint="eastAsia" w:ascii="宋体" w:hAnsi="宋体" w:eastAsia="宋体" w:cs="宋体"/>
          <w:color w:val="231F20"/>
          <w:spacing w:val="-14"/>
          <w:lang w:eastAsia="zh-CN"/>
        </w:rPr>
        <w:t>垦</w:t>
      </w:r>
      <w:r>
        <w:rPr>
          <w:rFonts w:hint="eastAsia"/>
          <w:color w:val="231F20"/>
          <w:spacing w:val="16"/>
          <w:lang w:eastAsia="zh-CN"/>
        </w:rPr>
        <w:t xml:space="preserve"> </w:t>
      </w:r>
      <w:r>
        <w:rPr>
          <w:rFonts w:hint="eastAsia" w:ascii="宋体" w:hAnsi="宋体" w:eastAsia="宋体" w:cs="宋体"/>
          <w:color w:val="231F20"/>
          <w:spacing w:val="-14"/>
          <w:lang w:eastAsia="zh-CN"/>
        </w:rPr>
        <w:t>区</w:t>
      </w:r>
      <w:r>
        <w:rPr>
          <w:rFonts w:hint="eastAsia"/>
          <w:color w:val="231F20"/>
          <w:spacing w:val="17"/>
          <w:lang w:eastAsia="zh-CN"/>
        </w:rPr>
        <w:t xml:space="preserve"> </w:t>
      </w:r>
      <w:r>
        <w:rPr>
          <w:rFonts w:hint="eastAsia" w:ascii="宋体" w:hAnsi="宋体" w:eastAsia="宋体" w:cs="宋体"/>
          <w:color w:val="231F20"/>
          <w:spacing w:val="-14"/>
          <w:lang w:eastAsia="zh-CN"/>
        </w:rPr>
        <w:t>中</w:t>
      </w:r>
      <w:r>
        <w:rPr>
          <w:rFonts w:hint="eastAsia"/>
          <w:color w:val="231F20"/>
          <w:spacing w:val="-15"/>
          <w:lang w:eastAsia="zh-CN"/>
        </w:rPr>
        <w:t xml:space="preserve"> </w:t>
      </w:r>
      <w:r>
        <w:rPr>
          <w:rFonts w:hint="eastAsia" w:ascii="宋体" w:hAnsi="宋体" w:eastAsia="宋体" w:cs="宋体"/>
          <w:color w:val="231F20"/>
          <w:spacing w:val="-15"/>
          <w:lang w:eastAsia="zh-CN"/>
        </w:rPr>
        <w:t>心</w:t>
      </w:r>
      <w:r>
        <w:rPr>
          <w:rFonts w:hint="eastAsia"/>
          <w:color w:val="231F20"/>
          <w:spacing w:val="-26"/>
          <w:lang w:eastAsia="zh-CN"/>
        </w:rPr>
        <w:t xml:space="preserve"> </w:t>
      </w:r>
      <w:r>
        <w:rPr>
          <w:rFonts w:hint="eastAsia" w:ascii="宋体" w:hAnsi="宋体" w:eastAsia="宋体" w:cs="宋体"/>
          <w:color w:val="231F20"/>
          <w:spacing w:val="-15"/>
          <w:lang w:eastAsia="zh-CN"/>
        </w:rPr>
        <w:t>）</w:t>
      </w:r>
      <w:r>
        <w:rPr>
          <w:rFonts w:hint="eastAsia"/>
          <w:color w:val="231F20"/>
          <w:spacing w:val="-26"/>
          <w:lang w:eastAsia="zh-CN"/>
        </w:rPr>
        <w:t xml:space="preserve"> </w:t>
      </w:r>
      <w:r>
        <w:rPr>
          <w:rFonts w:hint="eastAsia" w:ascii="宋体" w:hAnsi="宋体" w:eastAsia="宋体" w:cs="宋体"/>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hint="eastAsia" w:ascii="宋体" w:hAnsi="宋体" w:eastAsia="宋体" w:cs="宋体"/>
          <w:color w:val="231F20"/>
          <w:spacing w:val="-1"/>
          <w:lang w:eastAsia="zh-CN"/>
        </w:rPr>
        <w:t>（新城中心）</w:t>
      </w:r>
    </w:p>
    <w:p>
      <w:pPr>
        <w:spacing w:before="36" w:line="196" w:lineRule="auto"/>
        <w:ind w:left="463"/>
        <w:rPr>
          <w:rFonts w:hint="eastAsia" w:ascii="微软雅黑" w:hAnsi="微软雅黑" w:eastAsia="微软雅黑" w:cs="微软雅黑"/>
          <w:sz w:val="22"/>
          <w:szCs w:val="22"/>
          <w:lang w:eastAsia="zh-CN"/>
        </w:rPr>
      </w:pPr>
      <w:r>
        <w:rPr>
          <w:rFonts w:hint="eastAsia" w:ascii="微软雅黑" w:hAnsi="微软雅黑" w:eastAsia="微软雅黑" w:cs="微软雅黑"/>
          <w:color w:val="231F20"/>
          <w:spacing w:val="-2"/>
          <w:sz w:val="22"/>
          <w:szCs w:val="22"/>
          <w:lang w:eastAsia="zh-CN"/>
        </w:rPr>
        <w:t>十四、监督（投诉）电话</w:t>
      </w:r>
    </w:p>
    <w:p>
      <w:pPr>
        <w:pStyle w:val="2"/>
        <w:spacing w:before="70" w:line="189" w:lineRule="auto"/>
        <w:ind w:left="461"/>
        <w:rPr>
          <w:rFonts w:hint="eastAsia" w:ascii="方正仿宋简体" w:hAnsi="方正仿宋简体" w:eastAsia="方正仿宋简体" w:cs="方正仿宋简体"/>
        </w:rPr>
      </w:pPr>
      <w:r>
        <w:rPr>
          <w:rFonts w:hint="eastAsia"/>
          <w:color w:val="231F20"/>
          <w:spacing w:val="-1"/>
        </w:rPr>
        <w:t>0315-8787068</w:t>
      </w:r>
    </w:p>
    <w:p>
      <w:pPr>
        <w:numPr>
          <w:ilvl w:val="0"/>
          <w:numId w:val="1"/>
        </w:numPr>
        <w:spacing w:before="63" w:line="201" w:lineRule="auto"/>
        <w:ind w:left="463"/>
        <w:textAlignment w:val="auto"/>
        <w:rPr>
          <w:rFonts w:hint="eastAsia" w:ascii="微软雅黑" w:hAnsi="微软雅黑" w:eastAsia="微软雅黑" w:cs="微软雅黑"/>
          <w:color w:val="231F20"/>
          <w:spacing w:val="-2"/>
          <w:sz w:val="22"/>
          <w:szCs w:val="22"/>
        </w:rPr>
      </w:pPr>
      <w:r>
        <w:rPr>
          <w:rFonts w:hint="eastAsia" w:ascii="微软雅黑" w:hAnsi="微软雅黑" w:eastAsia="微软雅黑" w:cs="微软雅黑"/>
          <w:color w:val="231F20"/>
          <w:spacing w:val="-2"/>
          <w:sz w:val="22"/>
          <w:szCs w:val="22"/>
        </w:rPr>
        <w:t>救济途径</w:t>
      </w:r>
    </w:p>
    <w:p>
      <w:pPr>
        <w:spacing w:before="51" w:line="205" w:lineRule="auto"/>
        <w:ind w:left="478"/>
        <w:rPr>
          <w:lang w:eastAsia="zh-CN"/>
        </w:rPr>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hint="eastAsia" w:ascii="微软雅黑" w:hAnsi="微软雅黑" w:eastAsia="微软雅黑" w:cs="微软雅黑"/>
          <w:color w:val="231F20"/>
          <w:spacing w:val="-3"/>
          <w:lang w:eastAsia="zh-CN"/>
        </w:rPr>
        <w:t>。</w:t>
      </w:r>
    </w:p>
    <w:sectPr>
      <w:type w:val="continuous"/>
      <w:pgSz w:w="10772" w:h="11906"/>
      <w:pgMar w:top="400" w:right="579" w:bottom="400" w:left="596" w:header="0" w:footer="0" w:gutter="0"/>
      <w:cols w:equalWidth="0" w:num="2">
        <w:col w:w="5232" w:space="100"/>
        <w:col w:w="426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简体">
    <w:panose1 w:val="03000509000000000000"/>
    <w:charset w:val="86"/>
    <w:family w:val="roma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DE0NGRhY2QzMjFiMjY1NTY5OGI4N2RjMTBhODhlMTgifQ=="/>
  </w:docVars>
  <w:rsids>
    <w:rsidRoot w:val="00B56568"/>
    <w:rsid w:val="001D44B8"/>
    <w:rsid w:val="008A767D"/>
    <w:rsid w:val="00B56568"/>
    <w:rsid w:val="19CF6AA4"/>
    <w:rsid w:val="45934ABD"/>
    <w:rsid w:val="6C177A3E"/>
    <w:rsid w:val="7A1C57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3"/>
    <customShpInfo spid="_x0000_s1032"/>
    <customShpInfo spid="_x0000_s1031"/>
    <customShpInfo spid="_x0000_s1030"/>
    <customShpInfo spid="_x0000_s1029"/>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255</Words>
  <Characters>1458</Characters>
  <Lines>12</Lines>
  <Paragraphs>3</Paragraphs>
  <TotalTime>4</TotalTime>
  <ScaleCrop>false</ScaleCrop>
  <LinksUpToDate>false</LinksUpToDate>
  <CharactersWithSpaces>1710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2022-10-21T11:06:00Z</dcterms:created>
  <dc:creator>Admin</dc:creator>
  <cp:lastModifiedBy>白筱羽</cp:lastModifiedBy>
  <dcterms:modified xsi:type="dcterms:W3CDTF">2023-08-08T09:00:42Z</dcterms:modified>
  <dc:title>501.道路运输从业人员资格证核发服务指南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2023-08-01T16:30:44Z</vt:filetime>
  </property>
  <property fmtid="{D5CDD505-2E9C-101B-9397-08002B2CF9AE}" pid="4" name="KSOProductBuildVer">
    <vt:lpwstr>2052-12.1.0.15120</vt:lpwstr>
  </property>
  <property fmtid="{D5CDD505-2E9C-101B-9397-08002B2CF9AE}" pid="5" name="ICV">
    <vt:lpwstr>4BDC5EBA80EF458DAA9A560DCCB63F94_13</vt:lpwstr>
  </property>
</Properties>
</file>