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医疗机构变更名称</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2.医疗机构主管部门关于变更名称的意见或相应部门批复（营业执照或事业单位法人证书或民办非企业单位名称预先核准通知书）；</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bookmarkStart w:id="0" w:name="_GoBack"/>
      <w:bookmarkEnd w:id="0"/>
      <w:r>
        <w:rPr>
          <w:rFonts w:hint="eastAsia" w:ascii="仿宋" w:hAnsi="仿宋" w:eastAsia="仿宋"/>
          <w:sz w:val="32"/>
          <w:szCs w:val="32"/>
          <w:lang w:val="en-US" w:eastAsia="zh-CN"/>
        </w:rPr>
        <w:t>.</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3.75pt;margin-top:15.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83050AE"/>
    <w:rsid w:val="10067E60"/>
    <w:rsid w:val="150E4CFB"/>
    <w:rsid w:val="18620A53"/>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 w:val="7E7D2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2023-08-02T08:04:56Z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