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906"/>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农业植物及其产品调运检疫及</w:t>
      </w:r>
    </w:p>
    <w:p>
      <w:pPr>
        <w:spacing w:before="1" w:line="174" w:lineRule="auto"/>
        <w:ind w:left="5507"/>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植物检疫证书签发</w:t>
      </w:r>
    </w:p>
    <w:p>
      <w:pPr>
        <w:spacing w:before="1" w:line="204" w:lineRule="auto"/>
        <w:ind w:left="598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8" w:line="241" w:lineRule="auto"/>
        <w:ind w:left="4346" w:right="563" w:firstLine="440"/>
      </w:pPr>
      <w:r>
        <w:rPr>
          <w:color w:val="231F20"/>
          <w:spacing w:val="3"/>
        </w:rPr>
        <w:t>农业植物及其产品调运检疫及植物检疫</w:t>
      </w:r>
      <w:r>
        <w:rPr>
          <w:color w:val="231F20"/>
          <w:spacing w:val="11"/>
        </w:rPr>
        <w:t xml:space="preserve"> </w:t>
      </w:r>
      <w:r>
        <w:rPr>
          <w:color w:val="231F20"/>
          <w:spacing w:val="-3"/>
        </w:rPr>
        <w:t>证书签发</w:t>
      </w:r>
    </w:p>
    <w:p>
      <w:pPr>
        <w:spacing w:before="19"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5"/>
        <w:ind w:left="4345" w:right="563" w:firstLine="439"/>
      </w:pPr>
      <w:r>
        <w:rPr>
          <w:color w:val="231F20"/>
        </w:rPr>
        <w:t xml:space="preserve">植物检疫条例（1983年1月3日国务院发 </w:t>
      </w:r>
      <w:r>
        <w:rPr>
          <w:color w:val="231F20"/>
          <w:spacing w:val="-3"/>
        </w:rPr>
        <w:t>布，2017年10月7日修正。</w:t>
      </w:r>
    </w:p>
    <w:p>
      <w:pPr>
        <w:pStyle w:val="2"/>
        <w:spacing w:before="24" w:line="246" w:lineRule="auto"/>
        <w:ind w:left="4344" w:right="565" w:firstLine="458"/>
      </w:pPr>
      <w:r>
        <w:rPr>
          <w:color w:val="231F20"/>
          <w:spacing w:val="6"/>
        </w:rPr>
        <w:t>1、第三条，植物检疫人员进入车站、</w:t>
      </w:r>
      <w:r>
        <w:rPr>
          <w:color w:val="231F20"/>
          <w:spacing w:val="1"/>
        </w:rPr>
        <w:t xml:space="preserve"> </w:t>
      </w:r>
      <w:r>
        <w:rPr>
          <w:color w:val="231F20"/>
          <w:spacing w:val="3"/>
        </w:rPr>
        <w:t>机场、港口、仓库以及其他有关场所执行植</w:t>
      </w:r>
      <w:r>
        <w:rPr>
          <w:color w:val="231F20"/>
          <w:spacing w:val="6"/>
        </w:rPr>
        <w:t xml:space="preserve"> </w:t>
      </w:r>
      <w:r>
        <w:rPr>
          <w:color w:val="231F20"/>
          <w:spacing w:val="3"/>
        </w:rPr>
        <w:t>物检疫任务，应穿着检疫制服和佩带检疫标</w:t>
      </w:r>
      <w:r>
        <w:rPr>
          <w:color w:val="231F20"/>
          <w:spacing w:val="6"/>
        </w:rPr>
        <w:t xml:space="preserve"> </w:t>
      </w:r>
      <w:r>
        <w:rPr>
          <w:color w:val="231F20"/>
          <w:spacing w:val="-10"/>
        </w:rPr>
        <w:t>志。</w:t>
      </w:r>
    </w:p>
    <w:p>
      <w:pPr>
        <w:pStyle w:val="2"/>
        <w:spacing w:before="22" w:line="247" w:lineRule="auto"/>
        <w:ind w:left="4350" w:right="564" w:firstLine="436"/>
      </w:pPr>
      <w:r>
        <w:rPr>
          <w:color w:val="231F20"/>
          <w:spacing w:val="10"/>
        </w:rPr>
        <w:t>2、第七条，调运植物和植物产品，属</w:t>
      </w:r>
      <w:r>
        <w:rPr>
          <w:color w:val="231F20"/>
          <w:spacing w:val="1"/>
        </w:rPr>
        <w:t xml:space="preserve"> </w:t>
      </w:r>
      <w:r>
        <w:rPr>
          <w:color w:val="231F20"/>
          <w:spacing w:val="2"/>
        </w:rPr>
        <w:t>于下列情况的，必须经过检疫</w:t>
      </w:r>
      <w:r>
        <w:rPr>
          <w:color w:val="231F20"/>
          <w:spacing w:val="6"/>
        </w:rPr>
        <w:t>：（</w:t>
      </w:r>
      <w:r>
        <w:rPr>
          <w:color w:val="231F20"/>
          <w:spacing w:val="2"/>
        </w:rPr>
        <w:t>一）列入</w:t>
      </w:r>
      <w:r>
        <w:rPr>
          <w:color w:val="231F20"/>
        </w:rPr>
        <w:t xml:space="preserve"> </w:t>
      </w:r>
      <w:r>
        <w:rPr>
          <w:color w:val="231F20"/>
          <w:spacing w:val="3"/>
        </w:rPr>
        <w:t>应施检疫的植物、植物产品名单的，运出发</w:t>
      </w:r>
      <w:r>
        <w:rPr>
          <w:color w:val="231F20"/>
        </w:rPr>
        <w:t xml:space="preserve"> </w:t>
      </w:r>
      <w:r>
        <w:rPr>
          <w:color w:val="231F20"/>
          <w:spacing w:val="15"/>
        </w:rPr>
        <w:t>生疫情的县级行政区域之前，必须经过检</w:t>
      </w:r>
      <w:r>
        <w:rPr>
          <w:color w:val="231F20"/>
          <w:spacing w:val="7"/>
        </w:rPr>
        <w:t xml:space="preserve"> </w:t>
      </w:r>
      <w:r>
        <w:rPr>
          <w:color w:val="231F20"/>
          <w:spacing w:val="1"/>
        </w:rPr>
        <w:t>疫；（二）凡种子、苗木和其他繁殖材料，</w:t>
      </w:r>
      <w:r>
        <w:rPr>
          <w:color w:val="231F20"/>
        </w:rPr>
        <w:t xml:space="preserve"> </w:t>
      </w:r>
      <w:r>
        <w:rPr>
          <w:color w:val="231F20"/>
          <w:spacing w:val="3"/>
        </w:rPr>
        <w:t>不论是否列入应施检疫的植物、植物产品名</w:t>
      </w:r>
      <w:r>
        <w:rPr>
          <w:color w:val="231F20"/>
        </w:rPr>
        <w:t xml:space="preserve"> </w:t>
      </w:r>
      <w:r>
        <w:rPr>
          <w:color w:val="231F20"/>
          <w:spacing w:val="3"/>
        </w:rPr>
        <w:t>单和运往何地，在调运之前，都必须经过检</w:t>
      </w:r>
      <w:r>
        <w:rPr>
          <w:color w:val="231F20"/>
        </w:rPr>
        <w:t xml:space="preserve"> </w:t>
      </w:r>
      <w:r>
        <w:rPr>
          <w:color w:val="231F20"/>
          <w:spacing w:val="-11"/>
        </w:rPr>
        <w:t>疫。</w:t>
      </w:r>
    </w:p>
    <w:p>
      <w:pPr>
        <w:pStyle w:val="2"/>
        <w:spacing w:before="16" w:line="246" w:lineRule="auto"/>
        <w:ind w:left="4344" w:right="563" w:firstLine="440"/>
      </w:pPr>
      <w:r>
        <w:rPr>
          <w:color w:val="231F20"/>
          <w:spacing w:val="10"/>
        </w:rPr>
        <w:t>3、第八条，按照本条例第七条的规定</w:t>
      </w:r>
      <w:r>
        <w:rPr>
          <w:color w:val="231F20"/>
          <w:spacing w:val="3"/>
        </w:rPr>
        <w:t xml:space="preserve"> 必须检疫的植物和植物产品，经检疫未发现</w:t>
      </w:r>
      <w:r>
        <w:rPr>
          <w:color w:val="231F20"/>
          <w:spacing w:val="6"/>
        </w:rPr>
        <w:t xml:space="preserve"> </w:t>
      </w:r>
      <w:r>
        <w:rPr>
          <w:color w:val="231F20"/>
          <w:spacing w:val="3"/>
        </w:rPr>
        <w:t>植物检疫对象的，发给植物检疫证书。发现</w:t>
      </w:r>
      <w:r>
        <w:rPr>
          <w:color w:val="231F20"/>
          <w:spacing w:val="6"/>
        </w:rPr>
        <w:t xml:space="preserve"> </w:t>
      </w:r>
      <w:r>
        <w:rPr>
          <w:color w:val="231F20"/>
          <w:spacing w:val="3"/>
        </w:rPr>
        <w:t>有植物检疫对象、但能彻底消毒处理的，托</w:t>
      </w:r>
      <w:r>
        <w:rPr>
          <w:color w:val="231F20"/>
          <w:spacing w:val="6"/>
        </w:rPr>
        <w:t xml:space="preserve"> </w:t>
      </w:r>
      <w:r>
        <w:rPr>
          <w:color w:val="231F20"/>
          <w:spacing w:val="3"/>
        </w:rPr>
        <w:t>运人应按植物检疫机构的要求，在指定地点</w:t>
      </w:r>
      <w:r>
        <w:rPr>
          <w:color w:val="231F20"/>
          <w:spacing w:val="6"/>
        </w:rPr>
        <w:t xml:space="preserve"> </w:t>
      </w:r>
      <w:r>
        <w:rPr>
          <w:color w:val="231F20"/>
          <w:spacing w:val="3"/>
        </w:rPr>
        <w:t>作消毒处理，经检查合格后发给植物检疫证</w:t>
      </w:r>
      <w:r>
        <w:rPr>
          <w:color w:val="231F20"/>
          <w:spacing w:val="6"/>
        </w:rPr>
        <w:t xml:space="preserve"> </w:t>
      </w:r>
      <w:r>
        <w:rPr>
          <w:color w:val="231F20"/>
          <w:spacing w:val="-3"/>
        </w:rPr>
        <w:t>书；无法消毒处理的，应停止调运。</w:t>
      </w:r>
    </w:p>
    <w:p>
      <w:pPr>
        <w:spacing w:line="246" w:lineRule="auto"/>
        <w:sectPr>
          <w:headerReference r:id="rId5" w:type="default"/>
          <w:pgSz w:w="10772" w:h="11906"/>
          <w:pgMar w:top="400" w:right="2" w:bottom="0" w:left="1615" w:header="0" w:footer="0" w:gutter="0"/>
          <w:cols w:space="720" w:num="1"/>
        </w:sectPr>
      </w:pPr>
    </w:p>
    <w:p>
      <w:pPr>
        <w:spacing w:before="37"/>
      </w:pPr>
      <w:r>
        <w:pict>
          <v:rect id="_x0000_s1026" o:spid="_x0000_s1026" o:spt="1" style="position:absolute;left:0pt;margin-left:94.05pt;margin-top:383.7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85pt;margin-top:386.75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8pt;margin-top:418.7pt;height:0.65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6pt;margin-top:366.85pt;height:0.65pt;width:21.05pt;mso-position-horizontal-relative:page;mso-position-vertical-relative:page;z-index:251666432;mso-width-relative:page;mso-height-relative:page;" filled="f" stroked="t" coordsize="420,12" o:allowincell="f" path="m0,6l420,6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518160</wp:posOffset>
            </wp:positionH>
            <wp:positionV relativeFrom="page">
              <wp:posOffset>4662805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3"/>
                    </a:xfrm>
                    <a:prstGeom prst="rect">
                      <a:avLst/>
                    </a:prstGeom>
                  </pic:spPr>
                </pic:pic>
              </a:graphicData>
            </a:graphic>
          </wp:anchor>
        </w:drawing>
      </w:r>
      <w:r>
        <w:pict>
          <v:shape id="_x0000_s1030" o:spid="_x0000_s1030" o:spt="202" type="#_x0000_t202" style="position:absolute;left:0pt;margin-left:26.2pt;margin-top:402.6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5pt;margin-top:406.35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3pt;margin-top:406.35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1381760</wp:posOffset>
            </wp:positionH>
            <wp:positionV relativeFrom="page">
              <wp:posOffset>5294630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740410</wp:posOffset>
            </wp:positionH>
            <wp:positionV relativeFrom="page">
              <wp:posOffset>5294630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2pt;margin-top:450.9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bookmarkStart w:id="0" w:name="_GoBack"/>
      <w:r>
        <w:drawing>
          <wp:anchor distT="0" distB="0" distL="0" distR="0" simplePos="0" relativeHeight="251665408" behindDoc="0" locked="0" layoutInCell="0" allowOverlap="1">
            <wp:simplePos x="0" y="0"/>
            <wp:positionH relativeFrom="page">
              <wp:posOffset>2009140</wp:posOffset>
            </wp:positionH>
            <wp:positionV relativeFrom="page">
              <wp:posOffset>5467350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bookmarkEnd w:id="0"/>
    </w:p>
    <w:p>
      <w:pPr>
        <w:sectPr>
          <w:headerReference r:id="rId6" w:type="default"/>
          <w:pgSz w:w="10772" w:h="11906"/>
          <w:pgMar w:top="400" w:right="578" w:bottom="0" w:left="544" w:header="0" w:footer="0" w:gutter="0"/>
          <w:cols w:equalWidth="0" w:num="1">
            <w:col w:w="9650"/>
          </w:cols>
        </w:sectPr>
      </w:pPr>
    </w:p>
    <w:p>
      <w:pPr>
        <w:pStyle w:val="2"/>
        <w:spacing w:before="49" w:line="261" w:lineRule="auto"/>
        <w:ind w:left="34" w:right="1042" w:firstLine="438"/>
      </w:pPr>
      <w:r>
        <w:rPr>
          <w:color w:val="231F20"/>
          <w:spacing w:val="9"/>
        </w:rPr>
        <w:t xml:space="preserve">4、河北省人民政府办公厅关于做好国 </w:t>
      </w:r>
      <w:r>
        <w:rPr>
          <w:color w:val="231F20"/>
          <w:spacing w:val="15"/>
        </w:rPr>
        <w:t>务院取消调整行政审批事项和省政府部门</w:t>
      </w:r>
      <w:r>
        <w:rPr>
          <w:color w:val="231F20"/>
          <w:spacing w:val="10"/>
        </w:rPr>
        <w:t xml:space="preserve"> </w:t>
      </w:r>
      <w:r>
        <w:rPr>
          <w:color w:val="231F20"/>
          <w:spacing w:val="1"/>
        </w:rPr>
        <w:t>2014年第二批取消下放行政审批事项衔接落</w:t>
      </w:r>
      <w:r>
        <w:rPr>
          <w:color w:val="231F20"/>
          <w:spacing w:val="3"/>
        </w:rPr>
        <w:t xml:space="preserve"> </w:t>
      </w:r>
      <w:r>
        <w:rPr>
          <w:color w:val="231F20"/>
          <w:spacing w:val="-1"/>
        </w:rPr>
        <w:t>实工作的通知，冀政办〔2014〕17号，附件</w:t>
      </w:r>
      <w:r>
        <w:rPr>
          <w:color w:val="231F20"/>
          <w:spacing w:val="7"/>
        </w:rPr>
        <w:t xml:space="preserve"> </w:t>
      </w:r>
      <w:r>
        <w:rPr>
          <w:color w:val="231F20"/>
          <w:spacing w:val="-2"/>
        </w:rPr>
        <w:t>2，二、12条</w:t>
      </w:r>
    </w:p>
    <w:p>
      <w:pPr>
        <w:spacing w:before="48" w:line="203" w:lineRule="auto"/>
        <w:ind w:left="477"/>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3" w:line="228" w:lineRule="auto"/>
        <w:ind w:left="521"/>
      </w:pPr>
      <w:r>
        <w:rPr>
          <w:color w:val="231F20"/>
          <w:spacing w:val="-4"/>
        </w:rPr>
        <w:t>自然人、企业法人、社会组织法人</w:t>
      </w:r>
    </w:p>
    <w:p>
      <w:pPr>
        <w:spacing w:before="51" w:line="203" w:lineRule="auto"/>
        <w:ind w:left="4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 w:right="1041" w:firstLine="428"/>
      </w:pPr>
      <w:r>
        <w:rPr>
          <w:color w:val="231F20"/>
          <w:spacing w:val="3"/>
        </w:rPr>
        <w:t>提交材料齐全，符合法定程序，内容真</w:t>
      </w:r>
      <w:r>
        <w:rPr>
          <w:color w:val="231F20"/>
          <w:spacing w:val="13"/>
        </w:rPr>
        <w:t xml:space="preserve"> </w:t>
      </w:r>
      <w:r>
        <w:rPr>
          <w:color w:val="231F20"/>
          <w:spacing w:val="-6"/>
        </w:rPr>
        <w:t>实有效</w:t>
      </w:r>
    </w:p>
    <w:p>
      <w:pPr>
        <w:spacing w:before="42" w:line="204" w:lineRule="auto"/>
        <w:ind w:left="47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3" w:lineRule="auto"/>
        <w:ind w:left="490"/>
      </w:pPr>
      <w:r>
        <w:rPr>
          <w:color w:val="231F20"/>
          <w:spacing w:val="-4"/>
        </w:rPr>
        <w:t>1、行政许可申请</w:t>
      </w:r>
    </w:p>
    <w:p>
      <w:pPr>
        <w:pStyle w:val="2"/>
        <w:spacing w:before="48" w:line="249" w:lineRule="auto"/>
        <w:ind w:left="40" w:right="1043" w:firstLine="434"/>
      </w:pPr>
      <w:r>
        <w:rPr>
          <w:color w:val="231F20"/>
          <w:spacing w:val="10"/>
        </w:rPr>
        <w:t>2、跨省调运的需要出具调入地农业植</w:t>
      </w:r>
      <w:r>
        <w:rPr>
          <w:color w:val="231F20"/>
          <w:spacing w:val="1"/>
        </w:rPr>
        <w:t xml:space="preserve"> </w:t>
      </w:r>
      <w:r>
        <w:rPr>
          <w:color w:val="231F20"/>
          <w:spacing w:val="-3"/>
        </w:rPr>
        <w:t>物检疫机构出具的《植物检疫要求书》。</w:t>
      </w:r>
    </w:p>
    <w:p>
      <w:pPr>
        <w:spacing w:before="49"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2"/>
      </w:pPr>
      <w:r>
        <w:rPr>
          <w:color w:val="231F20"/>
          <w:spacing w:val="-1"/>
        </w:rPr>
        <w:t>唐山市曹妃甸区行政审批局</w:t>
      </w:r>
    </w:p>
    <w:p>
      <w:pPr>
        <w:spacing w:before="48" w:line="202" w:lineRule="auto"/>
        <w:ind w:left="47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0"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4"/>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303" w:line="203" w:lineRule="auto"/>
        <w:ind w:left="48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3" w:line="350" w:lineRule="exact"/>
        <w:ind w:left="499"/>
      </w:pPr>
      <w:r>
        <w:rPr>
          <w:color w:val="231F20"/>
          <w:spacing w:val="-2"/>
          <w:position w:val="8"/>
        </w:rPr>
        <w:t>法定时限：35个工作日</w:t>
      </w:r>
    </w:p>
    <w:p>
      <w:pPr>
        <w:pStyle w:val="2"/>
        <w:spacing w:before="1" w:line="232" w:lineRule="auto"/>
        <w:ind w:left="490"/>
      </w:pPr>
      <w:r>
        <w:rPr>
          <w:color w:val="231F20"/>
          <w:spacing w:val="-2"/>
        </w:rPr>
        <w:t>承诺时限：3个工作日</w:t>
      </w:r>
    </w:p>
    <w:p>
      <w:pPr>
        <w:spacing w:before="35" w:line="166" w:lineRule="auto"/>
        <w:ind w:left="48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spacing w:line="14" w:lineRule="auto"/>
        <w:rPr>
          <w:rFonts w:ascii="Arial"/>
          <w:sz w:val="2"/>
        </w:rPr>
      </w:pPr>
      <w:r>
        <w:rPr>
          <w:rFonts w:ascii="Arial" w:hAnsi="Arial" w:eastAsia="Arial" w:cs="Arial"/>
          <w:sz w:val="2"/>
          <w:szCs w:val="2"/>
        </w:rPr>
        <w:br w:type="column"/>
      </w:r>
    </w:p>
    <w:p>
      <w:pPr>
        <w:pStyle w:val="2"/>
        <w:spacing w:before="48" w:line="233" w:lineRule="auto"/>
        <w:ind w:left="468"/>
      </w:pPr>
      <w:r>
        <w:rPr>
          <w:color w:val="231F20"/>
          <w:spacing w:val="-5"/>
        </w:rPr>
        <w:t>不收费</w:t>
      </w:r>
    </w:p>
    <w:p>
      <w:pPr>
        <w:spacing w:before="3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2" w:line="246" w:lineRule="auto"/>
        <w:ind w:left="25" w:right="1" w:firstLine="471"/>
      </w:pPr>
      <w:r>
        <w:rPr>
          <w:color w:val="231F20"/>
          <w:spacing w:val="-4"/>
        </w:rPr>
        <w:t>起行政诉讼。</w:t>
      </w:r>
    </w:p>
    <w:sectPr>
      <w:type w:val="continuous"/>
      <w:pgSz w:w="10772" w:h="11906"/>
      <w:pgMar w:top="400" w:right="578" w:bottom="0" w:left="544" w:header="0" w:footer="0" w:gutter="0"/>
      <w:cols w:equalWidth="0" w:num="2">
        <w:col w:w="5320"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0F9103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1012</Words>
  <Characters>1124</Characters>
  <TotalTime>0</TotalTime>
  <ScaleCrop>false</ScaleCrop>
  <LinksUpToDate>false</LinksUpToDate>
  <CharactersWithSpaces>1191</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2022-11-07T09:22:00Z</dcterms:created>
  <dc:creator>Admin</dc:creator>
  <cp:lastModifiedBy>An玙</cp:lastModifiedBy>
  <dcterms:modified xsi:type="dcterms:W3CDTF">2023-08-01T09:04:07Z</dcterms:modified>
  <dc:title>农业植物及其产品调运检疫及植物检疫证书签发服务指南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2023-08-01T16:08:48Z</vt:filetime>
  </property>
  <property fmtid="{D5CDD505-2E9C-101B-9397-08002B2CF9AE}" pid="4" name="KSOProductBuildVer">
    <vt:lpwstr>2052-11.1.0.14309</vt:lpwstr>
  </property>
  <property fmtid="{D5CDD505-2E9C-101B-9397-08002B2CF9AE}" pid="5" name="ICV">
    <vt:lpwstr>5A7D146C63BC4E2A9D12F0E7AD8FE775_12</vt:lpwstr>
  </property>
</Properties>
</file>