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6"/>
      </w:pPr>
      <w:r>
        <w:pict>
          <v:rect id="_x0000_s1026" o:spid="_x0000_s1026" o:spt="1" style="position:absolute;left:0pt;margin-left:107.5pt;margin-top:257.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260.3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292.2pt;height:0.6pt;width:16.7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292.2pt;height:0.6pt;width:14.7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240.35pt;height:0.6pt;width:27.05pt;mso-position-horizontal-relative:page;mso-position-vertical-relative:page;z-index:251668480;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7456" behindDoc="0" locked="0" layoutInCell="0" allowOverlap="1">
            <wp:simplePos x="0" y="0"/>
            <wp:positionH relativeFrom="page">
              <wp:posOffset>612775</wp:posOffset>
            </wp:positionH>
            <wp:positionV relativeFrom="page">
              <wp:posOffset>3056255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279.8pt;height:25.3pt;width:40.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279.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279.85pt;height:25.3pt;width:39.8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4384" behindDoc="0" locked="0" layoutInCell="0" allowOverlap="1">
            <wp:simplePos x="0" y="0"/>
            <wp:positionH relativeFrom="page">
              <wp:posOffset>1598930</wp:posOffset>
            </wp:positionH>
            <wp:positionV relativeFrom="page">
              <wp:posOffset>3687445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324.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3360" behindDoc="0" locked="0" layoutInCell="0" allowOverlap="1">
            <wp:simplePos x="0" y="0"/>
            <wp:positionH relativeFrom="page">
              <wp:posOffset>1365250</wp:posOffset>
            </wp:positionH>
            <wp:positionV relativeFrom="page">
              <wp:posOffset>3860165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1" w:bottom="0" w:left="558" w:header="0" w:footer="0" w:gutter="0"/>
          <w:cols w:equalWidth="0" w:num="1">
            <w:col w:w="9652"/>
          </w:cols>
        </w:sectPr>
      </w:pPr>
    </w:p>
    <w:p>
      <w:pPr>
        <w:pStyle w:val="2"/>
        <w:spacing w:before="48" w:line="249" w:lineRule="auto"/>
        <w:ind w:left="89" w:right="1010" w:firstLine="393"/>
      </w:pPr>
      <w:r>
        <w:rPr>
          <w:color w:val="231F20"/>
          <w:spacing w:val="3"/>
        </w:rPr>
        <w:t>8.兽药经营质量管理文件手册的封面和</w:t>
      </w:r>
      <w:r>
        <w:rPr>
          <w:color w:val="231F20"/>
          <w:spacing w:val="14"/>
        </w:rPr>
        <w:t xml:space="preserve"> </w:t>
      </w:r>
      <w:r>
        <w:rPr>
          <w:color w:val="231F20"/>
          <w:spacing w:val="-21"/>
        </w:rPr>
        <w:t>目录；</w:t>
      </w:r>
    </w:p>
    <w:p>
      <w:pPr>
        <w:pStyle w:val="2"/>
        <w:spacing w:before="52" w:line="229" w:lineRule="auto"/>
        <w:ind w:left="482"/>
      </w:pPr>
      <w:r>
        <w:rPr>
          <w:color w:val="231F20"/>
          <w:spacing w:val="-3"/>
        </w:rPr>
        <w:t>9.质量管理机构框图和工作人员清单；</w:t>
      </w:r>
    </w:p>
    <w:p>
      <w:pPr>
        <w:pStyle w:val="2"/>
        <w:spacing w:before="53" w:line="230" w:lineRule="auto"/>
        <w:ind w:left="500"/>
      </w:pPr>
      <w:r>
        <w:rPr>
          <w:color w:val="231F20"/>
          <w:spacing w:val="-4"/>
        </w:rPr>
        <w:t>10.原《兽药经营许可证》。</w:t>
      </w:r>
    </w:p>
    <w:p>
      <w:pPr>
        <w:pStyle w:val="2"/>
        <w:spacing w:before="52" w:line="249" w:lineRule="auto"/>
        <w:ind w:left="46" w:right="1010" w:firstLine="415"/>
      </w:pPr>
      <w:r>
        <w:rPr>
          <w:color w:val="231F20"/>
          <w:spacing w:val="11"/>
        </w:rPr>
        <w:t>（2-10项可以用告知承诺书代替，承</w:t>
      </w:r>
      <w:r>
        <w:rPr>
          <w:color w:val="231F20"/>
          <w:spacing w:val="12"/>
        </w:rPr>
        <w:t xml:space="preserve"> </w:t>
      </w:r>
      <w:r>
        <w:rPr>
          <w:color w:val="231F20"/>
          <w:spacing w:val="-1"/>
        </w:rPr>
        <w:t>诺限期补全）</w:t>
      </w:r>
    </w:p>
    <w:p>
      <w:pPr>
        <w:pStyle w:val="2"/>
        <w:spacing w:before="52" w:line="232" w:lineRule="auto"/>
        <w:ind w:left="500"/>
      </w:pPr>
      <w:r>
        <w:rPr>
          <w:color w:val="231F20"/>
          <w:spacing w:val="-4"/>
        </w:rPr>
        <w:t>11.告知承诺书</w:t>
      </w:r>
    </w:p>
    <w:p>
      <w:pPr>
        <w:spacing w:before="46"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2"/>
      </w:pPr>
      <w:r>
        <w:rPr>
          <w:color w:val="231F20"/>
          <w:spacing w:val="-1"/>
        </w:rPr>
        <w:t>唐山市曹妃甸区行政审批局</w:t>
      </w:r>
    </w:p>
    <w:p>
      <w:pPr>
        <w:spacing w:before="48"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2"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20"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7"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94"/>
      </w:pPr>
      <w:r>
        <w:rPr>
          <w:color w:val="231F20"/>
          <w:spacing w:val="-2"/>
        </w:rPr>
        <w:t>法定时限：20个工作日</w:t>
      </w:r>
    </w:p>
    <w:p>
      <w:pPr>
        <w:pStyle w:val="2"/>
        <w:spacing w:before="46" w:line="251" w:lineRule="auto"/>
        <w:ind w:left="44" w:right="1011"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45"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90"/>
      </w:pPr>
      <w:r>
        <w:rPr>
          <w:color w:val="231F20"/>
          <w:spacing w:val="-5"/>
        </w:rPr>
        <w:t>不收费</w:t>
      </w:r>
    </w:p>
    <w:p>
      <w:pPr>
        <w:spacing w:before="43"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63"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p>
      <w:pPr>
        <w:spacing w:line="259" w:lineRule="auto"/>
        <w:sectPr>
          <w:type w:val="continuous"/>
          <w:pgSz w:w="10772" w:h="11906"/>
          <w:pgMar w:top="400" w:right="561" w:bottom="0" w:left="558" w:header="0" w:footer="0" w:gutter="0"/>
          <w:cols w:equalWidth="0" w:num="2">
            <w:col w:w="5262" w:space="100"/>
            <w:col w:w="4290"/>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550"/>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兽药经营企业变更经营范围服务指南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89"/>
      </w:pPr>
      <w:r>
        <w:rPr>
          <w:color w:val="231F20"/>
          <w:spacing w:val="-2"/>
        </w:rPr>
        <w:t>兽药经营企业变更经营范围</w:t>
      </w:r>
    </w:p>
    <w:p>
      <w:pPr>
        <w:spacing w:before="4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30" w:lineRule="auto"/>
        <w:ind w:left="4802"/>
      </w:pPr>
      <w:r>
        <w:rPr>
          <w:color w:val="231F20"/>
          <w:spacing w:val="-3"/>
        </w:rPr>
        <w:t>1.《兽药管理条例》第二十二条</w:t>
      </w:r>
    </w:p>
    <w:p>
      <w:pPr>
        <w:pStyle w:val="2"/>
        <w:spacing w:before="51" w:line="230" w:lineRule="auto"/>
        <w:ind w:left="4786"/>
      </w:pPr>
      <w:r>
        <w:rPr>
          <w:color w:val="231F20"/>
        </w:rPr>
        <w:t>2.《兽药经营质量管理规范》</w:t>
      </w:r>
    </w:p>
    <w:p>
      <w:pPr>
        <w:pStyle w:val="2"/>
        <w:spacing w:before="52" w:line="249" w:lineRule="auto"/>
        <w:ind w:left="4350" w:right="622" w:firstLine="434"/>
      </w:pPr>
      <w:r>
        <w:rPr>
          <w:color w:val="231F20"/>
          <w:spacing w:val="2"/>
        </w:rPr>
        <w:t>3.《河北省兽药经营质量管理规范实施</w:t>
      </w:r>
      <w:r>
        <w:rPr>
          <w:color w:val="231F20"/>
          <w:spacing w:val="13"/>
        </w:rPr>
        <w:t xml:space="preserve"> </w:t>
      </w:r>
      <w:r>
        <w:rPr>
          <w:color w:val="231F20"/>
        </w:rPr>
        <w:t>细则》</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802"/>
      </w:pPr>
      <w:r>
        <w:rPr>
          <w:color w:val="231F20"/>
          <w:spacing w:val="-5"/>
        </w:rPr>
        <w:t>1.兽药经营许可证申请表；</w:t>
      </w:r>
    </w:p>
    <w:p>
      <w:pPr>
        <w:pStyle w:val="2"/>
        <w:spacing w:before="52" w:line="249" w:lineRule="auto"/>
        <w:ind w:left="4346" w:right="600" w:firstLine="440"/>
      </w:pPr>
      <w:r>
        <w:rPr>
          <w:color w:val="231F20"/>
          <w:spacing w:val="4"/>
        </w:rPr>
        <w:t>2.法定代表人或企业主要负责人居民身</w:t>
      </w:r>
      <w:r>
        <w:rPr>
          <w:color w:val="231F20"/>
        </w:rPr>
        <w:t xml:space="preserve"> </w:t>
      </w:r>
      <w:r>
        <w:rPr>
          <w:color w:val="231F20"/>
          <w:spacing w:val="-6"/>
        </w:rPr>
        <w:t>份证及个人简历；</w:t>
      </w:r>
    </w:p>
    <w:p>
      <w:pPr>
        <w:pStyle w:val="2"/>
        <w:spacing w:before="54" w:line="255" w:lineRule="auto"/>
        <w:ind w:left="4348" w:right="600" w:firstLine="435"/>
      </w:pPr>
      <w:r>
        <w:rPr>
          <w:color w:val="231F20"/>
          <w:spacing w:val="2"/>
        </w:rPr>
        <w:t>3.质量负责人或质量管理机构负责人、</w:t>
      </w:r>
      <w:r>
        <w:rPr>
          <w:color w:val="231F20"/>
          <w:spacing w:val="13"/>
        </w:rPr>
        <w:t xml:space="preserve"> </w:t>
      </w:r>
      <w:r>
        <w:rPr>
          <w:color w:val="231F20"/>
          <w:spacing w:val="1"/>
        </w:rPr>
        <w:t>兽药技术服务人员的居民身份证、学历证明</w:t>
      </w:r>
      <w:r>
        <w:rPr>
          <w:color w:val="231F20"/>
          <w:spacing w:val="4"/>
        </w:rPr>
        <w:t xml:space="preserve"> </w:t>
      </w:r>
      <w:r>
        <w:rPr>
          <w:color w:val="231F20"/>
          <w:spacing w:val="-5"/>
        </w:rPr>
        <w:t>或职称证书、个人简历；</w:t>
      </w:r>
    </w:p>
    <w:p>
      <w:pPr>
        <w:pStyle w:val="2"/>
        <w:spacing w:before="53" w:line="229" w:lineRule="auto"/>
        <w:ind w:left="4785"/>
      </w:pPr>
      <w:r>
        <w:rPr>
          <w:color w:val="231F20"/>
          <w:spacing w:val="-3"/>
        </w:rPr>
        <w:t>4.采购、保管、销售人员学历证明；</w:t>
      </w:r>
    </w:p>
    <w:p>
      <w:pPr>
        <w:pStyle w:val="2"/>
        <w:spacing w:before="53" w:line="229" w:lineRule="auto"/>
        <w:ind w:left="4788"/>
      </w:pPr>
      <w:r>
        <w:rPr>
          <w:color w:val="231F20"/>
          <w:spacing w:val="-5"/>
        </w:rPr>
        <w:t>5.经营场所权属证明；</w:t>
      </w:r>
    </w:p>
    <w:p>
      <w:pPr>
        <w:pStyle w:val="2"/>
        <w:spacing w:before="53" w:line="249" w:lineRule="auto"/>
        <w:ind w:left="4375" w:right="599" w:firstLine="410"/>
      </w:pPr>
      <w:r>
        <w:rPr>
          <w:color w:val="231F20"/>
          <w:spacing w:val="4"/>
        </w:rPr>
        <w:t xml:space="preserve">6.经营场所及仓库的位置图和内部布局 </w:t>
      </w:r>
      <w:r>
        <w:rPr>
          <w:color w:val="231F20"/>
          <w:spacing w:val="-20"/>
        </w:rPr>
        <w:t>图；</w:t>
      </w:r>
    </w:p>
    <w:p>
      <w:pPr>
        <w:pStyle w:val="2"/>
        <w:spacing w:before="52" w:line="229" w:lineRule="auto"/>
        <w:ind w:left="4789"/>
      </w:pPr>
      <w:r>
        <w:rPr>
          <w:color w:val="231F20"/>
          <w:spacing w:val="-6"/>
        </w:rPr>
        <w:t>7.设施设备清单；</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6571E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2023-03-30T14:51:00Z</dcterms:created>
  <dc:creator>Admin</dc:creator>
  <cp:lastModifiedBy>白筱羽</cp:lastModifiedBy>
  <dcterms:modified xsi:type="dcterms:W3CDTF">2023-08-01T09:01:22Z</dcterms:modified>
  <dc:title>229.兽药经营企业变更经营范围服务指南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2023-08-01T16:16:36Z</vt:filetime>
  </property>
  <property fmtid="{D5CDD505-2E9C-101B-9397-08002B2CF9AE}" pid="4" name="KSOProductBuildVer">
    <vt:lpwstr>2052-12.1.0.15120</vt:lpwstr>
  </property>
  <property fmtid="{D5CDD505-2E9C-101B-9397-08002B2CF9AE}" pid="5" name="ICV">
    <vt:lpwstr>513B12A76E734E3F9687425A0A9F5AE2_12</vt:lpwstr>
  </property>
</Properties>
</file>