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96" w:lineRule="auto"/>
        <w:rPr>
          <w:rFonts w:ascii="Arial"/>
          <w:sz w:val="21"/>
        </w:rPr>
      </w:pPr>
      <w:r>
        <w:drawing>
          <wp:anchor distT="0" distB="0" distL="0" distR="0" simplePos="0" relativeHeight="251676672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-237490</wp:posOffset>
            </wp:positionV>
            <wp:extent cx="3416935" cy="755586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103" w:line="175" w:lineRule="auto"/>
        <w:ind w:firstLine="5040" w:firstLineChars="2100"/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关闭、闲置、拆除城市环卫设施</w:t>
      </w:r>
    </w:p>
    <w:p>
      <w:pPr>
        <w:spacing w:before="103" w:line="175" w:lineRule="auto"/>
        <w:ind w:firstLine="6000" w:firstLineChars="2500"/>
        <w:jc w:val="both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许可服务指南</w:t>
      </w:r>
    </w:p>
    <w:p>
      <w:pPr>
        <w:spacing w:before="232" w:line="292" w:lineRule="exact"/>
        <w:ind w:left="480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46" w:line="289" w:lineRule="exact"/>
        <w:ind w:left="4805"/>
        <w:rPr>
          <w:rFonts w:hint="eastAsia" w:ascii="方正仿宋简体" w:hAnsi="方正仿宋简体" w:eastAsia="方正仿宋简体" w:cs="方正仿宋简体"/>
          <w:color w:val="231F20"/>
          <w:spacing w:val="-2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-2"/>
          <w:sz w:val="22"/>
          <w:szCs w:val="22"/>
        </w:rPr>
        <w:t>关闭、闲置、拆除城市环卫设施许可</w:t>
      </w:r>
    </w:p>
    <w:p>
      <w:pPr>
        <w:spacing w:before="46" w:line="289" w:lineRule="exact"/>
        <w:ind w:left="480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据</w:t>
      </w:r>
    </w:p>
    <w:p>
      <w:pPr>
        <w:spacing w:before="73" w:line="268" w:lineRule="auto"/>
        <w:ind w:left="4366" w:right="572" w:firstLine="40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《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中华人民共和国固体废物污染环境防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9"/>
          <w:sz w:val="22"/>
          <w:szCs w:val="22"/>
        </w:rPr>
        <w:t>治</w:t>
      </w:r>
      <w:r>
        <w:rPr>
          <w:rFonts w:ascii="方正仿宋简体" w:hAnsi="方正仿宋简体" w:eastAsia="方正仿宋简体" w:cs="方正仿宋简体"/>
          <w:color w:val="231F20"/>
          <w:spacing w:val="15"/>
          <w:sz w:val="22"/>
          <w:szCs w:val="22"/>
        </w:rPr>
        <w:t>法》(2015-04-24主席令第五十八号)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第四十四条；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《城市市容和环境卫生管理条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30"/>
          <w:sz w:val="22"/>
          <w:szCs w:val="22"/>
        </w:rPr>
        <w:t>例</w:t>
      </w:r>
      <w:r>
        <w:rPr>
          <w:rFonts w:ascii="方正仿宋简体" w:hAnsi="方正仿宋简体" w:eastAsia="方正仿宋简体" w:cs="方正仿宋简体"/>
          <w:color w:val="231F20"/>
          <w:spacing w:val="17"/>
          <w:sz w:val="22"/>
          <w:szCs w:val="22"/>
        </w:rPr>
        <w:t>》(2011-01-01国务院令第101号)第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7"/>
          <w:sz w:val="22"/>
          <w:szCs w:val="22"/>
        </w:rPr>
        <w:t>二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十二条。</w:t>
      </w:r>
    </w:p>
    <w:p>
      <w:pPr>
        <w:spacing w:line="292" w:lineRule="exact"/>
        <w:ind w:left="480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72" w:line="267" w:lineRule="auto"/>
        <w:ind w:left="4375" w:right="581" w:firstLine="478"/>
        <w:rPr>
          <w:rFonts w:hint="eastAsia" w:ascii="方正仿宋简体" w:hAnsi="方正仿宋简体" w:eastAsia="方正仿宋简体" w:cs="方正仿宋简体"/>
          <w:sz w:val="22"/>
          <w:szCs w:val="22"/>
          <w:lang w:val="en-US" w:eastAsia="zh-CN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企业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法人、事业法人、</w:t>
      </w:r>
      <w:r>
        <w:rPr>
          <w:rFonts w:hint="eastAsia" w:ascii="方正仿宋简体" w:hAnsi="方正仿宋简体" w:eastAsia="方正仿宋简体" w:cs="方正仿宋简体"/>
          <w:color w:val="231F20"/>
          <w:spacing w:val="-1"/>
          <w:sz w:val="22"/>
          <w:szCs w:val="22"/>
          <w:lang w:val="en-US" w:eastAsia="zh-CN"/>
        </w:rPr>
        <w:t>行政机关</w:t>
      </w:r>
    </w:p>
    <w:p>
      <w:pPr>
        <w:spacing w:line="291" w:lineRule="exact"/>
        <w:ind w:left="481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6"/>
          <w:position w:val="1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受理条件</w:t>
      </w:r>
    </w:p>
    <w:p>
      <w:pPr>
        <w:spacing w:before="73" w:line="267" w:lineRule="auto"/>
        <w:ind w:left="4376" w:right="581" w:firstLine="4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提交材料齐全，符合法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定程序，内容真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line="290" w:lineRule="exact"/>
        <w:ind w:left="480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材料</w:t>
      </w:r>
    </w:p>
    <w:p>
      <w:pPr>
        <w:spacing w:before="74" w:line="268" w:lineRule="auto"/>
        <w:ind w:left="4395" w:right="579" w:firstLine="42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9"/>
          <w:sz w:val="22"/>
          <w:szCs w:val="22"/>
        </w:rPr>
        <w:t>1</w:t>
      </w:r>
      <w:r>
        <w:rPr>
          <w:rFonts w:ascii="方正仿宋简体" w:hAnsi="方正仿宋简体" w:eastAsia="方正仿宋简体" w:cs="方正仿宋简体"/>
          <w:color w:val="231F20"/>
          <w:spacing w:val="5"/>
          <w:sz w:val="22"/>
          <w:szCs w:val="22"/>
        </w:rPr>
        <w:t>、拟关闭、闲置或者拆除设施的现状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13"/>
          <w:sz w:val="22"/>
          <w:szCs w:val="22"/>
        </w:rPr>
        <w:t>图</w:t>
      </w:r>
      <w:r>
        <w:rPr>
          <w:rFonts w:ascii="方正仿宋简体" w:hAnsi="方正仿宋简体" w:eastAsia="方正仿宋简体" w:cs="方正仿宋简体"/>
          <w:color w:val="231F20"/>
          <w:spacing w:val="-9"/>
          <w:sz w:val="22"/>
          <w:szCs w:val="22"/>
        </w:rPr>
        <w:t>及拆除方案；</w:t>
      </w:r>
    </w:p>
    <w:p>
      <w:pPr>
        <w:spacing w:before="2" w:line="228" w:lineRule="auto"/>
        <w:ind w:left="480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2、防止环境污染的方案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；</w:t>
      </w:r>
    </w:p>
    <w:p>
      <w:pPr>
        <w:spacing w:before="53" w:line="229" w:lineRule="auto"/>
        <w:ind w:left="480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3、权属关系证明材料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；</w:t>
      </w:r>
    </w:p>
    <w:p>
      <w:pPr>
        <w:spacing w:before="53" w:line="229" w:lineRule="auto"/>
        <w:ind w:left="480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8"/>
          <w:sz w:val="22"/>
          <w:szCs w:val="22"/>
        </w:rPr>
        <w:t>4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、行政许可申请书；</w:t>
      </w:r>
    </w:p>
    <w:p>
      <w:pPr>
        <w:spacing w:before="54" w:line="268" w:lineRule="auto"/>
        <w:ind w:left="4385" w:right="579" w:firstLine="42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0"/>
          <w:sz w:val="22"/>
          <w:szCs w:val="22"/>
        </w:rPr>
        <w:t>5</w:t>
      </w:r>
      <w:r>
        <w:rPr>
          <w:rFonts w:ascii="方正仿宋简体" w:hAnsi="方正仿宋简体" w:eastAsia="方正仿宋简体" w:cs="方正仿宋简体"/>
          <w:color w:val="231F20"/>
          <w:spacing w:val="8"/>
          <w:sz w:val="22"/>
          <w:szCs w:val="22"/>
        </w:rPr>
        <w:t>、丧失使用功能或其使用功能可替代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13"/>
          <w:sz w:val="22"/>
          <w:szCs w:val="22"/>
        </w:rPr>
        <w:t>的证明；</w:t>
      </w:r>
    </w:p>
    <w:p>
      <w:pPr>
        <w:spacing w:before="1" w:line="228" w:lineRule="auto"/>
        <w:ind w:left="480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6、拟新建设施设计图；</w:t>
      </w:r>
    </w:p>
    <w:p>
      <w:pPr>
        <w:spacing w:before="53" w:line="232" w:lineRule="auto"/>
        <w:ind w:left="4809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4"/>
          <w:sz w:val="22"/>
          <w:szCs w:val="22"/>
        </w:rPr>
        <w:t>7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、</w:t>
      </w:r>
      <w:r>
        <w:rPr>
          <w:rFonts w:ascii="方正仿宋简体" w:hAnsi="方正仿宋简体" w:eastAsia="方正仿宋简体" w:cs="方正仿宋简体"/>
          <w:color w:val="231F20"/>
          <w:spacing w:val="7"/>
          <w:sz w:val="22"/>
          <w:szCs w:val="22"/>
        </w:rPr>
        <w:t>因实施城市规划需要闲置、关闭或</w:t>
      </w:r>
    </w:p>
    <w:p>
      <w:pPr>
        <w:sectPr>
          <w:headerReference r:id="rId5" w:type="default"/>
          <w:pgSz w:w="10772" w:h="11906"/>
          <w:pgMar w:top="400" w:right="2" w:bottom="0" w:left="1615" w:header="0" w:footer="0" w:gutter="0"/>
          <w:cols w:space="720" w:num="1"/>
        </w:sectPr>
      </w:pPr>
    </w:p>
    <w:p>
      <w:r>
        <w:pict>
          <v:rect id="_x0000_s1026" o:spid="_x0000_s1026" o:spt="1" style="position:absolute;left:0pt;margin-left:108.15pt;margin-top:143.65pt;height:5.05pt;width:4.4pt;mso-position-horizontal-relative:page;mso-position-vertical-relative:page;z-index:25167257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67.4pt;margin-top:145.85pt;height:0.6pt;width:5.35pt;mso-position-horizontal-relative:page;mso-position-vertical-relative:page;z-index:25167564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11.8pt;margin-top:145.85pt;height:0.6pt;width:5.75pt;mso-position-horizontal-relative:page;mso-position-vertical-relative:page;z-index:25167052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67.45pt;margin-top:146.15pt;height:36.15pt;width:0.65pt;mso-position-horizontal-relative:page;mso-position-vertical-relative:page;z-index:25167360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16.95pt;margin-top:146.15pt;height:35.45pt;width:0.65pt;mso-position-horizontal-relative:page;mso-position-vertical-relative:page;z-index:25167155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170.85pt;margin-top:159.7pt;height:21.7pt;width:0.65pt;mso-position-horizontal-relative:page;mso-position-vertical-relative:page;z-index:25166643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2" o:spid="_x0000_s1032" o:spt="1" style="position:absolute;left:0pt;margin-left:190.9pt;margin-top:201pt;height:0.6pt;width:8.4pt;mso-position-horizontal-relative:page;mso-position-vertical-relative:page;z-index:25166848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3" o:spid="_x0000_s1033" o:spt="1" style="position:absolute;left:0pt;margin-left:223.6pt;margin-top:198.8pt;height:5.05pt;width:4.4pt;mso-position-horizontal-relative:page;mso-position-vertical-relative:page;z-index:25166540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4" o:spid="_x0000_s1034" style="position:absolute;left:0pt;margin-left:215.55pt;margin-top:186.05pt;height:30.4pt;width:0.65pt;mso-position-horizontal-relative:page;mso-position-vertical-relative:page;z-index:251663360;mso-width-relative:page;mso-height-relative:page;" filled="f" stroked="t" coordsize="12,607" o:allowincell="f" path="m6,0l6,607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5" o:spid="_x0000_s1035" style="position:absolute;left:0pt;margin-left:215.85pt;margin-top:201pt;height:0.6pt;width:8.55pt;mso-position-horizontal-relative:page;mso-position-vertical-relative:page;z-index:251664384;mso-width-relative:page;mso-height-relative:page;" filled="f" stroked="t" coordsize="171,12" o:allowincell="f" path="m170,5l0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6" o:spid="_x0000_s1036" o:spt="202" type="#_x0000_t202" style="position:absolute;left:0pt;margin-left:71.65pt;margin-top:132.75pt;height:24.65pt;width:37.85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70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0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2" w:hRule="atLeast"/>
                    </w:trPr>
                    <w:tc>
                      <w:tcPr>
                        <w:tcW w:w="706" w:type="dxa"/>
                        <w:vAlign w:val="top"/>
                      </w:tcPr>
                      <w:p>
                        <w:pPr>
                          <w:spacing w:before="37" w:line="224" w:lineRule="auto"/>
                          <w:ind w:left="40" w:right="24" w:firstLine="78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3"/>
                            <w:sz w:val="16"/>
                            <w:szCs w:val="16"/>
                          </w:rPr>
                          <w:t>修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2"/>
                            <w:sz w:val="16"/>
                            <w:szCs w:val="16"/>
                          </w:rPr>
                          <w:t>改后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3"/>
                            <w:sz w:val="16"/>
                            <w:szCs w:val="16"/>
                          </w:rPr>
                          <w:t>再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2"/>
                            <w:sz w:val="16"/>
                            <w:szCs w:val="16"/>
                          </w:rPr>
                          <w:t>次报送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53.05pt;margin-top:132.75pt;height:28.7pt;width:38.1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711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11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13" w:hRule="atLeast"/>
                    </w:trPr>
                    <w:tc>
                      <w:tcPr>
                        <w:tcW w:w="711" w:type="dxa"/>
                        <w:vAlign w:val="top"/>
                      </w:tcPr>
                      <w:p>
                        <w:pPr>
                          <w:spacing w:before="38" w:line="224" w:lineRule="auto"/>
                          <w:ind w:left="139" w:right="110" w:firstLine="61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6"/>
                            <w:sz w:val="16"/>
                            <w:szCs w:val="16"/>
                          </w:rPr>
                          <w:t>告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5"/>
                            <w:sz w:val="16"/>
                            <w:szCs w:val="16"/>
                          </w:rPr>
                          <w:t>知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11"/>
                            <w:sz w:val="16"/>
                            <w:szCs w:val="16"/>
                          </w:rPr>
                          <w:t>申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9"/>
                            <w:sz w:val="16"/>
                            <w:szCs w:val="16"/>
                          </w:rPr>
                          <w:t>请人</w:t>
                        </w:r>
                      </w:p>
                      <w:p>
                        <w:pPr>
                          <w:tabs>
                            <w:tab w:val="left" w:pos="380"/>
                          </w:tabs>
                          <w:spacing w:before="9" w:line="77" w:lineRule="exact"/>
                          <w:ind w:left="281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position w:val="-5"/>
                            <w:sz w:val="21"/>
                            <w:szCs w:val="21"/>
                            <w:shd w:val="clear" w:fill="231F20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group id="_x0000_s1038" o:spid="_x0000_s1038" o:spt="203" style="position:absolute;left:0pt;margin-left:150.5pt;margin-top:181.05pt;height:40.55pt;width:40.75pt;mso-position-horizontal-relative:page;mso-position-vertical-relative:page;z-index:251661312;mso-width-relative:page;mso-height-relative:page;" coordsize="815,810" o:allowincell="f">
            <o:lock v:ext="edit"/>
            <v:shape id="_x0000_s1039" o:spid="_x0000_s1039" style="position:absolute;left:0;top:0;height:810;width:815;" filled="f" stroked="t" coordsize="815,810" path="m415,5l5,405,415,804,808,405,415,5xe">
              <v:fill on="f" focussize="0,0"/>
              <v:stroke weight="0.6pt" color="#231F20" miterlimit="10" joinstyle="miter"/>
              <v:imagedata o:title=""/>
              <o:lock v:ext="edit"/>
            </v:shape>
            <v:shape id="_x0000_s1040" o:spid="_x0000_s1040" o:spt="202" type="#_x0000_t202" style="position:absolute;left:-20;top:-20;height:881;width:85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71" w:line="208" w:lineRule="auto"/>
                      <w:ind w:left="28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4"/>
                        <w:sz w:val="16"/>
                        <w:szCs w:val="16"/>
                      </w:rPr>
                      <w:t>审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批</w:t>
                    </w:r>
                  </w:p>
                  <w:p>
                    <w:pPr>
                      <w:spacing w:line="207" w:lineRule="auto"/>
                      <w:ind w:left="238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2个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1"/>
                        <w:sz w:val="16"/>
                        <w:szCs w:val="16"/>
                      </w:rPr>
                      <w:t>工</w:t>
                    </w:r>
                  </w:p>
                  <w:p>
                    <w:pPr>
                      <w:spacing w:line="219" w:lineRule="auto"/>
                      <w:ind w:left="278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作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日</w:t>
                    </w:r>
                  </w:p>
                </w:txbxContent>
              </v:textbox>
            </v:shape>
          </v:group>
        </w:pict>
      </w:r>
      <w:r>
        <w:pict>
          <v:group id="_x0000_s1041" o:spid="_x0000_s1041" o:spt="203" style="position:absolute;left:0pt;margin-left:28.4pt;margin-top:181.6pt;height:35.55pt;width:53.25pt;mso-position-horizontal-relative:page;mso-position-vertical-relative:page;z-index:251674624;mso-width-relative:page;mso-height-relative:page;" coordsize="1065,710" o:allowincell="f">
            <o:lock v:ext="edit"/>
            <v:shape id="_x0000_s1042" o:spid="_x0000_s1042" o:spt="75" type="#_x0000_t75" style="position:absolute;left:0;top:0;height:710;width:1065;" filled="f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  <v:shape id="_x0000_s1043" o:spid="_x0000_s1043" o:spt="202" type="#_x0000_t202" style="position:absolute;left:532;top:121;height:589;width:51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" w:line="218" w:lineRule="auto"/>
                      <w:ind w:left="20" w:right="20" w:firstLine="23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11"/>
                        <w:sz w:val="16"/>
                        <w:szCs w:val="16"/>
                      </w:rPr>
                      <w:t>申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9"/>
                        <w:sz w:val="16"/>
                        <w:szCs w:val="16"/>
                      </w:rPr>
                      <w:t>请人</w:t>
                    </w:r>
                    <w:r>
                      <w:rPr>
                        <w:rFonts w:ascii="宋体" w:hAnsi="宋体" w:eastAsia="宋体" w:cs="宋体"/>
                        <w:color w:val="231F2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提交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1"/>
                        <w:sz w:val="16"/>
                        <w:szCs w:val="16"/>
                      </w:rPr>
                      <w:t>申</w:t>
                    </w:r>
                    <w:r>
                      <w:rPr>
                        <w:rFonts w:ascii="宋体" w:hAnsi="宋体" w:eastAsia="宋体" w:cs="宋体"/>
                        <w:color w:val="231F2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请材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1"/>
                        <w:sz w:val="16"/>
                        <w:szCs w:val="16"/>
                      </w:rPr>
                      <w:t>料</w:t>
                    </w:r>
                  </w:p>
                </w:txbxContent>
              </v:textbox>
            </v:shape>
            <v:shape id="_x0000_s1044" o:spid="_x0000_s1044" o:spt="202" type="#_x0000_t202" style="position:absolute;left:2;top:155;height:460;width:22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layout-flow:vertical-ideographic;">
                <w:txbxContent>
                  <w:p>
                    <w:pPr>
                      <w:spacing w:before="20" w:line="208" w:lineRule="auto"/>
                      <w:ind w:left="2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7"/>
                        <w:sz w:val="16"/>
                        <w:szCs w:val="16"/>
                      </w:rPr>
                      <w:t>开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6"/>
                        <w:sz w:val="16"/>
                        <w:szCs w:val="16"/>
                      </w:rPr>
                      <w:t xml:space="preserve"> 始</w:t>
                    </w:r>
                  </w:p>
                </w:txbxContent>
              </v:textbox>
            </v:shape>
          </v:group>
        </w:pict>
      </w:r>
      <w:r>
        <w:pict>
          <v:group id="_x0000_s1045" o:spid="_x0000_s1045" o:spt="203" style="position:absolute;left:0pt;margin-left:198.55pt;margin-top:185.75pt;height:31pt;width:17.3pt;mso-position-horizontal-relative:page;mso-position-vertical-relative:page;z-index:251669504;mso-width-relative:page;mso-height-relative:page;" coordsize="345,620" o:allowincell="f">
            <o:lock v:ext="edit"/>
            <v:shape id="_x0000_s1046" o:spid="_x0000_s1046" o:spt="75" type="#_x0000_t75" style="position:absolute;left:0;top:0;height:620;width:345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047" o:spid="_x0000_s1047" o:spt="202" type="#_x0000_t202" style="position:absolute;left:-51;top:-20;height:660;width:41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layout-flow:vertical-ideographic;">
                <w:txbxContent>
                  <w:p>
                    <w:pPr>
                      <w:spacing w:before="63" w:line="204" w:lineRule="auto"/>
                      <w:ind w:left="112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7"/>
                        <w:sz w:val="16"/>
                        <w:szCs w:val="16"/>
                      </w:rPr>
                      <w:t>办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6"/>
                        <w:sz w:val="16"/>
                        <w:szCs w:val="16"/>
                      </w:rPr>
                      <w:t xml:space="preserve"> 结</w:t>
                    </w:r>
                  </w:p>
                </w:txbxContent>
              </v:textbox>
            </v:shape>
          </v:group>
        </w:pict>
      </w:r>
      <w:r>
        <w:pict>
          <v:shape id="_x0000_s1048" o:spid="_x0000_s1048" o:spt="202" type="#_x0000_t202" style="position:absolute;left:0pt;margin-left:80.35pt;margin-top:187.1pt;height:29.55pt;width:71.45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08" w:lineRule="auto"/>
                    <w:ind w:left="56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受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理</w:t>
                  </w:r>
                </w:p>
                <w:p>
                  <w:pPr>
                    <w:tabs>
                      <w:tab w:val="left" w:pos="173"/>
                    </w:tabs>
                    <w:spacing w:line="207" w:lineRule="auto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drawing>
                      <wp:inline distT="0" distB="0" distL="0" distR="0">
                        <wp:extent cx="55245" cy="63500"/>
                        <wp:effectExtent l="0" t="0" r="0" b="0"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573" cy="6384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12"/>
                      <w:sz w:val="16"/>
                      <w:szCs w:val="16"/>
                    </w:rPr>
                    <w:t xml:space="preserve">审核1个工 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12"/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drawing>
                      <wp:inline distT="0" distB="0" distL="0" distR="0">
                        <wp:extent cx="55245" cy="63500"/>
                        <wp:effectExtent l="0" t="0" r="0" b="0"/>
                        <wp:docPr id="3" name="IM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 3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585" cy="638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line="219" w:lineRule="auto"/>
                    <w:ind w:left="56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作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日</w:t>
                  </w:r>
                </w:p>
              </w:txbxContent>
            </v:textbox>
          </v:shape>
        </w:pict>
      </w:r>
      <w:r>
        <w:pict>
          <v:shape id="_x0000_s1049" o:spid="_x0000_s1049" style="position:absolute;left:0pt;margin-left:93.45pt;margin-top:181.05pt;height:40.55pt;width:46.5pt;mso-position-horizontal-relative:page;mso-position-vertical-relative:page;z-index:251660288;mso-width-relative:page;mso-height-relative:page;" filled="f" stroked="t" coordsize="930,810" o:allowincell="f" path="m474,5l5,405,474,804,923,405,474,5xe">
            <v:fill on="f" focussize="0,0"/>
            <v:stroke weight="0.6pt" color="#231F20" miterlimit="10" joinstyle="miter"/>
            <v:imagedata o:title=""/>
            <o:lock v:ext="edit"/>
          </v:shape>
        </w:pict>
      </w:r>
    </w:p>
    <w:p>
      <w:pPr>
        <w:spacing w:line="30" w:lineRule="exact"/>
      </w:pPr>
    </w:p>
    <w:p>
      <w:pPr>
        <w:sectPr>
          <w:headerReference r:id="rId6" w:type="default"/>
          <w:pgSz w:w="10772" w:h="11906"/>
          <w:pgMar w:top="400" w:right="566" w:bottom="0" w:left="568" w:header="0" w:footer="0" w:gutter="0"/>
          <w:cols w:equalWidth="0" w:num="1">
            <w:col w:w="9638"/>
          </w:cols>
        </w:sectPr>
      </w:pPr>
    </w:p>
    <w:p>
      <w:pPr>
        <w:spacing w:before="58" w:line="360" w:lineRule="exact"/>
        <w:ind w:left="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position w:val="9"/>
          <w:sz w:val="22"/>
          <w:szCs w:val="22"/>
        </w:rPr>
        <w:t>者拆除的，还</w:t>
      </w:r>
      <w:r>
        <w:rPr>
          <w:rFonts w:ascii="方正仿宋简体" w:hAnsi="方正仿宋简体" w:eastAsia="方正仿宋简体" w:cs="方正仿宋简体"/>
          <w:color w:val="231F20"/>
          <w:spacing w:val="1"/>
          <w:position w:val="9"/>
          <w:sz w:val="22"/>
          <w:szCs w:val="22"/>
        </w:rPr>
        <w:t>应当提供规划、建设主管部门</w:t>
      </w:r>
    </w:p>
    <w:p>
      <w:pPr>
        <w:spacing w:before="1" w:line="230" w:lineRule="auto"/>
        <w:ind w:left="4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8"/>
          <w:sz w:val="22"/>
          <w:szCs w:val="22"/>
        </w:rPr>
        <w:t>的批准文件。</w:t>
      </w:r>
    </w:p>
    <w:p>
      <w:pPr>
        <w:spacing w:before="47" w:line="289" w:lineRule="exact"/>
        <w:ind w:left="46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关</w:t>
      </w:r>
    </w:p>
    <w:p>
      <w:pPr>
        <w:spacing w:before="73" w:line="357" w:lineRule="exact"/>
        <w:ind w:left="46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唐山市曹妃甸区行政审批</w:t>
      </w:r>
      <w:r>
        <w:rPr>
          <w:rFonts w:ascii="方正仿宋简体" w:hAnsi="方正仿宋简体" w:eastAsia="方正仿宋简体" w:cs="方正仿宋简体"/>
          <w:color w:val="231F20"/>
          <w:position w:val="9"/>
          <w:sz w:val="22"/>
          <w:szCs w:val="22"/>
        </w:rPr>
        <w:t>局</w:t>
      </w:r>
    </w:p>
    <w:p>
      <w:pPr>
        <w:spacing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/>
    <w:p/>
    <w:p/>
    <w:p/>
    <w:p/>
    <w:p>
      <w:pPr>
        <w:spacing w:line="51" w:lineRule="exact"/>
      </w:pPr>
    </w:p>
    <w:tbl>
      <w:tblPr>
        <w:tblStyle w:val="4"/>
        <w:tblW w:w="254" w:type="dxa"/>
        <w:tblInd w:w="3993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254" w:type="dxa"/>
            <w:textDirection w:val="tbRlV"/>
            <w:vAlign w:val="top"/>
          </w:tcPr>
          <w:p>
            <w:pPr>
              <w:spacing w:before="44" w:line="207" w:lineRule="auto"/>
              <w:ind w:left="8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231F20"/>
                <w:spacing w:val="7"/>
                <w:sz w:val="16"/>
                <w:szCs w:val="16"/>
              </w:rPr>
              <w:t>结</w:t>
            </w:r>
            <w:r>
              <w:rPr>
                <w:rFonts w:ascii="宋体" w:hAnsi="宋体" w:eastAsia="宋体" w:cs="宋体"/>
                <w:color w:val="231F20"/>
                <w:spacing w:val="6"/>
                <w:sz w:val="16"/>
                <w:szCs w:val="16"/>
              </w:rPr>
              <w:t xml:space="preserve"> 束</w:t>
            </w:r>
          </w:p>
        </w:tc>
      </w:tr>
    </w:tbl>
    <w:p>
      <w:pPr>
        <w:spacing w:line="334" w:lineRule="auto"/>
        <w:rPr>
          <w:rFonts w:ascii="Arial"/>
          <w:sz w:val="21"/>
        </w:rPr>
      </w:pPr>
    </w:p>
    <w:p>
      <w:pPr>
        <w:spacing w:before="72" w:line="291" w:lineRule="exact"/>
        <w:ind w:left="46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2" w:line="233" w:lineRule="auto"/>
        <w:ind w:left="47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法定时限：35个工作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日</w:t>
      </w:r>
    </w:p>
    <w:p>
      <w:pPr>
        <w:spacing w:before="47" w:line="233" w:lineRule="auto"/>
        <w:ind w:left="46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承诺时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限：3个工作日</w:t>
      </w:r>
    </w:p>
    <w:p>
      <w:pPr>
        <w:spacing w:before="45" w:line="290" w:lineRule="exact"/>
        <w:ind w:left="4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费情况</w:t>
      </w:r>
    </w:p>
    <w:p>
      <w:pPr>
        <w:spacing w:before="73" w:line="233" w:lineRule="auto"/>
        <w:ind w:left="47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4" w:line="291" w:lineRule="exact"/>
        <w:ind w:left="46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、网办网址</w:t>
      </w:r>
    </w:p>
    <w:p>
      <w:pPr>
        <w:spacing w:before="73" w:line="219" w:lineRule="auto"/>
        <w:ind w:left="471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ht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tp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://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tscfd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hbzwfw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gov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cn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/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fldChar w:fldCharType="end"/>
      </w:r>
    </w:p>
    <w:p>
      <w:pPr>
        <w:spacing w:before="54" w:line="291" w:lineRule="exact"/>
        <w:ind w:left="46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10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color w:val="231F20"/>
          <w:spacing w:val="28"/>
          <w:position w:val="9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8"/>
          <w:position w:val="9"/>
          <w:sz w:val="22"/>
          <w:szCs w:val="22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color w:val="231F20"/>
          <w:spacing w:val="-1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10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color w:val="231F20"/>
          <w:spacing w:val="28"/>
          <w:position w:val="9"/>
          <w:sz w:val="22"/>
          <w:szCs w:val="22"/>
        </w:rPr>
      </w:pPr>
      <w:bookmarkStart w:id="0" w:name="_GoBack"/>
      <w:bookmarkEnd w:id="0"/>
    </w:p>
    <w:p>
      <w:pPr>
        <w:spacing w:line="14" w:lineRule="auto"/>
        <w:rPr>
          <w:rFonts w:ascii="Arial"/>
          <w:sz w:val="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秋冬春季（9月1日至5月31日）上午8:30-12:00，下午13:30-17:30；夏季（6月1日至8月31日）上午8:30-12:00，下午14:30-17:30. 法定节假日除</w:t>
      </w: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6" w:line="290" w:lineRule="exact"/>
        <w:ind w:left="468"/>
        <w:rPr>
          <w:rFonts w:hint="eastAsia" w:ascii="宋体" w:hAnsi="宋体" w:eastAsia="宋体" w:cs="宋体"/>
          <w:color w:val="231F20"/>
          <w:spacing w:val="-2"/>
          <w:position w:val="11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间</w:t>
      </w:r>
    </w:p>
    <w:p>
      <w:pPr>
        <w:spacing w:before="73" w:line="278" w:lineRule="auto"/>
        <w:ind w:firstLine="473"/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"/>
          <w:sz w:val="22"/>
          <w:szCs w:val="22"/>
        </w:rPr>
        <w:t>秋冬春季（9月1日至5月31日）上午8:30-12:00，下午13:30-17:30；</w:t>
      </w:r>
      <w:r>
        <w:rPr>
          <w:rFonts w:hint="eastAsia" w:ascii="方正仿宋简体" w:hAnsi="方正仿宋简体" w:eastAsia="方正仿宋简体" w:cs="方正仿宋简体"/>
          <w:color w:val="231F20"/>
          <w:spacing w:val="2"/>
          <w:sz w:val="22"/>
          <w:szCs w:val="22"/>
          <w:lang w:val="en-US" w:eastAsia="zh-CN"/>
        </w:rPr>
        <w:t xml:space="preserve">          </w:t>
      </w:r>
      <w:r>
        <w:rPr>
          <w:rFonts w:hint="eastAsia" w:ascii="方正仿宋简体" w:hAnsi="方正仿宋简体" w:eastAsia="方正仿宋简体" w:cs="方正仿宋简体"/>
          <w:color w:val="231F20"/>
          <w:spacing w:val="2"/>
          <w:sz w:val="22"/>
          <w:szCs w:val="22"/>
        </w:rPr>
        <w:t>夏季（6月1日至8月31日）上午8:30-12:00，下午14:30-17:30. 法定节假日除外。</w:t>
      </w:r>
    </w:p>
    <w:p>
      <w:pPr>
        <w:spacing w:before="48" w:line="393" w:lineRule="exact"/>
        <w:ind w:left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1"/>
          <w:sz w:val="22"/>
          <w:szCs w:val="22"/>
        </w:rPr>
        <w:t>十三、咨询电</w:t>
      </w:r>
      <w:r>
        <w:rPr>
          <w:rFonts w:ascii="宋体" w:hAnsi="宋体" w:eastAsia="宋体" w:cs="宋体"/>
          <w:color w:val="231F20"/>
          <w:spacing w:val="-1"/>
          <w:position w:val="11"/>
          <w:sz w:val="22"/>
          <w:szCs w:val="22"/>
        </w:rPr>
        <w:t>话</w:t>
      </w:r>
    </w:p>
    <w:p>
      <w:pPr>
        <w:spacing w:line="190" w:lineRule="auto"/>
        <w:ind w:left="43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0315-88201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11</w:t>
      </w:r>
    </w:p>
    <w:p>
      <w:pPr>
        <w:spacing w:before="72" w:line="392" w:lineRule="exact"/>
        <w:ind w:left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25"/>
          <w:position w:val="1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position w:val="11"/>
          <w:sz w:val="22"/>
          <w:szCs w:val="22"/>
        </w:rPr>
        <w:t>四、监督(投诉)电话</w:t>
      </w:r>
    </w:p>
    <w:p>
      <w:pPr>
        <w:spacing w:line="190" w:lineRule="auto"/>
        <w:ind w:left="43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0315-878706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8</w:t>
      </w:r>
    </w:p>
    <w:p>
      <w:pPr>
        <w:spacing w:before="72" w:line="290" w:lineRule="exact"/>
        <w:ind w:left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73" w:line="278" w:lineRule="auto"/>
        <w:ind w:firstLine="47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申请人如对行政许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可决定不服，可于收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到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决定书之日起六十日内向唐山市曹妃甸区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人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民政府申请复议，也可以于六个月内依法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向唐山市曹妃甸区人民法院提起行政诉讼。</w:t>
      </w:r>
    </w:p>
    <w:sectPr>
      <w:type w:val="continuous"/>
      <w:pgSz w:w="10772" w:h="11906"/>
      <w:pgMar w:top="400" w:right="566" w:bottom="0" w:left="568" w:header="0" w:footer="0" w:gutter="0"/>
      <w:cols w:equalWidth="0" w:num="2">
        <w:col w:w="5297" w:space="100"/>
        <w:col w:w="424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7804485-DFA5-415A-9A41-91B25A1F2A9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390235D"/>
    <w:rsid w:val="485F138F"/>
    <w:rsid w:val="5B6D53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9"/>
    <customShpInfo spid="_x0000_s1040"/>
    <customShpInfo spid="_x0000_s1038"/>
    <customShpInfo spid="_x0000_s1042"/>
    <customShpInfo spid="_x0000_s1043"/>
    <customShpInfo spid="_x0000_s1044"/>
    <customShpInfo spid="_x0000_s1041"/>
    <customShpInfo spid="_x0000_s1046"/>
    <customShpInfo spid="_x0000_s1047"/>
    <customShpInfo spid="_x0000_s1045"/>
    <customShpInfo spid="_x0000_s1048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644</Words>
  <Characters>804</Characters>
  <TotalTime>0</TotalTime>
  <ScaleCrop>false</ScaleCrop>
  <LinksUpToDate>false</LinksUpToDate>
  <CharactersWithSpaces>828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2022-10-21T10:43:00Z</dcterms:created>
  <dc:creator>HR</dc:creator>
  <cp:lastModifiedBy>寒夜霜风</cp:lastModifiedBy>
  <dcterms:modified xsi:type="dcterms:W3CDTF">2023-08-01T02:29:50Z</dcterms:modified>
  <dc:title>65.关闭、闲置、拆除城市环卫设施服务指南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2023-07-01T12:15:19Z</vt:filetime>
  </property>
  <property fmtid="{D5CDD505-2E9C-101B-9397-08002B2CF9AE}" pid="4" name="KSOProductBuildVer">
    <vt:lpwstr>2052-11.1.0.14309</vt:lpwstr>
  </property>
  <property fmtid="{D5CDD505-2E9C-101B-9397-08002B2CF9AE}" pid="5" name="ICV">
    <vt:lpwstr>BB8E279438804AEA859FC03F949F813F_12</vt:lpwstr>
  </property>
</Properties>
</file>