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91" w:lineRule="auto"/>
        <w:ind w:left="5988" w:right="1233" w:hanging="959"/>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z w:val="24"/>
          <w:szCs w:val="24"/>
        </w:rPr>
        <w:t>人力资源服务许可（设立）</w:t>
      </w:r>
      <w:r>
        <w:rPr>
          <w:rFonts w:ascii="微软雅黑" w:hAnsi="微软雅黑" w:eastAsia="微软雅黑" w:cs="微软雅黑"/>
          <w:color w:val="231F20"/>
          <w:spacing w:val="9"/>
          <w:sz w:val="24"/>
          <w:szCs w:val="24"/>
        </w:rPr>
        <w:t xml:space="preserve"> </w:t>
      </w:r>
      <w:r>
        <w:rPr>
          <w:rFonts w:ascii="微软雅黑" w:hAnsi="微软雅黑" w:eastAsia="微软雅黑" w:cs="微软雅黑"/>
          <w:color w:val="231F20"/>
          <w:spacing w:val="-2"/>
          <w:sz w:val="24"/>
          <w:szCs w:val="24"/>
        </w:rPr>
        <w:t>服务指南</w:t>
      </w:r>
    </w:p>
    <w:p>
      <w:pPr>
        <w:spacing w:before="24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31" w:line="232" w:lineRule="auto"/>
        <w:ind w:left="4787"/>
      </w:pPr>
      <w:r>
        <w:rPr>
          <w:color w:val="231F20"/>
          <w:spacing w:val="-1"/>
        </w:rPr>
        <w:t>人力资源服务许可（设立）</w:t>
      </w:r>
    </w:p>
    <w:p>
      <w:pPr>
        <w:spacing w:before="31"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27" w:line="244" w:lineRule="auto"/>
        <w:ind w:left="4352" w:right="634" w:firstLine="449"/>
        <w:rPr>
          <w:rFonts w:hint="eastAsia" w:ascii="宋体" w:hAnsi="宋体" w:eastAsia="宋体" w:cs="宋体"/>
        </w:rPr>
      </w:pPr>
      <w:r>
        <w:rPr>
          <w:rFonts w:hint="eastAsia" w:ascii="宋体" w:hAnsi="宋体" w:eastAsia="宋体" w:cs="宋体"/>
          <w:color w:val="231F20"/>
          <w:spacing w:val="-1"/>
        </w:rPr>
        <w:t>1.《中华人民共和国就业促进法》第四</w:t>
      </w:r>
      <w:r>
        <w:rPr>
          <w:rFonts w:hint="eastAsia" w:ascii="宋体" w:hAnsi="宋体" w:eastAsia="宋体" w:cs="宋体"/>
          <w:color w:val="231F20"/>
          <w:spacing w:val="6"/>
        </w:rPr>
        <w:t xml:space="preserve"> </w:t>
      </w:r>
      <w:r>
        <w:rPr>
          <w:rFonts w:hint="eastAsia" w:ascii="宋体" w:hAnsi="宋体" w:eastAsia="宋体" w:cs="宋体"/>
          <w:color w:val="231F20"/>
          <w:spacing w:val="-13"/>
        </w:rPr>
        <w:t>十条；</w:t>
      </w:r>
    </w:p>
    <w:p>
      <w:pPr>
        <w:pStyle w:val="2"/>
        <w:spacing w:before="37" w:line="244" w:lineRule="auto"/>
        <w:ind w:left="4343" w:right="627" w:firstLine="443"/>
        <w:rPr>
          <w:rFonts w:hint="eastAsia" w:ascii="宋体" w:hAnsi="宋体" w:eastAsia="宋体" w:cs="宋体"/>
        </w:rPr>
      </w:pPr>
      <w:r>
        <w:rPr>
          <w:rFonts w:hint="eastAsia" w:ascii="宋体" w:hAnsi="宋体" w:eastAsia="宋体" w:cs="宋体"/>
          <w:color w:val="231F20"/>
          <w:spacing w:val="2"/>
        </w:rPr>
        <w:t>2.《人力资源市场暂行条例》（国务院</w:t>
      </w:r>
      <w:r>
        <w:rPr>
          <w:rFonts w:hint="eastAsia" w:ascii="宋体" w:hAnsi="宋体" w:eastAsia="宋体" w:cs="宋体"/>
          <w:color w:val="231F20"/>
          <w:spacing w:val="8"/>
        </w:rPr>
        <w:t xml:space="preserve"> </w:t>
      </w:r>
      <w:r>
        <w:rPr>
          <w:rFonts w:hint="eastAsia" w:ascii="宋体" w:hAnsi="宋体" w:eastAsia="宋体" w:cs="宋体"/>
          <w:color w:val="231F20"/>
          <w:spacing w:val="-4"/>
        </w:rPr>
        <w:t>令第700号）第十八条；</w:t>
      </w:r>
    </w:p>
    <w:p>
      <w:pPr>
        <w:pStyle w:val="2"/>
        <w:spacing w:before="38" w:line="244" w:lineRule="auto"/>
        <w:ind w:left="4342" w:right="630" w:firstLine="441"/>
        <w:rPr>
          <w:rFonts w:hint="eastAsia" w:ascii="宋体" w:hAnsi="宋体" w:eastAsia="宋体" w:cs="宋体"/>
        </w:rPr>
      </w:pPr>
      <w:r>
        <w:rPr>
          <w:rFonts w:hint="eastAsia" w:ascii="宋体" w:hAnsi="宋体" w:eastAsia="宋体" w:cs="宋体"/>
          <w:color w:val="231F20"/>
          <w:spacing w:val="2"/>
        </w:rPr>
        <w:t>3.《就业服务与就业管理规定》（劳动</w:t>
      </w:r>
      <w:r>
        <w:rPr>
          <w:rFonts w:hint="eastAsia" w:ascii="宋体" w:hAnsi="宋体" w:eastAsia="宋体" w:cs="宋体"/>
          <w:color w:val="231F20"/>
          <w:spacing w:val="5"/>
        </w:rPr>
        <w:t xml:space="preserve"> </w:t>
      </w:r>
      <w:r>
        <w:rPr>
          <w:rFonts w:hint="eastAsia" w:ascii="宋体" w:hAnsi="宋体" w:eastAsia="宋体" w:cs="宋体"/>
          <w:color w:val="231F20"/>
          <w:spacing w:val="-3"/>
        </w:rPr>
        <w:t>保障部令第28号）第四十七条；</w:t>
      </w:r>
    </w:p>
    <w:p>
      <w:pPr>
        <w:pStyle w:val="2"/>
        <w:spacing w:before="38" w:line="256" w:lineRule="auto"/>
        <w:ind w:left="4323" w:right="599" w:firstLine="461"/>
        <w:rPr>
          <w:rFonts w:hint="eastAsia" w:ascii="宋体" w:hAnsi="宋体" w:eastAsia="宋体" w:cs="宋体"/>
        </w:rPr>
      </w:pPr>
      <w:r>
        <w:rPr>
          <w:rFonts w:hint="eastAsia" w:ascii="宋体" w:hAnsi="宋体" w:eastAsia="宋体" w:cs="宋体"/>
          <w:color w:val="231F20"/>
          <w:spacing w:val="3"/>
        </w:rPr>
        <w:t>4.《关于做好人力资源服务行政许可</w:t>
      </w:r>
      <w:bookmarkStart w:id="0" w:name="_GoBack"/>
      <w:bookmarkEnd w:id="0"/>
      <w:r>
        <w:rPr>
          <w:rFonts w:hint="eastAsia" w:ascii="宋体" w:hAnsi="宋体" w:eastAsia="宋体" w:cs="宋体"/>
          <w:color w:val="231F20"/>
          <w:spacing w:val="3"/>
        </w:rPr>
        <w:t>及</w:t>
      </w:r>
      <w:r>
        <w:rPr>
          <w:rFonts w:hint="eastAsia" w:ascii="宋体" w:hAnsi="宋体" w:eastAsia="宋体" w:cs="宋体"/>
          <w:color w:val="231F20"/>
          <w:spacing w:val="7"/>
        </w:rPr>
        <w:t xml:space="preserve"> </w:t>
      </w:r>
      <w:r>
        <w:rPr>
          <w:rFonts w:hint="eastAsia" w:ascii="宋体" w:hAnsi="宋体" w:eastAsia="宋体" w:cs="宋体"/>
          <w:color w:val="231F20"/>
          <w:spacing w:val="-13"/>
        </w:rPr>
        <w:t>备 案 有</w:t>
      </w:r>
      <w:r>
        <w:rPr>
          <w:rFonts w:hint="eastAsia" w:ascii="宋体" w:hAnsi="宋体" w:eastAsia="宋体" w:cs="宋体"/>
          <w:color w:val="231F20"/>
          <w:spacing w:val="-5"/>
        </w:rPr>
        <w:t xml:space="preserve"> </w:t>
      </w:r>
      <w:r>
        <w:rPr>
          <w:rFonts w:hint="eastAsia" w:ascii="宋体" w:hAnsi="宋体" w:eastAsia="宋体" w:cs="宋体"/>
          <w:color w:val="231F20"/>
          <w:spacing w:val="-13"/>
        </w:rPr>
        <w:t>关</w:t>
      </w:r>
      <w:r>
        <w:rPr>
          <w:rFonts w:hint="eastAsia" w:ascii="宋体" w:hAnsi="宋体" w:eastAsia="宋体" w:cs="宋体"/>
          <w:color w:val="231F20"/>
          <w:spacing w:val="-15"/>
        </w:rPr>
        <w:t xml:space="preserve"> </w:t>
      </w:r>
      <w:r>
        <w:rPr>
          <w:rFonts w:hint="eastAsia" w:ascii="宋体" w:hAnsi="宋体" w:eastAsia="宋体" w:cs="宋体"/>
          <w:color w:val="231F20"/>
          <w:spacing w:val="-13"/>
        </w:rPr>
        <w:t>工</w:t>
      </w:r>
      <w:r>
        <w:rPr>
          <w:rFonts w:hint="eastAsia" w:ascii="宋体" w:hAnsi="宋体" w:eastAsia="宋体" w:cs="宋体"/>
          <w:color w:val="231F20"/>
          <w:spacing w:val="-19"/>
        </w:rPr>
        <w:t xml:space="preserve"> </w:t>
      </w:r>
      <w:r>
        <w:rPr>
          <w:rFonts w:hint="eastAsia" w:ascii="宋体" w:hAnsi="宋体" w:eastAsia="宋体" w:cs="宋体"/>
          <w:color w:val="231F20"/>
          <w:spacing w:val="-13"/>
        </w:rPr>
        <w:t>作 的</w:t>
      </w:r>
      <w:r>
        <w:rPr>
          <w:rFonts w:hint="eastAsia" w:ascii="宋体" w:hAnsi="宋体" w:eastAsia="宋体" w:cs="宋体"/>
          <w:color w:val="231F20"/>
          <w:spacing w:val="-18"/>
        </w:rPr>
        <w:t xml:space="preserve"> </w:t>
      </w:r>
      <w:r>
        <w:rPr>
          <w:rFonts w:hint="eastAsia" w:ascii="宋体" w:hAnsi="宋体" w:eastAsia="宋体" w:cs="宋体"/>
          <w:color w:val="231F20"/>
          <w:spacing w:val="-13"/>
        </w:rPr>
        <w:t>通 知</w:t>
      </w:r>
      <w:r>
        <w:rPr>
          <w:rFonts w:hint="eastAsia" w:ascii="宋体" w:hAnsi="宋体" w:eastAsia="宋体" w:cs="宋体"/>
          <w:color w:val="231F20"/>
          <w:spacing w:val="-32"/>
        </w:rPr>
        <w:t xml:space="preserve"> </w:t>
      </w:r>
      <w:r>
        <w:rPr>
          <w:rFonts w:hint="eastAsia" w:ascii="宋体" w:hAnsi="宋体" w:eastAsia="宋体" w:cs="宋体"/>
          <w:color w:val="231F20"/>
          <w:spacing w:val="-13"/>
        </w:rPr>
        <w:t>》</w:t>
      </w:r>
      <w:r>
        <w:rPr>
          <w:rFonts w:hint="eastAsia" w:ascii="宋体" w:hAnsi="宋体" w:eastAsia="宋体" w:cs="宋体"/>
          <w:color w:val="231F20"/>
          <w:spacing w:val="-32"/>
        </w:rPr>
        <w:t xml:space="preserve"> </w:t>
      </w:r>
      <w:r>
        <w:rPr>
          <w:rFonts w:hint="eastAsia" w:ascii="宋体" w:hAnsi="宋体" w:eastAsia="宋体" w:cs="宋体"/>
          <w:color w:val="231F20"/>
          <w:spacing w:val="-13"/>
        </w:rPr>
        <w:t>（</w:t>
      </w:r>
      <w:r>
        <w:rPr>
          <w:rFonts w:hint="eastAsia" w:ascii="宋体" w:hAnsi="宋体" w:eastAsia="宋体" w:cs="宋体"/>
          <w:color w:val="231F20"/>
          <w:spacing w:val="-18"/>
        </w:rPr>
        <w:t xml:space="preserve"> </w:t>
      </w:r>
      <w:r>
        <w:rPr>
          <w:rFonts w:hint="eastAsia" w:ascii="宋体" w:hAnsi="宋体" w:eastAsia="宋体" w:cs="宋体"/>
          <w:color w:val="231F20"/>
          <w:spacing w:val="-13"/>
        </w:rPr>
        <w:t>人</w:t>
      </w:r>
      <w:r>
        <w:rPr>
          <w:rFonts w:hint="eastAsia" w:ascii="宋体" w:hAnsi="宋体" w:eastAsia="宋体" w:cs="宋体"/>
          <w:color w:val="231F20"/>
          <w:spacing w:val="-17"/>
        </w:rPr>
        <w:t xml:space="preserve"> </w:t>
      </w:r>
      <w:r>
        <w:rPr>
          <w:rFonts w:hint="eastAsia" w:ascii="宋体" w:hAnsi="宋体" w:eastAsia="宋体" w:cs="宋体"/>
          <w:color w:val="231F20"/>
          <w:spacing w:val="-13"/>
        </w:rPr>
        <w:t>社</w:t>
      </w:r>
      <w:r>
        <w:rPr>
          <w:rFonts w:hint="eastAsia" w:ascii="宋体" w:hAnsi="宋体" w:eastAsia="宋体" w:cs="宋体"/>
          <w:color w:val="231F20"/>
          <w:spacing w:val="-22"/>
        </w:rPr>
        <w:t xml:space="preserve"> </w:t>
      </w:r>
      <w:r>
        <w:rPr>
          <w:rFonts w:hint="eastAsia" w:ascii="宋体" w:hAnsi="宋体" w:eastAsia="宋体" w:cs="宋体"/>
          <w:color w:val="231F20"/>
          <w:spacing w:val="-13"/>
        </w:rPr>
        <w:t>部</w:t>
      </w:r>
      <w:r>
        <w:rPr>
          <w:rFonts w:hint="eastAsia" w:ascii="宋体" w:hAnsi="宋体" w:eastAsia="宋体" w:cs="宋体"/>
          <w:color w:val="231F20"/>
          <w:spacing w:val="-18"/>
        </w:rPr>
        <w:t xml:space="preserve"> </w:t>
      </w:r>
      <w:r>
        <w:rPr>
          <w:rFonts w:hint="eastAsia" w:ascii="宋体" w:hAnsi="宋体" w:eastAsia="宋体" w:cs="宋体"/>
          <w:color w:val="231F20"/>
          <w:spacing w:val="-13"/>
        </w:rPr>
        <w:t>发</w:t>
      </w:r>
      <w:r>
        <w:rPr>
          <w:rFonts w:hint="eastAsia" w:ascii="宋体" w:hAnsi="宋体" w:eastAsia="宋体" w:cs="宋体"/>
          <w:color w:val="231F20"/>
        </w:rPr>
        <w:t xml:space="preserve"> </w:t>
      </w:r>
      <w:r>
        <w:rPr>
          <w:rFonts w:hint="eastAsia" w:ascii="宋体" w:hAnsi="宋体" w:eastAsia="宋体" w:cs="宋体"/>
          <w:color w:val="231F20"/>
          <w:spacing w:val="8"/>
        </w:rPr>
        <w:t>（2018)60号）规定：“职业中介活动是指</w:t>
      </w:r>
      <w:r>
        <w:rPr>
          <w:rFonts w:hint="eastAsia" w:ascii="宋体" w:hAnsi="宋体" w:eastAsia="宋体" w:cs="宋体"/>
          <w:color w:val="231F20"/>
          <w:spacing w:val="2"/>
        </w:rPr>
        <w:t xml:space="preserve"> 为用人单位招用人员和劳动者求职提供中介</w:t>
      </w:r>
      <w:r>
        <w:rPr>
          <w:rFonts w:hint="eastAsia" w:ascii="宋体" w:hAnsi="宋体" w:eastAsia="宋体" w:cs="宋体"/>
          <w:color w:val="231F20"/>
          <w:spacing w:val="10"/>
        </w:rPr>
        <w:t xml:space="preserve"> </w:t>
      </w:r>
      <w:r>
        <w:rPr>
          <w:rFonts w:hint="eastAsia" w:ascii="宋体" w:hAnsi="宋体" w:eastAsia="宋体" w:cs="宋体"/>
          <w:color w:val="231F20"/>
          <w:spacing w:val="-3"/>
        </w:rPr>
        <w:t>服务以及其他相关服务的活动， 包括为劳动</w:t>
      </w:r>
      <w:r>
        <w:rPr>
          <w:rFonts w:hint="eastAsia" w:ascii="宋体" w:hAnsi="宋体" w:eastAsia="宋体" w:cs="宋体"/>
          <w:color w:val="231F20"/>
          <w:spacing w:val="10"/>
        </w:rPr>
        <w:t xml:space="preserve"> </w:t>
      </w:r>
      <w:r>
        <w:rPr>
          <w:rFonts w:hint="eastAsia" w:ascii="宋体" w:hAnsi="宋体" w:eastAsia="宋体" w:cs="宋体"/>
          <w:color w:val="231F20"/>
          <w:spacing w:val="1"/>
        </w:rPr>
        <w:t>者介绍用人单位、为用人单位推荐劳动者、</w:t>
      </w:r>
      <w:r>
        <w:rPr>
          <w:rFonts w:hint="eastAsia" w:ascii="宋体" w:hAnsi="宋体" w:eastAsia="宋体" w:cs="宋体"/>
          <w:color w:val="231F20"/>
          <w:spacing w:val="8"/>
        </w:rPr>
        <w:t xml:space="preserve"> </w:t>
      </w:r>
      <w:r>
        <w:rPr>
          <w:rFonts w:hint="eastAsia" w:ascii="宋体" w:hAnsi="宋体" w:eastAsia="宋体" w:cs="宋体"/>
          <w:color w:val="231F20"/>
          <w:spacing w:val="1"/>
        </w:rPr>
        <w:t>为用人单位和个人提供职业介绍信息服务、</w:t>
      </w:r>
      <w:r>
        <w:rPr>
          <w:rFonts w:hint="eastAsia" w:ascii="宋体" w:hAnsi="宋体" w:eastAsia="宋体" w:cs="宋体"/>
          <w:color w:val="231F20"/>
          <w:spacing w:val="8"/>
        </w:rPr>
        <w:t xml:space="preserve"> </w:t>
      </w:r>
      <w:r>
        <w:rPr>
          <w:rFonts w:hint="eastAsia" w:ascii="宋体" w:hAnsi="宋体" w:eastAsia="宋体" w:cs="宋体"/>
          <w:color w:val="231F20"/>
          <w:spacing w:val="2"/>
        </w:rPr>
        <w:t>根据国家有关规定从事互联网人力资源信息</w:t>
      </w:r>
      <w:r>
        <w:rPr>
          <w:rFonts w:hint="eastAsia" w:ascii="宋体" w:hAnsi="宋体" w:eastAsia="宋体" w:cs="宋体"/>
          <w:color w:val="231F20"/>
          <w:spacing w:val="10"/>
        </w:rPr>
        <w:t xml:space="preserve"> </w:t>
      </w:r>
      <w:r>
        <w:rPr>
          <w:rFonts w:hint="eastAsia" w:ascii="宋体" w:hAnsi="宋体" w:eastAsia="宋体" w:cs="宋体"/>
          <w:color w:val="231F20"/>
          <w:spacing w:val="14"/>
        </w:rPr>
        <w:t>服务、组织开展现场招聘会、开展网络招</w:t>
      </w:r>
      <w:r>
        <w:rPr>
          <w:rFonts w:hint="eastAsia" w:ascii="宋体" w:hAnsi="宋体" w:eastAsia="宋体" w:cs="宋体"/>
          <w:color w:val="231F20"/>
          <w:spacing w:val="16"/>
        </w:rPr>
        <w:t xml:space="preserve"> </w:t>
      </w:r>
      <w:r>
        <w:rPr>
          <w:rFonts w:hint="eastAsia" w:ascii="宋体" w:hAnsi="宋体" w:eastAsia="宋体" w:cs="宋体"/>
          <w:color w:val="231F20"/>
          <w:spacing w:val="2"/>
        </w:rPr>
        <w:t>聘、开展高级人オ寻访服务等人力资源服务</w:t>
      </w:r>
      <w:r>
        <w:rPr>
          <w:rFonts w:hint="eastAsia" w:ascii="宋体" w:hAnsi="宋体" w:eastAsia="宋体" w:cs="宋体"/>
          <w:color w:val="231F20"/>
          <w:spacing w:val="10"/>
        </w:rPr>
        <w:t xml:space="preserve"> </w:t>
      </w:r>
      <w:r>
        <w:rPr>
          <w:rFonts w:hint="eastAsia" w:ascii="宋体" w:hAnsi="宋体" w:eastAsia="宋体" w:cs="宋体"/>
          <w:color w:val="231F20"/>
          <w:spacing w:val="-3"/>
        </w:rPr>
        <w:t>业务”。</w:t>
      </w:r>
    </w:p>
    <w:p>
      <w:pPr>
        <w:spacing w:before="30"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30" w:line="228" w:lineRule="auto"/>
        <w:ind w:left="4833"/>
      </w:pPr>
      <w:r>
        <w:rPr>
          <w:color w:val="231F20"/>
          <w:spacing w:val="-4"/>
        </w:rPr>
        <w:t>自然人、企业法人、社会组织法人</w:t>
      </w:r>
    </w:p>
    <w:p>
      <w:pPr>
        <w:spacing w:before="37"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30" w:line="246" w:lineRule="auto"/>
        <w:ind w:left="4356" w:right="601" w:firstLine="428"/>
      </w:pPr>
      <w:r>
        <w:rPr>
          <w:color w:val="231F20"/>
          <w:spacing w:val="-6"/>
        </w:rPr>
        <w:t>提交材料齐全，符合法定程序，</w:t>
      </w:r>
      <w:r>
        <w:rPr>
          <w:color w:val="231F20"/>
          <w:spacing w:val="30"/>
        </w:rPr>
        <w:t xml:space="preserve"> </w:t>
      </w:r>
      <w:r>
        <w:rPr>
          <w:color w:val="231F20"/>
          <w:spacing w:val="-6"/>
        </w:rPr>
        <w:t>内容真</w:t>
      </w:r>
      <w:r>
        <w:rPr>
          <w:color w:val="231F20"/>
        </w:rPr>
        <w:t xml:space="preserve"> </w:t>
      </w:r>
      <w:r>
        <w:rPr>
          <w:color w:val="231F20"/>
          <w:spacing w:val="-6"/>
        </w:rPr>
        <w:t>实有效</w:t>
      </w:r>
    </w:p>
    <w:p>
      <w:pPr>
        <w:spacing w:line="246" w:lineRule="auto"/>
        <w:sectPr>
          <w:headerReference r:id="rId5" w:type="default"/>
          <w:pgSz w:w="10772" w:h="11906"/>
          <w:pgMar w:top="400" w:right="2" w:bottom="0" w:left="1615" w:header="0" w:footer="0" w:gutter="0"/>
          <w:cols w:space="720" w:num="1"/>
        </w:sectPr>
      </w:pPr>
    </w:p>
    <w:p>
      <w:pPr>
        <w:spacing w:before="35"/>
      </w:pPr>
      <w:r>
        <w:pict>
          <v:rect id="_x0000_s1026" o:spid="_x0000_s1026" o:spt="1" style="position:absolute;left:0pt;margin-left:200.85pt;margin-top:369.65pt;height:0.65pt;width:8.4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208.5pt;margin-top:367.45pt;height:5.05pt;width:4.4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shape id="_x0000_s1028" o:spid="_x0000_s1028" style="position:absolute;left:0pt;margin-left:77.35pt;margin-top:314.5pt;height:0.6pt;width:5.35pt;mso-position-horizontal-relative:page;mso-position-vertical-relative:page;z-index:251674624;mso-width-relative:page;mso-height-relative:page;" filled="f" stroked="t" coordsize="106,12" o:allowincell="f" path="m0,5l106,5e">
            <v:fill on="f" focussize="0,0"/>
            <v:stroke weight="0.6pt" color="#231F20" miterlimit="10" joinstyle="miter"/>
            <v:imagedata o:title=""/>
            <o:lock v:ext="edit"/>
          </v:shape>
        </w:pict>
      </w:r>
      <w:r>
        <w:pict>
          <v:shape id="_x0000_s1029" o:spid="_x0000_s1029" style="position:absolute;left:0pt;margin-left:126.9pt;margin-top:314.8pt;height:35.45pt;width:0.65pt;mso-position-horizontal-relative:page;mso-position-vertical-relative:page;z-index:251673600;mso-width-relative:page;mso-height-relative:page;" filled="f" stroked="t" coordsize="12,709" o:allowincell="f" path="m6,708l6,0e">
            <v:fill on="f" focussize="0,0"/>
            <v:stroke weight="0.6pt" color="#231F20" miterlimit="10" joinstyle="miter"/>
            <v:imagedata o:title=""/>
            <o:lock v:ext="edit"/>
          </v:shape>
        </w:pict>
      </w:r>
      <w:r>
        <w:pict>
          <v:shape id="_x0000_s1030" o:spid="_x0000_s1030" o:spt="202" type="#_x0000_t202" style="position:absolute;left:0pt;margin-left:163pt;margin-top:301.4pt;height:24.65pt;width:38.1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1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1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32" w:hRule="atLeast"/>
                    </w:trPr>
                    <w:tc>
                      <w:tcPr>
                        <w:tcW w:w="711" w:type="dxa"/>
                        <w:vAlign w:val="top"/>
                      </w:tcPr>
                      <w:p>
                        <w:pPr>
                          <w:pStyle w:val="6"/>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954405</wp:posOffset>
            </wp:positionH>
            <wp:positionV relativeFrom="page">
              <wp:posOffset>3997960</wp:posOffset>
            </wp:positionV>
            <wp:extent cx="64135" cy="5048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7"/>
                    </a:xfrm>
                    <a:prstGeom prst="rect">
                      <a:avLst/>
                    </a:prstGeom>
                  </pic:spPr>
                </pic:pic>
              </a:graphicData>
            </a:graphic>
          </wp:anchor>
        </w:drawing>
      </w:r>
      <w:r>
        <w:drawing>
          <wp:anchor distT="0" distB="0" distL="0" distR="0" simplePos="0" relativeHeight="251672576" behindDoc="0" locked="0" layoutInCell="0" allowOverlap="1">
            <wp:simplePos x="0" y="0"/>
            <wp:positionH relativeFrom="page">
              <wp:posOffset>1499870</wp:posOffset>
            </wp:positionH>
            <wp:positionV relativeFrom="page">
              <wp:posOffset>3966210</wp:posOffset>
            </wp:positionV>
            <wp:extent cx="118745" cy="6413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6" cy="63843"/>
                    </a:xfrm>
                    <a:prstGeom prst="rect">
                      <a:avLst/>
                    </a:prstGeom>
                  </pic:spPr>
                </pic:pic>
              </a:graphicData>
            </a:graphic>
          </wp:anchor>
        </w:drawing>
      </w:r>
      <w:r>
        <w:pict>
          <v:shape id="_x0000_s1031" o:spid="_x0000_s1031" o:spt="202" type="#_x0000_t202" style="position:absolute;left:0pt;margin-left:61.9pt;margin-top:353.15pt;height:33.65pt;width:30.7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63"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63"/>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2" w:hRule="atLeast"/>
                    </w:trPr>
                    <w:tc>
                      <w:tcPr>
                        <w:tcW w:w="563" w:type="dxa"/>
                        <w:vAlign w:val="top"/>
                      </w:tcPr>
                      <w:p>
                        <w:pPr>
                          <w:pStyle w:val="6"/>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2" o:spid="_x0000_s1032" o:spt="202" type="#_x0000_t202" style="position:absolute;left:0pt;margin-left:37.35pt;margin-top:353.15pt;height:33.65pt;width:14.3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3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3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2" w:hRule="atLeast"/>
                    </w:trPr>
                    <w:tc>
                      <w:tcPr>
                        <w:tcW w:w="235" w:type="dxa"/>
                        <w:textDirection w:val="tbRlV"/>
                        <w:vAlign w:val="top"/>
                      </w:tcPr>
                      <w:p>
                        <w:pPr>
                          <w:pStyle w:val="6"/>
                          <w:spacing w:before="27" w:line="208" w:lineRule="auto"/>
                          <w:ind w:left="87"/>
                        </w:pPr>
                        <w:r>
                          <w:rPr>
                            <w:color w:val="231F20"/>
                            <w:spacing w:val="-1"/>
                          </w:rPr>
                          <w:t>开</w:t>
                        </w:r>
                        <w:r>
                          <w:rPr>
                            <w:color w:val="231F20"/>
                            <w:spacing w:val="21"/>
                          </w:rPr>
                          <w:t xml:space="preserve"> </w:t>
                        </w:r>
                        <w:r>
                          <w:rPr>
                            <w:color w:val="231F20"/>
                            <w:spacing w:val="-1"/>
                          </w:rPr>
                          <w:t>始</w:t>
                        </w:r>
                      </w:p>
                    </w:tc>
                  </w:tr>
                </w:tbl>
                <w:p>
                  <w:pPr>
                    <w:rPr>
                      <w:rFonts w:ascii="Arial"/>
                      <w:sz w:val="21"/>
                    </w:rPr>
                  </w:pPr>
                </w:p>
              </w:txbxContent>
            </v:textbox>
          </v:shape>
        </w:pict>
      </w:r>
      <w:r>
        <w:pict>
          <v:shape id="_x0000_s1033" o:spid="_x0000_s1033" o:spt="202" type="#_x0000_t202" style="position:absolute;left:0pt;margin-left:211.55pt;margin-top:353.4pt;height:33pt;width:15.5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60"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6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60" w:type="dxa"/>
                        <w:textDirection w:val="tbRlV"/>
                        <w:vAlign w:val="top"/>
                      </w:tcPr>
                      <w:p>
                        <w:pPr>
                          <w:pStyle w:val="6"/>
                          <w:spacing w:before="38" w:line="204" w:lineRule="auto"/>
                          <w:ind w:left="82"/>
                        </w:pPr>
                        <w:r>
                          <w:rPr>
                            <w:color w:val="231F20"/>
                            <w:spacing w:val="-1"/>
                          </w:rPr>
                          <w:t>办</w:t>
                        </w:r>
                        <w:r>
                          <w:rPr>
                            <w:color w:val="231F20"/>
                            <w:spacing w:val="21"/>
                          </w:rPr>
                          <w:t xml:space="preserve"> </w:t>
                        </w:r>
                        <w:r>
                          <w:rPr>
                            <w:color w:val="231F20"/>
                            <w:spacing w:val="-1"/>
                          </w:rPr>
                          <w:t>结</w:t>
                        </w:r>
                      </w:p>
                    </w:tc>
                  </w:tr>
                </w:tbl>
                <w:p>
                  <w:pPr>
                    <w:rPr>
                      <w:rFonts w:ascii="Arial"/>
                      <w:sz w:val="21"/>
                    </w:rPr>
                  </w:pPr>
                </w:p>
              </w:txbxContent>
            </v:textbox>
          </v:shape>
        </w:pict>
      </w:r>
      <w:r>
        <w:pict>
          <v:shape id="_x0000_s1034" o:spid="_x0000_s1034" o:spt="202" type="#_x0000_t202" style="position:absolute;left:0pt;margin-left:236.8pt;margin-top:353.4pt;height:33pt;width:15.2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54"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54"/>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54" w:type="dxa"/>
                        <w:textDirection w:val="tbRlV"/>
                        <w:vAlign w:val="top"/>
                      </w:tcPr>
                      <w:p>
                        <w:pPr>
                          <w:pStyle w:val="6"/>
                          <w:spacing w:before="44" w:line="207" w:lineRule="auto"/>
                          <w:ind w:left="82"/>
                        </w:pPr>
                        <w:r>
                          <w:rPr>
                            <w:color w:val="231F20"/>
                            <w:spacing w:val="-1"/>
                          </w:rPr>
                          <w:t>结</w:t>
                        </w:r>
                        <w:r>
                          <w:rPr>
                            <w:color w:val="231F20"/>
                            <w:spacing w:val="21"/>
                          </w:rPr>
                          <w:t xml:space="preserve"> </w:t>
                        </w:r>
                        <w:r>
                          <w:rPr>
                            <w:color w:val="231F20"/>
                            <w:spacing w:val="-1"/>
                          </w:rPr>
                          <w:t>束</w:t>
                        </w:r>
                      </w:p>
                    </w:tc>
                  </w:tr>
                </w:tbl>
                <w:p>
                  <w:pPr>
                    <w:rPr>
                      <w:rFonts w:ascii="Arial"/>
                      <w:sz w:val="21"/>
                    </w:rPr>
                  </w:pPr>
                </w:p>
              </w:txbxContent>
            </v:textbox>
          </v:shape>
        </w:pict>
      </w:r>
      <w:r>
        <w:pict>
          <v:shape id="_x0000_s1035" o:spid="_x0000_s1035" o:spt="202" type="#_x0000_t202" style="position:absolute;left:0pt;margin-left:117.75pt;margin-top:360.7pt;height:20.55pt;width:17.6pt;mso-position-horizontal-relative:page;mso-position-vertical-relative:page;z-index:-251655168;mso-width-relative:page;mso-height-relative:page;" filled="f" stroked="f" coordsize="21600,21600" o:allowincell="f">
            <v:path/>
            <v:fill on="f" focussize="0,0"/>
            <v:stroke on="f"/>
            <v:imagedata o:title=""/>
            <o:lock v:ext="edit" aspectratio="f"/>
            <v:textbox inset="0mm,0mm,0mm,0mm">
              <w:txbxContent>
                <w:p>
                  <w:pPr>
                    <w:spacing w:before="19" w:line="214" w:lineRule="auto"/>
                    <w:ind w:left="20" w:right="20" w:hanging="1"/>
                    <w:rPr>
                      <w:rFonts w:ascii="宋体" w:hAnsi="宋体" w:eastAsia="宋体" w:cs="宋体"/>
                      <w:sz w:val="16"/>
                      <w:szCs w:val="16"/>
                    </w:rPr>
                  </w:pPr>
                  <w:r>
                    <w:rPr>
                      <w:rFonts w:ascii="宋体" w:hAnsi="宋体" w:eastAsia="宋体" w:cs="宋体"/>
                      <w:color w:val="231F20"/>
                      <w:spacing w:val="-5"/>
                      <w:sz w:val="16"/>
                      <w:szCs w:val="16"/>
                    </w:rPr>
                    <w:t>受理</w:t>
                  </w:r>
                  <w:r>
                    <w:rPr>
                      <w:rFonts w:ascii="宋体" w:hAnsi="宋体" w:eastAsia="宋体" w:cs="宋体"/>
                      <w:color w:val="231F20"/>
                      <w:sz w:val="16"/>
                      <w:szCs w:val="16"/>
                    </w:rPr>
                    <w:t xml:space="preserve"> </w:t>
                  </w:r>
                  <w:r>
                    <w:rPr>
                      <w:rFonts w:ascii="宋体" w:hAnsi="宋体" w:eastAsia="宋体" w:cs="宋体"/>
                      <w:color w:val="231F20"/>
                      <w:spacing w:val="-6"/>
                      <w:sz w:val="16"/>
                      <w:szCs w:val="16"/>
                    </w:rPr>
                    <w:t>审核</w:t>
                  </w:r>
                </w:p>
              </w:txbxContent>
            </v:textbox>
          </v:shape>
        </w:pict>
      </w:r>
      <w:r>
        <w:drawing>
          <wp:anchor distT="0" distB="0" distL="0" distR="0" simplePos="0" relativeHeight="251667456" behindDoc="0" locked="0" layoutInCell="0" allowOverlap="1">
            <wp:simplePos x="0" y="0"/>
            <wp:positionH relativeFrom="page">
              <wp:posOffset>636905</wp:posOffset>
            </wp:positionH>
            <wp:positionV relativeFrom="page">
              <wp:posOffset>4658360</wp:posOffset>
            </wp:positionV>
            <wp:extent cx="165735" cy="635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8" cy="63817"/>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1158875</wp:posOffset>
            </wp:positionH>
            <wp:positionV relativeFrom="page">
              <wp:posOffset>4666615</wp:posOffset>
            </wp:positionV>
            <wp:extent cx="153670" cy="6413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2"/>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2867025</wp:posOffset>
            </wp:positionH>
            <wp:positionV relativeFrom="page">
              <wp:posOffset>4666615</wp:posOffset>
            </wp:positionV>
            <wp:extent cx="154305" cy="6413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59" cy="63842"/>
                    </a:xfrm>
                    <a:prstGeom prst="rect">
                      <a:avLst/>
                    </a:prstGeom>
                  </pic:spPr>
                </pic:pic>
              </a:graphicData>
            </a:graphic>
          </wp:anchor>
        </w:drawing>
      </w:r>
    </w:p>
    <w:p>
      <w:pPr>
        <w:sectPr>
          <w:headerReference r:id="rId6" w:type="default"/>
          <w:pgSz w:w="10772" w:h="11906"/>
          <w:pgMar w:top="400" w:right="578" w:bottom="0" w:left="589" w:header="0" w:footer="0" w:gutter="0"/>
          <w:cols w:equalWidth="0" w:num="1">
            <w:col w:w="9604"/>
          </w:cols>
        </w:sectPr>
      </w:pPr>
    </w:p>
    <w:p>
      <w:pPr>
        <w:spacing w:before="49" w:line="204" w:lineRule="auto"/>
        <w:ind w:left="43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28" w:line="346" w:lineRule="exact"/>
        <w:ind w:left="455"/>
        <w:rPr>
          <w:rFonts w:hint="eastAsia" w:ascii="宋体" w:hAnsi="宋体" w:eastAsia="宋体" w:cs="宋体"/>
        </w:rPr>
      </w:pPr>
      <w:r>
        <w:rPr>
          <w:rFonts w:hint="eastAsia" w:ascii="宋体" w:hAnsi="宋体" w:eastAsia="宋体" w:cs="宋体"/>
          <w:color w:val="231F20"/>
          <w:spacing w:val="1"/>
          <w:position w:val="8"/>
        </w:rPr>
        <w:t>1.营业执照经营范围中有职业中介活动</w:t>
      </w:r>
    </w:p>
    <w:p>
      <w:pPr>
        <w:pStyle w:val="2"/>
        <w:spacing w:before="1" w:line="228" w:lineRule="auto"/>
        <w:rPr>
          <w:rFonts w:hint="eastAsia" w:ascii="宋体" w:hAnsi="宋体" w:eastAsia="宋体" w:cs="宋体"/>
        </w:rPr>
      </w:pPr>
      <w:r>
        <w:rPr>
          <w:rFonts w:hint="eastAsia" w:ascii="宋体" w:hAnsi="宋体" w:eastAsia="宋体" w:cs="宋体"/>
          <w:color w:val="231F20"/>
          <w:spacing w:val="-12"/>
        </w:rPr>
        <w:t>项目；</w:t>
      </w:r>
    </w:p>
    <w:p>
      <w:pPr>
        <w:pStyle w:val="2"/>
        <w:spacing w:before="39" w:line="229" w:lineRule="auto"/>
        <w:ind w:left="440"/>
        <w:rPr>
          <w:rFonts w:hint="eastAsia" w:ascii="宋体" w:hAnsi="宋体" w:eastAsia="宋体" w:cs="宋体"/>
        </w:rPr>
      </w:pPr>
      <w:r>
        <w:rPr>
          <w:rFonts w:hint="eastAsia" w:ascii="宋体" w:hAnsi="宋体" w:eastAsia="宋体" w:cs="宋体"/>
          <w:color w:val="231F20"/>
          <w:spacing w:val="-3"/>
        </w:rPr>
        <w:t>2.有明确的机构章程和管理制度；</w:t>
      </w:r>
    </w:p>
    <w:p>
      <w:pPr>
        <w:pStyle w:val="2"/>
        <w:spacing w:before="39" w:line="346" w:lineRule="exact"/>
        <w:ind w:left="437"/>
        <w:rPr>
          <w:rFonts w:hint="eastAsia" w:ascii="宋体" w:hAnsi="宋体" w:eastAsia="宋体" w:cs="宋体"/>
        </w:rPr>
      </w:pPr>
      <w:r>
        <w:rPr>
          <w:rFonts w:hint="eastAsia" w:ascii="宋体" w:hAnsi="宋体" w:eastAsia="宋体" w:cs="宋体"/>
          <w:color w:val="231F20"/>
          <w:spacing w:val="3"/>
          <w:position w:val="8"/>
        </w:rPr>
        <w:t>3.有开展业务必备的固定场所、办公设</w:t>
      </w:r>
    </w:p>
    <w:p>
      <w:pPr>
        <w:pStyle w:val="2"/>
        <w:spacing w:before="1" w:line="228" w:lineRule="auto"/>
        <w:ind w:left="2"/>
        <w:rPr>
          <w:rFonts w:hint="eastAsia" w:ascii="宋体" w:hAnsi="宋体" w:eastAsia="宋体" w:cs="宋体"/>
        </w:rPr>
      </w:pPr>
      <w:r>
        <w:rPr>
          <w:rFonts w:hint="eastAsia" w:ascii="宋体" w:hAnsi="宋体" w:eastAsia="宋体" w:cs="宋体"/>
          <w:color w:val="231F20"/>
          <w:spacing w:val="-9"/>
        </w:rPr>
        <w:t>施和资金；</w:t>
      </w:r>
    </w:p>
    <w:p>
      <w:pPr>
        <w:pStyle w:val="2"/>
        <w:spacing w:before="39" w:line="346" w:lineRule="exact"/>
        <w:ind w:left="438"/>
      </w:pPr>
      <w:r>
        <w:rPr>
          <w:rFonts w:hint="eastAsia" w:ascii="宋体" w:hAnsi="宋体" w:eastAsia="宋体" w:cs="宋体"/>
          <w:color w:val="231F20"/>
          <w:spacing w:val="3"/>
          <w:position w:val="8"/>
        </w:rPr>
        <w:t>4.</w:t>
      </w:r>
      <w:r>
        <w:rPr>
          <w:color w:val="231F20"/>
          <w:spacing w:val="3"/>
          <w:position w:val="8"/>
        </w:rPr>
        <w:t>有一定数量具备相应职业资格的专职</w:t>
      </w:r>
    </w:p>
    <w:p>
      <w:pPr>
        <w:pStyle w:val="2"/>
        <w:spacing w:before="1" w:line="231" w:lineRule="auto"/>
        <w:ind w:left="4"/>
      </w:pPr>
      <w:r>
        <w:rPr>
          <w:color w:val="231F20"/>
          <w:spacing w:val="1"/>
        </w:rPr>
        <w:t>工作人员（一般具备相应职业资格、参加了</w:t>
      </w:r>
    </w:p>
    <w:p>
      <w:pPr>
        <w:pStyle w:val="2"/>
        <w:spacing w:before="35" w:line="232" w:lineRule="auto"/>
      </w:pPr>
      <w:r>
        <w:rPr>
          <w:color w:val="231F20"/>
          <w:spacing w:val="13"/>
        </w:rPr>
        <w:t>人力资源市场主管部门组织的从业人员培</w:t>
      </w:r>
    </w:p>
    <w:p>
      <w:pPr>
        <w:pStyle w:val="2"/>
        <w:spacing w:before="36" w:line="232" w:lineRule="auto"/>
        <w:ind w:left="2"/>
      </w:pPr>
      <w:r>
        <w:rPr>
          <w:color w:val="231F20"/>
          <w:spacing w:val="1"/>
        </w:rPr>
        <w:t>训、具备人力资源等相关专业知识、具有人</w:t>
      </w:r>
    </w:p>
    <w:p>
      <w:pPr>
        <w:pStyle w:val="2"/>
        <w:spacing w:before="35" w:line="230" w:lineRule="auto"/>
        <w:ind w:left="4"/>
      </w:pPr>
      <w:r>
        <w:rPr>
          <w:color w:val="231F20"/>
          <w:spacing w:val="1"/>
        </w:rPr>
        <w:t>力资源管理等相关工作经历等情况，皆视同</w:t>
      </w:r>
    </w:p>
    <w:p>
      <w:pPr>
        <w:pStyle w:val="2"/>
        <w:spacing w:before="37" w:line="233" w:lineRule="auto"/>
        <w:ind w:left="5"/>
      </w:pPr>
      <w:r>
        <w:rPr>
          <w:color w:val="231F20"/>
          <w:spacing w:val="-5"/>
        </w:rPr>
        <w:t>为满足该条件）。</w:t>
      </w:r>
    </w:p>
    <w:p>
      <w:pPr>
        <w:spacing w:before="32" w:line="203" w:lineRule="auto"/>
        <w:ind w:left="43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29" w:line="231" w:lineRule="auto"/>
        <w:ind w:left="437"/>
      </w:pPr>
      <w:r>
        <w:rPr>
          <w:color w:val="231F20"/>
          <w:spacing w:val="-1"/>
        </w:rPr>
        <w:t>唐山市曹妃甸区行政审批局</w:t>
      </w:r>
    </w:p>
    <w:p>
      <w:pPr>
        <w:spacing w:before="34" w:line="202" w:lineRule="auto"/>
        <w:ind w:left="43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58" w:lineRule="exact"/>
      </w:pPr>
    </w:p>
    <w:tbl>
      <w:tblPr>
        <w:tblStyle w:val="5"/>
        <w:tblW w:w="706" w:type="dxa"/>
        <w:tblInd w:w="1067"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06"/>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29" w:hRule="atLeast"/>
        </w:trPr>
        <w:tc>
          <w:tcPr>
            <w:tcW w:w="706" w:type="dxa"/>
            <w:vAlign w:val="top"/>
          </w:tcPr>
          <w:p>
            <w:pPr>
              <w:pStyle w:val="6"/>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pPr>
        <w:spacing w:line="500" w:lineRule="exact"/>
        <w:ind w:firstLine="2981"/>
      </w:pPr>
      <w:r>
        <w:rPr>
          <w:position w:val="-9"/>
        </w:rPr>
        <w:drawing>
          <wp:inline distT="0" distB="0" distL="0" distR="0">
            <wp:extent cx="63500" cy="31686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63817" cy="317341"/>
                    </a:xfrm>
                    <a:prstGeom prst="rect">
                      <a:avLst/>
                    </a:prstGeom>
                  </pic:spPr>
                </pic:pic>
              </a:graphicData>
            </a:graphic>
          </wp:inline>
        </w:drawing>
      </w:r>
    </w:p>
    <w:p>
      <w:pPr>
        <w:spacing w:line="807" w:lineRule="exact"/>
        <w:ind w:firstLine="1478"/>
      </w:pPr>
      <w:r>
        <w:rPr>
          <w:position w:val="-16"/>
        </w:rPr>
        <w:pict>
          <v:group id="_x0000_s1036" o:spid="_x0000_s1036" o:spt="203" style="height:40.4pt;width:97.75pt;" coordsize="1955,808">
            <o:lock v:ext="edit"/>
            <v:shape id="_x0000_s1037" o:spid="_x0000_s1037" style="position:absolute;left:0;top:-3;height:810;width:1955;" filled="f" stroked="t" coordsize="1955,810" path="m474,6l5,405,474,804,923,405,474,6xm1555,6l1146,405,1555,804,1948,405,1555,6xe">
              <v:fill on="f" focussize="0,0"/>
              <v:stroke weight="0.6pt" color="#231F20" miterlimit="10" joinstyle="miter"/>
              <v:imagedata o:title=""/>
              <o:lock v:ext="edit"/>
            </v:shape>
            <v:shape id="_x0000_s1038" o:spid="_x0000_s1038" o:spt="202" type="#_x0000_t202" style="position:absolute;left:-20;top:-23;height:850;width:1995;" filled="f" stroked="f" coordsize="21600,21600">
              <v:path/>
              <v:fill on="f" focussize="0,0"/>
              <v:stroke on="f"/>
              <v:imagedata o:title=""/>
              <o:lock v:ext="edit" aspectratio="f"/>
              <v:textbox inset="0mm,0mm,0mm,0mm">
                <w:txbxContent>
                  <w:p>
                    <w:pPr>
                      <w:spacing w:line="277" w:lineRule="auto"/>
                      <w:rPr>
                        <w:rFonts w:ascii="Arial"/>
                        <w:sz w:val="21"/>
                      </w:rPr>
                    </w:pPr>
                  </w:p>
                  <w:p>
                    <w:pPr>
                      <w:tabs>
                        <w:tab w:val="left" w:pos="1079"/>
                      </w:tabs>
                      <w:spacing w:before="52" w:line="220" w:lineRule="auto"/>
                      <w:ind w:left="937"/>
                      <w:rPr>
                        <w:rFonts w:ascii="宋体" w:hAnsi="宋体" w:eastAsia="宋体" w:cs="宋体"/>
                        <w:sz w:val="16"/>
                        <w:szCs w:val="16"/>
                      </w:rPr>
                    </w:pPr>
                    <w:r>
                      <w:rPr>
                        <w:rFonts w:ascii="宋体" w:hAnsi="宋体" w:eastAsia="宋体" w:cs="宋体"/>
                        <w:strike/>
                        <w:color w:val="231F20"/>
                        <w:sz w:val="16"/>
                        <w:szCs w:val="16"/>
                      </w:rPr>
                      <w:tab/>
                    </w:r>
                    <w:r>
                      <w:rPr>
                        <w:rFonts w:ascii="宋体" w:hAnsi="宋体" w:eastAsia="宋体" w:cs="宋体"/>
                        <w:color w:val="231F20"/>
                        <w:sz w:val="16"/>
                        <w:szCs w:val="16"/>
                      </w:rPr>
                      <w:drawing>
                        <wp:inline distT="0" distB="0" distL="0" distR="0">
                          <wp:extent cx="55245" cy="6350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5"/>
                                  <a:stretch>
                                    <a:fillRect/>
                                  </a:stretch>
                                </pic:blipFill>
                                <pic:spPr>
                                  <a:xfrm>
                                    <a:off x="0" y="0"/>
                                    <a:ext cx="55631" cy="63842"/>
                                  </a:xfrm>
                                  <a:prstGeom prst="rect">
                                    <a:avLst/>
                                  </a:prstGeom>
                                </pic:spPr>
                              </pic:pic>
                            </a:graphicData>
                          </a:graphic>
                        </wp:inline>
                      </w:drawing>
                    </w:r>
                    <w:r>
                      <w:rPr>
                        <w:rFonts w:ascii="宋体" w:hAnsi="宋体" w:eastAsia="宋体" w:cs="宋体"/>
                        <w:color w:val="231F20"/>
                        <w:spacing w:val="4"/>
                        <w:sz w:val="16"/>
                        <w:szCs w:val="16"/>
                      </w:rPr>
                      <w:t xml:space="preserve">   </w:t>
                    </w:r>
                    <w:r>
                      <w:rPr>
                        <w:rFonts w:ascii="宋体" w:hAnsi="宋体" w:eastAsia="宋体" w:cs="宋体"/>
                        <w:color w:val="231F20"/>
                        <w:spacing w:val="-3"/>
                        <w:sz w:val="16"/>
                        <w:szCs w:val="16"/>
                      </w:rPr>
                      <w:t>审批</w:t>
                    </w:r>
                  </w:p>
                </w:txbxContent>
              </v:textbox>
            </v:shape>
            <w10:wrap type="none"/>
            <w10:anchorlock/>
          </v:group>
        </w:pict>
      </w:r>
    </w:p>
    <w:p>
      <w:pPr>
        <w:spacing w:before="192" w:line="203" w:lineRule="auto"/>
        <w:ind w:left="444"/>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61"/>
      </w:pPr>
      <w:r>
        <w:rPr>
          <w:color w:val="231F20"/>
          <w:spacing w:val="-2"/>
        </w:rPr>
        <w:t>法定时限：20个工作日</w:t>
      </w:r>
    </w:p>
    <w:p>
      <w:pPr>
        <w:pStyle w:val="2"/>
        <w:spacing w:before="47" w:line="232" w:lineRule="auto"/>
        <w:ind w:left="452"/>
      </w:pPr>
      <w:r>
        <w:rPr>
          <w:color w:val="231F20"/>
          <w:spacing w:val="-2"/>
        </w:rPr>
        <w:t>承诺时限：3个工作日</w:t>
      </w:r>
    </w:p>
    <w:p>
      <w:pPr>
        <w:pStyle w:val="2"/>
        <w:spacing w:before="49" w:line="360" w:lineRule="exact"/>
        <w:ind w:left="461"/>
      </w:pPr>
      <w:r>
        <w:rPr>
          <w:color w:val="231F20"/>
          <w:position w:val="9"/>
        </w:rPr>
        <w:t>实行告知承诺制的，符合申请条件当场</w:t>
      </w:r>
    </w:p>
    <w:p>
      <w:pPr>
        <w:pStyle w:val="2"/>
        <w:spacing w:line="232" w:lineRule="auto"/>
        <w:ind w:left="10"/>
      </w:pPr>
      <w:r>
        <w:rPr>
          <w:color w:val="231F20"/>
          <w:spacing w:val="-1"/>
        </w:rPr>
        <w:t>作出行政审批决定（只有告知承诺事项写）</w:t>
      </w:r>
    </w:p>
    <w:p>
      <w:pPr>
        <w:spacing w:before="46" w:line="203" w:lineRule="auto"/>
        <w:ind w:left="448"/>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56"/>
      </w:pPr>
      <w:r>
        <w:rPr>
          <w:color w:val="231F20"/>
          <w:spacing w:val="-5"/>
        </w:rPr>
        <w:t>不收费</w:t>
      </w:r>
    </w:p>
    <w:p>
      <w:pPr>
        <w:spacing w:before="43" w:line="205" w:lineRule="auto"/>
        <w:ind w:left="452"/>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185" w:lineRule="auto"/>
        <w:ind w:left="455"/>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"http://tscfdhbzwfw.gov.cn/" </w:instrText>
      </w:r>
      <w:r>
        <w:rPr>
          <w:rFonts w:hint="eastAsia" w:ascii="黑体" w:hAnsi="黑体" w:eastAsia="黑体" w:cs="黑体"/>
        </w:rPr>
        <w:fldChar w:fldCharType="separate"/>
      </w:r>
      <w:r>
        <w:rPr>
          <w:rFonts w:hint="eastAsia" w:ascii="黑体" w:hAnsi="黑体" w:eastAsia="黑体" w:cs="黑体"/>
          <w:color w:val="231F20"/>
          <w:spacing w:val="-1"/>
        </w:rPr>
        <w:t>http://tscfdhbzwfw.gov.cn/</w:t>
      </w:r>
      <w:r>
        <w:rPr>
          <w:rFonts w:hint="eastAsia" w:ascii="黑体" w:hAnsi="黑体" w:eastAsia="黑体" w:cs="黑体"/>
          <w:color w:val="231F20"/>
          <w:spacing w:val="-1"/>
        </w:rPr>
        <w:fldChar w:fldCharType="end"/>
      </w:r>
    </w:p>
    <w:p>
      <w:pPr>
        <w:spacing w:line="14" w:lineRule="auto"/>
        <w:rPr>
          <w:rFonts w:ascii="Arial"/>
          <w:sz w:val="2"/>
        </w:rPr>
      </w:pPr>
      <w:r>
        <w:rPr>
          <w:rFonts w:ascii="Arial" w:hAnsi="Arial" w:eastAsia="Arial" w:cs="Arial"/>
          <w:sz w:val="2"/>
          <w:szCs w:val="2"/>
        </w:rPr>
        <w:br w:type="column"/>
      </w:r>
    </w:p>
    <w:p>
      <w:pPr>
        <w:spacing w:before="6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19" w:lineRule="auto"/>
        <w:ind w:left="466"/>
        <w:rPr>
          <w:rFonts w:hint="eastAsia" w:ascii="宋体" w:hAnsi="宋体" w:eastAsia="宋体" w:cs="宋体"/>
          <w:lang w:val="en-US" w:eastAsia="zh-CN"/>
        </w:rPr>
      </w:pPr>
      <w:r>
        <w:rPr>
          <w:rFonts w:hint="eastAsia" w:ascii="宋体" w:hAnsi="宋体" w:eastAsia="宋体" w:cs="宋体"/>
        </w:rPr>
        <w:t>1. 中国（河北）自由贸易试验区曹妃甸片区政务服务中心、唐山市曹妃甸区临港政务服务中心综合受理窗口B01-B06（曹妃甸工业区兴业道 1 号二层）</w:t>
      </w:r>
    </w:p>
    <w:p>
      <w:pPr>
        <w:pStyle w:val="2"/>
        <w:spacing w:before="41" w:line="219" w:lineRule="auto"/>
        <w:ind w:left="466"/>
        <w:rPr>
          <w:rFonts w:hint="eastAsia" w:ascii="宋体" w:hAnsi="宋体" w:eastAsia="宋体" w:cs="宋体"/>
        </w:rPr>
      </w:pPr>
      <w:r>
        <w:rPr>
          <w:rFonts w:hint="eastAsia" w:ascii="宋体" w:hAnsi="宋体" w:eastAsia="宋体" w:cs="宋体"/>
        </w:rPr>
        <w:t>2. 唐山市曹妃甸区垦区政务服务中心综合受理窗口W1-W6（曹妃甸区唐海镇新城大街 259 号二层）。</w:t>
      </w:r>
    </w:p>
    <w:p>
      <w:pPr>
        <w:pStyle w:val="2"/>
        <w:spacing w:before="41" w:line="219" w:lineRule="auto"/>
        <w:ind w:left="466"/>
        <w:rPr>
          <w:rFonts w:hint="eastAsia" w:ascii="宋体" w:hAnsi="宋体" w:eastAsia="宋体" w:cs="宋体"/>
        </w:rPr>
      </w:pPr>
      <w:r>
        <w:rPr>
          <w:rFonts w:hint="eastAsia" w:ascii="宋体" w:hAnsi="宋体" w:eastAsia="宋体" w:cs="宋体"/>
        </w:rPr>
        <w:t>3. 唐山市曹妃甸区曹妃甸新城政务服务中心综合受理窗口B02-B05（曹妃甸区新城通海路）。</w:t>
      </w:r>
    </w:p>
    <w:p>
      <w:pPr>
        <w:pStyle w:val="2"/>
        <w:spacing w:before="41" w:line="219" w:lineRule="auto"/>
        <w:ind w:left="466"/>
        <w:rPr>
          <w:rFonts w:hint="eastAsia" w:ascii="宋体" w:hAnsi="宋体" w:eastAsia="宋体" w:cs="宋体"/>
        </w:rPr>
      </w:pPr>
      <w:r>
        <w:rPr>
          <w:rFonts w:hint="eastAsia" w:ascii="宋体" w:hAnsi="宋体" w:eastAsia="宋体" w:cs="宋体"/>
        </w:rPr>
        <w:t>交通指引：</w:t>
      </w:r>
    </w:p>
    <w:p>
      <w:pPr>
        <w:pStyle w:val="2"/>
        <w:spacing w:before="41" w:line="219" w:lineRule="auto"/>
        <w:ind w:left="466"/>
        <w:rPr>
          <w:rFonts w:hint="eastAsia" w:ascii="宋体" w:hAnsi="宋体" w:eastAsia="宋体" w:cs="宋体"/>
        </w:rPr>
      </w:pPr>
      <w:r>
        <w:rPr>
          <w:rFonts w:hint="eastAsia" w:ascii="宋体" w:hAnsi="宋体" w:eastAsia="宋体" w:cs="宋体"/>
        </w:rPr>
        <w:t>1.临港中心：乘坐公交K1支线/K1专线，四大联检下车（曹妃甸工业区兴业道1号）；</w:t>
      </w:r>
    </w:p>
    <w:p>
      <w:pPr>
        <w:pStyle w:val="2"/>
        <w:spacing w:before="41" w:line="219" w:lineRule="auto"/>
        <w:ind w:left="466"/>
        <w:rPr>
          <w:rFonts w:hint="eastAsia" w:ascii="宋体" w:hAnsi="宋体" w:eastAsia="宋体" w:cs="宋体"/>
        </w:rPr>
      </w:pPr>
      <w:r>
        <w:rPr>
          <w:rFonts w:hint="eastAsia" w:ascii="宋体" w:hAnsi="宋体" w:eastAsia="宋体" w:cs="宋体"/>
        </w:rPr>
        <w:t>2.垦区中心：乘坐公交101路/102路，行政审批大厅下车（曹妃甸新城大街与唐海路交叉口西行200米）</w:t>
      </w:r>
    </w:p>
    <w:p>
      <w:pPr>
        <w:pStyle w:val="2"/>
        <w:spacing w:before="41" w:line="219" w:lineRule="auto"/>
        <w:ind w:left="466"/>
        <w:rPr>
          <w:rFonts w:hint="eastAsia" w:ascii="宋体" w:hAnsi="宋体" w:eastAsia="宋体" w:cs="宋体"/>
        </w:rPr>
      </w:pPr>
      <w:r>
        <w:rPr>
          <w:rFonts w:hint="eastAsia" w:ascii="宋体" w:hAnsi="宋体" w:eastAsia="宋体" w:cs="宋体"/>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宋体" w:hAnsi="宋体" w:eastAsia="宋体" w:cs="宋体"/>
          <w:snapToGrid w:val="0"/>
          <w:color w:val="231F20"/>
          <w:spacing w:val="-3"/>
          <w:kern w:val="0"/>
          <w:sz w:val="22"/>
          <w:szCs w:val="22"/>
          <w:lang w:val="en-US" w:eastAsia="en-US" w:bidi="ar-SA"/>
        </w:rPr>
      </w:pPr>
      <w:r>
        <w:rPr>
          <w:rFonts w:hint="eastAsia" w:ascii="宋体" w:hAnsi="宋体" w:eastAsia="宋体" w:cs="宋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right="21"/>
      </w:pPr>
      <w:r>
        <w:rPr>
          <w:rFonts w:hint="eastAsia" w:ascii="宋体" w:hAnsi="宋体" w:eastAsia="宋体" w:cs="宋体"/>
          <w:color w:val="231F20"/>
          <w:spacing w:val="5"/>
        </w:rPr>
        <w:t>03</w:t>
      </w:r>
      <w:r>
        <w:rPr>
          <w:rFonts w:hint="eastAsia" w:ascii="宋体" w:hAnsi="宋体" w:eastAsia="宋体" w:cs="宋体"/>
          <w:color w:val="231F20"/>
          <w:spacing w:val="-7"/>
        </w:rPr>
        <w:t xml:space="preserve"> </w:t>
      </w:r>
      <w:r>
        <w:rPr>
          <w:rFonts w:hint="eastAsia" w:ascii="宋体" w:hAnsi="宋体" w:eastAsia="宋体" w:cs="宋体"/>
          <w:color w:val="231F20"/>
          <w:spacing w:val="5"/>
        </w:rPr>
        <w:t>1</w:t>
      </w:r>
      <w:r>
        <w:rPr>
          <w:rFonts w:hint="eastAsia" w:ascii="宋体" w:hAnsi="宋体" w:eastAsia="宋体" w:cs="宋体"/>
          <w:color w:val="231F20"/>
          <w:spacing w:val="-37"/>
        </w:rPr>
        <w:t xml:space="preserve"> </w:t>
      </w:r>
      <w:r>
        <w:rPr>
          <w:rFonts w:hint="eastAsia" w:ascii="宋体" w:hAnsi="宋体" w:eastAsia="宋体" w:cs="宋体"/>
          <w:color w:val="231F20"/>
          <w:spacing w:val="5"/>
        </w:rPr>
        <w:t>5</w:t>
      </w:r>
      <w:r>
        <w:rPr>
          <w:rFonts w:hint="eastAsia" w:ascii="宋体" w:hAnsi="宋体" w:eastAsia="宋体" w:cs="宋体"/>
          <w:color w:val="231F20"/>
          <w:spacing w:val="-36"/>
        </w:rPr>
        <w:t xml:space="preserve"> </w:t>
      </w:r>
      <w:r>
        <w:rPr>
          <w:rFonts w:hint="eastAsia" w:ascii="宋体" w:hAnsi="宋体" w:eastAsia="宋体" w:cs="宋体"/>
          <w:color w:val="231F20"/>
          <w:spacing w:val="5"/>
        </w:rPr>
        <w:t>-</w:t>
      </w:r>
      <w:r>
        <w:rPr>
          <w:rFonts w:hint="eastAsia" w:ascii="宋体" w:hAnsi="宋体" w:eastAsia="宋体" w:cs="宋体"/>
          <w:color w:val="231F20"/>
          <w:spacing w:val="-41"/>
        </w:rPr>
        <w:t xml:space="preserve"> </w:t>
      </w:r>
      <w:r>
        <w:rPr>
          <w:rFonts w:hint="eastAsia" w:ascii="宋体" w:hAnsi="宋体" w:eastAsia="宋体" w:cs="宋体"/>
          <w:color w:val="231F20"/>
          <w:spacing w:val="5"/>
        </w:rPr>
        <w:t>8</w:t>
      </w:r>
      <w:r>
        <w:rPr>
          <w:rFonts w:hint="eastAsia" w:ascii="宋体" w:hAnsi="宋体" w:eastAsia="宋体" w:cs="宋体"/>
          <w:color w:val="231F20"/>
          <w:spacing w:val="-40"/>
        </w:rPr>
        <w:t xml:space="preserve"> </w:t>
      </w:r>
      <w:r>
        <w:rPr>
          <w:rFonts w:hint="eastAsia" w:ascii="宋体" w:hAnsi="宋体" w:eastAsia="宋体" w:cs="宋体"/>
          <w:color w:val="231F20"/>
          <w:spacing w:val="5"/>
        </w:rPr>
        <w:t>8</w:t>
      </w:r>
      <w:r>
        <w:rPr>
          <w:rFonts w:hint="eastAsia" w:ascii="宋体" w:hAnsi="宋体" w:eastAsia="宋体" w:cs="宋体"/>
          <w:color w:val="231F20"/>
          <w:spacing w:val="-36"/>
        </w:rPr>
        <w:t xml:space="preserve"> </w:t>
      </w:r>
      <w:r>
        <w:rPr>
          <w:rFonts w:hint="eastAsia" w:ascii="宋体" w:hAnsi="宋体" w:eastAsia="宋体" w:cs="宋体"/>
          <w:color w:val="231F20"/>
          <w:spacing w:val="5"/>
        </w:rPr>
        <w:t>51</w:t>
      </w:r>
      <w:r>
        <w:rPr>
          <w:rFonts w:hint="eastAsia" w:ascii="宋体" w:hAnsi="宋体" w:eastAsia="宋体" w:cs="宋体"/>
          <w:color w:val="231F20"/>
          <w:spacing w:val="-40"/>
        </w:rPr>
        <w:t xml:space="preserve"> </w:t>
      </w:r>
      <w:r>
        <w:rPr>
          <w:rFonts w:hint="eastAsia" w:ascii="宋体" w:hAnsi="宋体" w:eastAsia="宋体" w:cs="宋体"/>
          <w:color w:val="231F20"/>
          <w:spacing w:val="5"/>
        </w:rPr>
        <w:t>606（临</w:t>
      </w:r>
      <w:r>
        <w:rPr>
          <w:rFonts w:hint="eastAsia" w:ascii="宋体" w:hAnsi="宋体" w:eastAsia="宋体" w:cs="宋体"/>
          <w:color w:val="231F20"/>
          <w:spacing w:val="-34"/>
        </w:rPr>
        <w:t xml:space="preserve"> </w:t>
      </w:r>
      <w:r>
        <w:rPr>
          <w:rFonts w:hint="eastAsia" w:ascii="宋体" w:hAnsi="宋体" w:eastAsia="宋体" w:cs="宋体"/>
          <w:color w:val="231F20"/>
          <w:spacing w:val="5"/>
        </w:rPr>
        <w:t>港 中心</w:t>
      </w:r>
      <w:r>
        <w:rPr>
          <w:rFonts w:hint="eastAsia" w:ascii="宋体" w:hAnsi="宋体" w:eastAsia="宋体" w:cs="宋体"/>
          <w:color w:val="231F20"/>
          <w:spacing w:val="-52"/>
        </w:rPr>
        <w:t xml:space="preserve"> </w:t>
      </w:r>
      <w:r>
        <w:rPr>
          <w:rFonts w:hint="eastAsia" w:ascii="宋体" w:hAnsi="宋体" w:eastAsia="宋体" w:cs="宋体"/>
          <w:color w:val="231F20"/>
          <w:spacing w:val="5"/>
        </w:rPr>
        <w:t>）</w:t>
      </w:r>
      <w:r>
        <w:rPr>
          <w:rFonts w:hint="eastAsia" w:ascii="宋体" w:hAnsi="宋体" w:eastAsia="宋体" w:cs="宋体"/>
          <w:color w:val="231F20"/>
          <w:spacing w:val="-51"/>
        </w:rPr>
        <w:t xml:space="preserve"> </w:t>
      </w:r>
      <w:r>
        <w:rPr>
          <w:rFonts w:hint="eastAsia" w:ascii="宋体" w:hAnsi="宋体" w:eastAsia="宋体" w:cs="宋体"/>
          <w:color w:val="231F20"/>
          <w:spacing w:val="5"/>
        </w:rPr>
        <w:t>、</w:t>
      </w:r>
      <w:r>
        <w:rPr>
          <w:rFonts w:hint="eastAsia" w:ascii="宋体" w:hAnsi="宋体" w:eastAsia="宋体" w:cs="宋体"/>
          <w:color w:val="231F20"/>
        </w:rPr>
        <w:t xml:space="preserve"> </w:t>
      </w:r>
      <w:r>
        <w:rPr>
          <w:rFonts w:hint="eastAsia" w:ascii="宋体" w:hAnsi="宋体" w:eastAsia="宋体" w:cs="宋体"/>
          <w:color w:val="231F20"/>
          <w:spacing w:val="-14"/>
        </w:rPr>
        <w:t>0 3 1 5 - 8 7 8 7 0 5 0</w:t>
      </w:r>
      <w:r>
        <w:rPr>
          <w:rFonts w:hint="eastAsia" w:ascii="宋体" w:hAnsi="宋体" w:eastAsia="宋体" w:cs="宋体"/>
          <w:color w:val="231F20"/>
          <w:spacing w:val="-26"/>
        </w:rPr>
        <w:t xml:space="preserve"> </w:t>
      </w:r>
      <w:r>
        <w:rPr>
          <w:rFonts w:hint="eastAsia" w:ascii="宋体" w:hAnsi="宋体" w:eastAsia="宋体" w:cs="宋体"/>
          <w:color w:val="231F20"/>
          <w:spacing w:val="-14"/>
        </w:rPr>
        <w:t>（ 垦</w:t>
      </w:r>
      <w:r>
        <w:rPr>
          <w:rFonts w:hint="eastAsia" w:ascii="宋体" w:hAnsi="宋体" w:eastAsia="宋体" w:cs="宋体"/>
          <w:color w:val="231F20"/>
          <w:spacing w:val="16"/>
        </w:rPr>
        <w:t xml:space="preserve"> </w:t>
      </w:r>
      <w:r>
        <w:rPr>
          <w:rFonts w:hint="eastAsia" w:ascii="宋体" w:hAnsi="宋体" w:eastAsia="宋体" w:cs="宋体"/>
          <w:color w:val="231F20"/>
          <w:spacing w:val="-14"/>
        </w:rPr>
        <w:t>区</w:t>
      </w:r>
      <w:r>
        <w:rPr>
          <w:rFonts w:hint="eastAsia" w:ascii="宋体" w:hAnsi="宋体" w:eastAsia="宋体" w:cs="宋体"/>
          <w:color w:val="231F20"/>
          <w:spacing w:val="17"/>
        </w:rPr>
        <w:t xml:space="preserve"> </w:t>
      </w:r>
      <w:r>
        <w:rPr>
          <w:rFonts w:hint="eastAsia" w:ascii="宋体" w:hAnsi="宋体" w:eastAsia="宋体" w:cs="宋体"/>
          <w:color w:val="231F20"/>
          <w:spacing w:val="-14"/>
        </w:rPr>
        <w:t>中</w:t>
      </w:r>
      <w:r>
        <w:rPr>
          <w:rFonts w:hint="eastAsia" w:ascii="宋体" w:hAnsi="宋体" w:eastAsia="宋体" w:cs="宋体"/>
          <w:color w:val="231F20"/>
          <w:spacing w:val="-15"/>
        </w:rPr>
        <w:t xml:space="preserve"> 心</w:t>
      </w:r>
      <w:r>
        <w:rPr>
          <w:rFonts w:hint="eastAsia" w:ascii="宋体" w:hAnsi="宋体" w:eastAsia="宋体" w:cs="宋体"/>
          <w:color w:val="231F20"/>
          <w:spacing w:val="-26"/>
        </w:rPr>
        <w:t xml:space="preserve"> </w:t>
      </w:r>
      <w:r>
        <w:rPr>
          <w:rFonts w:hint="eastAsia" w:ascii="宋体" w:hAnsi="宋体" w:eastAsia="宋体" w:cs="宋体"/>
          <w:color w:val="231F20"/>
          <w:spacing w:val="-15"/>
        </w:rPr>
        <w:t>）</w:t>
      </w:r>
      <w:r>
        <w:rPr>
          <w:rFonts w:hint="eastAsia" w:ascii="宋体" w:hAnsi="宋体" w:eastAsia="宋体" w:cs="宋体"/>
          <w:color w:val="231F20"/>
          <w:spacing w:val="-26"/>
        </w:rPr>
        <w:t xml:space="preserve"> </w:t>
      </w:r>
      <w:r>
        <w:rPr>
          <w:rFonts w:hint="eastAsia" w:ascii="宋体" w:hAnsi="宋体" w:eastAsia="宋体" w:cs="宋体"/>
          <w:color w:val="231F20"/>
          <w:spacing w:val="-15"/>
        </w:rPr>
        <w:t>、</w:t>
      </w:r>
      <w:r>
        <w:rPr>
          <w:rFonts w:hint="eastAsia" w:ascii="宋体" w:hAnsi="宋体" w:eastAsia="宋体" w:cs="宋体"/>
          <w:color w:val="231F20"/>
        </w:rPr>
        <w:t xml:space="preserve"> </w:t>
      </w:r>
      <w:r>
        <w:rPr>
          <w:rFonts w:hint="eastAsia" w:ascii="宋体" w:hAnsi="宋体" w:eastAsia="宋体" w:cs="宋体"/>
          <w:color w:val="231F20"/>
          <w:spacing w:val="-1"/>
        </w:rPr>
        <w:t>0315-7721104（新城中心</w:t>
      </w:r>
      <w:r>
        <w:rPr>
          <w:color w:val="231F20"/>
          <w:spacing w:val="-1"/>
        </w:rPr>
        <w:t>）</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rPr>
          <w:rFonts w:hint="eastAsia" w:ascii="宋体" w:hAnsi="宋体" w:eastAsia="宋体" w:cs="宋体"/>
        </w:rPr>
      </w:pPr>
      <w:r>
        <w:rPr>
          <w:rFonts w:hint="eastAsia" w:ascii="宋体" w:hAnsi="宋体" w:eastAsia="宋体" w:cs="宋体"/>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4" w:line="259" w:lineRule="auto"/>
        <w:ind w:left="23" w:right="1" w:firstLine="473"/>
      </w:pPr>
      <w:r>
        <w:rPr>
          <w:rFonts w:hint="eastAsia" w:ascii="宋体" w:hAnsi="宋体" w:eastAsia="宋体" w:cs="宋体"/>
          <w:color w:val="231F20"/>
          <w:spacing w:val="-3"/>
        </w:rPr>
        <w:t>申请人如对行政许可决定不服，可于收到决定书之日起六十日内向唐山市曹妃甸区人民政府申请复议，也可以于六个月内依法向唐山市曹妃甸区人民法院提起行政诉讼。</w:t>
      </w:r>
    </w:p>
    <w:sectPr>
      <w:type w:val="continuous"/>
      <w:pgSz w:w="10772" w:h="11906"/>
      <w:pgMar w:top="400" w:right="578" w:bottom="0" w:left="589" w:header="0" w:footer="0" w:gutter="0"/>
      <w:cols w:equalWidth="0" w:num="2">
        <w:col w:w="5274"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14E924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Info spid="_x0000_s1038"/>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950</Words>
  <Characters>1064</Characters>
  <TotalTime>1</TotalTime>
  <ScaleCrop>false</ScaleCrop>
  <LinksUpToDate>false</LinksUpToDate>
  <CharactersWithSpaces>1138</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2023-04-26T14:31:00Z</dcterms:created>
  <dc:creator>Admin</dc:creator>
  <cp:lastModifiedBy>An玙</cp:lastModifiedBy>
  <dcterms:modified xsi:type="dcterms:W3CDTF">2023-08-01T08:47:56Z</dcterms:modified>
  <dc:title>52.人力资源服务许可（设立）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2023-08-01T16:07:17Z</vt:filetime>
  </property>
  <property fmtid="{D5CDD505-2E9C-101B-9397-08002B2CF9AE}" pid="4" name="KSOProductBuildVer">
    <vt:lpwstr>2052-11.1.0.14309</vt:lpwstr>
  </property>
  <property fmtid="{D5CDD505-2E9C-101B-9397-08002B2CF9AE}" pid="5" name="ICV">
    <vt:lpwstr>E6170661B3564DC992225E45B721578A_12</vt:lpwstr>
  </property>
</Properties>
</file>