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039B" w:rsidRDefault="00F242B3">
      <w:pPr>
        <w:spacing w:line="296" w:lineRule="auto"/>
      </w:pPr>
      <w:r>
        <w:pict>
          <v:rect id="_x0000_s1036" style="position:absolute;margin-left:357.2pt;margin-top:455.95pt;width:4.2pt;height:3.65pt;z-index:251672576;mso-position-horizontal-relative:page;mso-position-vertical-relative:page" o:allowincell="f" fillcolor="#231f20" stroked="f">
            <w10:wrap anchorx="page" anchory="page"/>
          </v:rect>
        </w:pict>
      </w:r>
      <w:r>
        <w:pict>
          <v:rect id="_x0000_s1035" style="position:absolute;margin-left:359pt;margin-top:459pt;width:.6pt;height:21.05pt;z-index:251669504;mso-position-horizontal-relative:page;mso-position-vertical-relative:page" o:allowincell="f" fillcolor="#231f20" stroked="f">
            <w10:wrap anchorx="page" anchory="page"/>
          </v:rect>
        </w:pict>
      </w:r>
      <w:r>
        <w:pict>
          <v:rect id="_x0000_s1034" style="position:absolute;margin-left:464.05pt;margin-top:490.9pt;width:18.05pt;height:.65pt;z-index:251663360;mso-position-horizontal-relative:page;mso-position-vertical-relative:page" o:allowincell="f" fillcolor="#231f20" stroked="f">
            <w10:wrap anchorx="page" anchory="page"/>
          </v:rect>
        </w:pict>
      </w:r>
      <w:r>
        <w:pict>
          <v:rect id="_x0000_s1033" style="position:absolute;margin-left:371.95pt;margin-top:490.9pt;width:17.7pt;height:.65pt;z-index:251670528;mso-position-horizontal-relative:page;mso-position-vertical-relative:page" o:allowincell="f" fillcolor="#231f20" stroked="f">
            <w10:wrap anchorx="page" anchory="page"/>
          </v:rect>
        </w:pict>
      </w:r>
      <w:r>
        <w:pict>
          <v:shape id="_x0000_s1032" style="position:absolute;margin-left:312.75pt;margin-top:439.05pt;width:14.05pt;height:.65pt;z-index:251673600;mso-position-horizontal-relative:page;mso-position-vertical-relative:page" coordsize="281,12" o:allowincell="f" path="m,6r280,e" filled="f" strokecolor="#231f20" strokeweight=".6pt">
            <v:stroke miterlimit="10" joinstyle="miter"/>
            <w10:wrap anchorx="page" anchory="page"/>
          </v:shape>
        </w:pict>
      </w:r>
      <w:r>
        <w:drawing>
          <wp:anchor distT="0" distB="0" distL="0" distR="0" simplePos="0" relativeHeight="251665408" behindDoc="0" locked="0" layoutInCell="0" allowOverlap="1">
            <wp:simplePos x="0" y="0"/>
            <wp:positionH relativeFrom="page">
              <wp:posOffset>3949228</wp:posOffset>
            </wp:positionH>
            <wp:positionV relativeFrom="page">
              <wp:posOffset>5579831</wp:posOffset>
            </wp:positionV>
            <wp:extent cx="53175" cy="463901"/>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75" cy="463901"/>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31" type="#_x0000_t202" style="position:absolute;margin-left:296.35pt;margin-top:474.85pt;width:33.45pt;height:32.7pt;z-index:251661312;mso-position-horizontal-relative:page;mso-position-vertical-relative:page" o:allowincell="f" filled="f" stroked="f">
            <v:textbox inset="0,0,0,0">
              <w:txbxContent>
                <w:p w:rsidR="00DB039B" w:rsidRDefault="00DB039B">
                  <w:pPr>
                    <w:spacing w:line="20" w:lineRule="exact"/>
                  </w:pPr>
                </w:p>
                <w:tbl>
                  <w:tblPr>
                    <w:tblStyle w:val="TableNormal"/>
                    <w:tblW w:w="618"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618"/>
                  </w:tblGrid>
                  <w:tr w:rsidR="00DB039B">
                    <w:trPr>
                      <w:trHeight w:val="593"/>
                    </w:trPr>
                    <w:tc>
                      <w:tcPr>
                        <w:tcW w:w="618" w:type="dxa"/>
                      </w:tcPr>
                      <w:p w:rsidR="00DB039B" w:rsidRDefault="00F242B3">
                        <w:pPr>
                          <w:pStyle w:val="TableText"/>
                          <w:spacing w:before="37"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rsidR="00DB039B" w:rsidRDefault="00DB039B"/>
              </w:txbxContent>
            </v:textbox>
            <w10:wrap anchorx="page" anchory="page"/>
          </v:shape>
        </w:pict>
      </w:r>
      <w:r>
        <w:pict>
          <v:shape id="_x0000_s1030" type="#_x0000_t202" style="position:absolute;margin-left:345.5pt;margin-top:478.5pt;width:27.6pt;height:25.3pt;z-index:-251657216;mso-position-horizontal-relative:page;mso-position-vertical-relative:page" o:allowincell="f" filled="f" stroked="f">
            <v:textbox inset="0,0,0,0">
              <w:txbxContent>
                <w:p w:rsidR="00DB039B" w:rsidRDefault="00DB039B">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DB039B">
                    <w:trPr>
                      <w:trHeight w:val="445"/>
                    </w:trPr>
                    <w:tc>
                      <w:tcPr>
                        <w:tcW w:w="501" w:type="dxa"/>
                      </w:tcPr>
                      <w:p w:rsidR="00DB039B" w:rsidRDefault="00F242B3">
                        <w:pPr>
                          <w:pStyle w:val="TableText"/>
                          <w:spacing w:before="143" w:line="221" w:lineRule="auto"/>
                          <w:ind w:left="93"/>
                        </w:pPr>
                        <w:r>
                          <w:rPr>
                            <w:color w:val="231F20"/>
                            <w:spacing w:val="-3"/>
                          </w:rPr>
                          <w:t>受理</w:t>
                        </w:r>
                      </w:p>
                    </w:tc>
                  </w:tr>
                </w:tbl>
                <w:p w:rsidR="00DB039B" w:rsidRDefault="00DB039B"/>
              </w:txbxContent>
            </v:textbox>
            <w10:wrap anchorx="page" anchory="page"/>
          </v:shape>
        </w:pict>
      </w:r>
      <w:r>
        <w:pict>
          <v:shape id="_x0000_s1029" type="#_x0000_t202" style="position:absolute;margin-left:437.65pt;margin-top:478.55pt;width:27.6pt;height:25.3pt;z-index:251662336;mso-position-horizontal-relative:page;mso-position-vertical-relative:page" o:allowincell="f" filled="f" stroked="f">
            <v:textbox inset="0,0,0,0">
              <w:txbxContent>
                <w:p w:rsidR="00DB039B" w:rsidRDefault="00DB039B">
                  <w:pPr>
                    <w:spacing w:line="20" w:lineRule="exact"/>
                  </w:pPr>
                </w:p>
                <w:tbl>
                  <w:tblPr>
                    <w:tblStyle w:val="TableNormal"/>
                    <w:tblW w:w="50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01"/>
                  </w:tblGrid>
                  <w:tr w:rsidR="00DB039B">
                    <w:trPr>
                      <w:trHeight w:val="445"/>
                    </w:trPr>
                    <w:tc>
                      <w:tcPr>
                        <w:tcW w:w="501" w:type="dxa"/>
                      </w:tcPr>
                      <w:p w:rsidR="00DB039B" w:rsidRDefault="00F242B3">
                        <w:pPr>
                          <w:pStyle w:val="TableText"/>
                          <w:spacing w:before="142" w:line="220" w:lineRule="auto"/>
                          <w:ind w:left="95"/>
                        </w:pPr>
                        <w:r>
                          <w:rPr>
                            <w:color w:val="231F20"/>
                            <w:spacing w:val="-3"/>
                          </w:rPr>
                          <w:t>审核</w:t>
                        </w:r>
                      </w:p>
                    </w:tc>
                  </w:tr>
                </w:tbl>
                <w:p w:rsidR="00DB039B" w:rsidRDefault="00DB039B"/>
              </w:txbxContent>
            </v:textbox>
            <w10:wrap anchorx="page" anchory="page"/>
          </v:shape>
        </w:pict>
      </w:r>
      <w:r>
        <w:pict>
          <v:shape id="_x0000_s1028" type="#_x0000_t202" style="position:absolute;margin-left:480.45pt;margin-top:478.55pt;width:31.1pt;height:25.3pt;z-index:251664384;mso-position-horizontal-relative:page;mso-position-vertical-relative:page" o:allowincell="f" filled="f" stroked="f">
            <v:textbox inset="0,0,0,0">
              <w:txbxContent>
                <w:p w:rsidR="00DB039B" w:rsidRDefault="00DB039B">
                  <w:pPr>
                    <w:spacing w:line="20" w:lineRule="exact"/>
                  </w:pPr>
                </w:p>
                <w:tbl>
                  <w:tblPr>
                    <w:tblStyle w:val="TableNormal"/>
                    <w:tblW w:w="571"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1"/>
                  </w:tblGrid>
                  <w:tr w:rsidR="00DB039B">
                    <w:trPr>
                      <w:trHeight w:val="445"/>
                    </w:trPr>
                    <w:tc>
                      <w:tcPr>
                        <w:tcW w:w="571" w:type="dxa"/>
                      </w:tcPr>
                      <w:p w:rsidR="00DB039B" w:rsidRDefault="00F242B3">
                        <w:pPr>
                          <w:pStyle w:val="TableText"/>
                          <w:spacing w:before="143" w:line="219" w:lineRule="auto"/>
                        </w:pPr>
                        <w:r>
                          <w:rPr>
                            <w:color w:val="231F20"/>
                            <w:position w:val="1"/>
                          </w:rPr>
                          <w:drawing>
                            <wp:inline distT="0" distB="0" distL="0" distR="0">
                              <wp:extent cx="45115" cy="53174"/>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rsidR="00DB039B" w:rsidRDefault="00DB039B"/>
              </w:txbxContent>
            </v:textbox>
            <w10:wrap anchorx="page" anchory="page"/>
          </v:shape>
        </w:pict>
      </w:r>
      <w:r>
        <w:drawing>
          <wp:anchor distT="0" distB="0" distL="0" distR="0" simplePos="0" relativeHeight="251667456" behindDoc="0" locked="0" layoutInCell="0" allowOverlap="1">
            <wp:simplePos x="0" y="0"/>
            <wp:positionH relativeFrom="page">
              <wp:posOffset>5310010</wp:posOffset>
            </wp:positionH>
            <wp:positionV relativeFrom="page">
              <wp:posOffset>6211586</wp:posOffset>
            </wp:positionV>
            <wp:extent cx="264069" cy="53174"/>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264069" cy="53174"/>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4174427</wp:posOffset>
            </wp:positionH>
            <wp:positionV relativeFrom="page">
              <wp:posOffset>6211586</wp:posOffset>
            </wp:positionV>
            <wp:extent cx="224902" cy="53174"/>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224902" cy="53174"/>
                    </a:xfrm>
                    <a:prstGeom prst="rect">
                      <a:avLst/>
                    </a:prstGeom>
                  </pic:spPr>
                </pic:pic>
              </a:graphicData>
            </a:graphic>
          </wp:anchor>
        </w:drawing>
      </w:r>
      <w:r>
        <w:pict>
          <v:shape id="_x0000_s1027" type="#_x0000_t202" style="position:absolute;margin-left:422.35pt;margin-top:525.1pt;width:58.4pt;height:25.3pt;z-index:251660288;mso-position-horizontal-relative:page;mso-position-vertical-relative:page" o:allowincell="f" filled="f" stroked="f">
            <v:textbox inset="0,0,0,0">
              <w:txbxContent>
                <w:p w:rsidR="00DB039B" w:rsidRDefault="00DB039B">
                  <w:pPr>
                    <w:spacing w:line="20" w:lineRule="exact"/>
                  </w:pPr>
                </w:p>
                <w:tbl>
                  <w:tblPr>
                    <w:tblStyle w:val="TableNormal"/>
                    <w:tblW w:w="1117" w:type="dxa"/>
                    <w:tblInd w:w="25"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117"/>
                  </w:tblGrid>
                  <w:tr w:rsidR="00DB039B">
                    <w:trPr>
                      <w:trHeight w:val="445"/>
                    </w:trPr>
                    <w:tc>
                      <w:tcPr>
                        <w:tcW w:w="1117" w:type="dxa"/>
                      </w:tcPr>
                      <w:p w:rsidR="00DB039B" w:rsidRDefault="00F242B3">
                        <w:pPr>
                          <w:pStyle w:val="TableText"/>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rsidR="00DB039B" w:rsidRDefault="00DB039B"/>
              </w:txbxContent>
            </v:textbox>
            <w10:wrap anchorx="page" anchory="page"/>
          </v:shape>
        </w:pict>
      </w:r>
      <w:r>
        <w:drawing>
          <wp:anchor distT="0" distB="0" distL="0" distR="0" simplePos="0" relativeHeight="251666432" behindDoc="0" locked="0" layoutInCell="0" allowOverlap="1">
            <wp:simplePos x="0" y="0"/>
            <wp:positionH relativeFrom="page">
              <wp:posOffset>5706857</wp:posOffset>
            </wp:positionH>
            <wp:positionV relativeFrom="page">
              <wp:posOffset>6384325</wp:posOffset>
            </wp:positionV>
            <wp:extent cx="53200" cy="269529"/>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200" cy="269529"/>
                    </a:xfrm>
                    <a:prstGeom prst="rect">
                      <a:avLst/>
                    </a:prstGeom>
                  </pic:spPr>
                </pic:pic>
              </a:graphicData>
            </a:graphic>
          </wp:anchor>
        </w:drawing>
      </w:r>
    </w:p>
    <w:p w:rsidR="00DB039B" w:rsidRDefault="00DB039B">
      <w:pPr>
        <w:spacing w:line="296" w:lineRule="auto"/>
      </w:pPr>
    </w:p>
    <w:p w:rsidR="00DB039B" w:rsidRDefault="00DB039B">
      <w:pPr>
        <w:spacing w:line="296" w:lineRule="auto"/>
      </w:pPr>
    </w:p>
    <w:p w:rsidR="00DB039B" w:rsidRDefault="00DB039B">
      <w:pPr>
        <w:spacing w:line="297" w:lineRule="auto"/>
      </w:pPr>
    </w:p>
    <w:p w:rsidR="00DB039B" w:rsidRDefault="00F242B3">
      <w:pPr>
        <w:spacing w:before="103" w:line="190" w:lineRule="auto"/>
        <w:ind w:left="5987" w:right="890" w:hanging="1320"/>
        <w:outlineLvl w:val="0"/>
        <w:rPr>
          <w:rFonts w:ascii="微软雅黑" w:eastAsia="微软雅黑" w:hAnsi="微软雅黑" w:cs="微软雅黑"/>
          <w:sz w:val="24"/>
          <w:szCs w:val="24"/>
        </w:rPr>
      </w:pPr>
      <w:r>
        <w:drawing>
          <wp:anchor distT="0" distB="0" distL="0" distR="0" simplePos="0" relativeHeight="251658240" behindDoc="1" locked="0" layoutInCell="1" allowOverlap="1">
            <wp:simplePos x="0" y="0"/>
            <wp:positionH relativeFrom="column">
              <wp:posOffset>2395588</wp:posOffset>
            </wp:positionH>
            <wp:positionV relativeFrom="paragraph">
              <wp:posOffset>-1009398</wp:posOffset>
            </wp:positionV>
            <wp:extent cx="3416807" cy="7555989"/>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3416807" cy="7555989"/>
                    </a:xfrm>
                    <a:prstGeom prst="rect">
                      <a:avLst/>
                    </a:prstGeom>
                  </pic:spPr>
                </pic:pic>
              </a:graphicData>
            </a:graphic>
          </wp:anchor>
        </w:drawing>
      </w:r>
      <w:r>
        <w:rPr>
          <w:rFonts w:ascii="微软雅黑" w:eastAsia="微软雅黑" w:hAnsi="微软雅黑" w:cs="微软雅黑"/>
          <w:color w:val="231F20"/>
          <w:spacing w:val="-1"/>
          <w:sz w:val="24"/>
          <w:szCs w:val="24"/>
        </w:rPr>
        <w:t>烟花爆竹经营（零售）许可证核发</w:t>
      </w:r>
      <w:r>
        <w:rPr>
          <w:rFonts w:ascii="微软雅黑" w:eastAsia="微软雅黑" w:hAnsi="微软雅黑" w:cs="微软雅黑"/>
          <w:color w:val="231F20"/>
          <w:spacing w:val="9"/>
          <w:sz w:val="24"/>
          <w:szCs w:val="24"/>
        </w:rPr>
        <w:t xml:space="preserve"> </w:t>
      </w:r>
      <w:r>
        <w:rPr>
          <w:rFonts w:ascii="微软雅黑" w:eastAsia="微软雅黑" w:hAnsi="微软雅黑" w:cs="微软雅黑"/>
          <w:color w:val="231F20"/>
          <w:spacing w:val="-2"/>
          <w:sz w:val="24"/>
          <w:szCs w:val="24"/>
        </w:rPr>
        <w:t>服务指南</w:t>
      </w:r>
    </w:p>
    <w:p w:rsidR="00DB039B" w:rsidRDefault="00F242B3">
      <w:pPr>
        <w:spacing w:before="216" w:line="202" w:lineRule="auto"/>
        <w:ind w:left="4786"/>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一、事项名称</w:t>
      </w:r>
    </w:p>
    <w:p w:rsidR="00DB039B" w:rsidRDefault="00F242B3">
      <w:pPr>
        <w:spacing w:before="43" w:line="233" w:lineRule="auto"/>
        <w:ind w:left="4785" w:right="1080" w:firstLine="3"/>
        <w:rPr>
          <w:rFonts w:ascii="微软雅黑" w:eastAsia="微软雅黑" w:hAnsi="微软雅黑" w:cs="微软雅黑"/>
          <w:sz w:val="22"/>
          <w:szCs w:val="22"/>
        </w:rPr>
      </w:pPr>
      <w:r>
        <w:rPr>
          <w:rFonts w:ascii="FZFangSong-Z02S" w:eastAsia="FZFangSong-Z02S" w:hAnsi="FZFangSong-Z02S" w:cs="FZFangSong-Z02S"/>
          <w:color w:val="231F20"/>
          <w:spacing w:val="-2"/>
          <w:sz w:val="22"/>
          <w:szCs w:val="22"/>
        </w:rPr>
        <w:t>烟花爆竹经营（零售）许可证核发</w:t>
      </w:r>
      <w:r>
        <w:rPr>
          <w:rFonts w:ascii="FZFangSong-Z02S" w:eastAsia="FZFangSong-Z02S" w:hAnsi="FZFangSong-Z02S" w:cs="FZFangSong-Z02S"/>
          <w:color w:val="231F20"/>
          <w:spacing w:val="12"/>
          <w:sz w:val="22"/>
          <w:szCs w:val="22"/>
        </w:rPr>
        <w:t xml:space="preserve"> </w:t>
      </w:r>
      <w:r>
        <w:rPr>
          <w:rFonts w:ascii="微软雅黑" w:eastAsia="微软雅黑" w:hAnsi="微软雅黑" w:cs="微软雅黑"/>
          <w:color w:val="231F20"/>
          <w:spacing w:val="-2"/>
          <w:sz w:val="22"/>
          <w:szCs w:val="22"/>
        </w:rPr>
        <w:t>二、办理依据</w:t>
      </w:r>
    </w:p>
    <w:p w:rsidR="00DB039B" w:rsidRDefault="00F242B3">
      <w:pPr>
        <w:spacing w:before="42" w:line="230" w:lineRule="auto"/>
        <w:ind w:left="4755"/>
        <w:rPr>
          <w:rFonts w:ascii="FZFangSong-Z02S" w:eastAsia="FZFangSong-Z02S" w:hAnsi="FZFangSong-Z02S" w:cs="FZFangSong-Z02S"/>
          <w:sz w:val="22"/>
          <w:szCs w:val="22"/>
        </w:rPr>
      </w:pPr>
      <w:r>
        <w:rPr>
          <w:rFonts w:ascii="FZFangSong-Z02S" w:eastAsia="FZFangSong-Z02S" w:hAnsi="FZFangSong-Z02S" w:cs="FZFangSong-Z02S"/>
          <w:color w:val="231F20"/>
          <w:spacing w:val="7"/>
          <w:sz w:val="22"/>
          <w:szCs w:val="22"/>
        </w:rPr>
        <w:t>《烟花爆竹安全管理条例》（</w:t>
      </w:r>
      <w:r>
        <w:rPr>
          <w:rFonts w:ascii="FZFangSong-Z02S" w:eastAsia="FZFangSong-Z02S" w:hAnsi="FZFangSong-Z02S" w:cs="FZFangSong-Z02S"/>
          <w:color w:val="231F20"/>
          <w:spacing w:val="7"/>
          <w:sz w:val="22"/>
          <w:szCs w:val="22"/>
        </w:rPr>
        <w:t>2016</w:t>
      </w:r>
      <w:r>
        <w:rPr>
          <w:rFonts w:ascii="FZFangSong-Z02S" w:eastAsia="FZFangSong-Z02S" w:hAnsi="FZFangSong-Z02S" w:cs="FZFangSong-Z02S"/>
          <w:color w:val="231F20"/>
          <w:spacing w:val="7"/>
          <w:sz w:val="22"/>
          <w:szCs w:val="22"/>
        </w:rPr>
        <w:t>年</w:t>
      </w:r>
      <w:r>
        <w:rPr>
          <w:rFonts w:ascii="FZFangSong-Z02S" w:eastAsia="FZFangSong-Z02S" w:hAnsi="FZFangSong-Z02S" w:cs="FZFangSong-Z02S"/>
          <w:color w:val="231F20"/>
          <w:spacing w:val="7"/>
          <w:sz w:val="22"/>
          <w:szCs w:val="22"/>
        </w:rPr>
        <w:t>2</w:t>
      </w:r>
    </w:p>
    <w:p w:rsidR="00DB039B" w:rsidRDefault="00F242B3">
      <w:pPr>
        <w:spacing w:before="51" w:line="357" w:lineRule="exact"/>
        <w:ind w:left="4353"/>
        <w:rPr>
          <w:rFonts w:ascii="FZFangSong-Z02S" w:eastAsia="FZFangSong-Z02S" w:hAnsi="FZFangSong-Z02S" w:cs="FZFangSong-Z02S"/>
          <w:sz w:val="22"/>
          <w:szCs w:val="22"/>
        </w:rPr>
      </w:pPr>
      <w:r>
        <w:rPr>
          <w:rFonts w:ascii="FZFangSong-Z02S" w:eastAsia="FZFangSong-Z02S" w:hAnsi="FZFangSong-Z02S" w:cs="FZFangSong-Z02S"/>
          <w:color w:val="231F20"/>
          <w:spacing w:val="-3"/>
          <w:position w:val="8"/>
          <w:sz w:val="22"/>
          <w:szCs w:val="22"/>
        </w:rPr>
        <w:t>月修订版）第三条</w:t>
      </w:r>
    </w:p>
    <w:p w:rsidR="00DB039B" w:rsidRDefault="00F242B3">
      <w:pPr>
        <w:spacing w:line="203" w:lineRule="auto"/>
        <w:ind w:left="4789"/>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三、受理范围</w:t>
      </w:r>
    </w:p>
    <w:p w:rsidR="00DB039B" w:rsidRDefault="00F242B3">
      <w:pPr>
        <w:spacing w:before="59" w:line="201" w:lineRule="auto"/>
        <w:ind w:left="4787"/>
        <w:rPr>
          <w:rFonts w:ascii="FZFangSong-Z02S" w:eastAsia="FZFangSong-Z02S" w:hAnsi="FZFangSong-Z02S" w:cs="FZFangSong-Z02S"/>
          <w:sz w:val="22"/>
          <w:szCs w:val="22"/>
        </w:rPr>
      </w:pPr>
      <w:r>
        <w:rPr>
          <w:rFonts w:ascii="FZFangSong-Z02S" w:eastAsia="FZFangSong-Z02S" w:hAnsi="FZFangSong-Z02S" w:cs="FZFangSong-Z02S"/>
          <w:color w:val="231F20"/>
          <w:spacing w:val="-3"/>
          <w:sz w:val="22"/>
          <w:szCs w:val="22"/>
        </w:rPr>
        <w:t>企业法人</w:t>
      </w:r>
    </w:p>
    <w:p w:rsidR="00DB039B" w:rsidRDefault="00F242B3">
      <w:pPr>
        <w:spacing w:before="72" w:line="203" w:lineRule="auto"/>
        <w:ind w:left="4798"/>
        <w:rPr>
          <w:rFonts w:ascii="微软雅黑" w:eastAsia="微软雅黑" w:hAnsi="微软雅黑" w:cs="微软雅黑"/>
          <w:sz w:val="22"/>
          <w:szCs w:val="22"/>
        </w:rPr>
      </w:pPr>
      <w:r>
        <w:rPr>
          <w:rFonts w:ascii="微软雅黑" w:eastAsia="微软雅黑" w:hAnsi="微软雅黑" w:cs="微软雅黑"/>
          <w:color w:val="231F20"/>
          <w:spacing w:val="-4"/>
          <w:sz w:val="22"/>
          <w:szCs w:val="22"/>
        </w:rPr>
        <w:t>四、受理条件</w:t>
      </w:r>
    </w:p>
    <w:p w:rsidR="00DB039B" w:rsidRDefault="00F242B3">
      <w:pPr>
        <w:spacing w:before="44" w:line="251" w:lineRule="auto"/>
        <w:ind w:left="4356" w:right="601" w:firstLine="428"/>
        <w:rPr>
          <w:rFonts w:ascii="FZFangSong-Z02S" w:eastAsia="FZFangSong-Z02S" w:hAnsi="FZFangSong-Z02S" w:cs="FZFangSong-Z02S"/>
          <w:sz w:val="22"/>
          <w:szCs w:val="22"/>
        </w:rPr>
      </w:pPr>
      <w:r>
        <w:rPr>
          <w:rFonts w:ascii="FZFangSong-Z02S" w:eastAsia="FZFangSong-Z02S" w:hAnsi="FZFangSong-Z02S" w:cs="FZFangSong-Z02S"/>
          <w:color w:val="231F20"/>
          <w:spacing w:val="1"/>
          <w:sz w:val="22"/>
          <w:szCs w:val="22"/>
        </w:rPr>
        <w:t>提交材料齐全，符合法定程序，内容真</w:t>
      </w:r>
      <w:r>
        <w:rPr>
          <w:rFonts w:ascii="FZFangSong-Z02S" w:eastAsia="FZFangSong-Z02S" w:hAnsi="FZFangSong-Z02S" w:cs="FZFangSong-Z02S"/>
          <w:color w:val="231F20"/>
          <w:spacing w:val="9"/>
          <w:sz w:val="22"/>
          <w:szCs w:val="22"/>
        </w:rPr>
        <w:t xml:space="preserve"> </w:t>
      </w:r>
      <w:r>
        <w:rPr>
          <w:rFonts w:ascii="FZFangSong-Z02S" w:eastAsia="FZFangSong-Z02S" w:hAnsi="FZFangSong-Z02S" w:cs="FZFangSong-Z02S"/>
          <w:color w:val="231F20"/>
          <w:spacing w:val="-6"/>
          <w:sz w:val="22"/>
          <w:szCs w:val="22"/>
        </w:rPr>
        <w:t>实有效</w:t>
      </w:r>
    </w:p>
    <w:p w:rsidR="00DB039B" w:rsidRDefault="00F242B3">
      <w:pPr>
        <w:spacing w:before="43" w:line="204" w:lineRule="auto"/>
        <w:ind w:left="4784"/>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五、申请材料</w:t>
      </w:r>
    </w:p>
    <w:p w:rsidR="00DB039B" w:rsidRDefault="00F242B3">
      <w:pPr>
        <w:spacing w:before="43" w:line="249" w:lineRule="auto"/>
        <w:ind w:left="4786" w:right="689" w:firstLine="15"/>
        <w:rPr>
          <w:rFonts w:ascii="FZFangSong-Z02S" w:eastAsia="FZFangSong-Z02S" w:hAnsi="FZFangSong-Z02S" w:cs="FZFangSong-Z02S"/>
          <w:sz w:val="22"/>
          <w:szCs w:val="22"/>
        </w:rPr>
      </w:pPr>
      <w:r>
        <w:rPr>
          <w:rFonts w:ascii="FZFangSong-Z02S" w:eastAsia="FZFangSong-Z02S" w:hAnsi="FZFangSong-Z02S" w:cs="FZFangSong-Z02S"/>
          <w:color w:val="231F20"/>
          <w:spacing w:val="-4"/>
          <w:sz w:val="22"/>
          <w:szCs w:val="22"/>
        </w:rPr>
        <w:t>1.</w:t>
      </w:r>
      <w:r>
        <w:rPr>
          <w:rFonts w:ascii="FZFangSong-Z02S" w:eastAsia="FZFangSong-Z02S" w:hAnsi="FZFangSong-Z02S" w:cs="FZFangSong-Z02S"/>
          <w:color w:val="231F20"/>
          <w:spacing w:val="-4"/>
          <w:sz w:val="22"/>
          <w:szCs w:val="22"/>
        </w:rPr>
        <w:t>烟花爆竹经营（零售）许可申请书；</w:t>
      </w:r>
      <w:r>
        <w:rPr>
          <w:rFonts w:ascii="FZFangSong-Z02S" w:eastAsia="FZFangSong-Z02S" w:hAnsi="FZFangSong-Z02S" w:cs="FZFangSong-Z02S"/>
          <w:color w:val="231F20"/>
          <w:spacing w:val="5"/>
          <w:sz w:val="22"/>
          <w:szCs w:val="22"/>
        </w:rPr>
        <w:t xml:space="preserve"> </w:t>
      </w:r>
      <w:r>
        <w:rPr>
          <w:rFonts w:ascii="FZFangSong-Z02S" w:eastAsia="FZFangSong-Z02S" w:hAnsi="FZFangSong-Z02S" w:cs="FZFangSong-Z02S"/>
          <w:color w:val="231F20"/>
          <w:spacing w:val="-3"/>
          <w:sz w:val="22"/>
          <w:szCs w:val="22"/>
        </w:rPr>
        <w:t>2.</w:t>
      </w:r>
      <w:r>
        <w:rPr>
          <w:rFonts w:ascii="FZFangSong-Z02S" w:eastAsia="FZFangSong-Z02S" w:hAnsi="FZFangSong-Z02S" w:cs="FZFangSong-Z02S"/>
          <w:color w:val="231F20"/>
          <w:spacing w:val="-3"/>
          <w:sz w:val="22"/>
          <w:szCs w:val="22"/>
        </w:rPr>
        <w:t>零售店及其周围安全条件说明。</w:t>
      </w:r>
    </w:p>
    <w:p w:rsidR="00DB039B" w:rsidRDefault="00F242B3">
      <w:pPr>
        <w:spacing w:before="49" w:line="203" w:lineRule="auto"/>
        <w:ind w:left="4785"/>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六、审批机关</w:t>
      </w:r>
    </w:p>
    <w:p w:rsidR="00DB039B" w:rsidRDefault="00F242B3">
      <w:pPr>
        <w:spacing w:before="43" w:line="232" w:lineRule="auto"/>
        <w:ind w:left="4782" w:right="1740" w:firstLine="1"/>
        <w:rPr>
          <w:rFonts w:ascii="微软雅黑" w:eastAsia="微软雅黑" w:hAnsi="微软雅黑" w:cs="微软雅黑"/>
          <w:sz w:val="22"/>
          <w:szCs w:val="22"/>
        </w:rPr>
      </w:pPr>
      <w:r>
        <w:rPr>
          <w:rFonts w:ascii="FZFangSong-Z02S" w:eastAsia="FZFangSong-Z02S" w:hAnsi="FZFangSong-Z02S" w:cs="FZFangSong-Z02S"/>
          <w:color w:val="231F20"/>
          <w:spacing w:val="-1"/>
          <w:sz w:val="22"/>
          <w:szCs w:val="22"/>
        </w:rPr>
        <w:t>唐山市曹妃甸区行政审批局</w:t>
      </w:r>
      <w:r>
        <w:rPr>
          <w:rFonts w:ascii="FZFangSong-Z02S" w:eastAsia="FZFangSong-Z02S" w:hAnsi="FZFangSong-Z02S" w:cs="FZFangSong-Z02S"/>
          <w:color w:val="231F20"/>
          <w:sz w:val="22"/>
          <w:szCs w:val="22"/>
        </w:rPr>
        <w:t xml:space="preserve"> </w:t>
      </w:r>
      <w:r>
        <w:rPr>
          <w:rFonts w:ascii="微软雅黑" w:eastAsia="微软雅黑" w:hAnsi="微软雅黑" w:cs="微软雅黑"/>
          <w:color w:val="231F20"/>
          <w:spacing w:val="-1"/>
          <w:sz w:val="22"/>
          <w:szCs w:val="22"/>
        </w:rPr>
        <w:t>七、事项办理流程图</w:t>
      </w:r>
    </w:p>
    <w:p w:rsidR="00DB039B" w:rsidRDefault="00DB039B">
      <w:pPr>
        <w:spacing w:line="166" w:lineRule="exact"/>
      </w:pPr>
    </w:p>
    <w:tbl>
      <w:tblPr>
        <w:tblStyle w:val="TableNormal"/>
        <w:tblW w:w="1302" w:type="dxa"/>
        <w:tblInd w:w="491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1302"/>
      </w:tblGrid>
      <w:tr w:rsidR="00DB039B">
        <w:trPr>
          <w:trHeight w:val="658"/>
        </w:trPr>
        <w:tc>
          <w:tcPr>
            <w:tcW w:w="1302" w:type="dxa"/>
          </w:tcPr>
          <w:p w:rsidR="00DB039B" w:rsidRDefault="00F242B3">
            <w:pPr>
              <w:pStyle w:val="TableText"/>
              <w:spacing w:before="69" w:line="208" w:lineRule="auto"/>
              <w:ind w:left="34"/>
            </w:pPr>
            <w:r>
              <w:rPr>
                <w:color w:val="231F20"/>
                <w:spacing w:val="-7"/>
              </w:rPr>
              <w:t>申请材料不全的，</w:t>
            </w:r>
          </w:p>
          <w:p w:rsidR="00DB039B" w:rsidRDefault="00F242B3">
            <w:pPr>
              <w:pStyle w:val="TableText"/>
              <w:spacing w:line="213" w:lineRule="auto"/>
              <w:ind w:left="252" w:right="85" w:hanging="158"/>
            </w:pPr>
            <w:r>
              <w:rPr>
                <w:color w:val="231F20"/>
                <w:spacing w:val="-2"/>
              </w:rPr>
              <w:t>一次性告知当事</w:t>
            </w:r>
            <w:r>
              <w:rPr>
                <w:color w:val="231F20"/>
                <w:spacing w:val="4"/>
              </w:rPr>
              <w:t xml:space="preserve"> </w:t>
            </w:r>
            <w:r>
              <w:rPr>
                <w:color w:val="231F20"/>
                <w:spacing w:val="-2"/>
              </w:rPr>
              <w:t>人补齐补正</w:t>
            </w:r>
          </w:p>
        </w:tc>
      </w:tr>
    </w:tbl>
    <w:p w:rsidR="00DB039B" w:rsidRDefault="00DB039B">
      <w:pPr>
        <w:spacing w:before="223"/>
      </w:pPr>
    </w:p>
    <w:tbl>
      <w:tblPr>
        <w:tblStyle w:val="TableNormal"/>
        <w:tblW w:w="572" w:type="dxa"/>
        <w:tblInd w:w="6169"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572"/>
      </w:tblGrid>
      <w:tr w:rsidR="00DB039B">
        <w:trPr>
          <w:trHeight w:val="443"/>
        </w:trPr>
        <w:tc>
          <w:tcPr>
            <w:tcW w:w="572" w:type="dxa"/>
          </w:tcPr>
          <w:p w:rsidR="00DB039B" w:rsidRDefault="00F242B3">
            <w:pPr>
              <w:pStyle w:val="TableText"/>
              <w:spacing w:before="53" w:line="213" w:lineRule="auto"/>
              <w:ind w:left="168" w:right="79"/>
            </w:pPr>
            <w:r>
              <w:pict>
                <v:rect id="_x0000_s1026" style="position:absolute;left:0;text-align:left;margin-left:-28.6pt;margin-top:9.05pt;width:3.65pt;height:4.2pt;z-index:251671552;mso-position-horizontal-relative:right-margin-area;mso-position-vertical-relative:top-margin-area" fillcolor="#231f20" stroked="f"/>
              </w:pict>
            </w:r>
            <w:r>
              <w:rPr>
                <w:color w:val="231F20"/>
                <w:spacing w:val="-3"/>
              </w:rPr>
              <w:t>现场</w:t>
            </w:r>
            <w:r>
              <w:rPr>
                <w:color w:val="231F20"/>
              </w:rPr>
              <w:t xml:space="preserve"> </w:t>
            </w:r>
            <w:r>
              <w:rPr>
                <w:color w:val="231F20"/>
                <w:spacing w:val="-3"/>
              </w:rPr>
              <w:t>勘查</w:t>
            </w:r>
          </w:p>
        </w:tc>
      </w:tr>
    </w:tbl>
    <w:p w:rsidR="00DB039B" w:rsidRDefault="00F242B3">
      <w:pPr>
        <w:spacing w:line="423" w:lineRule="exact"/>
        <w:ind w:firstLine="5528"/>
      </w:pPr>
      <w:r>
        <w:rPr>
          <w:position w:val="-8"/>
        </w:rPr>
        <w:drawing>
          <wp:inline distT="0" distB="0" distL="0" distR="0">
            <wp:extent cx="53187" cy="268293"/>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53187" cy="268293"/>
                    </a:xfrm>
                    <a:prstGeom prst="rect">
                      <a:avLst/>
                    </a:prstGeom>
                  </pic:spPr>
                </pic:pic>
              </a:graphicData>
            </a:graphic>
          </wp:inline>
        </w:drawing>
      </w:r>
    </w:p>
    <w:p w:rsidR="00DB039B" w:rsidRDefault="00DB039B">
      <w:pPr>
        <w:spacing w:line="14" w:lineRule="exact"/>
      </w:pPr>
    </w:p>
    <w:tbl>
      <w:tblPr>
        <w:tblStyle w:val="TableNormal"/>
        <w:tblW w:w="819" w:type="dxa"/>
        <w:tblInd w:w="5160" w:type="dxa"/>
        <w:tblBorders>
          <w:top w:val="single" w:sz="4" w:space="0" w:color="231F20"/>
          <w:left w:val="single" w:sz="4" w:space="0" w:color="231F20"/>
          <w:bottom w:val="single" w:sz="4" w:space="0" w:color="231F20"/>
          <w:right w:val="single" w:sz="4" w:space="0" w:color="231F20"/>
        </w:tblBorders>
        <w:tblLayout w:type="fixed"/>
        <w:tblLook w:val="04A0" w:firstRow="1" w:lastRow="0" w:firstColumn="1" w:lastColumn="0" w:noHBand="0" w:noVBand="1"/>
      </w:tblPr>
      <w:tblGrid>
        <w:gridCol w:w="819"/>
      </w:tblGrid>
      <w:tr w:rsidR="00DB039B">
        <w:trPr>
          <w:trHeight w:val="445"/>
        </w:trPr>
        <w:tc>
          <w:tcPr>
            <w:tcW w:w="819" w:type="dxa"/>
          </w:tcPr>
          <w:p w:rsidR="00DB039B" w:rsidRDefault="00F242B3">
            <w:pPr>
              <w:pStyle w:val="TableText"/>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rsidR="00DB039B" w:rsidRDefault="00DB039B"/>
    <w:p w:rsidR="00DB039B" w:rsidRDefault="00DB039B">
      <w:pPr>
        <w:sectPr w:rsidR="00DB039B">
          <w:headerReference w:type="default" r:id="rId14"/>
          <w:pgSz w:w="10772" w:h="11906"/>
          <w:pgMar w:top="400" w:right="2" w:bottom="0" w:left="1615" w:header="0" w:footer="0" w:gutter="0"/>
          <w:cols w:space="720"/>
        </w:sectPr>
      </w:pPr>
    </w:p>
    <w:p w:rsidR="00DB039B" w:rsidRDefault="00DB039B">
      <w:pPr>
        <w:spacing w:before="14"/>
      </w:pPr>
    </w:p>
    <w:p w:rsidR="00DB039B" w:rsidRDefault="00DB039B">
      <w:pPr>
        <w:sectPr w:rsidR="00DB039B">
          <w:headerReference w:type="default" r:id="rId15"/>
          <w:pgSz w:w="10772" w:h="11906"/>
          <w:pgMar w:top="400" w:right="581" w:bottom="0" w:left="557" w:header="0" w:footer="0" w:gutter="0"/>
          <w:cols w:space="720" w:equalWidth="0">
            <w:col w:w="9633" w:space="0"/>
          </w:cols>
        </w:sectPr>
      </w:pPr>
    </w:p>
    <w:p w:rsidR="00DB039B" w:rsidRDefault="00F242B3">
      <w:pPr>
        <w:spacing w:before="50" w:line="203" w:lineRule="auto"/>
        <w:ind w:left="456"/>
        <w:rPr>
          <w:rFonts w:ascii="微软雅黑" w:eastAsia="微软雅黑" w:hAnsi="微软雅黑" w:cs="微软雅黑"/>
          <w:sz w:val="22"/>
          <w:szCs w:val="22"/>
        </w:rPr>
      </w:pPr>
      <w:r>
        <w:rPr>
          <w:rFonts w:ascii="微软雅黑" w:eastAsia="微软雅黑" w:hAnsi="微软雅黑" w:cs="微软雅黑"/>
          <w:color w:val="231F20"/>
          <w:spacing w:val="-1"/>
          <w:sz w:val="22"/>
          <w:szCs w:val="22"/>
        </w:rPr>
        <w:t>八、审批时限</w:t>
      </w:r>
    </w:p>
    <w:p w:rsidR="00DB039B" w:rsidRDefault="00F242B3">
      <w:pPr>
        <w:pStyle w:val="a3"/>
        <w:spacing w:before="44" w:line="233" w:lineRule="auto"/>
        <w:ind w:left="472"/>
      </w:pPr>
      <w:r>
        <w:rPr>
          <w:color w:val="231F20"/>
          <w:spacing w:val="-2"/>
        </w:rPr>
        <w:t>法定时限：</w:t>
      </w:r>
      <w:r>
        <w:rPr>
          <w:color w:val="231F20"/>
          <w:spacing w:val="-2"/>
        </w:rPr>
        <w:t>15</w:t>
      </w:r>
      <w:r>
        <w:rPr>
          <w:color w:val="231F20"/>
          <w:spacing w:val="-2"/>
        </w:rPr>
        <w:t>个工作日</w:t>
      </w:r>
    </w:p>
    <w:p w:rsidR="00DB039B" w:rsidRDefault="00F242B3">
      <w:pPr>
        <w:pStyle w:val="a3"/>
        <w:spacing w:before="47" w:line="232" w:lineRule="auto"/>
        <w:ind w:left="463"/>
      </w:pPr>
      <w:r>
        <w:rPr>
          <w:color w:val="231F20"/>
          <w:spacing w:val="-2"/>
        </w:rPr>
        <w:t>承诺时限：</w:t>
      </w:r>
      <w:r>
        <w:rPr>
          <w:color w:val="231F20"/>
          <w:spacing w:val="-2"/>
        </w:rPr>
        <w:t>3</w:t>
      </w:r>
      <w:r>
        <w:rPr>
          <w:color w:val="231F20"/>
          <w:spacing w:val="-2"/>
        </w:rPr>
        <w:t>个工作日</w:t>
      </w:r>
    </w:p>
    <w:p w:rsidR="00DB039B" w:rsidRDefault="00F242B3">
      <w:pPr>
        <w:spacing w:before="46" w:line="203" w:lineRule="auto"/>
        <w:ind w:left="459"/>
        <w:rPr>
          <w:rFonts w:ascii="微软雅黑" w:eastAsia="微软雅黑" w:hAnsi="微软雅黑" w:cs="微软雅黑"/>
          <w:sz w:val="22"/>
          <w:szCs w:val="22"/>
        </w:rPr>
      </w:pPr>
      <w:r>
        <w:rPr>
          <w:rFonts w:ascii="微软雅黑" w:eastAsia="微软雅黑" w:hAnsi="微软雅黑" w:cs="微软雅黑"/>
          <w:color w:val="231F20"/>
          <w:spacing w:val="-2"/>
          <w:sz w:val="22"/>
          <w:szCs w:val="22"/>
        </w:rPr>
        <w:t>九、收费情况</w:t>
      </w:r>
    </w:p>
    <w:p w:rsidR="00DB039B" w:rsidRDefault="00F242B3">
      <w:pPr>
        <w:pStyle w:val="a3"/>
        <w:spacing w:before="43" w:line="233" w:lineRule="auto"/>
        <w:ind w:left="468"/>
      </w:pPr>
      <w:r>
        <w:rPr>
          <w:color w:val="231F20"/>
          <w:spacing w:val="-5"/>
        </w:rPr>
        <w:t>不收费</w:t>
      </w:r>
    </w:p>
    <w:p w:rsidR="00DB039B" w:rsidRDefault="00F242B3">
      <w:pPr>
        <w:spacing w:before="42" w:line="205" w:lineRule="auto"/>
        <w:ind w:left="463"/>
        <w:rPr>
          <w:rFonts w:ascii="微软雅黑" w:eastAsia="微软雅黑" w:hAnsi="微软雅黑" w:cs="微软雅黑"/>
          <w:sz w:val="22"/>
          <w:szCs w:val="22"/>
        </w:rPr>
      </w:pPr>
      <w:r>
        <w:rPr>
          <w:rFonts w:ascii="微软雅黑" w:eastAsia="微软雅黑" w:hAnsi="微软雅黑" w:cs="微软雅黑"/>
          <w:color w:val="231F20"/>
          <w:spacing w:val="-3"/>
          <w:sz w:val="22"/>
          <w:szCs w:val="22"/>
        </w:rPr>
        <w:t>十、网办网址</w:t>
      </w:r>
    </w:p>
    <w:p w:rsidR="00DB039B" w:rsidRDefault="00F242B3">
      <w:pPr>
        <w:pStyle w:val="a3"/>
        <w:spacing w:before="41" w:line="219" w:lineRule="auto"/>
        <w:ind w:left="466"/>
      </w:pPr>
      <w:hyperlink r:id="rId16" w:history="1">
        <w:r>
          <w:rPr>
            <w:color w:val="231F20"/>
            <w:spacing w:val="-1"/>
          </w:rPr>
          <w:t>http://tscfdhbzwfw.gov.cn/</w:t>
        </w:r>
      </w:hyperlink>
    </w:p>
    <w:p w:rsidR="001B218A" w:rsidRDefault="001B218A" w:rsidP="001B218A">
      <w:pPr>
        <w:spacing w:before="52" w:line="204" w:lineRule="auto"/>
        <w:ind w:left="463"/>
        <w:rPr>
          <w:rFonts w:ascii="微软雅黑" w:eastAsia="微软雅黑" w:hAnsi="微软雅黑" w:cs="微软雅黑"/>
          <w:noProof w:val="0"/>
          <w:sz w:val="22"/>
          <w:szCs w:val="22"/>
          <w:lang w:eastAsia="zh-CN"/>
        </w:rPr>
      </w:pPr>
      <w:r>
        <w:rPr>
          <w:rFonts w:ascii="微软雅黑" w:eastAsia="微软雅黑" w:hAnsi="微软雅黑" w:cs="微软雅黑" w:hint="eastAsia"/>
          <w:color w:val="231F20"/>
          <w:spacing w:val="-4"/>
          <w:sz w:val="22"/>
          <w:szCs w:val="22"/>
          <w:lang w:eastAsia="zh-CN"/>
        </w:rPr>
        <w:t>十一、办理地点</w:t>
      </w:r>
    </w:p>
    <w:p w:rsidR="001B218A" w:rsidRDefault="001B218A" w:rsidP="001B218A">
      <w:pPr>
        <w:pStyle w:val="a3"/>
        <w:spacing w:before="41" w:line="244" w:lineRule="auto"/>
        <w:ind w:left="51" w:right="2" w:firstLine="409"/>
        <w:rPr>
          <w:rFonts w:ascii="方正仿宋简体" w:eastAsia="方正仿宋简体" w:hAnsi="方正仿宋简体" w:cs="方正仿宋简体" w:hint="eastAsia"/>
          <w:color w:val="231F20"/>
          <w:spacing w:val="-3"/>
          <w:lang w:eastAsia="zh-CN"/>
        </w:rPr>
      </w:pPr>
      <w:r>
        <w:rPr>
          <w:rFonts w:hint="eastAsia"/>
          <w:color w:val="231F20"/>
          <w:spacing w:val="-3"/>
          <w:lang w:eastAsia="zh-CN"/>
        </w:rPr>
        <w:t xml:space="preserve">1. </w:t>
      </w:r>
      <w:r>
        <w:rPr>
          <w:rFonts w:ascii="宋体" w:eastAsia="宋体" w:hAnsi="宋体" w:cs="宋体" w:hint="eastAsia"/>
          <w:color w:val="231F20"/>
          <w:spacing w:val="-3"/>
          <w:lang w:eastAsia="zh-CN"/>
        </w:rPr>
        <w:t>中国（河北）自由贸易试验区曹妃甸片区政务服务中心、唐山市曹妃甸区临港政务服务中心综合受理窗口</w:t>
      </w:r>
      <w:r>
        <w:rPr>
          <w:rFonts w:hint="eastAsia"/>
          <w:color w:val="231F20"/>
          <w:spacing w:val="-3"/>
          <w:lang w:eastAsia="zh-CN"/>
        </w:rPr>
        <w:t>B01-B06</w:t>
      </w:r>
      <w:r>
        <w:rPr>
          <w:rFonts w:ascii="宋体" w:eastAsia="宋体" w:hAnsi="宋体" w:cs="宋体" w:hint="eastAsia"/>
          <w:color w:val="231F20"/>
          <w:spacing w:val="-3"/>
          <w:lang w:eastAsia="zh-CN"/>
        </w:rPr>
        <w:t>（曹妃甸工业区兴业道</w:t>
      </w:r>
      <w:r>
        <w:rPr>
          <w:rFonts w:hint="eastAsia"/>
          <w:color w:val="231F20"/>
          <w:spacing w:val="-3"/>
          <w:lang w:eastAsia="zh-CN"/>
        </w:rPr>
        <w:t xml:space="preserve"> 1 </w:t>
      </w:r>
      <w:r>
        <w:rPr>
          <w:rFonts w:ascii="宋体" w:eastAsia="宋体" w:hAnsi="宋体" w:cs="宋体" w:hint="eastAsia"/>
          <w:color w:val="231F20"/>
          <w:spacing w:val="-3"/>
          <w:lang w:eastAsia="zh-CN"/>
        </w:rPr>
        <w:t>号二层）。</w:t>
      </w:r>
    </w:p>
    <w:p w:rsidR="001B218A" w:rsidRDefault="001B218A" w:rsidP="001B218A">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2. </w:t>
      </w:r>
      <w:r>
        <w:rPr>
          <w:rFonts w:ascii="宋体" w:eastAsia="宋体" w:hAnsi="宋体" w:cs="宋体" w:hint="eastAsia"/>
          <w:color w:val="231F20"/>
          <w:spacing w:val="-3"/>
          <w:lang w:eastAsia="zh-CN"/>
        </w:rPr>
        <w:t>唐山市曹妃甸区垦区政务服务中心综合受理窗口</w:t>
      </w:r>
      <w:r>
        <w:rPr>
          <w:rFonts w:hint="eastAsia"/>
          <w:color w:val="231F20"/>
          <w:spacing w:val="-3"/>
          <w:lang w:eastAsia="zh-CN"/>
        </w:rPr>
        <w:t>W1-W6</w:t>
      </w:r>
      <w:r>
        <w:rPr>
          <w:rFonts w:ascii="宋体" w:eastAsia="宋体" w:hAnsi="宋体" w:cs="宋体" w:hint="eastAsia"/>
          <w:color w:val="231F20"/>
          <w:spacing w:val="-3"/>
          <w:lang w:eastAsia="zh-CN"/>
        </w:rPr>
        <w:t>（曹妃甸区唐海镇新城大街</w:t>
      </w:r>
      <w:r>
        <w:rPr>
          <w:rFonts w:hint="eastAsia"/>
          <w:color w:val="231F20"/>
          <w:spacing w:val="-3"/>
          <w:lang w:eastAsia="zh-CN"/>
        </w:rPr>
        <w:t xml:space="preserve"> 259 </w:t>
      </w:r>
      <w:r>
        <w:rPr>
          <w:rFonts w:ascii="宋体" w:eastAsia="宋体" w:hAnsi="宋体" w:cs="宋体" w:hint="eastAsia"/>
          <w:color w:val="231F20"/>
          <w:spacing w:val="-3"/>
          <w:lang w:eastAsia="zh-CN"/>
        </w:rPr>
        <w:t>号二层）。</w:t>
      </w:r>
    </w:p>
    <w:p w:rsidR="001B218A" w:rsidRDefault="001B218A" w:rsidP="001B218A">
      <w:pPr>
        <w:pStyle w:val="a3"/>
        <w:spacing w:before="41" w:line="244" w:lineRule="auto"/>
        <w:ind w:left="51" w:right="2" w:firstLine="409"/>
        <w:rPr>
          <w:rFonts w:hint="eastAsia"/>
          <w:color w:val="231F20"/>
          <w:spacing w:val="-3"/>
          <w:lang w:eastAsia="zh-CN"/>
        </w:rPr>
      </w:pPr>
      <w:r>
        <w:rPr>
          <w:rFonts w:hint="eastAsia"/>
          <w:color w:val="231F20"/>
          <w:spacing w:val="-3"/>
          <w:lang w:eastAsia="zh-CN"/>
        </w:rPr>
        <w:t xml:space="preserve">3. </w:t>
      </w:r>
      <w:r>
        <w:rPr>
          <w:rFonts w:ascii="宋体" w:eastAsia="宋体" w:hAnsi="宋体" w:cs="宋体" w:hint="eastAsia"/>
          <w:color w:val="231F20"/>
          <w:spacing w:val="-3"/>
          <w:lang w:eastAsia="zh-CN"/>
        </w:rPr>
        <w:t>唐山市曹妃甸区曹妃甸新城政务服务中心综合受理窗口</w:t>
      </w:r>
      <w:r>
        <w:rPr>
          <w:rFonts w:hint="eastAsia"/>
          <w:color w:val="231F20"/>
          <w:spacing w:val="-3"/>
          <w:lang w:eastAsia="zh-CN"/>
        </w:rPr>
        <w:t>B02-B05</w:t>
      </w:r>
      <w:r>
        <w:rPr>
          <w:rFonts w:ascii="宋体" w:eastAsia="宋体" w:hAnsi="宋体" w:cs="宋体" w:hint="eastAsia"/>
          <w:color w:val="231F20"/>
          <w:spacing w:val="-3"/>
          <w:lang w:eastAsia="zh-CN"/>
        </w:rPr>
        <w:t>（曹妃甸区新城通海路）。</w:t>
      </w:r>
    </w:p>
    <w:p w:rsidR="001B218A" w:rsidRDefault="001B218A" w:rsidP="001B218A">
      <w:pPr>
        <w:pStyle w:val="a3"/>
        <w:spacing w:before="41" w:line="244" w:lineRule="auto"/>
        <w:ind w:left="51" w:right="2" w:firstLine="409"/>
        <w:rPr>
          <w:rFonts w:hint="eastAsia"/>
          <w:color w:val="231F20"/>
          <w:spacing w:val="-3"/>
          <w:lang w:eastAsia="zh-CN"/>
        </w:rPr>
      </w:pPr>
      <w:r>
        <w:rPr>
          <w:rFonts w:ascii="宋体" w:eastAsia="宋体" w:hAnsi="宋体" w:cs="宋体" w:hint="eastAsia"/>
          <w:color w:val="231F20"/>
          <w:spacing w:val="-3"/>
          <w:lang w:eastAsia="zh-CN"/>
        </w:rPr>
        <w:t>交通指引：</w:t>
      </w:r>
    </w:p>
    <w:p w:rsidR="001B218A" w:rsidRDefault="001B218A" w:rsidP="001B218A">
      <w:pPr>
        <w:pStyle w:val="a3"/>
        <w:spacing w:before="41" w:line="244" w:lineRule="auto"/>
        <w:ind w:left="51" w:right="2" w:firstLine="409"/>
        <w:rPr>
          <w:rFonts w:hint="eastAsia"/>
          <w:color w:val="231F20"/>
          <w:spacing w:val="-3"/>
          <w:lang w:eastAsia="zh-CN"/>
        </w:rPr>
      </w:pPr>
      <w:r>
        <w:rPr>
          <w:rFonts w:hint="eastAsia"/>
          <w:color w:val="231F20"/>
          <w:spacing w:val="-3"/>
          <w:lang w:eastAsia="zh-CN"/>
        </w:rPr>
        <w:t>1.</w:t>
      </w:r>
      <w:r>
        <w:rPr>
          <w:rFonts w:ascii="宋体" w:eastAsia="宋体" w:hAnsi="宋体" w:cs="宋体" w:hint="eastAsia"/>
          <w:color w:val="231F20"/>
          <w:spacing w:val="-3"/>
          <w:lang w:eastAsia="zh-CN"/>
        </w:rPr>
        <w:t>临港中心：乘坐公交</w:t>
      </w:r>
      <w:r>
        <w:rPr>
          <w:rFonts w:hint="eastAsia"/>
          <w:color w:val="231F20"/>
          <w:spacing w:val="-3"/>
          <w:lang w:eastAsia="zh-CN"/>
        </w:rPr>
        <w:t>K1</w:t>
      </w:r>
      <w:r>
        <w:rPr>
          <w:rFonts w:ascii="宋体" w:eastAsia="宋体" w:hAnsi="宋体" w:cs="宋体" w:hint="eastAsia"/>
          <w:color w:val="231F20"/>
          <w:spacing w:val="-3"/>
          <w:lang w:eastAsia="zh-CN"/>
        </w:rPr>
        <w:t>支线</w:t>
      </w:r>
      <w:r>
        <w:rPr>
          <w:rFonts w:hint="eastAsia"/>
          <w:color w:val="231F20"/>
          <w:spacing w:val="-3"/>
          <w:lang w:eastAsia="zh-CN"/>
        </w:rPr>
        <w:t>/K1</w:t>
      </w:r>
      <w:r>
        <w:rPr>
          <w:rFonts w:ascii="宋体" w:eastAsia="宋体" w:hAnsi="宋体" w:cs="宋体" w:hint="eastAsia"/>
          <w:color w:val="231F20"/>
          <w:spacing w:val="-3"/>
          <w:lang w:eastAsia="zh-CN"/>
        </w:rPr>
        <w:t>专线，四大联检下车（曹妃甸工业区兴业道</w:t>
      </w:r>
      <w:r>
        <w:rPr>
          <w:rFonts w:hint="eastAsia"/>
          <w:color w:val="231F20"/>
          <w:spacing w:val="-3"/>
          <w:lang w:eastAsia="zh-CN"/>
        </w:rPr>
        <w:t>1</w:t>
      </w:r>
      <w:r>
        <w:rPr>
          <w:rFonts w:ascii="宋体" w:eastAsia="宋体" w:hAnsi="宋体" w:cs="宋体" w:hint="eastAsia"/>
          <w:color w:val="231F20"/>
          <w:spacing w:val="-3"/>
          <w:lang w:eastAsia="zh-CN"/>
        </w:rPr>
        <w:t>号）；</w:t>
      </w:r>
    </w:p>
    <w:p w:rsidR="001B218A" w:rsidRDefault="001B218A" w:rsidP="001B218A">
      <w:pPr>
        <w:pStyle w:val="a3"/>
        <w:spacing w:before="41" w:line="244" w:lineRule="auto"/>
        <w:ind w:left="51" w:right="2" w:firstLine="409"/>
        <w:rPr>
          <w:rFonts w:hint="eastAsia"/>
          <w:color w:val="231F20"/>
          <w:spacing w:val="-3"/>
          <w:lang w:eastAsia="zh-CN"/>
        </w:rPr>
      </w:pPr>
      <w:r>
        <w:rPr>
          <w:rFonts w:hint="eastAsia"/>
          <w:color w:val="231F20"/>
          <w:spacing w:val="-3"/>
          <w:lang w:eastAsia="zh-CN"/>
        </w:rPr>
        <w:t>2.</w:t>
      </w:r>
      <w:r>
        <w:rPr>
          <w:rFonts w:ascii="宋体" w:eastAsia="宋体" w:hAnsi="宋体" w:cs="宋体" w:hint="eastAsia"/>
          <w:color w:val="231F20"/>
          <w:spacing w:val="-3"/>
          <w:lang w:eastAsia="zh-CN"/>
        </w:rPr>
        <w:t>垦区中心：乘坐公交</w:t>
      </w:r>
      <w:r>
        <w:rPr>
          <w:rFonts w:hint="eastAsia"/>
          <w:color w:val="231F20"/>
          <w:spacing w:val="-3"/>
          <w:lang w:eastAsia="zh-CN"/>
        </w:rPr>
        <w:t>101</w:t>
      </w:r>
      <w:r>
        <w:rPr>
          <w:rFonts w:ascii="宋体" w:eastAsia="宋体" w:hAnsi="宋体" w:cs="宋体" w:hint="eastAsia"/>
          <w:color w:val="231F20"/>
          <w:spacing w:val="-3"/>
          <w:lang w:eastAsia="zh-CN"/>
        </w:rPr>
        <w:t>路</w:t>
      </w:r>
      <w:r>
        <w:rPr>
          <w:rFonts w:hint="eastAsia"/>
          <w:color w:val="231F20"/>
          <w:spacing w:val="-3"/>
          <w:lang w:eastAsia="zh-CN"/>
        </w:rPr>
        <w:t>/102</w:t>
      </w:r>
      <w:r>
        <w:rPr>
          <w:rFonts w:ascii="宋体" w:eastAsia="宋体" w:hAnsi="宋体" w:cs="宋体" w:hint="eastAsia"/>
          <w:color w:val="231F20"/>
          <w:spacing w:val="-3"/>
          <w:lang w:eastAsia="zh-CN"/>
        </w:rPr>
        <w:t>路，行政审批大厅下车（曹妃甸新城大街与唐海路交叉口西行</w:t>
      </w:r>
      <w:r>
        <w:rPr>
          <w:rFonts w:hint="eastAsia"/>
          <w:color w:val="231F20"/>
          <w:spacing w:val="-3"/>
          <w:lang w:eastAsia="zh-CN"/>
        </w:rPr>
        <w:t>200</w:t>
      </w:r>
      <w:r>
        <w:rPr>
          <w:rFonts w:ascii="宋体" w:eastAsia="宋体" w:hAnsi="宋体" w:cs="宋体" w:hint="eastAsia"/>
          <w:color w:val="231F20"/>
          <w:spacing w:val="-3"/>
          <w:lang w:eastAsia="zh-CN"/>
        </w:rPr>
        <w:t>米）</w:t>
      </w:r>
    </w:p>
    <w:p w:rsidR="001B218A" w:rsidRDefault="001B218A" w:rsidP="001B218A">
      <w:pPr>
        <w:pStyle w:val="a3"/>
        <w:spacing w:before="41" w:line="244" w:lineRule="auto"/>
        <w:ind w:left="51" w:right="2" w:firstLine="409"/>
        <w:rPr>
          <w:rFonts w:hint="eastAsia"/>
          <w:lang w:eastAsia="zh-CN"/>
        </w:rPr>
      </w:pPr>
      <w:r>
        <w:rPr>
          <w:rFonts w:hint="eastAsia"/>
          <w:color w:val="231F20"/>
          <w:spacing w:val="-3"/>
          <w:lang w:eastAsia="zh-CN"/>
        </w:rPr>
        <w:t>3.</w:t>
      </w:r>
      <w:r>
        <w:rPr>
          <w:rFonts w:ascii="宋体" w:eastAsia="宋体" w:hAnsi="宋体" w:cs="宋体" w:hint="eastAsia"/>
          <w:color w:val="231F20"/>
          <w:spacing w:val="-3"/>
          <w:lang w:eastAsia="zh-CN"/>
        </w:rPr>
        <w:t>新城中心：乘坐公交</w:t>
      </w:r>
      <w:r>
        <w:rPr>
          <w:rFonts w:hint="eastAsia"/>
          <w:color w:val="231F20"/>
          <w:spacing w:val="-3"/>
          <w:lang w:eastAsia="zh-CN"/>
        </w:rPr>
        <w:t>K2</w:t>
      </w:r>
      <w:r>
        <w:rPr>
          <w:rFonts w:ascii="宋体" w:eastAsia="宋体" w:hAnsi="宋体" w:cs="宋体" w:hint="eastAsia"/>
          <w:color w:val="231F20"/>
          <w:spacing w:val="-3"/>
          <w:lang w:eastAsia="zh-CN"/>
        </w:rPr>
        <w:t>路，新城服务中心下车（曹妃甸新城未来大道</w:t>
      </w:r>
      <w:r>
        <w:rPr>
          <w:rFonts w:hint="eastAsia"/>
          <w:color w:val="231F20"/>
          <w:spacing w:val="-3"/>
          <w:lang w:eastAsia="zh-CN"/>
        </w:rPr>
        <w:t>1</w:t>
      </w:r>
      <w:r>
        <w:rPr>
          <w:rFonts w:ascii="宋体" w:eastAsia="宋体" w:hAnsi="宋体" w:cs="宋体" w:hint="eastAsia"/>
          <w:color w:val="231F20"/>
          <w:spacing w:val="-3"/>
          <w:lang w:eastAsia="zh-CN"/>
        </w:rPr>
        <w:t>号）；</w:t>
      </w:r>
    </w:p>
    <w:p w:rsidR="001B218A" w:rsidRDefault="001B218A" w:rsidP="001B218A">
      <w:pPr>
        <w:spacing w:before="37" w:line="204"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十二、办公时间</w:t>
      </w:r>
    </w:p>
    <w:p w:rsidR="001B218A" w:rsidRDefault="001B218A" w:rsidP="001B218A">
      <w:pPr>
        <w:spacing w:before="34" w:line="201" w:lineRule="auto"/>
        <w:ind w:left="463"/>
        <w:rPr>
          <w:rFonts w:ascii="方正仿宋简体" w:eastAsia="方正仿宋简体" w:hAnsi="方正仿宋简体" w:cs="方正仿宋简体" w:hint="eastAsia"/>
          <w:color w:val="231F20"/>
          <w:spacing w:val="-3"/>
          <w:sz w:val="22"/>
          <w:szCs w:val="22"/>
          <w:lang w:eastAsia="zh-CN"/>
        </w:rPr>
      </w:pPr>
      <w:r>
        <w:rPr>
          <w:rFonts w:ascii="方正仿宋简体" w:eastAsia="方正仿宋简体" w:hAnsi="方正仿宋简体" w:cs="方正仿宋简体" w:hint="eastAsia"/>
          <w:color w:val="231F20"/>
          <w:spacing w:val="-3"/>
          <w:sz w:val="22"/>
          <w:szCs w:val="22"/>
          <w:lang w:eastAsia="zh-CN"/>
        </w:rPr>
        <w:t>周一到周五：春秋冬季（9月1日至5月31日）上午8:30～12:00，下午13:30～17:30；夏季（6月1日至8月31日）上午8:30～12:00，下午14:30～17:30，法定节假日除外。</w:t>
      </w:r>
    </w:p>
    <w:p w:rsidR="001B218A" w:rsidRDefault="001B218A" w:rsidP="001B218A">
      <w:pPr>
        <w:spacing w:before="34" w:line="201"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十三、咨询电话</w:t>
      </w:r>
    </w:p>
    <w:p w:rsidR="001B218A" w:rsidRDefault="001B218A" w:rsidP="001B218A">
      <w:pPr>
        <w:pStyle w:val="a3"/>
        <w:spacing w:before="34" w:line="249" w:lineRule="auto"/>
        <w:ind w:left="21" w:right="21" w:firstLine="440"/>
        <w:rPr>
          <w:rFonts w:ascii="方正仿宋简体" w:eastAsia="方正仿宋简体" w:hAnsi="方正仿宋简体" w:cs="方正仿宋简体" w:hint="eastAsia"/>
          <w:lang w:eastAsia="zh-CN"/>
        </w:rPr>
      </w:pPr>
      <w:r>
        <w:rPr>
          <w:rFonts w:hint="eastAsia"/>
          <w:color w:val="231F20"/>
          <w:spacing w:val="5"/>
          <w:lang w:eastAsia="zh-CN"/>
        </w:rPr>
        <w:t>03</w:t>
      </w:r>
      <w:r>
        <w:rPr>
          <w:rFonts w:hint="eastAsia"/>
          <w:color w:val="231F20"/>
          <w:spacing w:val="-7"/>
          <w:lang w:eastAsia="zh-CN"/>
        </w:rPr>
        <w:t xml:space="preserve"> </w:t>
      </w:r>
      <w:r>
        <w:rPr>
          <w:rFonts w:hint="eastAsia"/>
          <w:color w:val="231F20"/>
          <w:spacing w:val="5"/>
          <w:lang w:eastAsia="zh-CN"/>
        </w:rPr>
        <w:t>1</w:t>
      </w:r>
      <w:r>
        <w:rPr>
          <w:rFonts w:hint="eastAsia"/>
          <w:color w:val="231F20"/>
          <w:spacing w:val="-37"/>
          <w:lang w:eastAsia="zh-CN"/>
        </w:rPr>
        <w:t xml:space="preserve"> </w:t>
      </w:r>
      <w:r>
        <w:rPr>
          <w:rFonts w:hint="eastAsia"/>
          <w:color w:val="231F20"/>
          <w:spacing w:val="5"/>
          <w:lang w:eastAsia="zh-CN"/>
        </w:rPr>
        <w:t>5</w:t>
      </w:r>
      <w:r>
        <w:rPr>
          <w:rFonts w:hint="eastAsia"/>
          <w:color w:val="231F20"/>
          <w:spacing w:val="-36"/>
          <w:lang w:eastAsia="zh-CN"/>
        </w:rPr>
        <w:t xml:space="preserve"> </w:t>
      </w:r>
      <w:r>
        <w:rPr>
          <w:rFonts w:hint="eastAsia"/>
          <w:color w:val="231F20"/>
          <w:spacing w:val="5"/>
          <w:lang w:eastAsia="zh-CN"/>
        </w:rPr>
        <w:t>-</w:t>
      </w:r>
      <w:r>
        <w:rPr>
          <w:rFonts w:hint="eastAsia"/>
          <w:color w:val="231F20"/>
          <w:spacing w:val="-41"/>
          <w:lang w:eastAsia="zh-CN"/>
        </w:rPr>
        <w:t xml:space="preserve"> </w:t>
      </w:r>
      <w:r>
        <w:rPr>
          <w:rFonts w:hint="eastAsia"/>
          <w:color w:val="231F20"/>
          <w:spacing w:val="5"/>
          <w:lang w:eastAsia="zh-CN"/>
        </w:rPr>
        <w:t>8</w:t>
      </w:r>
      <w:r>
        <w:rPr>
          <w:rFonts w:hint="eastAsia"/>
          <w:color w:val="231F20"/>
          <w:spacing w:val="-40"/>
          <w:lang w:eastAsia="zh-CN"/>
        </w:rPr>
        <w:t xml:space="preserve"> </w:t>
      </w:r>
      <w:r>
        <w:rPr>
          <w:rFonts w:hint="eastAsia"/>
          <w:color w:val="231F20"/>
          <w:spacing w:val="5"/>
          <w:lang w:eastAsia="zh-CN"/>
        </w:rPr>
        <w:t>8</w:t>
      </w:r>
      <w:r>
        <w:rPr>
          <w:rFonts w:hint="eastAsia"/>
          <w:color w:val="231F20"/>
          <w:spacing w:val="-36"/>
          <w:lang w:eastAsia="zh-CN"/>
        </w:rPr>
        <w:t xml:space="preserve"> </w:t>
      </w:r>
      <w:r>
        <w:rPr>
          <w:rFonts w:hint="eastAsia"/>
          <w:color w:val="231F20"/>
          <w:spacing w:val="5"/>
          <w:lang w:eastAsia="zh-CN"/>
        </w:rPr>
        <w:t>51</w:t>
      </w:r>
      <w:r>
        <w:rPr>
          <w:rFonts w:hint="eastAsia"/>
          <w:color w:val="231F20"/>
          <w:spacing w:val="-40"/>
          <w:lang w:eastAsia="zh-CN"/>
        </w:rPr>
        <w:t xml:space="preserve"> </w:t>
      </w:r>
      <w:r>
        <w:rPr>
          <w:rFonts w:hint="eastAsia"/>
          <w:color w:val="231F20"/>
          <w:spacing w:val="5"/>
          <w:lang w:eastAsia="zh-CN"/>
        </w:rPr>
        <w:t>606</w:t>
      </w:r>
      <w:r>
        <w:rPr>
          <w:rFonts w:ascii="宋体" w:eastAsia="宋体" w:hAnsi="宋体" w:cs="宋体" w:hint="eastAsia"/>
          <w:color w:val="231F20"/>
          <w:spacing w:val="5"/>
          <w:lang w:eastAsia="zh-CN"/>
        </w:rPr>
        <w:t>（临</w:t>
      </w:r>
      <w:r>
        <w:rPr>
          <w:rFonts w:hint="eastAsia"/>
          <w:color w:val="231F20"/>
          <w:spacing w:val="-34"/>
          <w:lang w:eastAsia="zh-CN"/>
        </w:rPr>
        <w:t xml:space="preserve"> </w:t>
      </w:r>
      <w:r>
        <w:rPr>
          <w:rFonts w:ascii="宋体" w:eastAsia="宋体" w:hAnsi="宋体" w:cs="宋体" w:hint="eastAsia"/>
          <w:color w:val="231F20"/>
          <w:spacing w:val="5"/>
          <w:lang w:eastAsia="zh-CN"/>
        </w:rPr>
        <w:t>港</w:t>
      </w:r>
      <w:r>
        <w:rPr>
          <w:rFonts w:hint="eastAsia"/>
          <w:color w:val="231F20"/>
          <w:spacing w:val="5"/>
          <w:lang w:eastAsia="zh-CN"/>
        </w:rPr>
        <w:t xml:space="preserve"> </w:t>
      </w:r>
      <w:r>
        <w:rPr>
          <w:rFonts w:ascii="宋体" w:eastAsia="宋体" w:hAnsi="宋体" w:cs="宋体" w:hint="eastAsia"/>
          <w:color w:val="231F20"/>
          <w:spacing w:val="5"/>
          <w:lang w:eastAsia="zh-CN"/>
        </w:rPr>
        <w:t>中心</w:t>
      </w:r>
      <w:r>
        <w:rPr>
          <w:rFonts w:hint="eastAsia"/>
          <w:color w:val="231F20"/>
          <w:spacing w:val="-52"/>
          <w:lang w:eastAsia="zh-CN"/>
        </w:rPr>
        <w:t xml:space="preserve"> </w:t>
      </w:r>
      <w:r>
        <w:rPr>
          <w:rFonts w:ascii="宋体" w:eastAsia="宋体" w:hAnsi="宋体" w:cs="宋体" w:hint="eastAsia"/>
          <w:color w:val="231F20"/>
          <w:spacing w:val="5"/>
          <w:lang w:eastAsia="zh-CN"/>
        </w:rPr>
        <w:t>）</w:t>
      </w:r>
      <w:r>
        <w:rPr>
          <w:rFonts w:hint="eastAsia"/>
          <w:color w:val="231F20"/>
          <w:spacing w:val="-51"/>
          <w:lang w:eastAsia="zh-CN"/>
        </w:rPr>
        <w:t xml:space="preserve"> </w:t>
      </w:r>
      <w:r>
        <w:rPr>
          <w:rFonts w:ascii="宋体" w:eastAsia="宋体" w:hAnsi="宋体" w:cs="宋体" w:hint="eastAsia"/>
          <w:color w:val="231F20"/>
          <w:spacing w:val="5"/>
          <w:lang w:eastAsia="zh-CN"/>
        </w:rPr>
        <w:t>、</w:t>
      </w:r>
      <w:r>
        <w:rPr>
          <w:rFonts w:hint="eastAsia"/>
          <w:color w:val="231F20"/>
          <w:lang w:eastAsia="zh-CN"/>
        </w:rPr>
        <w:t xml:space="preserve"> </w:t>
      </w:r>
      <w:r>
        <w:rPr>
          <w:rFonts w:hint="eastAsia"/>
          <w:color w:val="231F20"/>
          <w:spacing w:val="-14"/>
          <w:lang w:eastAsia="zh-CN"/>
        </w:rPr>
        <w:t>0 3 1 5 - 8 7 8 7 0 5 0</w:t>
      </w:r>
      <w:r>
        <w:rPr>
          <w:rFonts w:hint="eastAsia"/>
          <w:color w:val="231F20"/>
          <w:spacing w:val="-26"/>
          <w:lang w:eastAsia="zh-CN"/>
        </w:rPr>
        <w:t xml:space="preserve"> </w:t>
      </w:r>
      <w:r>
        <w:rPr>
          <w:rFonts w:ascii="宋体" w:eastAsia="宋体" w:hAnsi="宋体" w:cs="宋体" w:hint="eastAsia"/>
          <w:color w:val="231F20"/>
          <w:spacing w:val="-14"/>
          <w:lang w:eastAsia="zh-CN"/>
        </w:rPr>
        <w:t>（</w:t>
      </w:r>
      <w:r>
        <w:rPr>
          <w:rFonts w:hint="eastAsia"/>
          <w:color w:val="231F20"/>
          <w:spacing w:val="-14"/>
          <w:lang w:eastAsia="zh-CN"/>
        </w:rPr>
        <w:t xml:space="preserve"> </w:t>
      </w:r>
      <w:r>
        <w:rPr>
          <w:rFonts w:ascii="宋体" w:eastAsia="宋体" w:hAnsi="宋体" w:cs="宋体" w:hint="eastAsia"/>
          <w:color w:val="231F20"/>
          <w:spacing w:val="-14"/>
          <w:lang w:eastAsia="zh-CN"/>
        </w:rPr>
        <w:t>垦</w:t>
      </w:r>
      <w:r>
        <w:rPr>
          <w:rFonts w:hint="eastAsia"/>
          <w:color w:val="231F20"/>
          <w:spacing w:val="16"/>
          <w:lang w:eastAsia="zh-CN"/>
        </w:rPr>
        <w:t xml:space="preserve"> </w:t>
      </w:r>
      <w:r>
        <w:rPr>
          <w:rFonts w:ascii="宋体" w:eastAsia="宋体" w:hAnsi="宋体" w:cs="宋体" w:hint="eastAsia"/>
          <w:color w:val="231F20"/>
          <w:spacing w:val="-14"/>
          <w:lang w:eastAsia="zh-CN"/>
        </w:rPr>
        <w:t>区</w:t>
      </w:r>
      <w:r>
        <w:rPr>
          <w:rFonts w:hint="eastAsia"/>
          <w:color w:val="231F20"/>
          <w:spacing w:val="17"/>
          <w:lang w:eastAsia="zh-CN"/>
        </w:rPr>
        <w:t xml:space="preserve"> </w:t>
      </w:r>
      <w:r>
        <w:rPr>
          <w:rFonts w:ascii="宋体" w:eastAsia="宋体" w:hAnsi="宋体" w:cs="宋体" w:hint="eastAsia"/>
          <w:color w:val="231F20"/>
          <w:spacing w:val="-14"/>
          <w:lang w:eastAsia="zh-CN"/>
        </w:rPr>
        <w:t>中</w:t>
      </w:r>
      <w:r>
        <w:rPr>
          <w:rFonts w:hint="eastAsia"/>
          <w:color w:val="231F20"/>
          <w:spacing w:val="-15"/>
          <w:lang w:eastAsia="zh-CN"/>
        </w:rPr>
        <w:t xml:space="preserve"> </w:t>
      </w:r>
      <w:r>
        <w:rPr>
          <w:rFonts w:ascii="宋体" w:eastAsia="宋体" w:hAnsi="宋体" w:cs="宋体" w:hint="eastAsia"/>
          <w:color w:val="231F20"/>
          <w:spacing w:val="-15"/>
          <w:lang w:eastAsia="zh-CN"/>
        </w:rPr>
        <w:t>心</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spacing w:val="-26"/>
          <w:lang w:eastAsia="zh-CN"/>
        </w:rPr>
        <w:t xml:space="preserve"> </w:t>
      </w:r>
      <w:r>
        <w:rPr>
          <w:rFonts w:ascii="宋体" w:eastAsia="宋体" w:hAnsi="宋体" w:cs="宋体" w:hint="eastAsia"/>
          <w:color w:val="231F20"/>
          <w:spacing w:val="-15"/>
          <w:lang w:eastAsia="zh-CN"/>
        </w:rPr>
        <w:t>、</w:t>
      </w:r>
      <w:r>
        <w:rPr>
          <w:rFonts w:hint="eastAsia"/>
          <w:color w:val="231F20"/>
          <w:lang w:eastAsia="zh-CN"/>
        </w:rPr>
        <w:t xml:space="preserve"> </w:t>
      </w:r>
      <w:r>
        <w:rPr>
          <w:rFonts w:hint="eastAsia"/>
          <w:color w:val="231F20"/>
          <w:spacing w:val="-1"/>
          <w:lang w:eastAsia="zh-CN"/>
        </w:rPr>
        <w:t>0315-7721104</w:t>
      </w:r>
      <w:r>
        <w:rPr>
          <w:rFonts w:ascii="宋体" w:eastAsia="宋体" w:hAnsi="宋体" w:cs="宋体" w:hint="eastAsia"/>
          <w:color w:val="231F20"/>
          <w:spacing w:val="-1"/>
          <w:lang w:eastAsia="zh-CN"/>
        </w:rPr>
        <w:t>（新城中心）</w:t>
      </w:r>
    </w:p>
    <w:p w:rsidR="001B218A" w:rsidRDefault="001B218A" w:rsidP="001B218A">
      <w:pPr>
        <w:spacing w:before="36" w:line="196" w:lineRule="auto"/>
        <w:ind w:left="463"/>
        <w:rPr>
          <w:rFonts w:ascii="微软雅黑" w:eastAsia="微软雅黑" w:hAnsi="微软雅黑" w:cs="微软雅黑" w:hint="eastAsia"/>
          <w:sz w:val="22"/>
          <w:szCs w:val="22"/>
          <w:lang w:eastAsia="zh-CN"/>
        </w:rPr>
      </w:pPr>
      <w:r>
        <w:rPr>
          <w:rFonts w:ascii="微软雅黑" w:eastAsia="微软雅黑" w:hAnsi="微软雅黑" w:cs="微软雅黑" w:hint="eastAsia"/>
          <w:color w:val="231F20"/>
          <w:spacing w:val="-2"/>
          <w:sz w:val="22"/>
          <w:szCs w:val="22"/>
          <w:lang w:eastAsia="zh-CN"/>
        </w:rPr>
        <w:t>十四、监督（投诉）电话</w:t>
      </w:r>
    </w:p>
    <w:p w:rsidR="001B218A" w:rsidRDefault="001B218A" w:rsidP="001B218A">
      <w:pPr>
        <w:pStyle w:val="a3"/>
        <w:spacing w:before="70" w:line="189" w:lineRule="auto"/>
        <w:ind w:left="461"/>
        <w:rPr>
          <w:rFonts w:ascii="方正仿宋简体" w:eastAsia="方正仿宋简体" w:hAnsi="方正仿宋简体" w:cs="方正仿宋简体" w:hint="eastAsia"/>
        </w:rPr>
      </w:pPr>
      <w:r>
        <w:rPr>
          <w:rFonts w:hint="eastAsia"/>
          <w:color w:val="231F20"/>
          <w:spacing w:val="-1"/>
        </w:rPr>
        <w:t>0315-8787068</w:t>
      </w:r>
    </w:p>
    <w:p w:rsidR="001B218A" w:rsidRDefault="001B218A" w:rsidP="001B218A">
      <w:pPr>
        <w:numPr>
          <w:ilvl w:val="0"/>
          <w:numId w:val="1"/>
        </w:numPr>
        <w:spacing w:before="63" w:line="201" w:lineRule="auto"/>
        <w:ind w:left="463"/>
        <w:textAlignment w:val="auto"/>
        <w:rPr>
          <w:rFonts w:ascii="微软雅黑" w:eastAsia="微软雅黑" w:hAnsi="微软雅黑" w:cs="微软雅黑" w:hint="eastAsia"/>
          <w:color w:val="231F20"/>
          <w:spacing w:val="-2"/>
          <w:sz w:val="22"/>
          <w:szCs w:val="22"/>
        </w:rPr>
      </w:pPr>
      <w:r>
        <w:rPr>
          <w:rFonts w:ascii="微软雅黑" w:eastAsia="微软雅黑" w:hAnsi="微软雅黑" w:cs="微软雅黑" w:hint="eastAsia"/>
          <w:color w:val="231F20"/>
          <w:spacing w:val="-2"/>
          <w:sz w:val="22"/>
          <w:szCs w:val="22"/>
        </w:rPr>
        <w:t>救济途径</w:t>
      </w:r>
    </w:p>
    <w:p w:rsidR="00DB039B" w:rsidRDefault="001B218A" w:rsidP="001B218A">
      <w:pPr>
        <w:spacing w:before="63" w:line="205" w:lineRule="auto"/>
        <w:ind w:left="463"/>
      </w:pPr>
      <w:r>
        <w:rPr>
          <w:color w:val="231F20"/>
          <w:spacing w:val="-3"/>
          <w:lang w:eastAsia="zh-CN"/>
        </w:rPr>
        <w:t>申请人如对行政许可决定不服，可于收到决定书之日起六十日内向唐山市曹妃甸区人民政府申请复议，也</w:t>
      </w:r>
      <w:r>
        <w:rPr>
          <w:color w:val="231F20"/>
          <w:spacing w:val="-3"/>
          <w:lang w:eastAsia="zh-CN"/>
        </w:rPr>
        <w:t>可以于六个月内依法向唐山市曹妃甸区人民法院提起行政诉讼</w:t>
      </w:r>
      <w:r>
        <w:rPr>
          <w:rFonts w:ascii="微软雅黑" w:eastAsia="微软雅黑" w:hAnsi="微软雅黑" w:cs="微软雅黑" w:hint="eastAsia"/>
          <w:color w:val="231F20"/>
          <w:spacing w:val="-3"/>
          <w:lang w:eastAsia="zh-CN"/>
        </w:rPr>
        <w:t>。</w:t>
      </w:r>
      <w:bookmarkStart w:id="0" w:name="_GoBack"/>
      <w:bookmarkEnd w:id="0"/>
    </w:p>
    <w:sectPr w:rsidR="00DB039B">
      <w:type w:val="continuous"/>
      <w:pgSz w:w="10772" w:h="11906"/>
      <w:pgMar w:top="400" w:right="581" w:bottom="0" w:left="557" w:header="0" w:footer="0" w:gutter="0"/>
      <w:cols w:num="2" w:space="720" w:equalWidth="0">
        <w:col w:w="5329" w:space="100"/>
        <w:col w:w="4204"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2B3" w:rsidRDefault="00F242B3">
      <w:r>
        <w:separator/>
      </w:r>
    </w:p>
  </w:endnote>
  <w:endnote w:type="continuationSeparator" w:id="0">
    <w:p w:rsidR="00F242B3" w:rsidRDefault="00F2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FZFangSong-Z02S">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方正仿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2B3" w:rsidRDefault="00F242B3">
      <w:r>
        <w:separator/>
      </w:r>
    </w:p>
  </w:footnote>
  <w:footnote w:type="continuationSeparator" w:id="0">
    <w:p w:rsidR="00F242B3" w:rsidRDefault="00F24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39B" w:rsidRDefault="00DB039B">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39B" w:rsidRDefault="00DB039B">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8AA1FB"/>
    <w:multiLevelType w:val="singleLevel"/>
    <w:tmpl w:val="848AA1FB"/>
    <w:lvl w:ilvl="0">
      <w:start w:val="15"/>
      <w:numFmt w:val="chineseCounting"/>
      <w:suff w:val="nothing"/>
      <w:lvlText w:val="%1、"/>
      <w:lvlJc w:val="left"/>
      <w:pPr>
        <w:ind w:left="0" w:firstLine="0"/>
      </w:pPr>
    </w:lvl>
  </w:abstractNum>
  <w:num w:numId="1">
    <w:abstractNumId w:val="0"/>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DB039B"/>
    <w:rsid w:val="001B218A"/>
    <w:rsid w:val="00DB039B"/>
    <w:rsid w:val="00F24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79A29409-7DA8-481E-9707-9CA1D662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napToGrid w:val="0"/>
        <w:color w:val="000000"/>
        <w:sz w:val="21"/>
        <w:szCs w:val="21"/>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16"/>
      <w:szCs w:val="16"/>
    </w:rPr>
  </w:style>
  <w:style w:type="paragraph" w:styleId="a3">
    <w:name w:val="Body Text"/>
    <w:basedOn w:val="a"/>
    <w:semiHidden/>
    <w:qFormat/>
    <w:rPr>
      <w:rFonts w:ascii="FZFangSong-Z02S" w:eastAsia="FZFangSong-Z02S" w:hAnsi="FZFangSong-Z02S" w:cs="FZFangSong-Z02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42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scfdhbzwfw.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烟花爆竹经营（零售）许可证核发</dc:title>
  <cp:lastModifiedBy>Admin</cp:lastModifiedBy>
  <cp:revision>2</cp:revision>
  <dcterms:created xsi:type="dcterms:W3CDTF">2022-11-04T14:10:00Z</dcterms:created>
  <dcterms:modified xsi:type="dcterms:W3CDTF">2023-08-01T09:10:00Z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2023-08-01T16:20:01Z</vt:filetime>
  </property>
</Properties>
</file>