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before="103" w:line="175" w:lineRule="auto"/>
        <w:ind w:left="456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2397125</wp:posOffset>
            </wp:positionH>
            <wp:positionV relativeFrom="paragraph">
              <wp:posOffset>-1044575</wp:posOffset>
            </wp:positionV>
            <wp:extent cx="3416935" cy="7555865"/>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8"/>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在电力设施周</w:t>
      </w:r>
      <w:r>
        <w:rPr>
          <w:rFonts w:ascii="微软雅黑" w:hAnsi="微软雅黑" w:eastAsia="微软雅黑" w:cs="微软雅黑"/>
          <w:color w:val="231F20"/>
          <w:sz w:val="24"/>
          <w:szCs w:val="24"/>
        </w:rPr>
        <w:t>围或电力设施保护区内</w:t>
      </w:r>
      <w:r>
        <w:rPr>
          <w:rFonts w:ascii="微软雅黑" w:hAnsi="微软雅黑" w:eastAsia="微软雅黑" w:cs="微软雅黑"/>
          <w:color w:val="231F20"/>
          <w:spacing w:val="-1"/>
          <w:sz w:val="24"/>
          <w:szCs w:val="24"/>
        </w:rPr>
        <w:t>进行可能危</w:t>
      </w:r>
      <w:r>
        <w:rPr>
          <w:rFonts w:ascii="微软雅黑" w:hAnsi="微软雅黑" w:eastAsia="微软雅黑" w:cs="微软雅黑"/>
          <w:color w:val="231F20"/>
          <w:sz w:val="24"/>
          <w:szCs w:val="24"/>
        </w:rPr>
        <w:t>及电力设施安全作业的审批</w:t>
      </w:r>
      <w:r>
        <w:rPr>
          <w:rFonts w:ascii="微软雅黑" w:hAnsi="微软雅黑" w:eastAsia="微软雅黑" w:cs="微软雅黑"/>
          <w:color w:val="231F20"/>
          <w:spacing w:val="-2"/>
          <w:sz w:val="24"/>
          <w:szCs w:val="24"/>
        </w:rPr>
        <w:t>服</w:t>
      </w:r>
      <w:r>
        <w:rPr>
          <w:rFonts w:ascii="微软雅黑" w:hAnsi="微软雅黑" w:eastAsia="微软雅黑" w:cs="微软雅黑"/>
          <w:color w:val="231F20"/>
          <w:spacing w:val="-1"/>
          <w:sz w:val="24"/>
          <w:szCs w:val="24"/>
        </w:rPr>
        <w:t>务指南</w:t>
      </w:r>
    </w:p>
    <w:p>
      <w:pPr>
        <w:spacing w:before="155" w:line="292" w:lineRule="exact"/>
        <w:ind w:left="4798"/>
        <w:rPr>
          <w:rFonts w:ascii="宋体" w:hAnsi="宋体" w:eastAsia="宋体" w:cs="宋体"/>
          <w:sz w:val="22"/>
          <w:szCs w:val="22"/>
        </w:rPr>
      </w:pPr>
      <w:r>
        <w:rPr>
          <w:rFonts w:ascii="宋体" w:hAnsi="宋体" w:eastAsia="宋体" w:cs="宋体"/>
          <w:color w:val="231F20"/>
          <w:spacing w:val="-2"/>
          <w:position w:val="1"/>
          <w:sz w:val="22"/>
          <w:szCs w:val="22"/>
        </w:rPr>
        <w:t>一、事项名称</w:t>
      </w:r>
    </w:p>
    <w:p>
      <w:pPr>
        <w:spacing w:before="68" w:line="264" w:lineRule="auto"/>
        <w:ind w:left="4357" w:right="592" w:firstLine="439"/>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2"/>
          <w:sz w:val="22"/>
          <w:szCs w:val="22"/>
        </w:rPr>
        <w:t>在电力设施周围或电</w:t>
      </w:r>
      <w:r>
        <w:rPr>
          <w:rFonts w:ascii="方正仿宋简体" w:hAnsi="方正仿宋简体" w:eastAsia="方正仿宋简体" w:cs="方正仿宋简体"/>
          <w:color w:val="231F20"/>
          <w:spacing w:val="1"/>
          <w:sz w:val="22"/>
          <w:szCs w:val="22"/>
        </w:rPr>
        <w:t>力设施保护区内进</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1"/>
          <w:sz w:val="22"/>
          <w:szCs w:val="22"/>
        </w:rPr>
        <w:t>行可能危及电力设施安全作业</w:t>
      </w:r>
      <w:r>
        <w:rPr>
          <w:rFonts w:ascii="方正仿宋简体" w:hAnsi="方正仿宋简体" w:eastAsia="方正仿宋简体" w:cs="方正仿宋简体"/>
          <w:color w:val="231F20"/>
          <w:sz w:val="22"/>
          <w:szCs w:val="22"/>
        </w:rPr>
        <w:t>的审批</w:t>
      </w:r>
    </w:p>
    <w:p>
      <w:pPr>
        <w:spacing w:line="289" w:lineRule="exact"/>
        <w:ind w:left="4797"/>
        <w:rPr>
          <w:rFonts w:ascii="宋体" w:hAnsi="宋体" w:eastAsia="宋体" w:cs="宋体"/>
          <w:sz w:val="22"/>
          <w:szCs w:val="22"/>
        </w:rPr>
      </w:pPr>
      <w:r>
        <w:rPr>
          <w:rFonts w:ascii="宋体" w:hAnsi="宋体" w:eastAsia="宋体" w:cs="宋体"/>
          <w:color w:val="231F20"/>
          <w:spacing w:val="-2"/>
          <w:position w:val="1"/>
          <w:sz w:val="22"/>
          <w:szCs w:val="22"/>
        </w:rPr>
        <w:t>二、办理依</w:t>
      </w:r>
      <w:r>
        <w:rPr>
          <w:rFonts w:ascii="宋体" w:hAnsi="宋体" w:eastAsia="宋体" w:cs="宋体"/>
          <w:color w:val="231F20"/>
          <w:spacing w:val="-1"/>
          <w:position w:val="1"/>
          <w:sz w:val="22"/>
          <w:szCs w:val="22"/>
        </w:rPr>
        <w:t>据</w:t>
      </w:r>
    </w:p>
    <w:p>
      <w:pPr>
        <w:tabs>
          <w:tab w:val="left" w:pos="4445"/>
        </w:tabs>
        <w:spacing w:before="73" w:line="265" w:lineRule="auto"/>
        <w:ind w:left="4335" w:right="590" w:firstLine="432"/>
        <w:rPr>
          <w:rFonts w:hint="eastAsia" w:ascii="方正仿宋简体" w:hAnsi="方正仿宋简体" w:eastAsia="方正仿宋简体" w:cs="方正仿宋简体"/>
          <w:color w:val="231F20"/>
          <w:spacing w:val="-1"/>
          <w:sz w:val="22"/>
          <w:szCs w:val="22"/>
          <w:lang w:eastAsia="zh-CN"/>
        </w:rPr>
      </w:pPr>
      <w:r>
        <w:rPr>
          <w:rFonts w:ascii="方正仿宋简体" w:hAnsi="方正仿宋简体" w:eastAsia="方正仿宋简体" w:cs="方正仿宋简体"/>
          <w:color w:val="231F20"/>
          <w:spacing w:val="1"/>
          <w:sz w:val="22"/>
          <w:szCs w:val="22"/>
        </w:rPr>
        <w:t>《电力设施保护条例</w:t>
      </w:r>
      <w:r>
        <w:rPr>
          <w:rFonts w:ascii="方正仿宋简体" w:hAnsi="方正仿宋简体" w:eastAsia="方正仿宋简体" w:cs="方正仿宋简体"/>
          <w:color w:val="231F20"/>
          <w:sz w:val="22"/>
          <w:szCs w:val="22"/>
        </w:rPr>
        <w:t xml:space="preserve">》第十七条   任何 </w:t>
      </w:r>
      <w:r>
        <w:rPr>
          <w:rFonts w:ascii="方正仿宋简体" w:hAnsi="方正仿宋简体" w:eastAsia="方正仿宋简体" w:cs="方正仿宋简体"/>
          <w:color w:val="231F20"/>
          <w:spacing w:val="4"/>
          <w:sz w:val="22"/>
          <w:szCs w:val="22"/>
        </w:rPr>
        <w:t>单位或个人</w:t>
      </w:r>
      <w:r>
        <w:rPr>
          <w:rFonts w:ascii="方正仿宋简体" w:hAnsi="方正仿宋简体" w:eastAsia="方正仿宋简体" w:cs="方正仿宋简体"/>
          <w:color w:val="231F20"/>
          <w:spacing w:val="3"/>
          <w:sz w:val="22"/>
          <w:szCs w:val="22"/>
        </w:rPr>
        <w:t>必</w:t>
      </w:r>
      <w:r>
        <w:rPr>
          <w:rFonts w:ascii="方正仿宋简体" w:hAnsi="方正仿宋简体" w:eastAsia="方正仿宋简体" w:cs="方正仿宋简体"/>
          <w:color w:val="231F20"/>
          <w:spacing w:val="2"/>
          <w:sz w:val="22"/>
          <w:szCs w:val="22"/>
        </w:rPr>
        <w:t>须经县级以上地方电力管理部</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4"/>
          <w:sz w:val="22"/>
          <w:szCs w:val="22"/>
        </w:rPr>
        <w:t>门批准，并</w:t>
      </w:r>
      <w:r>
        <w:rPr>
          <w:rFonts w:ascii="方正仿宋简体" w:hAnsi="方正仿宋简体" w:eastAsia="方正仿宋简体" w:cs="方正仿宋简体"/>
          <w:color w:val="231F20"/>
          <w:spacing w:val="3"/>
          <w:sz w:val="22"/>
          <w:szCs w:val="22"/>
        </w:rPr>
        <w:t>采</w:t>
      </w:r>
      <w:r>
        <w:rPr>
          <w:rFonts w:ascii="方正仿宋简体" w:hAnsi="方正仿宋简体" w:eastAsia="方正仿宋简体" w:cs="方正仿宋简体"/>
          <w:color w:val="231F20"/>
          <w:spacing w:val="2"/>
          <w:sz w:val="22"/>
          <w:szCs w:val="22"/>
        </w:rPr>
        <w:t>取安全措施后，方可进行下列</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29"/>
          <w:sz w:val="22"/>
          <w:szCs w:val="22"/>
        </w:rPr>
        <w:t>作</w:t>
      </w:r>
      <w:r>
        <w:rPr>
          <w:rFonts w:ascii="方正仿宋简体" w:hAnsi="方正仿宋简体" w:eastAsia="方正仿宋简体" w:cs="方正仿宋简体"/>
          <w:color w:val="231F20"/>
          <w:spacing w:val="18"/>
          <w:sz w:val="22"/>
          <w:szCs w:val="22"/>
        </w:rPr>
        <w:t>业或活动：(一)在架空电力线路保护区</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15"/>
          <w:sz w:val="22"/>
          <w:szCs w:val="22"/>
        </w:rPr>
        <w:t>内进行农田水利基本建设工程及打桩、</w:t>
      </w:r>
      <w:r>
        <w:rPr>
          <w:rFonts w:ascii="方正仿宋简体" w:hAnsi="方正仿宋简体" w:eastAsia="方正仿宋简体" w:cs="方正仿宋简体"/>
          <w:color w:val="231F20"/>
          <w:spacing w:val="14"/>
          <w:sz w:val="22"/>
          <w:szCs w:val="22"/>
        </w:rPr>
        <w:t>钻</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29"/>
          <w:sz w:val="22"/>
          <w:szCs w:val="22"/>
        </w:rPr>
        <w:t>探</w:t>
      </w:r>
      <w:r>
        <w:rPr>
          <w:rFonts w:ascii="方正仿宋简体" w:hAnsi="方正仿宋简体" w:eastAsia="方正仿宋简体" w:cs="方正仿宋简体"/>
          <w:color w:val="231F20"/>
          <w:spacing w:val="18"/>
          <w:sz w:val="22"/>
          <w:szCs w:val="22"/>
        </w:rPr>
        <w:t>、开挖等作业；(二)起重机械的任何部</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36"/>
          <w:sz w:val="22"/>
          <w:szCs w:val="22"/>
        </w:rPr>
        <w:t>位</w:t>
      </w:r>
      <w:r>
        <w:rPr>
          <w:rFonts w:ascii="方正仿宋简体" w:hAnsi="方正仿宋简体" w:eastAsia="方正仿宋简体" w:cs="方正仿宋简体"/>
          <w:color w:val="231F20"/>
          <w:spacing w:val="26"/>
          <w:sz w:val="22"/>
          <w:szCs w:val="22"/>
        </w:rPr>
        <w:t>进入架空电力线路保护区进行施工；</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z w:val="22"/>
          <w:szCs w:val="22"/>
        </w:rPr>
        <w:tab/>
      </w:r>
      <w:r>
        <w:rPr>
          <w:rFonts w:ascii="方正仿宋简体" w:hAnsi="方正仿宋简体" w:eastAsia="方正仿宋简体" w:cs="方正仿宋简体"/>
          <w:color w:val="231F20"/>
          <w:spacing w:val="32"/>
          <w:sz w:val="22"/>
          <w:szCs w:val="22"/>
        </w:rPr>
        <w:t>(</w:t>
      </w:r>
      <w:r>
        <w:rPr>
          <w:rFonts w:ascii="方正仿宋简体" w:hAnsi="方正仿宋简体" w:eastAsia="方正仿宋简体" w:cs="方正仿宋简体"/>
          <w:color w:val="231F20"/>
          <w:spacing w:val="19"/>
          <w:sz w:val="22"/>
          <w:szCs w:val="22"/>
        </w:rPr>
        <w:t>三) 小于导线距穿越物体之间的安全距</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29"/>
          <w:sz w:val="22"/>
          <w:szCs w:val="22"/>
        </w:rPr>
        <w:t>离</w:t>
      </w:r>
      <w:r>
        <w:rPr>
          <w:rFonts w:ascii="方正仿宋简体" w:hAnsi="方正仿宋简体" w:eastAsia="方正仿宋简体" w:cs="方正仿宋简体"/>
          <w:color w:val="231F20"/>
          <w:spacing w:val="18"/>
          <w:sz w:val="22"/>
          <w:szCs w:val="22"/>
        </w:rPr>
        <w:t>，通过架空电力线路保护区；(四)在电</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2"/>
          <w:sz w:val="22"/>
          <w:szCs w:val="22"/>
        </w:rPr>
        <w:t>力</w:t>
      </w:r>
      <w:r>
        <w:rPr>
          <w:rFonts w:ascii="方正仿宋简体" w:hAnsi="方正仿宋简体" w:eastAsia="方正仿宋简体" w:cs="方正仿宋简体"/>
          <w:color w:val="231F20"/>
          <w:spacing w:val="-1"/>
          <w:sz w:val="22"/>
          <w:szCs w:val="22"/>
        </w:rPr>
        <w:t>电缆线路保护区内进行作业。《中华人民共和国电力法》</w:t>
      </w:r>
      <w:r>
        <w:rPr>
          <w:rFonts w:hint="eastAsia" w:ascii="方正仿宋简体" w:hAnsi="方正仿宋简体" w:eastAsia="方正仿宋简体" w:cs="方正仿宋简体"/>
          <w:color w:val="231F20"/>
          <w:spacing w:val="-1"/>
          <w:sz w:val="22"/>
          <w:szCs w:val="22"/>
        </w:rPr>
        <w:t>（2018年修订）第五十二条</w:t>
      </w:r>
      <w:r>
        <w:rPr>
          <w:rFonts w:hint="eastAsia" w:ascii="方正仿宋简体" w:hAnsi="方正仿宋简体" w:eastAsia="方正仿宋简体" w:cs="方正仿宋简体"/>
          <w:color w:val="231F20"/>
          <w:spacing w:val="-1"/>
          <w:sz w:val="22"/>
          <w:szCs w:val="22"/>
          <w:lang w:eastAsia="zh-CN"/>
        </w:rPr>
        <w:t>。</w:t>
      </w:r>
    </w:p>
    <w:p>
      <w:pPr>
        <w:spacing w:line="292" w:lineRule="exact"/>
        <w:ind w:left="4801"/>
        <w:rPr>
          <w:rFonts w:ascii="宋体" w:hAnsi="宋体" w:eastAsia="宋体" w:cs="宋体"/>
          <w:sz w:val="22"/>
          <w:szCs w:val="22"/>
        </w:rPr>
      </w:pPr>
      <w:r>
        <w:rPr>
          <w:rFonts w:ascii="宋体" w:hAnsi="宋体" w:eastAsia="宋体" w:cs="宋体"/>
          <w:color w:val="231F20"/>
          <w:spacing w:val="-4"/>
          <w:position w:val="1"/>
          <w:sz w:val="22"/>
          <w:szCs w:val="22"/>
        </w:rPr>
        <w:t>三</w:t>
      </w:r>
      <w:r>
        <w:rPr>
          <w:rFonts w:ascii="宋体" w:hAnsi="宋体" w:eastAsia="宋体" w:cs="宋体"/>
          <w:color w:val="231F20"/>
          <w:spacing w:val="-2"/>
          <w:position w:val="1"/>
          <w:sz w:val="22"/>
          <w:szCs w:val="22"/>
        </w:rPr>
        <w:t>、受理范围</w:t>
      </w:r>
    </w:p>
    <w:p>
      <w:pPr>
        <w:spacing w:before="68" w:line="264" w:lineRule="auto"/>
        <w:ind w:left="4367" w:right="592" w:firstLine="478"/>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2"/>
          <w:sz w:val="22"/>
          <w:szCs w:val="22"/>
        </w:rPr>
        <w:t>企业</w:t>
      </w:r>
      <w:r>
        <w:rPr>
          <w:rFonts w:ascii="方正仿宋简体" w:hAnsi="方正仿宋简体" w:eastAsia="方正仿宋简体" w:cs="方正仿宋简体"/>
          <w:color w:val="231F20"/>
          <w:spacing w:val="-1"/>
          <w:sz w:val="22"/>
          <w:szCs w:val="22"/>
        </w:rPr>
        <w:t>法人</w:t>
      </w:r>
    </w:p>
    <w:p>
      <w:pPr>
        <w:spacing w:line="291" w:lineRule="exact"/>
        <w:ind w:left="4808"/>
        <w:rPr>
          <w:rFonts w:ascii="宋体" w:hAnsi="宋体" w:eastAsia="宋体" w:cs="宋体"/>
          <w:sz w:val="22"/>
          <w:szCs w:val="22"/>
        </w:rPr>
      </w:pPr>
      <w:r>
        <w:rPr>
          <w:rFonts w:ascii="宋体" w:hAnsi="宋体" w:eastAsia="宋体" w:cs="宋体"/>
          <w:color w:val="231F20"/>
          <w:spacing w:val="-5"/>
          <w:position w:val="1"/>
          <w:sz w:val="22"/>
          <w:szCs w:val="22"/>
        </w:rPr>
        <w:t>四</w:t>
      </w:r>
      <w:r>
        <w:rPr>
          <w:rFonts w:ascii="宋体" w:hAnsi="宋体" w:eastAsia="宋体" w:cs="宋体"/>
          <w:color w:val="231F20"/>
          <w:spacing w:val="-3"/>
          <w:position w:val="1"/>
          <w:sz w:val="22"/>
          <w:szCs w:val="22"/>
        </w:rPr>
        <w:t>、受理條件</w:t>
      </w:r>
    </w:p>
    <w:p>
      <w:pPr>
        <w:spacing w:before="69" w:line="264" w:lineRule="auto"/>
        <w:ind w:left="4368" w:right="592" w:firstLine="428"/>
        <w:rPr>
          <w:rFonts w:ascii="方正仿宋简体" w:hAnsi="方正仿宋简体" w:eastAsia="方正仿宋简体" w:cs="方正仿宋简体"/>
          <w:color w:val="231F20"/>
          <w:spacing w:val="-5"/>
          <w:sz w:val="22"/>
          <w:szCs w:val="22"/>
        </w:rPr>
      </w:pPr>
      <w:r>
        <w:rPr>
          <w:rFonts w:ascii="方正仿宋简体" w:hAnsi="方正仿宋简体" w:eastAsia="方正仿宋简体" w:cs="方正仿宋简体"/>
          <w:color w:val="231F20"/>
          <w:spacing w:val="2"/>
          <w:sz w:val="22"/>
          <w:szCs w:val="22"/>
        </w:rPr>
        <w:t>提交材料齐全，符合法</w:t>
      </w:r>
      <w:r>
        <w:rPr>
          <w:rFonts w:ascii="方正仿宋简体" w:hAnsi="方正仿宋简体" w:eastAsia="方正仿宋简体" w:cs="方正仿宋简体"/>
          <w:color w:val="231F20"/>
          <w:spacing w:val="1"/>
          <w:sz w:val="22"/>
          <w:szCs w:val="22"/>
        </w:rPr>
        <w:t>定程序，内容真</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6"/>
          <w:sz w:val="22"/>
          <w:szCs w:val="22"/>
        </w:rPr>
        <w:t>实</w:t>
      </w:r>
      <w:r>
        <w:rPr>
          <w:rFonts w:ascii="方正仿宋简体" w:hAnsi="方正仿宋简体" w:eastAsia="方正仿宋简体" w:cs="方正仿宋简体"/>
          <w:color w:val="231F20"/>
          <w:spacing w:val="-5"/>
          <w:sz w:val="22"/>
          <w:szCs w:val="22"/>
        </w:rPr>
        <w:t>有效</w:t>
      </w:r>
    </w:p>
    <w:p>
      <w:pPr>
        <w:spacing w:line="290" w:lineRule="exact"/>
        <w:ind w:left="4796"/>
        <w:rPr>
          <w:rFonts w:ascii="宋体" w:hAnsi="宋体" w:eastAsia="宋体" w:cs="宋体"/>
          <w:sz w:val="22"/>
          <w:szCs w:val="22"/>
        </w:rPr>
      </w:pPr>
      <w:r>
        <w:rPr>
          <w:rFonts w:ascii="宋体" w:hAnsi="宋体" w:eastAsia="宋体" w:cs="宋体"/>
          <w:color w:val="231F20"/>
          <w:spacing w:val="-2"/>
          <w:position w:val="1"/>
          <w:sz w:val="22"/>
          <w:szCs w:val="22"/>
        </w:rPr>
        <w:t>五、所需</w:t>
      </w:r>
      <w:r>
        <w:rPr>
          <w:rFonts w:ascii="宋体" w:hAnsi="宋体" w:eastAsia="宋体" w:cs="宋体"/>
          <w:color w:val="231F20"/>
          <w:spacing w:val="-1"/>
          <w:position w:val="1"/>
          <w:sz w:val="22"/>
          <w:szCs w:val="22"/>
        </w:rPr>
        <w:t>材料</w:t>
      </w:r>
    </w:p>
    <w:p>
      <w:pPr>
        <w:spacing w:before="69" w:line="338" w:lineRule="exact"/>
        <w:ind w:left="4814"/>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7"/>
          <w:position w:val="2"/>
          <w:sz w:val="22"/>
          <w:szCs w:val="22"/>
        </w:rPr>
        <w:t>1</w:t>
      </w:r>
      <w:r>
        <w:rPr>
          <w:rFonts w:ascii="方正仿宋简体" w:hAnsi="方正仿宋简体" w:eastAsia="方正仿宋简体" w:cs="方正仿宋简体"/>
          <w:color w:val="231F20"/>
          <w:spacing w:val="-4"/>
          <w:position w:val="2"/>
          <w:sz w:val="22"/>
          <w:szCs w:val="22"/>
        </w:rPr>
        <w:t>.</w:t>
      </w:r>
      <w:r>
        <w:rPr>
          <w:rFonts w:hint="eastAsia" w:ascii="方正仿宋简体" w:hAnsi="方正仿宋简体" w:eastAsia="方正仿宋简体" w:cs="方正仿宋简体"/>
          <w:color w:val="231F20"/>
          <w:spacing w:val="-4"/>
          <w:position w:val="2"/>
          <w:sz w:val="22"/>
          <w:szCs w:val="22"/>
        </w:rPr>
        <w:t>行政许可申请书</w:t>
      </w:r>
      <w:r>
        <w:rPr>
          <w:rFonts w:ascii="方正仿宋简体" w:hAnsi="方正仿宋简体" w:eastAsia="方正仿宋简体" w:cs="方正仿宋简体"/>
          <w:color w:val="231F20"/>
          <w:spacing w:val="-4"/>
          <w:position w:val="2"/>
          <w:sz w:val="22"/>
          <w:szCs w:val="22"/>
        </w:rPr>
        <w:t>；</w:t>
      </w:r>
    </w:p>
    <w:p>
      <w:pPr>
        <w:spacing w:before="18" w:line="284" w:lineRule="auto"/>
        <w:ind w:left="4358" w:right="591" w:firstLine="440"/>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20"/>
          <w:sz w:val="22"/>
          <w:szCs w:val="22"/>
        </w:rPr>
        <w:t>2</w:t>
      </w:r>
      <w:r>
        <w:rPr>
          <w:rFonts w:ascii="方正仿宋简体" w:hAnsi="方正仿宋简体" w:eastAsia="方正仿宋简体" w:cs="方正仿宋简体"/>
          <w:color w:val="231F20"/>
          <w:spacing w:val="12"/>
          <w:sz w:val="22"/>
          <w:szCs w:val="22"/>
        </w:rPr>
        <w:t>.</w:t>
      </w:r>
      <w:r>
        <w:rPr>
          <w:rFonts w:hint="eastAsia" w:ascii="方正仿宋简体" w:hAnsi="方正仿宋简体" w:eastAsia="方正仿宋简体" w:cs="方正仿宋简体"/>
          <w:color w:val="231F20"/>
          <w:spacing w:val="12"/>
          <w:sz w:val="22"/>
          <w:szCs w:val="22"/>
        </w:rPr>
        <w:t>安全措施方案</w:t>
      </w:r>
      <w:r>
        <w:rPr>
          <w:rFonts w:ascii="方正仿宋简体" w:hAnsi="方正仿宋简体" w:eastAsia="方正仿宋简体" w:cs="方正仿宋简体"/>
          <w:color w:val="231F20"/>
          <w:spacing w:val="34"/>
          <w:sz w:val="22"/>
          <w:szCs w:val="22"/>
        </w:rPr>
        <w:t>；</w:t>
      </w:r>
    </w:p>
    <w:p>
      <w:pPr>
        <w:sectPr>
          <w:headerReference r:id="rId5" w:type="default"/>
          <w:pgSz w:w="10772" w:h="11906"/>
          <w:pgMar w:top="400" w:right="0" w:bottom="0" w:left="1615" w:header="0" w:footer="0" w:gutter="0"/>
          <w:cols w:space="720" w:num="1"/>
        </w:sectPr>
      </w:pPr>
    </w:p>
    <w:p>
      <w:r>
        <w:pict>
          <v:shape id="_x0000_s1032" o:spid="_x0000_s1032" style="position:absolute;left:0pt;margin-left:28.35pt;margin-top:218.65pt;height:23.7pt;width:0.6pt;mso-position-horizontal-relative:page;mso-position-vertical-relative:page;z-index:251660288;mso-width-relative:page;mso-height-relative:page;" filled="f" stroked="t" coordsize="12,474" o:allowincell="f" path="m5,473l5,0e">
            <v:fill on="f" focussize="0,0"/>
            <v:stroke weight="0.6pt" color="#231F20" miterlimit="10" joinstyle="miter"/>
            <v:imagedata o:title=""/>
            <o:lock v:ext="edit"/>
          </v:shape>
        </w:pict>
      </w:r>
    </w:p>
    <w:p>
      <w:pPr>
        <w:spacing w:line="33" w:lineRule="exact"/>
      </w:pPr>
    </w:p>
    <w:p>
      <w:pPr>
        <w:sectPr>
          <w:headerReference r:id="rId6" w:type="default"/>
          <w:pgSz w:w="10772" w:h="11906"/>
          <w:pgMar w:top="400" w:right="566" w:bottom="0" w:left="560" w:header="0" w:footer="0" w:gutter="0"/>
          <w:cols w:equalWidth="0" w:num="1">
            <w:col w:w="9645"/>
          </w:cols>
        </w:sectPr>
      </w:pPr>
    </w:p>
    <w:p>
      <w:pPr>
        <w:spacing w:before="50" w:line="268" w:lineRule="auto"/>
        <w:ind w:left="27" w:right="1047" w:firstLine="433"/>
        <w:rPr>
          <w:rFonts w:hint="eastAsia" w:ascii="方正仿宋简体" w:hAnsi="方正仿宋简体" w:eastAsia="方正仿宋简体" w:cs="方正仿宋简体"/>
          <w:sz w:val="22"/>
          <w:szCs w:val="22"/>
          <w:lang w:eastAsia="zh-CN"/>
        </w:rPr>
      </w:pPr>
      <w:r>
        <w:rPr>
          <w:rFonts w:ascii="方正仿宋简体" w:hAnsi="方正仿宋简体" w:eastAsia="方正仿宋简体" w:cs="方正仿宋简体"/>
          <w:color w:val="231F20"/>
          <w:spacing w:val="1"/>
          <w:sz w:val="22"/>
          <w:szCs w:val="22"/>
        </w:rPr>
        <w:t xml:space="preserve">3. </w:t>
      </w:r>
      <w:r>
        <w:rPr>
          <w:rFonts w:hint="eastAsia" w:ascii="方正仿宋简体" w:hAnsi="方正仿宋简体" w:eastAsia="方正仿宋简体" w:cs="方正仿宋简体"/>
          <w:color w:val="231F20"/>
          <w:spacing w:val="1"/>
          <w:sz w:val="22"/>
          <w:szCs w:val="22"/>
        </w:rPr>
        <w:t>电力行政管理部门书面意见</w:t>
      </w:r>
      <w:r>
        <w:rPr>
          <w:rFonts w:hint="eastAsia" w:ascii="方正仿宋简体" w:hAnsi="方正仿宋简体" w:eastAsia="方正仿宋简体" w:cs="方正仿宋简体"/>
          <w:color w:val="231F20"/>
          <w:spacing w:val="1"/>
          <w:sz w:val="22"/>
          <w:szCs w:val="22"/>
          <w:lang w:eastAsia="zh-CN"/>
        </w:rPr>
        <w:t>。</w:t>
      </w:r>
    </w:p>
    <w:p>
      <w:pPr>
        <w:spacing w:before="46" w:line="289" w:lineRule="exact"/>
        <w:ind w:left="462"/>
        <w:rPr>
          <w:rFonts w:ascii="宋体" w:hAnsi="宋体" w:eastAsia="宋体" w:cs="宋体"/>
          <w:sz w:val="22"/>
          <w:szCs w:val="22"/>
        </w:rPr>
      </w:pPr>
      <w:r>
        <w:rPr>
          <w:rFonts w:ascii="宋体" w:hAnsi="宋体" w:eastAsia="宋体" w:cs="宋体"/>
          <w:color w:val="231F20"/>
          <w:spacing w:val="-2"/>
          <w:position w:val="1"/>
          <w:sz w:val="22"/>
          <w:szCs w:val="22"/>
        </w:rPr>
        <w:t>六、审批机</w:t>
      </w:r>
      <w:r>
        <w:rPr>
          <w:rFonts w:ascii="宋体" w:hAnsi="宋体" w:eastAsia="宋体" w:cs="宋体"/>
          <w:color w:val="231F20"/>
          <w:spacing w:val="-1"/>
          <w:position w:val="1"/>
          <w:sz w:val="22"/>
          <w:szCs w:val="22"/>
        </w:rPr>
        <w:t>关</w:t>
      </w:r>
    </w:p>
    <w:p>
      <w:pPr>
        <w:spacing w:before="74" w:line="231" w:lineRule="auto"/>
        <w:ind w:left="460"/>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1"/>
          <w:sz w:val="22"/>
          <w:szCs w:val="22"/>
        </w:rPr>
        <w:t>唐山市曹妃甸区行政审批</w:t>
      </w:r>
      <w:r>
        <w:rPr>
          <w:rFonts w:ascii="方正仿宋简体" w:hAnsi="方正仿宋简体" w:eastAsia="方正仿宋简体" w:cs="方正仿宋简体"/>
          <w:color w:val="231F20"/>
          <w:sz w:val="22"/>
          <w:szCs w:val="22"/>
        </w:rPr>
        <w:t>局</w:t>
      </w:r>
    </w:p>
    <w:p>
      <w:pPr>
        <w:numPr>
          <w:ilvl w:val="0"/>
          <w:numId w:val="1"/>
        </w:numPr>
        <w:spacing w:before="47" w:line="290" w:lineRule="exact"/>
        <w:ind w:left="458"/>
        <w:rPr>
          <w:rFonts w:hint="eastAsia" w:ascii="宋体" w:hAnsi="宋体" w:eastAsia="宋体" w:cs="宋体"/>
          <w:color w:val="231F20"/>
          <w:spacing w:val="-1"/>
          <w:position w:val="1"/>
          <w:sz w:val="22"/>
          <w:szCs w:val="22"/>
          <w:lang w:eastAsia="zh-CN"/>
        </w:rPr>
      </w:pPr>
      <w:r>
        <w:rPr>
          <w:rFonts w:ascii="宋体" w:hAnsi="宋体" w:eastAsia="宋体" w:cs="宋体"/>
          <w:color w:val="231F20"/>
          <w:spacing w:val="-1"/>
          <w:position w:val="1"/>
          <w:sz w:val="22"/>
          <w:szCs w:val="22"/>
        </w:rPr>
        <w:t>事项办理流程图</w:t>
      </w:r>
    </w:p>
    <w:p>
      <w:pPr>
        <w:numPr>
          <w:ilvl w:val="0"/>
          <w:numId w:val="0"/>
        </w:numPr>
        <w:kinsoku w:val="0"/>
        <w:autoSpaceDE w:val="0"/>
        <w:autoSpaceDN w:val="0"/>
        <w:adjustRightInd w:val="0"/>
        <w:snapToGrid w:val="0"/>
        <w:spacing w:before="47" w:line="290" w:lineRule="exact"/>
        <w:jc w:val="left"/>
        <w:textAlignment w:val="baseline"/>
        <w:rPr>
          <w:rFonts w:hint="eastAsia" w:ascii="宋体" w:hAnsi="宋体" w:eastAsia="宋体" w:cs="宋体"/>
          <w:color w:val="231F20"/>
          <w:spacing w:val="-1"/>
          <w:position w:val="1"/>
          <w:sz w:val="22"/>
          <w:szCs w:val="22"/>
          <w:lang w:eastAsia="zh-CN"/>
        </w:rPr>
      </w:pPr>
    </w:p>
    <w:p>
      <w:pPr>
        <w:spacing w:line="352" w:lineRule="auto"/>
        <w:rPr>
          <w:rFonts w:ascii="Arial"/>
          <w:strike/>
          <w:dstrike w:val="0"/>
          <w:sz w:val="21"/>
          <w:u w:val="single"/>
        </w:rPr>
      </w:pPr>
      <w:r>
        <w:rPr>
          <w:rFonts w:hint="eastAsia" w:ascii="宋体" w:hAnsi="宋体" w:eastAsia="宋体" w:cs="宋体"/>
          <w:color w:val="231F20"/>
          <w:spacing w:val="-1"/>
          <w:position w:val="1"/>
          <w:sz w:val="22"/>
          <w:szCs w:val="22"/>
          <w:lang w:eastAsia="zh-CN"/>
        </w:rPr>
        <w:drawing>
          <wp:inline distT="0" distB="0" distL="114300" distR="114300">
            <wp:extent cx="2368550" cy="1050290"/>
            <wp:effectExtent l="0" t="0" r="12700" b="16510"/>
            <wp:docPr id="8" name="图片 8" descr="486386310da0536de09267fb45a38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486386310da0536de09267fb45a38cc"/>
                    <pic:cNvPicPr>
                      <a:picLocks noChangeAspect="1"/>
                    </pic:cNvPicPr>
                  </pic:nvPicPr>
                  <pic:blipFill>
                    <a:blip r:embed="rId9"/>
                    <a:stretch>
                      <a:fillRect/>
                    </a:stretch>
                  </pic:blipFill>
                  <pic:spPr>
                    <a:xfrm>
                      <a:off x="0" y="0"/>
                      <a:ext cx="2368550" cy="1050290"/>
                    </a:xfrm>
                    <a:prstGeom prst="rect">
                      <a:avLst/>
                    </a:prstGeom>
                  </pic:spPr>
                </pic:pic>
              </a:graphicData>
            </a:graphic>
          </wp:inline>
        </w:drawing>
      </w:r>
    </w:p>
    <w:p/>
    <w:p>
      <w:pPr>
        <w:spacing w:before="72" w:line="292" w:lineRule="exact"/>
        <w:ind w:left="456"/>
        <w:rPr>
          <w:rFonts w:ascii="宋体" w:hAnsi="宋体" w:eastAsia="宋体" w:cs="宋体"/>
          <w:sz w:val="22"/>
          <w:szCs w:val="22"/>
        </w:rPr>
      </w:pPr>
      <w:r>
        <w:rPr>
          <w:rFonts w:ascii="宋体" w:hAnsi="宋体" w:eastAsia="宋体" w:cs="宋体"/>
          <w:color w:val="231F20"/>
          <w:spacing w:val="-1"/>
          <w:position w:val="1"/>
          <w:sz w:val="22"/>
          <w:szCs w:val="22"/>
        </w:rPr>
        <w:t>八、审批时限</w:t>
      </w:r>
    </w:p>
    <w:p>
      <w:pPr>
        <w:spacing w:before="71" w:line="233" w:lineRule="auto"/>
        <w:ind w:left="472"/>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2"/>
          <w:sz w:val="22"/>
          <w:szCs w:val="22"/>
        </w:rPr>
        <w:t>法定时限：35个工作</w:t>
      </w:r>
      <w:r>
        <w:rPr>
          <w:rFonts w:ascii="方正仿宋简体" w:hAnsi="方正仿宋简体" w:eastAsia="方正仿宋简体" w:cs="方正仿宋简体"/>
          <w:color w:val="231F20"/>
          <w:spacing w:val="-1"/>
          <w:sz w:val="22"/>
          <w:szCs w:val="22"/>
        </w:rPr>
        <w:t>日</w:t>
      </w:r>
    </w:p>
    <w:p>
      <w:pPr>
        <w:spacing w:before="48" w:line="233" w:lineRule="auto"/>
        <w:ind w:left="463"/>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2"/>
          <w:sz w:val="22"/>
          <w:szCs w:val="22"/>
        </w:rPr>
        <w:t>承诺时</w:t>
      </w:r>
      <w:r>
        <w:rPr>
          <w:rFonts w:ascii="方正仿宋简体" w:hAnsi="方正仿宋简体" w:eastAsia="方正仿宋简体" w:cs="方正仿宋简体"/>
          <w:color w:val="231F20"/>
          <w:spacing w:val="-1"/>
          <w:sz w:val="22"/>
          <w:szCs w:val="22"/>
        </w:rPr>
        <w:t>限：1个工作日</w:t>
      </w:r>
    </w:p>
    <w:p>
      <w:pPr>
        <w:spacing w:before="44" w:line="291" w:lineRule="exact"/>
        <w:ind w:left="459"/>
        <w:rPr>
          <w:rFonts w:ascii="宋体" w:hAnsi="宋体" w:eastAsia="宋体" w:cs="宋体"/>
          <w:sz w:val="22"/>
          <w:szCs w:val="22"/>
        </w:rPr>
      </w:pPr>
      <w:r>
        <w:rPr>
          <w:rFonts w:ascii="宋体" w:hAnsi="宋体" w:eastAsia="宋体" w:cs="宋体"/>
          <w:color w:val="231F20"/>
          <w:spacing w:val="-2"/>
          <w:position w:val="1"/>
          <w:sz w:val="22"/>
          <w:szCs w:val="22"/>
        </w:rPr>
        <w:t>九、收</w:t>
      </w:r>
      <w:r>
        <w:rPr>
          <w:rFonts w:ascii="宋体" w:hAnsi="宋体" w:eastAsia="宋体" w:cs="宋体"/>
          <w:color w:val="231F20"/>
          <w:spacing w:val="-1"/>
          <w:position w:val="1"/>
          <w:sz w:val="22"/>
          <w:szCs w:val="22"/>
        </w:rPr>
        <w:t>费情况</w:t>
      </w:r>
    </w:p>
    <w:p>
      <w:pPr>
        <w:spacing w:before="72" w:line="233" w:lineRule="auto"/>
        <w:ind w:left="468"/>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5"/>
          <w:sz w:val="22"/>
          <w:szCs w:val="22"/>
        </w:rPr>
        <w:t>不</w:t>
      </w:r>
      <w:r>
        <w:rPr>
          <w:rFonts w:ascii="方正仿宋简体" w:hAnsi="方正仿宋简体" w:eastAsia="方正仿宋简体" w:cs="方正仿宋简体"/>
          <w:color w:val="231F20"/>
          <w:spacing w:val="-4"/>
          <w:sz w:val="22"/>
          <w:szCs w:val="22"/>
        </w:rPr>
        <w:t>收费</w:t>
      </w:r>
    </w:p>
    <w:p>
      <w:pPr>
        <w:spacing w:before="45" w:line="290" w:lineRule="exact"/>
        <w:ind w:left="463"/>
        <w:rPr>
          <w:rFonts w:ascii="宋体" w:hAnsi="宋体" w:eastAsia="宋体" w:cs="宋体"/>
          <w:sz w:val="22"/>
          <w:szCs w:val="22"/>
        </w:rPr>
      </w:pPr>
      <w:r>
        <w:rPr>
          <w:rFonts w:ascii="宋体" w:hAnsi="宋体" w:eastAsia="宋体" w:cs="宋体"/>
          <w:color w:val="231F20"/>
          <w:spacing w:val="-3"/>
          <w:position w:val="1"/>
          <w:sz w:val="22"/>
          <w:szCs w:val="22"/>
        </w:rPr>
        <w:t>十</w:t>
      </w:r>
      <w:r>
        <w:rPr>
          <w:rFonts w:ascii="宋体" w:hAnsi="宋体" w:eastAsia="宋体" w:cs="宋体"/>
          <w:color w:val="231F20"/>
          <w:spacing w:val="-2"/>
          <w:position w:val="1"/>
          <w:sz w:val="22"/>
          <w:szCs w:val="22"/>
        </w:rPr>
        <w:t>、网办网址</w:t>
      </w:r>
    </w:p>
    <w:p>
      <w:pPr>
        <w:spacing w:before="72" w:line="219" w:lineRule="auto"/>
        <w:ind w:left="466"/>
        <w:rPr>
          <w:rFonts w:ascii="方正仿宋简体" w:hAnsi="方正仿宋简体" w:eastAsia="方正仿宋简体" w:cs="方正仿宋简体"/>
          <w:sz w:val="22"/>
          <w:szCs w:val="22"/>
        </w:rPr>
      </w:pPr>
      <w:r>
        <w:fldChar w:fldCharType="begin"/>
      </w:r>
      <w:r>
        <w:instrText xml:space="preserve"> HYPERLINK "http://tscfdhbzwfw.gov.cn/" </w:instrText>
      </w:r>
      <w:r>
        <w:fldChar w:fldCharType="separate"/>
      </w:r>
      <w:r>
        <w:rPr>
          <w:rFonts w:ascii="方正仿宋简体" w:hAnsi="方正仿宋简体" w:eastAsia="方正仿宋简体" w:cs="方正仿宋简体"/>
          <w:color w:val="231F20"/>
          <w:spacing w:val="-1"/>
          <w:sz w:val="22"/>
          <w:szCs w:val="22"/>
        </w:rPr>
        <w:t>htt</w:t>
      </w:r>
      <w:r>
        <w:rPr>
          <w:rFonts w:ascii="方正仿宋简体" w:hAnsi="方正仿宋简体" w:eastAsia="方正仿宋简体" w:cs="方正仿宋简体"/>
          <w:color w:val="231F20"/>
          <w:sz w:val="22"/>
          <w:szCs w:val="22"/>
        </w:rPr>
        <w:t>p</w:t>
      </w:r>
      <w:r>
        <w:rPr>
          <w:rFonts w:ascii="方正仿宋简体" w:hAnsi="方正仿宋简体" w:eastAsia="方正仿宋简体" w:cs="方正仿宋简体"/>
          <w:color w:val="231F20"/>
          <w:spacing w:val="-1"/>
          <w:sz w:val="22"/>
          <w:szCs w:val="22"/>
        </w:rPr>
        <w:t>://</w:t>
      </w:r>
      <w:r>
        <w:rPr>
          <w:rFonts w:ascii="方正仿宋简体" w:hAnsi="方正仿宋简体" w:eastAsia="方正仿宋简体" w:cs="方正仿宋简体"/>
          <w:color w:val="231F20"/>
          <w:sz w:val="22"/>
          <w:szCs w:val="22"/>
        </w:rPr>
        <w:t>tscfdhbzwfw</w:t>
      </w:r>
      <w:r>
        <w:rPr>
          <w:rFonts w:ascii="方正仿宋简体" w:hAnsi="方正仿宋简体" w:eastAsia="方正仿宋简体" w:cs="方正仿宋简体"/>
          <w:color w:val="231F20"/>
          <w:spacing w:val="-1"/>
          <w:sz w:val="22"/>
          <w:szCs w:val="22"/>
        </w:rPr>
        <w:t>.</w:t>
      </w:r>
      <w:r>
        <w:rPr>
          <w:rFonts w:ascii="方正仿宋简体" w:hAnsi="方正仿宋简体" w:eastAsia="方正仿宋简体" w:cs="方正仿宋简体"/>
          <w:color w:val="231F20"/>
          <w:sz w:val="22"/>
          <w:szCs w:val="22"/>
        </w:rPr>
        <w:t>gov</w:t>
      </w:r>
      <w:r>
        <w:rPr>
          <w:rFonts w:ascii="方正仿宋简体" w:hAnsi="方正仿宋简体" w:eastAsia="方正仿宋简体" w:cs="方正仿宋简体"/>
          <w:color w:val="231F20"/>
          <w:spacing w:val="-1"/>
          <w:sz w:val="22"/>
          <w:szCs w:val="22"/>
        </w:rPr>
        <w:t>.</w:t>
      </w:r>
      <w:r>
        <w:rPr>
          <w:rFonts w:ascii="方正仿宋简体" w:hAnsi="方正仿宋简体" w:eastAsia="方正仿宋简体" w:cs="方正仿宋简体"/>
          <w:color w:val="231F20"/>
          <w:sz w:val="22"/>
          <w:szCs w:val="22"/>
        </w:rPr>
        <w:t>cn</w:t>
      </w:r>
      <w:r>
        <w:rPr>
          <w:rFonts w:ascii="方正仿宋简体" w:hAnsi="方正仿宋简体" w:eastAsia="方正仿宋简体" w:cs="方正仿宋简体"/>
          <w:color w:val="231F20"/>
          <w:spacing w:val="-1"/>
          <w:sz w:val="22"/>
          <w:szCs w:val="22"/>
        </w:rPr>
        <w:t>/</w:t>
      </w:r>
      <w:r>
        <w:rPr>
          <w:rFonts w:ascii="方正仿宋简体" w:hAnsi="方正仿宋简体" w:eastAsia="方正仿宋简体" w:cs="方正仿宋简体"/>
          <w:color w:val="231F20"/>
          <w:spacing w:val="-1"/>
          <w:sz w:val="22"/>
          <w:szCs w:val="22"/>
        </w:rPr>
        <w:fldChar w:fldCharType="end"/>
      </w:r>
    </w:p>
    <w:p>
      <w:pPr>
        <w:spacing w:before="64" w:line="290" w:lineRule="exact"/>
        <w:ind w:left="463"/>
        <w:rPr>
          <w:rFonts w:ascii="宋体" w:hAnsi="宋体" w:eastAsia="宋体" w:cs="宋体"/>
          <w:sz w:val="22"/>
          <w:szCs w:val="22"/>
        </w:rPr>
      </w:pPr>
      <w:r>
        <w:rPr>
          <w:rFonts w:ascii="宋体" w:hAnsi="宋体" w:eastAsia="宋体" w:cs="宋体"/>
          <w:color w:val="231F20"/>
          <w:spacing w:val="-2"/>
          <w:position w:val="1"/>
          <w:sz w:val="22"/>
          <w:szCs w:val="22"/>
        </w:rPr>
        <w:t>十一、办理地</w:t>
      </w:r>
      <w:r>
        <w:rPr>
          <w:rFonts w:ascii="宋体" w:hAnsi="宋体" w:eastAsia="宋体" w:cs="宋体"/>
          <w:color w:val="231F20"/>
          <w:spacing w:val="-1"/>
          <w:position w:val="1"/>
          <w:sz w:val="22"/>
          <w:szCs w:val="22"/>
        </w:rPr>
        <w:t>点</w:t>
      </w:r>
    </w:p>
    <w:p>
      <w:pPr>
        <w:spacing w:line="290" w:lineRule="exact"/>
        <w:ind w:left="463"/>
        <w:rPr>
          <w:rFonts w:hint="eastAsia" w:ascii="方正仿宋简体" w:hAnsi="方正仿宋简体" w:eastAsia="方正仿宋简体" w:cs="方正仿宋简体"/>
          <w:color w:val="231F20"/>
          <w:spacing w:val="20"/>
          <w:sz w:val="22"/>
          <w:szCs w:val="22"/>
        </w:rPr>
      </w:pPr>
      <w:r>
        <w:rPr>
          <w:rFonts w:hint="eastAsia" w:ascii="方正仿宋简体" w:hAnsi="方正仿宋简体" w:eastAsia="方正仿宋简体" w:cs="方正仿宋简体"/>
          <w:color w:val="231F20"/>
          <w:spacing w:val="20"/>
          <w:sz w:val="22"/>
          <w:szCs w:val="22"/>
        </w:rPr>
        <w:t>中国(河北) 自由贸易试验区曹妃甸片区政务服务中心、唐山市曹妃甸区临港政务服务中心综合受理窗口A07-A09(曹妃甸工业区兴业道1号二层)</w:t>
      </w:r>
    </w:p>
    <w:p>
      <w:pPr>
        <w:keepNext w:val="0"/>
        <w:keepLines w:val="0"/>
        <w:pageBreakBefore w:val="0"/>
        <w:widowControl/>
        <w:kinsoku w:val="0"/>
        <w:wordWrap/>
        <w:overflowPunct/>
        <w:topLinePunct w:val="0"/>
        <w:autoSpaceDE w:val="0"/>
        <w:autoSpaceDN w:val="0"/>
        <w:bidi w:val="0"/>
        <w:adjustRightInd w:val="0"/>
        <w:snapToGrid w:val="0"/>
        <w:spacing w:before="46" w:line="331" w:lineRule="exact"/>
        <w:ind w:left="471"/>
        <w:textAlignment w:val="baseline"/>
        <w:rPr>
          <w:rFonts w:hint="eastAsia" w:ascii="方正仿宋简体" w:hAnsi="方正仿宋简体" w:eastAsia="方正仿宋简体" w:cs="方正仿宋简体"/>
          <w:snapToGrid w:val="0"/>
          <w:color w:val="231F20"/>
          <w:spacing w:val="-3"/>
          <w:kern w:val="0"/>
          <w:position w:val="9"/>
          <w:sz w:val="22"/>
          <w:szCs w:val="22"/>
          <w:lang w:val="en-US" w:eastAsia="zh-CN" w:bidi="ar-SA"/>
        </w:rPr>
      </w:pPr>
      <w:r>
        <w:rPr>
          <w:rFonts w:hint="eastAsia" w:ascii="方正仿宋简体" w:hAnsi="方正仿宋简体" w:eastAsia="方正仿宋简体" w:cs="方正仿宋简体"/>
          <w:snapToGrid w:val="0"/>
          <w:color w:val="231F20"/>
          <w:spacing w:val="-3"/>
          <w:kern w:val="0"/>
          <w:position w:val="9"/>
          <w:sz w:val="22"/>
          <w:szCs w:val="22"/>
          <w:lang w:val="en-US" w:eastAsia="zh-CN" w:bidi="ar-SA"/>
        </w:rPr>
        <w:t>交通指引：</w:t>
      </w:r>
    </w:p>
    <w:p>
      <w:pPr>
        <w:keepNext w:val="0"/>
        <w:keepLines w:val="0"/>
        <w:pageBreakBefore w:val="0"/>
        <w:widowControl/>
        <w:kinsoku w:val="0"/>
        <w:wordWrap/>
        <w:overflowPunct/>
        <w:topLinePunct w:val="0"/>
        <w:autoSpaceDE w:val="0"/>
        <w:autoSpaceDN w:val="0"/>
        <w:bidi w:val="0"/>
        <w:adjustRightInd w:val="0"/>
        <w:snapToGrid w:val="0"/>
        <w:spacing w:before="46" w:line="331" w:lineRule="exact"/>
        <w:ind w:left="471"/>
        <w:textAlignment w:val="baseline"/>
        <w:rPr>
          <w:rFonts w:hint="eastAsia" w:ascii="方正仿宋简体" w:hAnsi="方正仿宋简体" w:eastAsia="方正仿宋简体" w:cs="方正仿宋简体"/>
          <w:snapToGrid w:val="0"/>
          <w:color w:val="231F20"/>
          <w:spacing w:val="-3"/>
          <w:kern w:val="0"/>
          <w:position w:val="9"/>
          <w:sz w:val="22"/>
          <w:szCs w:val="22"/>
          <w:lang w:val="en-US" w:eastAsia="en-US" w:bidi="ar-SA"/>
        </w:rPr>
      </w:pPr>
      <w:r>
        <w:rPr>
          <w:rFonts w:hint="eastAsia" w:ascii="方正仿宋简体" w:hAnsi="方正仿宋简体" w:eastAsia="方正仿宋简体" w:cs="方正仿宋简体"/>
          <w:snapToGrid w:val="0"/>
          <w:color w:val="231F20"/>
          <w:spacing w:val="-3"/>
          <w:kern w:val="0"/>
          <w:position w:val="9"/>
          <w:sz w:val="22"/>
          <w:szCs w:val="22"/>
          <w:lang w:val="en-US" w:eastAsia="en-US" w:bidi="ar-SA"/>
        </w:rPr>
        <w:t>临港中心：乘坐公交K1支线/K1专线，</w:t>
      </w:r>
    </w:p>
    <w:p>
      <w:pPr>
        <w:keepNext w:val="0"/>
        <w:keepLines w:val="0"/>
        <w:pageBreakBefore w:val="0"/>
        <w:widowControl/>
        <w:kinsoku w:val="0"/>
        <w:wordWrap/>
        <w:overflowPunct/>
        <w:topLinePunct w:val="0"/>
        <w:autoSpaceDE w:val="0"/>
        <w:autoSpaceDN w:val="0"/>
        <w:bidi w:val="0"/>
        <w:adjustRightInd w:val="0"/>
        <w:snapToGrid w:val="0"/>
        <w:spacing w:before="46" w:line="331" w:lineRule="exact"/>
        <w:ind w:left="471"/>
        <w:textAlignment w:val="baseline"/>
        <w:rPr>
          <w:rFonts w:ascii="方正仿宋简体" w:hAnsi="方正仿宋简体" w:eastAsia="方正仿宋简体" w:cs="方正仿宋简体"/>
          <w:snapToGrid w:val="0"/>
          <w:color w:val="231F20"/>
          <w:spacing w:val="-3"/>
          <w:kern w:val="0"/>
          <w:position w:val="9"/>
          <w:sz w:val="22"/>
          <w:szCs w:val="22"/>
          <w:lang w:val="en-US" w:eastAsia="en-US" w:bidi="ar-SA"/>
        </w:rPr>
      </w:pPr>
      <w:r>
        <w:rPr>
          <w:rFonts w:hint="eastAsia" w:ascii="方正仿宋简体" w:hAnsi="方正仿宋简体" w:eastAsia="方正仿宋简体" w:cs="方正仿宋简体"/>
          <w:snapToGrid w:val="0"/>
          <w:color w:val="231F20"/>
          <w:spacing w:val="-3"/>
          <w:kern w:val="0"/>
          <w:position w:val="9"/>
          <w:sz w:val="22"/>
          <w:szCs w:val="22"/>
          <w:lang w:val="en-US" w:eastAsia="en-US" w:bidi="ar-SA"/>
        </w:rPr>
        <w:t>四大联检下车（曹妃甸工业区兴业道1号）</w:t>
      </w:r>
    </w:p>
    <w:p>
      <w:pPr>
        <w:keepNext w:val="0"/>
        <w:keepLines w:val="0"/>
        <w:pageBreakBefore w:val="0"/>
        <w:widowControl/>
        <w:kinsoku w:val="0"/>
        <w:wordWrap/>
        <w:overflowPunct/>
        <w:topLinePunct w:val="0"/>
        <w:autoSpaceDE w:val="0"/>
        <w:autoSpaceDN w:val="0"/>
        <w:bidi w:val="0"/>
        <w:adjustRightInd w:val="0"/>
        <w:snapToGrid w:val="0"/>
        <w:spacing w:before="46" w:line="331" w:lineRule="exact"/>
        <w:ind w:left="471"/>
        <w:textAlignment w:val="baseline"/>
        <w:rPr>
          <w:color w:val="231F20"/>
          <w:spacing w:val="-1"/>
        </w:rPr>
      </w:pPr>
      <w:bookmarkStart w:id="0" w:name="_GoBack"/>
      <w:bookmarkEnd w:id="0"/>
    </w:p>
    <w:p>
      <w:pPr>
        <w:spacing w:line="14" w:lineRule="auto"/>
        <w:rPr>
          <w:rFonts w:ascii="Arial"/>
          <w:sz w:val="2"/>
        </w:rPr>
      </w:pPr>
      <w:r>
        <w:rPr>
          <w:rFonts w:ascii="Arial" w:hAnsi="Arial" w:eastAsia="Arial" w:cs="Arial"/>
          <w:sz w:val="2"/>
          <w:szCs w:val="2"/>
        </w:rPr>
        <w:br w:type="column"/>
      </w:r>
    </w:p>
    <w:p>
      <w:pPr>
        <w:spacing w:line="290" w:lineRule="exact"/>
        <w:ind w:left="463"/>
        <w:rPr>
          <w:rFonts w:hint="eastAsia" w:ascii="宋体" w:hAnsi="宋体" w:eastAsia="宋体" w:cs="宋体"/>
          <w:color w:val="231F20"/>
          <w:spacing w:val="-2"/>
          <w:position w:val="9"/>
          <w:sz w:val="22"/>
          <w:szCs w:val="22"/>
        </w:rPr>
      </w:pPr>
      <w:r>
        <w:rPr>
          <w:rFonts w:ascii="宋体" w:hAnsi="宋体" w:eastAsia="宋体" w:cs="宋体"/>
          <w:color w:val="231F20"/>
          <w:spacing w:val="-2"/>
          <w:position w:val="1"/>
          <w:sz w:val="22"/>
          <w:szCs w:val="22"/>
        </w:rPr>
        <w:t>十二、办公时</w:t>
      </w:r>
      <w:r>
        <w:rPr>
          <w:rFonts w:ascii="宋体" w:hAnsi="宋体" w:eastAsia="宋体" w:cs="宋体"/>
          <w:color w:val="231F20"/>
          <w:spacing w:val="-1"/>
          <w:position w:val="1"/>
          <w:sz w:val="22"/>
          <w:szCs w:val="22"/>
        </w:rPr>
        <w:t>间</w:t>
      </w:r>
    </w:p>
    <w:p>
      <w:pPr>
        <w:spacing w:before="44" w:line="363" w:lineRule="exact"/>
        <w:ind w:left="438"/>
        <w:rPr>
          <w:rFonts w:ascii="宋体" w:hAnsi="宋体" w:eastAsia="宋体" w:cs="宋体"/>
          <w:color w:val="231F20"/>
          <w:spacing w:val="-2"/>
          <w:position w:val="9"/>
          <w:sz w:val="22"/>
          <w:szCs w:val="22"/>
        </w:rPr>
      </w:pPr>
      <w:r>
        <w:rPr>
          <w:rFonts w:hint="eastAsia" w:ascii="方正仿宋简体" w:hAnsi="方正仿宋简体" w:eastAsia="方正仿宋简体" w:cs="方正仿宋简体"/>
          <w:color w:val="231F20"/>
          <w:spacing w:val="3"/>
          <w:sz w:val="22"/>
          <w:szCs w:val="22"/>
        </w:rPr>
        <w:t>秋冬春季（9月1日至5月31日）上午8:30-12:00，下午13:30-17:30；</w:t>
      </w:r>
      <w:r>
        <w:rPr>
          <w:rFonts w:hint="eastAsia" w:ascii="方正仿宋简体" w:hAnsi="方正仿宋简体" w:eastAsia="方正仿宋简体" w:cs="方正仿宋简体"/>
          <w:color w:val="231F20"/>
          <w:spacing w:val="3"/>
          <w:sz w:val="22"/>
          <w:szCs w:val="22"/>
          <w:lang w:val="en-US" w:eastAsia="zh-CN"/>
        </w:rPr>
        <w:t xml:space="preserve">    </w:t>
      </w:r>
      <w:r>
        <w:rPr>
          <w:rFonts w:hint="eastAsia" w:ascii="方正仿宋简体" w:hAnsi="方正仿宋简体" w:eastAsia="方正仿宋简体" w:cs="方正仿宋简体"/>
          <w:color w:val="231F20"/>
          <w:spacing w:val="3"/>
          <w:sz w:val="22"/>
          <w:szCs w:val="22"/>
        </w:rPr>
        <w:t>夏季（6月1日至8月31日）上午8:30-12:00，下午14:30-17:30. 法定节假日除外。</w:t>
      </w:r>
    </w:p>
    <w:p>
      <w:pPr>
        <w:spacing w:before="44" w:line="363" w:lineRule="exact"/>
        <w:ind w:left="438"/>
        <w:rPr>
          <w:rFonts w:ascii="宋体" w:hAnsi="宋体" w:eastAsia="宋体" w:cs="宋体"/>
          <w:sz w:val="22"/>
          <w:szCs w:val="22"/>
        </w:rPr>
      </w:pPr>
      <w:r>
        <w:rPr>
          <w:rFonts w:ascii="宋体" w:hAnsi="宋体" w:eastAsia="宋体" w:cs="宋体"/>
          <w:color w:val="231F20"/>
          <w:spacing w:val="-2"/>
          <w:position w:val="9"/>
          <w:sz w:val="22"/>
          <w:szCs w:val="22"/>
        </w:rPr>
        <w:t>十三、咨询电</w:t>
      </w:r>
      <w:r>
        <w:rPr>
          <w:rFonts w:ascii="宋体" w:hAnsi="宋体" w:eastAsia="宋体" w:cs="宋体"/>
          <w:color w:val="231F20"/>
          <w:spacing w:val="-1"/>
          <w:position w:val="9"/>
          <w:sz w:val="22"/>
          <w:szCs w:val="22"/>
        </w:rPr>
        <w:t>话</w:t>
      </w:r>
    </w:p>
    <w:p>
      <w:pPr>
        <w:spacing w:line="336" w:lineRule="exact"/>
        <w:ind w:left="435"/>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20"/>
          <w:position w:val="2"/>
          <w:sz w:val="22"/>
          <w:szCs w:val="22"/>
        </w:rPr>
        <w:t>0</w:t>
      </w:r>
      <w:r>
        <w:rPr>
          <w:rFonts w:ascii="方正仿宋简体" w:hAnsi="方正仿宋简体" w:eastAsia="方正仿宋简体" w:cs="方正仿宋简体"/>
          <w:color w:val="231F20"/>
          <w:spacing w:val="11"/>
          <w:position w:val="2"/>
          <w:sz w:val="22"/>
          <w:szCs w:val="22"/>
        </w:rPr>
        <w:t>3</w:t>
      </w:r>
      <w:r>
        <w:rPr>
          <w:rFonts w:ascii="方正仿宋简体" w:hAnsi="方正仿宋简体" w:eastAsia="方正仿宋简体" w:cs="方正仿宋简体"/>
          <w:color w:val="231F20"/>
          <w:spacing w:val="10"/>
          <w:position w:val="2"/>
          <w:sz w:val="22"/>
          <w:szCs w:val="22"/>
        </w:rPr>
        <w:t>15-8820111</w:t>
      </w:r>
    </w:p>
    <w:p>
      <w:pPr>
        <w:spacing w:before="20" w:line="291" w:lineRule="exact"/>
        <w:ind w:left="438"/>
        <w:rPr>
          <w:rFonts w:ascii="宋体" w:hAnsi="宋体" w:eastAsia="宋体" w:cs="宋体"/>
          <w:sz w:val="22"/>
          <w:szCs w:val="22"/>
        </w:rPr>
      </w:pPr>
      <w:r>
        <w:rPr>
          <w:rFonts w:ascii="宋体" w:hAnsi="宋体" w:eastAsia="宋体" w:cs="宋体"/>
          <w:color w:val="231F20"/>
          <w:spacing w:val="25"/>
          <w:position w:val="1"/>
          <w:sz w:val="22"/>
          <w:szCs w:val="22"/>
        </w:rPr>
        <w:t>十</w:t>
      </w:r>
      <w:r>
        <w:rPr>
          <w:rFonts w:ascii="宋体" w:hAnsi="宋体" w:eastAsia="宋体" w:cs="宋体"/>
          <w:color w:val="231F20"/>
          <w:spacing w:val="18"/>
          <w:position w:val="1"/>
          <w:sz w:val="22"/>
          <w:szCs w:val="22"/>
        </w:rPr>
        <w:t>四、监督(投诉)电话</w:t>
      </w:r>
    </w:p>
    <w:p>
      <w:pPr>
        <w:spacing w:before="101" w:line="190" w:lineRule="auto"/>
        <w:ind w:left="435"/>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1"/>
          <w:sz w:val="22"/>
          <w:szCs w:val="22"/>
        </w:rPr>
        <w:t>0315-878706</w:t>
      </w:r>
      <w:r>
        <w:rPr>
          <w:rFonts w:ascii="方正仿宋简体" w:hAnsi="方正仿宋简体" w:eastAsia="方正仿宋简体" w:cs="方正仿宋简体"/>
          <w:color w:val="231F20"/>
          <w:sz w:val="22"/>
          <w:szCs w:val="22"/>
        </w:rPr>
        <w:t>8</w:t>
      </w:r>
    </w:p>
    <w:p>
      <w:pPr>
        <w:spacing w:before="72" w:line="291" w:lineRule="exact"/>
        <w:ind w:left="438"/>
        <w:rPr>
          <w:rFonts w:ascii="宋体" w:hAnsi="宋体" w:eastAsia="宋体" w:cs="宋体"/>
          <w:sz w:val="22"/>
          <w:szCs w:val="22"/>
        </w:rPr>
      </w:pPr>
      <w:r>
        <w:rPr>
          <w:rFonts w:ascii="宋体" w:hAnsi="宋体" w:eastAsia="宋体" w:cs="宋体"/>
          <w:color w:val="231F20"/>
          <w:spacing w:val="-2"/>
          <w:position w:val="1"/>
          <w:sz w:val="22"/>
          <w:szCs w:val="22"/>
        </w:rPr>
        <w:t>十五、救济途</w:t>
      </w:r>
      <w:r>
        <w:rPr>
          <w:rFonts w:ascii="宋体" w:hAnsi="宋体" w:eastAsia="宋体" w:cs="宋体"/>
          <w:color w:val="231F20"/>
          <w:spacing w:val="-1"/>
          <w:position w:val="1"/>
          <w:sz w:val="22"/>
          <w:szCs w:val="22"/>
        </w:rPr>
        <w:t>径</w:t>
      </w:r>
    </w:p>
    <w:p>
      <w:pPr>
        <w:spacing w:before="70" w:line="277" w:lineRule="auto"/>
        <w:ind w:firstLine="471"/>
        <w:rPr>
          <w:rFonts w:ascii="方正仿宋简体" w:hAnsi="方正仿宋简体" w:eastAsia="方正仿宋简体" w:cs="方正仿宋简体"/>
          <w:sz w:val="22"/>
          <w:szCs w:val="22"/>
        </w:rPr>
      </w:pPr>
      <w:r>
        <w:rPr>
          <w:rFonts w:ascii="方正仿宋简体" w:hAnsi="方正仿宋简体" w:eastAsia="方正仿宋简体" w:cs="方正仿宋简体"/>
          <w:color w:val="231F20"/>
          <w:spacing w:val="2"/>
          <w:sz w:val="22"/>
          <w:szCs w:val="22"/>
        </w:rPr>
        <w:t>申请人如对行政许</w:t>
      </w:r>
      <w:r>
        <w:rPr>
          <w:rFonts w:ascii="方正仿宋简体" w:hAnsi="方正仿宋简体" w:eastAsia="方正仿宋简体" w:cs="方正仿宋简体"/>
          <w:color w:val="231F20"/>
          <w:spacing w:val="1"/>
          <w:sz w:val="22"/>
          <w:szCs w:val="22"/>
        </w:rPr>
        <w:t>可决定不服，可于收</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4"/>
          <w:sz w:val="22"/>
          <w:szCs w:val="22"/>
        </w:rPr>
        <w:t>到</w:t>
      </w:r>
      <w:r>
        <w:rPr>
          <w:rFonts w:ascii="方正仿宋简体" w:hAnsi="方正仿宋简体" w:eastAsia="方正仿宋简体" w:cs="方正仿宋简体"/>
          <w:color w:val="231F20"/>
          <w:spacing w:val="3"/>
          <w:sz w:val="22"/>
          <w:szCs w:val="22"/>
        </w:rPr>
        <w:t>决定书之日起六十日内向</w:t>
      </w:r>
      <w:r>
        <w:rPr>
          <w:rFonts w:ascii="方正仿宋简体" w:hAnsi="方正仿宋简体" w:eastAsia="方正仿宋简体" w:cs="方正仿宋简体"/>
          <w:color w:val="231F20"/>
          <w:spacing w:val="1"/>
          <w:sz w:val="22"/>
          <w:szCs w:val="22"/>
        </w:rPr>
        <w:t>唐山市曹妃甸区人民政府申请复议，</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4"/>
          <w:sz w:val="22"/>
          <w:szCs w:val="22"/>
        </w:rPr>
        <w:t>也</w:t>
      </w:r>
      <w:r>
        <w:rPr>
          <w:rFonts w:ascii="方正仿宋简体" w:hAnsi="方正仿宋简体" w:eastAsia="方正仿宋简体" w:cs="方正仿宋简体"/>
          <w:color w:val="231F20"/>
          <w:spacing w:val="3"/>
          <w:sz w:val="22"/>
          <w:szCs w:val="22"/>
        </w:rPr>
        <w:t>可以于六个月内依法向唐山市曹妃甸区人</w:t>
      </w:r>
      <w:r>
        <w:rPr>
          <w:rFonts w:ascii="方正仿宋简体" w:hAnsi="方正仿宋简体" w:eastAsia="方正仿宋简体" w:cs="方正仿宋简体"/>
          <w:color w:val="231F20"/>
          <w:sz w:val="22"/>
          <w:szCs w:val="22"/>
        </w:rPr>
        <w:t xml:space="preserve"> </w:t>
      </w:r>
      <w:r>
        <w:rPr>
          <w:rFonts w:ascii="方正仿宋简体" w:hAnsi="方正仿宋简体" w:eastAsia="方正仿宋简体" w:cs="方正仿宋简体"/>
          <w:color w:val="231F20"/>
          <w:spacing w:val="-6"/>
          <w:sz w:val="22"/>
          <w:szCs w:val="22"/>
        </w:rPr>
        <w:t>民法</w:t>
      </w:r>
      <w:r>
        <w:rPr>
          <w:rFonts w:ascii="方正仿宋简体" w:hAnsi="方正仿宋简体" w:eastAsia="方正仿宋简体" w:cs="方正仿宋简体"/>
          <w:color w:val="231F20"/>
          <w:spacing w:val="-5"/>
          <w:sz w:val="22"/>
          <w:szCs w:val="22"/>
        </w:rPr>
        <w:t>院</w:t>
      </w:r>
      <w:r>
        <w:rPr>
          <w:rFonts w:ascii="方正仿宋简体" w:hAnsi="方正仿宋简体" w:eastAsia="方正仿宋简体" w:cs="方正仿宋简体"/>
          <w:color w:val="231F20"/>
          <w:spacing w:val="-3"/>
          <w:sz w:val="22"/>
          <w:szCs w:val="22"/>
        </w:rPr>
        <w:t>提起行政诉讼。</w:t>
      </w:r>
    </w:p>
    <w:sectPr>
      <w:type w:val="continuous"/>
      <w:pgSz w:w="10772" w:h="11906"/>
      <w:pgMar w:top="400" w:right="566" w:bottom="0" w:left="560" w:header="0" w:footer="0" w:gutter="0"/>
      <w:cols w:equalWidth="0" w:num="2">
        <w:col w:w="5306" w:space="100"/>
        <w:col w:w="423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55E98D9-1941-4F97-991D-8DFFA9644FE1}"/>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D5C293"/>
    <w:multiLevelType w:val="singleLevel"/>
    <w:tmpl w:val="FCD5C293"/>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FhOGY3ZTIwZWJiM2Y1OWZjZGM0OGIwNGU5NzA1OTYifQ=="/>
  </w:docVars>
  <w:rsids>
    <w:rsidRoot w:val="00000000"/>
    <w:rsid w:val="1C480699"/>
    <w:rsid w:val="22A91BA8"/>
    <w:rsid w:val="26F40645"/>
    <w:rsid w:val="45DB31F3"/>
    <w:rsid w:val="5EE70314"/>
    <w:rsid w:val="602C398A"/>
    <w:rsid w:val="783974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686</Words>
  <Characters>791</Characters>
  <TotalTime>0</TotalTime>
  <ScaleCrop>false</ScaleCrop>
  <LinksUpToDate>false</LinksUpToDate>
  <CharactersWithSpaces>817</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2022-11-04T08:58:00Z</dcterms:created>
  <dc:creator>HR</dc:creator>
  <cp:lastModifiedBy>寒夜霜风</cp:lastModifiedBy>
  <dcterms:modified xsi:type="dcterms:W3CDTF">2023-08-01T03:35:13Z</dcterms:modified>
  <dc:title>在电力设施周围或电力设施保护区内进行可能危及电力设施安全作业的审批服务指南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2023-07-01T13:42:25Z</vt:filetime>
  </property>
  <property fmtid="{D5CDD505-2E9C-101B-9397-08002B2CF9AE}" pid="4" name="KSOProductBuildVer">
    <vt:lpwstr>2052-11.1.0.14309</vt:lpwstr>
  </property>
  <property fmtid="{D5CDD505-2E9C-101B-9397-08002B2CF9AE}" pid="5" name="ICV">
    <vt:lpwstr>2C63502A966A4E6980F2390FF5E5F1B9_12</vt:lpwstr>
  </property>
</Properties>
</file>