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24" w:lineRule="auto"/>
      </w:pPr>
    </w:p>
    <w:p>
      <w:pPr>
        <w:spacing w:line="325" w:lineRule="auto"/>
      </w:pPr>
    </w:p>
    <w:p>
      <w:pPr>
        <w:pStyle w:val="2"/>
        <w:spacing w:before="81" w:line="244" w:lineRule="auto"/>
        <w:ind w:right="482" w:firstLine="466"/>
        <w:rPr>
          <w:rFonts w:hint="eastAsia"/>
        </w:rPr>
      </w:pPr>
    </w:p>
    <w:p>
      <w:pPr>
        <w:spacing w:line="14" w:lineRule="auto"/>
        <w:rPr>
          <w:sz w:val="2"/>
          <w:lang w:eastAsia="zh-CN"/>
        </w:rPr>
      </w:pPr>
      <w:r>
        <w:rPr>
          <w:rFonts w:eastAsia="Arial"/>
          <w:sz w:val="2"/>
          <w:szCs w:val="2"/>
          <w:lang w:eastAsia="zh-CN"/>
        </w:rPr>
        <w:br w:type="column"/>
      </w:r>
    </w:p>
    <w:p>
      <w:pPr>
        <w:spacing w:line="263" w:lineRule="auto"/>
        <w:rPr>
          <w:lang w:eastAsia="zh-CN"/>
        </w:rPr>
      </w:pPr>
    </w:p>
    <w:p>
      <w:pPr>
        <w:spacing w:line="263" w:lineRule="auto"/>
        <w:rPr>
          <w:lang w:eastAsia="zh-CN"/>
        </w:rPr>
      </w:pPr>
    </w:p>
    <w:p>
      <w:pPr>
        <w:spacing w:line="263" w:lineRule="auto"/>
        <w:rPr>
          <w:lang w:eastAsia="zh-CN"/>
        </w:rPr>
      </w:pPr>
    </w:p>
    <w:p>
      <w:pPr>
        <w:spacing w:line="263" w:lineRule="auto"/>
        <w:rPr>
          <w:lang w:eastAsia="zh-CN"/>
        </w:rPr>
      </w:pPr>
    </w:p>
    <w:p>
      <w:pPr>
        <w:spacing w:line="264" w:lineRule="auto"/>
        <w:rPr>
          <w:lang w:eastAsia="zh-CN"/>
        </w:rPr>
      </w:pPr>
    </w:p>
    <w:p>
      <w:pPr>
        <w:spacing w:line="264" w:lineRule="auto"/>
        <w:rPr>
          <w:lang w:eastAsia="zh-CN"/>
        </w:rPr>
      </w:pPr>
    </w:p>
    <w:p>
      <w:pPr>
        <w:spacing w:before="103" w:line="175" w:lineRule="auto"/>
        <w:ind w:left="1075"/>
        <w:rPr>
          <w:rFonts w:ascii="微软雅黑" w:hAnsi="微软雅黑" w:eastAsia="微软雅黑" w:cs="微软雅黑"/>
          <w:sz w:val="24"/>
          <w:szCs w:val="24"/>
          <w:lang w:eastAsia="zh-CN"/>
        </w:rPr>
      </w:pPr>
      <w:r>
        <w:drawing>
          <wp:anchor distT="0" distB="0" distL="0" distR="0" simplePos="0" relativeHeight="251659264" behindDoc="1" locked="0" layoutInCell="1" allowOverlap="1">
            <wp:simplePos x="0" y="0"/>
            <wp:positionH relativeFrom="column">
              <wp:posOffset>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6"/>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lang w:eastAsia="zh-CN"/>
        </w:rPr>
        <w:t>道路运输从业人员资格证核发</w:t>
      </w:r>
    </w:p>
    <w:p>
      <w:pPr>
        <w:spacing w:before="1" w:line="204" w:lineRule="auto"/>
        <w:ind w:left="2155"/>
        <w:rPr>
          <w:rFonts w:ascii="微软雅黑" w:hAnsi="微软雅黑" w:eastAsia="微软雅黑" w:cs="微软雅黑"/>
          <w:sz w:val="24"/>
          <w:szCs w:val="24"/>
          <w:lang w:eastAsia="zh-CN"/>
        </w:rPr>
      </w:pPr>
      <w:r>
        <w:rPr>
          <w:rFonts w:ascii="微软雅黑" w:hAnsi="微软雅黑" w:eastAsia="微软雅黑" w:cs="微软雅黑"/>
          <w:color w:val="231F20"/>
          <w:spacing w:val="-2"/>
          <w:sz w:val="24"/>
          <w:szCs w:val="24"/>
          <w:lang w:eastAsia="zh-CN"/>
        </w:rPr>
        <w:t>服务指南</w:t>
      </w:r>
    </w:p>
    <w:p>
      <w:pPr>
        <w:spacing w:before="201" w:line="202" w:lineRule="auto"/>
        <w:ind w:left="1014"/>
        <w:rPr>
          <w:rFonts w:ascii="微软雅黑" w:hAnsi="微软雅黑" w:eastAsia="微软雅黑" w:cs="微软雅黑"/>
          <w:sz w:val="22"/>
          <w:szCs w:val="22"/>
          <w:lang w:eastAsia="zh-CN"/>
        </w:rPr>
      </w:pPr>
      <w:r>
        <w:rPr>
          <w:rFonts w:ascii="微软雅黑" w:hAnsi="微软雅黑" w:eastAsia="微软雅黑" w:cs="微软雅黑"/>
          <w:color w:val="231F20"/>
          <w:spacing w:val="-4"/>
          <w:sz w:val="22"/>
          <w:szCs w:val="22"/>
          <w:lang w:eastAsia="zh-CN"/>
        </w:rPr>
        <w:t>一、事项名称</w:t>
      </w:r>
    </w:p>
    <w:p>
      <w:pPr>
        <w:pStyle w:val="2"/>
        <w:spacing w:before="30" w:line="232" w:lineRule="auto"/>
        <w:ind w:left="1012"/>
        <w:rPr>
          <w:lang w:eastAsia="zh-CN"/>
        </w:rPr>
      </w:pPr>
      <w:r>
        <w:rPr>
          <w:color w:val="231F20"/>
          <w:spacing w:val="-1"/>
          <w:lang w:eastAsia="zh-CN"/>
        </w:rPr>
        <w:t>道路运输从业人员资格证核发</w:t>
      </w:r>
    </w:p>
    <w:p>
      <w:pPr>
        <w:spacing w:before="32" w:line="204" w:lineRule="auto"/>
        <w:ind w:left="1013"/>
        <w:rPr>
          <w:rFonts w:ascii="微软雅黑" w:hAnsi="微软雅黑" w:eastAsia="微软雅黑" w:cs="微软雅黑"/>
          <w:sz w:val="22"/>
          <w:szCs w:val="22"/>
          <w:lang w:eastAsia="zh-CN"/>
        </w:rPr>
      </w:pPr>
      <w:r>
        <w:rPr>
          <w:rFonts w:ascii="微软雅黑" w:hAnsi="微软雅黑" w:eastAsia="微软雅黑" w:cs="微软雅黑"/>
          <w:color w:val="231F20"/>
          <w:spacing w:val="-2"/>
          <w:sz w:val="22"/>
          <w:szCs w:val="22"/>
          <w:lang w:eastAsia="zh-CN"/>
        </w:rPr>
        <w:t>二、办理依据</w:t>
      </w:r>
    </w:p>
    <w:p>
      <w:pPr>
        <w:pStyle w:val="2"/>
        <w:spacing w:before="30" w:line="254" w:lineRule="auto"/>
        <w:ind w:left="543" w:right="599" w:firstLine="486"/>
        <w:rPr>
          <w:lang w:eastAsia="zh-CN"/>
        </w:rPr>
      </w:pPr>
      <w:r>
        <w:rPr>
          <w:color w:val="231F20"/>
          <w:spacing w:val="1"/>
          <w:lang w:eastAsia="zh-CN"/>
        </w:rPr>
        <w:t>1.《道路运输从业人员管理规定》（交</w:t>
      </w:r>
      <w:r>
        <w:rPr>
          <w:color w:val="231F20"/>
          <w:spacing w:val="5"/>
          <w:lang w:eastAsia="zh-CN"/>
        </w:rPr>
        <w:t xml:space="preserve"> </w:t>
      </w:r>
      <w:r>
        <w:rPr>
          <w:color w:val="231F20"/>
          <w:spacing w:val="-2"/>
          <w:lang w:eastAsia="zh-CN"/>
        </w:rPr>
        <w:t>通运输部令2019年第18号）（2006年11月23</w:t>
      </w:r>
      <w:r>
        <w:rPr>
          <w:color w:val="231F20"/>
          <w:spacing w:val="1"/>
          <w:lang w:eastAsia="zh-CN"/>
        </w:rPr>
        <w:t xml:space="preserve"> </w:t>
      </w:r>
      <w:r>
        <w:rPr>
          <w:color w:val="231F20"/>
          <w:spacing w:val="4"/>
          <w:lang w:eastAsia="zh-CN"/>
        </w:rPr>
        <w:t>日交通部发布根据2016年4月21日《交通运</w:t>
      </w:r>
      <w:r>
        <w:rPr>
          <w:color w:val="231F20"/>
          <w:spacing w:val="15"/>
          <w:lang w:eastAsia="zh-CN"/>
        </w:rPr>
        <w:t xml:space="preserve"> 输部关于修改〈道路运输从业人员管理规</w:t>
      </w:r>
      <w:r>
        <w:rPr>
          <w:color w:val="231F20"/>
          <w:spacing w:val="6"/>
          <w:lang w:eastAsia="zh-CN"/>
        </w:rPr>
        <w:t xml:space="preserve"> </w:t>
      </w:r>
      <w:r>
        <w:rPr>
          <w:color w:val="231F20"/>
          <w:spacing w:val="-5"/>
          <w:lang w:eastAsia="zh-CN"/>
        </w:rPr>
        <w:t>定〉的决定》第一次修正根据2019年6月21日</w:t>
      </w:r>
      <w:r>
        <w:rPr>
          <w:color w:val="231F20"/>
          <w:spacing w:val="10"/>
          <w:lang w:eastAsia="zh-CN"/>
        </w:rPr>
        <w:t xml:space="preserve"> </w:t>
      </w:r>
      <w:r>
        <w:rPr>
          <w:color w:val="231F20"/>
          <w:lang w:eastAsia="zh-CN"/>
        </w:rPr>
        <w:t>《交通运输部关于修改〈道路运输从业人员</w:t>
      </w:r>
      <w:r>
        <w:rPr>
          <w:color w:val="231F20"/>
          <w:spacing w:val="12"/>
          <w:lang w:eastAsia="zh-CN"/>
        </w:rPr>
        <w:t xml:space="preserve"> </w:t>
      </w:r>
      <w:r>
        <w:rPr>
          <w:color w:val="231F20"/>
          <w:spacing w:val="-5"/>
          <w:lang w:eastAsia="zh-CN"/>
        </w:rPr>
        <w:t>管理规定〉的决定》第二次修正）第八条</w:t>
      </w:r>
    </w:p>
    <w:p>
      <w:pPr>
        <w:pStyle w:val="2"/>
        <w:spacing w:before="36" w:line="253" w:lineRule="auto"/>
        <w:ind w:left="550" w:right="583" w:firstLine="463"/>
        <w:rPr>
          <w:lang w:eastAsia="zh-CN"/>
        </w:rPr>
      </w:pPr>
      <w:r>
        <w:rPr>
          <w:color w:val="231F20"/>
          <w:spacing w:val="11"/>
          <w:lang w:eastAsia="zh-CN"/>
        </w:rPr>
        <w:t>2. 《中华人民共和国道路运输条例》</w:t>
      </w:r>
      <w:r>
        <w:rPr>
          <w:color w:val="231F20"/>
          <w:spacing w:val="12"/>
          <w:lang w:eastAsia="zh-CN"/>
        </w:rPr>
        <w:t xml:space="preserve"> </w:t>
      </w:r>
      <w:r>
        <w:rPr>
          <w:color w:val="231F20"/>
          <w:spacing w:val="7"/>
          <w:lang w:eastAsia="zh-CN"/>
        </w:rPr>
        <w:t>（2004年4月30日中华人民共和国国</w:t>
      </w:r>
      <w:r>
        <w:rPr>
          <w:color w:val="231F20"/>
          <w:spacing w:val="6"/>
          <w:lang w:eastAsia="zh-CN"/>
        </w:rPr>
        <w:t>务院令</w:t>
      </w:r>
      <w:r>
        <w:rPr>
          <w:color w:val="231F20"/>
          <w:lang w:eastAsia="zh-CN"/>
        </w:rPr>
        <w:t xml:space="preserve"> </w:t>
      </w:r>
      <w:r>
        <w:rPr>
          <w:color w:val="231F20"/>
          <w:spacing w:val="6"/>
          <w:lang w:eastAsia="zh-CN"/>
        </w:rPr>
        <w:t>第406号公布；根据2019年3月2日《国务院</w:t>
      </w:r>
      <w:r>
        <w:rPr>
          <w:color w:val="231F20"/>
          <w:lang w:eastAsia="zh-CN"/>
        </w:rPr>
        <w:t xml:space="preserve"> </w:t>
      </w:r>
      <w:r>
        <w:rPr>
          <w:color w:val="231F20"/>
          <w:spacing w:val="2"/>
          <w:lang w:eastAsia="zh-CN"/>
        </w:rPr>
        <w:t>关于修改部分行政法规的决定》（国务院令</w:t>
      </w:r>
      <w:r>
        <w:rPr>
          <w:color w:val="231F20"/>
          <w:spacing w:val="10"/>
          <w:lang w:eastAsia="zh-CN"/>
        </w:rPr>
        <w:t xml:space="preserve"> </w:t>
      </w:r>
      <w:r>
        <w:rPr>
          <w:color w:val="231F20"/>
          <w:lang w:eastAsia="zh-CN"/>
        </w:rPr>
        <w:t>第709号）第三次修订）第九条</w:t>
      </w:r>
    </w:p>
    <w:p>
      <w:pPr>
        <w:pStyle w:val="2"/>
        <w:spacing w:before="34" w:line="253" w:lineRule="auto"/>
        <w:ind w:left="550" w:right="584" w:firstLine="460"/>
        <w:rPr>
          <w:lang w:eastAsia="zh-CN"/>
        </w:rPr>
      </w:pPr>
      <w:r>
        <w:rPr>
          <w:color w:val="231F20"/>
          <w:spacing w:val="11"/>
          <w:lang w:eastAsia="zh-CN"/>
        </w:rPr>
        <w:t xml:space="preserve">3. 《中华人民共和国道路运输条例》 </w:t>
      </w:r>
      <w:r>
        <w:rPr>
          <w:color w:val="231F20"/>
          <w:spacing w:val="7"/>
          <w:lang w:eastAsia="zh-CN"/>
        </w:rPr>
        <w:t>（2004年4月30日中华人民共和国国</w:t>
      </w:r>
      <w:r>
        <w:rPr>
          <w:color w:val="231F20"/>
          <w:spacing w:val="6"/>
          <w:lang w:eastAsia="zh-CN"/>
        </w:rPr>
        <w:t>务院令</w:t>
      </w:r>
      <w:r>
        <w:rPr>
          <w:color w:val="231F20"/>
          <w:lang w:eastAsia="zh-CN"/>
        </w:rPr>
        <w:t xml:space="preserve"> </w:t>
      </w:r>
      <w:r>
        <w:rPr>
          <w:color w:val="231F20"/>
          <w:spacing w:val="6"/>
          <w:lang w:eastAsia="zh-CN"/>
        </w:rPr>
        <w:t>第406号公布；根据2019年3月2日《国务院</w:t>
      </w:r>
      <w:r>
        <w:rPr>
          <w:color w:val="231F20"/>
          <w:lang w:eastAsia="zh-CN"/>
        </w:rPr>
        <w:t xml:space="preserve"> </w:t>
      </w:r>
      <w:r>
        <w:rPr>
          <w:color w:val="231F20"/>
          <w:spacing w:val="2"/>
          <w:lang w:eastAsia="zh-CN"/>
        </w:rPr>
        <w:t>关于修改部分行政法规的决定》（国务院令</w:t>
      </w:r>
      <w:r>
        <w:rPr>
          <w:color w:val="231F20"/>
          <w:spacing w:val="10"/>
          <w:lang w:eastAsia="zh-CN"/>
        </w:rPr>
        <w:t xml:space="preserve"> </w:t>
      </w:r>
      <w:r>
        <w:rPr>
          <w:color w:val="231F20"/>
          <w:lang w:eastAsia="zh-CN"/>
        </w:rPr>
        <w:t>第709号）第三次修订）第十二条</w:t>
      </w:r>
    </w:p>
    <w:p>
      <w:pPr>
        <w:spacing w:before="34" w:line="203" w:lineRule="auto"/>
        <w:ind w:left="1016"/>
        <w:rPr>
          <w:rFonts w:ascii="微软雅黑" w:hAnsi="微软雅黑" w:eastAsia="微软雅黑" w:cs="微软雅黑"/>
          <w:sz w:val="22"/>
          <w:szCs w:val="22"/>
          <w:lang w:eastAsia="zh-CN"/>
        </w:rPr>
      </w:pPr>
      <w:r>
        <w:rPr>
          <w:rFonts w:ascii="微软雅黑" w:hAnsi="微软雅黑" w:eastAsia="微软雅黑" w:cs="微软雅黑"/>
          <w:color w:val="231F20"/>
          <w:spacing w:val="-3"/>
          <w:sz w:val="22"/>
          <w:szCs w:val="22"/>
          <w:lang w:eastAsia="zh-CN"/>
        </w:rPr>
        <w:t>三、受理范围</w:t>
      </w:r>
    </w:p>
    <w:p>
      <w:pPr>
        <w:pStyle w:val="2"/>
        <w:spacing w:before="30" w:line="228" w:lineRule="auto"/>
        <w:ind w:left="1061"/>
        <w:rPr>
          <w:lang w:eastAsia="zh-CN"/>
        </w:rPr>
      </w:pPr>
      <w:r>
        <w:rPr>
          <w:color w:val="231F20"/>
          <w:spacing w:val="-14"/>
          <w:lang w:eastAsia="zh-CN"/>
        </w:rPr>
        <w:t>自然人</w:t>
      </w:r>
    </w:p>
    <w:p>
      <w:pPr>
        <w:spacing w:before="37" w:line="203" w:lineRule="auto"/>
        <w:ind w:left="1026"/>
        <w:rPr>
          <w:rFonts w:ascii="微软雅黑" w:hAnsi="微软雅黑" w:eastAsia="微软雅黑" w:cs="微软雅黑"/>
          <w:sz w:val="22"/>
          <w:szCs w:val="22"/>
          <w:lang w:eastAsia="zh-CN"/>
        </w:rPr>
      </w:pPr>
      <w:r>
        <w:rPr>
          <w:rFonts w:ascii="微软雅黑" w:hAnsi="微软雅黑" w:eastAsia="微软雅黑" w:cs="微软雅黑"/>
          <w:color w:val="231F20"/>
          <w:spacing w:val="-4"/>
          <w:sz w:val="22"/>
          <w:szCs w:val="22"/>
          <w:lang w:eastAsia="zh-CN"/>
        </w:rPr>
        <w:t>四、受理条件</w:t>
      </w:r>
    </w:p>
    <w:p>
      <w:pPr>
        <w:pStyle w:val="2"/>
        <w:spacing w:before="30" w:line="246" w:lineRule="auto"/>
        <w:ind w:left="583" w:right="601" w:firstLine="428"/>
        <w:rPr>
          <w:lang w:eastAsia="zh-CN"/>
        </w:rPr>
      </w:pPr>
      <w:r>
        <w:rPr>
          <w:color w:val="231F20"/>
          <w:spacing w:val="1"/>
          <w:lang w:eastAsia="zh-CN"/>
        </w:rPr>
        <w:t>提交材料齐全，符合法定程序，内容真</w:t>
      </w:r>
      <w:r>
        <w:rPr>
          <w:color w:val="231F20"/>
          <w:spacing w:val="9"/>
          <w:lang w:eastAsia="zh-CN"/>
        </w:rPr>
        <w:t xml:space="preserve"> </w:t>
      </w:r>
      <w:r>
        <w:rPr>
          <w:color w:val="231F20"/>
          <w:spacing w:val="-6"/>
          <w:lang w:eastAsia="zh-CN"/>
        </w:rPr>
        <w:t>实有效</w:t>
      </w:r>
    </w:p>
    <w:p>
      <w:pPr>
        <w:spacing w:line="246" w:lineRule="auto"/>
        <w:rPr>
          <w:lang w:eastAsia="zh-CN"/>
        </w:rPr>
        <w:sectPr>
          <w:headerReference r:id="rId3" w:type="default"/>
          <w:footerReference r:id="rId4" w:type="default"/>
          <w:pgSz w:w="10772" w:h="11906"/>
          <w:pgMar w:top="1" w:right="2" w:bottom="1" w:left="576" w:header="0" w:footer="0" w:gutter="0"/>
          <w:cols w:equalWidth="0" w:num="2">
            <w:col w:w="4712" w:space="100"/>
            <w:col w:w="5381"/>
          </w:cols>
        </w:sectPr>
      </w:pPr>
    </w:p>
    <w:p>
      <w:pPr>
        <w:spacing w:before="39"/>
        <w:rPr>
          <w:lang w:eastAsia="zh-CN"/>
        </w:rPr>
      </w:pPr>
      <w:r>
        <w:pict>
          <v:rect id="_x0000_s1033" o:spid="_x0000_s1033" o:spt="1" style="position:absolute;left:0pt;margin-left:363.3pt;margin-top:144.65pt;height:3.65pt;width:4.2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rect id="_x0000_s1032" o:spid="_x0000_s1032" o:spt="1" style="position:absolute;left:0pt;margin-left:365.1pt;margin-top:147.7pt;height:21.05pt;width:0.6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31" o:spid="_x0000_s1031" o:spt="1" style="position:absolute;left:0pt;margin-left:442.05pt;margin-top:179.6pt;height:0.6pt;width:39.15pt;mso-position-horizontal-relative:page;mso-position-vertical-relative:page;z-index:251666432;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311.85pt;margin-top:127.75pt;height:0.6pt;width:21.05pt;mso-position-horizontal-relative:page;mso-position-vertical-relative:page;z-index:251668480;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3937000</wp:posOffset>
            </wp:positionH>
            <wp:positionV relativeFrom="page">
              <wp:posOffset>1626235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7"/>
                    <a:stretch>
                      <a:fillRect/>
                    </a:stretch>
                  </pic:blipFill>
                  <pic:spPr>
                    <a:xfrm>
                      <a:off x="0" y="0"/>
                      <a:ext cx="53200" cy="463896"/>
                    </a:xfrm>
                    <a:prstGeom prst="rect">
                      <a:avLst/>
                    </a:prstGeom>
                  </pic:spPr>
                </pic:pic>
              </a:graphicData>
            </a:graphic>
          </wp:anchor>
        </w:drawing>
      </w:r>
      <w:r>
        <w:pict>
          <v:shape id="_x0000_s1029" o:spid="_x0000_s1029" o:spt="202" type="#_x0000_t202" style="position:absolute;left:0pt;margin-left:295.45pt;margin-top:163.55pt;height:32.7pt;width:33.45pt;mso-position-horizontal-relative:page;mso-position-vertical-relative:page;z-index:251661312;mso-width-relative:page;mso-height-relative:page;" filled="f" stroked="f" coordsize="21600,21600" o:allowincell="f">
            <v:path/>
            <v:fill on="f" focussize="0,0"/>
            <v:stroke on="f" joinstyle="miter"/>
            <v:imagedata o:title=""/>
            <o:lock v:ext="edit"/>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txbxContent>
            </v:textbox>
          </v:shape>
        </w:pict>
      </w:r>
      <w:r>
        <w:pict>
          <v:shape id="_x0000_s1028" o:spid="_x0000_s1028" o:spt="202" type="#_x0000_t202" style="position:absolute;left:0pt;margin-left:415.75pt;margin-top:167.25pt;height:25.3pt;width:27.6pt;mso-position-horizontal-relative:page;mso-position-vertical-relative:page;z-index:251662336;mso-width-relative:page;mso-height-relative:page;" filled="f" stroked="f" coordsize="21600,21600" o:allowincell="f">
            <v:path/>
            <v:fill on="f" focussize="0,0"/>
            <v:stroke on="f" joinstyle="miter"/>
            <v:imagedata o:title=""/>
            <o:lock v:ext="edit"/>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tcPr>
                      <w:p>
                        <w:pPr>
                          <w:pStyle w:val="6"/>
                          <w:spacing w:before="142" w:line="220" w:lineRule="auto"/>
                          <w:ind w:left="95"/>
                        </w:pPr>
                        <w:r>
                          <w:rPr>
                            <w:color w:val="231F20"/>
                            <w:spacing w:val="-3"/>
                          </w:rPr>
                          <w:t>审核</w:t>
                        </w:r>
                      </w:p>
                    </w:tc>
                  </w:tr>
                </w:tbl>
                <w:p/>
              </w:txbxContent>
            </v:textbox>
          </v:shape>
        </w:pict>
      </w:r>
      <w:r>
        <w:pict>
          <v:shape id="_x0000_s1027" o:spid="_x0000_s1027" o:spt="202" type="#_x0000_t202" style="position:absolute;left:0pt;margin-left:479.55pt;margin-top:167.25pt;height:25.3pt;width:31.1pt;mso-position-horizontal-relative:page;mso-position-vertical-relative:page;z-index:251667456;mso-width-relative:page;mso-height-relative:page;" filled="f" stroked="f" coordsize="21600,21600" o:allowincell="f">
            <v:path/>
            <v:fill on="f" focussize="0,0"/>
            <v:stroke on="f" joinstyle="miter"/>
            <v:imagedata o:title=""/>
            <o:lock v:ext="edit"/>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8"/>
                                      <a:stretch>
                                        <a:fillRect/>
                                      </a:stretch>
                                    </pic:blipFill>
                                    <pic:spPr>
                                      <a:xfrm>
                                        <a:off x="0" y="0"/>
                                        <a:ext cx="45115" cy="53187"/>
                                      </a:xfrm>
                                      <a:prstGeom prst="rect">
                                        <a:avLst/>
                                      </a:prstGeom>
                                    </pic:spPr>
                                  </pic:pic>
                                </a:graphicData>
                              </a:graphic>
                            </wp:inline>
                          </w:drawing>
                        </w:r>
                        <w:r>
                          <w:rPr>
                            <w:color w:val="231F20"/>
                            <w:spacing w:val="20"/>
                          </w:rPr>
                          <w:t xml:space="preserve"> </w:t>
                        </w:r>
                        <w:r>
                          <w:rPr>
                            <w:color w:val="231F20"/>
                            <w:spacing w:val="-4"/>
                          </w:rPr>
                          <w:t>办结</w:t>
                        </w:r>
                      </w:p>
                    </w:tc>
                  </w:tr>
                </w:tbl>
                <w:p/>
              </w:txbxContent>
            </v:textbox>
          </v:shape>
        </w:pict>
      </w:r>
      <w:r>
        <w:drawing>
          <wp:anchor distT="0" distB="0" distL="0" distR="0" simplePos="0" relativeHeight="251669504" behindDoc="0" locked="0" layoutInCell="0" allowOverlap="1">
            <wp:simplePos x="0" y="0"/>
            <wp:positionH relativeFrom="page">
              <wp:posOffset>4800600</wp:posOffset>
            </wp:positionH>
            <wp:positionV relativeFrom="page">
              <wp:posOffset>2258060</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9"/>
                    <a:stretch>
                      <a:fillRect/>
                    </a:stretch>
                  </pic:blipFill>
                  <pic:spPr>
                    <a:xfrm>
                      <a:off x="0" y="0"/>
                      <a:ext cx="495524" cy="53187"/>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4159885</wp:posOffset>
            </wp:positionH>
            <wp:positionV relativeFrom="page">
              <wp:posOffset>2258060</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0"/>
                    <a:stretch>
                      <a:fillRect/>
                    </a:stretch>
                  </pic:blipFill>
                  <pic:spPr>
                    <a:xfrm>
                      <a:off x="0" y="0"/>
                      <a:ext cx="316607" cy="53187"/>
                    </a:xfrm>
                    <a:prstGeom prst="rect">
                      <a:avLst/>
                    </a:prstGeom>
                  </pic:spPr>
                </pic:pic>
              </a:graphicData>
            </a:graphic>
          </wp:anchor>
        </w:drawing>
      </w:r>
      <w:r>
        <w:pict>
          <v:shape id="_x0000_s1026" o:spid="_x0000_s1026" o:spt="202" type="#_x0000_t202" style="position:absolute;left:0pt;margin-left:400.45pt;margin-top:211.8pt;height:25.3pt;width:58.4pt;mso-position-horizontal-relative:page;mso-position-vertical-relative:page;z-index:251660288;mso-width-relative:page;mso-height-relative:page;" filled="f" stroked="f" coordsize="21600,21600" o:allowincell="f">
            <v:path/>
            <v:fill on="f" focussize="0,0"/>
            <v:stroke on="f" joinstyle="miter"/>
            <v:imagedata o:title=""/>
            <o:lock v:ext="edit"/>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tcPr>
                      <w:p>
                        <w:pPr>
                          <w:pStyle w:val="6"/>
                          <w:spacing w:before="61" w:line="213" w:lineRule="auto"/>
                          <w:ind w:left="194" w:hanging="154"/>
                          <w:rPr>
                            <w:lang w:eastAsia="zh-CN"/>
                          </w:rPr>
                        </w:pPr>
                        <w:r>
                          <w:rPr>
                            <w:color w:val="231F20"/>
                            <w:spacing w:val="-8"/>
                            <w:lang w:eastAsia="zh-CN"/>
                          </w:rPr>
                          <w:t>不予许可决定，</w:t>
                        </w:r>
                        <w:r>
                          <w:rPr>
                            <w:color w:val="231F20"/>
                            <w:spacing w:val="1"/>
                            <w:lang w:eastAsia="zh-CN"/>
                          </w:rPr>
                          <w:t xml:space="preserve"> </w:t>
                        </w:r>
                        <w:r>
                          <w:rPr>
                            <w:color w:val="231F20"/>
                            <w:spacing w:val="-3"/>
                            <w:lang w:eastAsia="zh-CN"/>
                          </w:rPr>
                          <w:t>送达申请人</w:t>
                        </w:r>
                      </w:p>
                    </w:tc>
                  </w:tr>
                </w:tbl>
                <w:p>
                  <w:pPr>
                    <w:rPr>
                      <w:lang w:eastAsia="zh-CN"/>
                    </w:rPr>
                  </w:pPr>
                </w:p>
              </w:txbxContent>
            </v:textbox>
          </v:shape>
        </w:pict>
      </w:r>
      <w:r>
        <w:drawing>
          <wp:anchor distT="0" distB="0" distL="0" distR="0" simplePos="0" relativeHeight="251665408" behindDoc="0" locked="0" layoutInCell="0" allowOverlap="1">
            <wp:simplePos x="0" y="0"/>
            <wp:positionH relativeFrom="page">
              <wp:posOffset>5427980</wp:posOffset>
            </wp:positionH>
            <wp:positionV relativeFrom="page">
              <wp:posOffset>2430780</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1"/>
                    <a:stretch>
                      <a:fillRect/>
                    </a:stretch>
                  </pic:blipFill>
                  <pic:spPr>
                    <a:xfrm>
                      <a:off x="0" y="0"/>
                      <a:ext cx="53200" cy="269509"/>
                    </a:xfrm>
                    <a:prstGeom prst="rect">
                      <a:avLst/>
                    </a:prstGeom>
                  </pic:spPr>
                </pic:pic>
              </a:graphicData>
            </a:graphic>
          </wp:anchor>
        </w:drawing>
      </w:r>
    </w:p>
    <w:p>
      <w:pPr>
        <w:rPr>
          <w:lang w:eastAsia="zh-CN"/>
        </w:rPr>
        <w:sectPr>
          <w:pgSz w:w="10772" w:h="11906"/>
          <w:pgMar w:top="400" w:right="579" w:bottom="400" w:left="596" w:header="0" w:footer="0" w:gutter="0"/>
          <w:cols w:equalWidth="0" w:num="1">
            <w:col w:w="9596"/>
          </w:cols>
        </w:sectPr>
      </w:pPr>
    </w:p>
    <w:p>
      <w:pPr>
        <w:spacing w:before="49" w:line="204" w:lineRule="auto"/>
        <w:ind w:left="437"/>
        <w:rPr>
          <w:rFonts w:ascii="微软雅黑" w:hAnsi="微软雅黑" w:eastAsia="微软雅黑" w:cs="微软雅黑"/>
          <w:sz w:val="22"/>
          <w:szCs w:val="22"/>
          <w:lang w:eastAsia="zh-CN"/>
        </w:rPr>
      </w:pPr>
      <w:r>
        <w:rPr>
          <w:rFonts w:ascii="微软雅黑" w:hAnsi="微软雅黑" w:eastAsia="微软雅黑" w:cs="微软雅黑"/>
          <w:color w:val="231F20"/>
          <w:spacing w:val="-2"/>
          <w:sz w:val="22"/>
          <w:szCs w:val="22"/>
          <w:lang w:eastAsia="zh-CN"/>
        </w:rPr>
        <w:t>五、申请材料</w:t>
      </w:r>
    </w:p>
    <w:p>
      <w:pPr>
        <w:pStyle w:val="2"/>
        <w:spacing w:before="32" w:line="230" w:lineRule="auto"/>
        <w:ind w:left="416"/>
        <w:rPr>
          <w:lang w:eastAsia="zh-CN"/>
        </w:rPr>
      </w:pPr>
      <w:r>
        <w:rPr>
          <w:color w:val="231F20"/>
          <w:spacing w:val="-2"/>
          <w:lang w:eastAsia="zh-CN"/>
        </w:rPr>
        <w:t>（1）</w:t>
      </w:r>
      <w:r>
        <w:rPr>
          <w:rFonts w:hint="eastAsia"/>
          <w:color w:val="231F20"/>
          <w:spacing w:val="-2"/>
          <w:lang w:val="en-US" w:eastAsia="zh-CN"/>
        </w:rPr>
        <w:t>巡游出租汽车</w:t>
      </w:r>
      <w:r>
        <w:rPr>
          <w:color w:val="231F20"/>
          <w:spacing w:val="-2"/>
          <w:lang w:eastAsia="zh-CN"/>
        </w:rPr>
        <w:t>驾驶员从业资格核发：</w:t>
      </w:r>
    </w:p>
    <w:p>
      <w:pPr>
        <w:pStyle w:val="2"/>
        <w:spacing w:before="41" w:line="350" w:lineRule="exact"/>
        <w:ind w:left="416"/>
        <w:rPr>
          <w:lang w:eastAsia="zh-CN"/>
        </w:rPr>
      </w:pPr>
      <w:r>
        <w:rPr>
          <w:color w:val="231F20"/>
          <w:position w:val="8"/>
          <w:lang w:eastAsia="zh-CN"/>
        </w:rPr>
        <w:t>（一）《出租汽车驾驶员从业资格证申</w:t>
      </w:r>
    </w:p>
    <w:p>
      <w:pPr>
        <w:pStyle w:val="2"/>
        <w:spacing w:before="1" w:line="228" w:lineRule="auto"/>
        <w:rPr>
          <w:lang w:eastAsia="zh-CN"/>
        </w:rPr>
      </w:pPr>
      <w:r>
        <w:rPr>
          <w:color w:val="231F20"/>
          <w:spacing w:val="-10"/>
          <w:lang w:eastAsia="zh-CN"/>
        </w:rPr>
        <w:t>请表》；</w:t>
      </w:r>
    </w:p>
    <w:p>
      <w:pPr>
        <w:pStyle w:val="2"/>
        <w:spacing w:before="43" w:line="229" w:lineRule="auto"/>
        <w:ind w:left="416"/>
        <w:rPr>
          <w:lang w:eastAsia="zh-CN"/>
        </w:rPr>
      </w:pPr>
      <w:r>
        <w:rPr>
          <w:color w:val="231F20"/>
          <w:spacing w:val="-2"/>
          <w:lang w:eastAsia="zh-CN"/>
        </w:rPr>
        <w:t>（二）申请人身份证原件及复印件；</w:t>
      </w:r>
    </w:p>
    <w:p>
      <w:pPr>
        <w:pStyle w:val="2"/>
        <w:spacing w:before="43" w:line="245" w:lineRule="auto"/>
        <w:ind w:left="9" w:right="1043" w:firstLine="407"/>
        <w:rPr>
          <w:lang w:eastAsia="zh-CN"/>
        </w:rPr>
      </w:pPr>
      <w:r>
        <w:rPr>
          <w:color w:val="231F20"/>
          <w:spacing w:val="1"/>
          <w:lang w:eastAsia="zh-CN"/>
        </w:rPr>
        <w:t>（三）出租汽车驾驶员证考试申请承诺</w:t>
      </w:r>
      <w:r>
        <w:rPr>
          <w:color w:val="231F20"/>
          <w:spacing w:val="13"/>
          <w:lang w:eastAsia="zh-CN"/>
        </w:rPr>
        <w:t xml:space="preserve"> </w:t>
      </w:r>
      <w:r>
        <w:rPr>
          <w:color w:val="231F20"/>
          <w:spacing w:val="-15"/>
          <w:lang w:eastAsia="zh-CN"/>
        </w:rPr>
        <w:t>书；</w:t>
      </w:r>
    </w:p>
    <w:p>
      <w:pPr>
        <w:pStyle w:val="2"/>
        <w:spacing w:before="44" w:line="219" w:lineRule="auto"/>
        <w:ind w:left="416"/>
        <w:rPr>
          <w:lang w:eastAsia="zh-CN"/>
        </w:rPr>
      </w:pPr>
      <w:r>
        <w:rPr>
          <w:color w:val="231F20"/>
          <w:spacing w:val="-3"/>
          <w:lang w:eastAsia="zh-CN"/>
        </w:rPr>
        <w:t>（四）从业人员健康证明；</w:t>
      </w:r>
    </w:p>
    <w:p>
      <w:pPr>
        <w:pStyle w:val="2"/>
        <w:spacing w:before="56" w:line="227" w:lineRule="auto"/>
        <w:ind w:left="416"/>
        <w:rPr>
          <w:lang w:eastAsia="zh-CN"/>
        </w:rPr>
      </w:pPr>
      <w:r>
        <w:rPr>
          <w:color w:val="231F20"/>
          <w:spacing w:val="-2"/>
          <w:lang w:eastAsia="zh-CN"/>
        </w:rPr>
        <w:t>（五）申请人二寸免冠彩色照片2张；</w:t>
      </w:r>
    </w:p>
    <w:p>
      <w:pPr>
        <w:pStyle w:val="2"/>
        <w:spacing w:before="45" w:line="229" w:lineRule="auto"/>
        <w:ind w:left="416"/>
        <w:rPr>
          <w:lang w:eastAsia="zh-CN"/>
        </w:rPr>
      </w:pPr>
      <w:r>
        <w:rPr>
          <w:color w:val="231F20"/>
          <w:spacing w:val="-4"/>
          <w:lang w:eastAsia="zh-CN"/>
        </w:rPr>
        <w:t>（六）居住证；</w:t>
      </w:r>
    </w:p>
    <w:p>
      <w:pPr>
        <w:pStyle w:val="2"/>
        <w:spacing w:before="43" w:line="245" w:lineRule="auto"/>
        <w:ind w:left="1" w:right="1042" w:firstLine="415"/>
        <w:rPr>
          <w:lang w:eastAsia="zh-CN"/>
        </w:rPr>
      </w:pPr>
      <w:r>
        <w:rPr>
          <w:color w:val="231F20"/>
          <w:spacing w:val="1"/>
          <w:lang w:eastAsia="zh-CN"/>
        </w:rPr>
        <w:t>（七）三年内无重大以上交通责任事故</w:t>
      </w:r>
      <w:r>
        <w:rPr>
          <w:color w:val="231F20"/>
          <w:spacing w:val="14"/>
          <w:lang w:eastAsia="zh-CN"/>
        </w:rPr>
        <w:t xml:space="preserve"> </w:t>
      </w:r>
      <w:r>
        <w:rPr>
          <w:color w:val="231F20"/>
          <w:spacing w:val="-9"/>
          <w:lang w:eastAsia="zh-CN"/>
        </w:rPr>
        <w:t>记录证明；</w:t>
      </w:r>
    </w:p>
    <w:p>
      <w:pPr>
        <w:pStyle w:val="2"/>
        <w:spacing w:before="44" w:line="230" w:lineRule="auto"/>
        <w:ind w:left="416"/>
        <w:rPr>
          <w:lang w:eastAsia="zh-CN"/>
        </w:rPr>
      </w:pPr>
      <w:r>
        <w:rPr>
          <w:color w:val="231F20"/>
          <w:spacing w:val="-2"/>
          <w:lang w:eastAsia="zh-CN"/>
        </w:rPr>
        <w:t>（八）申请人机动车驾驶证。</w:t>
      </w:r>
    </w:p>
    <w:p>
      <w:pPr>
        <w:spacing w:line="14" w:lineRule="auto"/>
        <w:rPr>
          <w:sz w:val="2"/>
          <w:lang w:eastAsia="zh-CN"/>
        </w:rPr>
      </w:pPr>
      <w:r>
        <w:rPr>
          <w:rFonts w:eastAsia="Arial"/>
          <w:sz w:val="2"/>
          <w:szCs w:val="2"/>
          <w:lang w:eastAsia="zh-CN"/>
        </w:rPr>
        <w:br w:type="column"/>
      </w:r>
    </w:p>
    <w:p>
      <w:pPr>
        <w:pStyle w:val="2"/>
        <w:spacing w:before="52" w:line="347" w:lineRule="exact"/>
        <w:rPr>
          <w:lang w:eastAsia="zh-CN"/>
        </w:rPr>
      </w:pPr>
    </w:p>
    <w:p>
      <w:pPr>
        <w:spacing w:line="203" w:lineRule="auto"/>
        <w:ind w:left="477"/>
        <w:rPr>
          <w:rFonts w:ascii="微软雅黑" w:hAnsi="微软雅黑" w:eastAsia="微软雅黑" w:cs="微软雅黑"/>
          <w:sz w:val="22"/>
          <w:szCs w:val="22"/>
          <w:lang w:eastAsia="zh-CN"/>
        </w:rPr>
      </w:pPr>
      <w:r>
        <w:rPr>
          <w:rFonts w:ascii="微软雅黑" w:hAnsi="微软雅黑" w:eastAsia="微软雅黑" w:cs="微软雅黑"/>
          <w:color w:val="231F20"/>
          <w:spacing w:val="-2"/>
          <w:sz w:val="22"/>
          <w:szCs w:val="22"/>
          <w:lang w:eastAsia="zh-CN"/>
        </w:rPr>
        <w:t>六、审批机关</w:t>
      </w:r>
    </w:p>
    <w:p>
      <w:pPr>
        <w:pStyle w:val="2"/>
        <w:spacing w:before="33" w:line="347" w:lineRule="exact"/>
        <w:ind w:left="475"/>
        <w:rPr>
          <w:lang w:eastAsia="zh-CN"/>
        </w:rPr>
      </w:pPr>
      <w:r>
        <w:rPr>
          <w:color w:val="231F20"/>
          <w:spacing w:val="-1"/>
          <w:position w:val="8"/>
          <w:lang w:eastAsia="zh-CN"/>
        </w:rPr>
        <w:t>唐山市曹妃甸区行政审批局</w:t>
      </w:r>
    </w:p>
    <w:p>
      <w:pPr>
        <w:spacing w:line="202" w:lineRule="auto"/>
        <w:ind w:left="473"/>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22" w:lineRule="exact"/>
      </w:pPr>
    </w:p>
    <w:tbl>
      <w:tblPr>
        <w:tblStyle w:val="5"/>
        <w:tblW w:w="1301" w:type="dxa"/>
        <w:tblInd w:w="7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1" w:type="dxa"/>
          </w:tcPr>
          <w:p>
            <w:pPr>
              <w:pStyle w:val="6"/>
              <w:spacing w:before="69" w:line="208" w:lineRule="auto"/>
              <w:ind w:left="34"/>
              <w:rPr>
                <w:lang w:eastAsia="zh-CN"/>
              </w:rPr>
            </w:pPr>
            <w:r>
              <w:rPr>
                <w:color w:val="231F20"/>
                <w:spacing w:val="-7"/>
                <w:lang w:eastAsia="zh-CN"/>
              </w:rPr>
              <w:t>申请材料不全的，</w:t>
            </w:r>
          </w:p>
          <w:p>
            <w:pPr>
              <w:pStyle w:val="6"/>
              <w:spacing w:line="213" w:lineRule="auto"/>
              <w:ind w:left="252" w:right="84" w:hanging="158"/>
              <w:rPr>
                <w:lang w:eastAsia="zh-CN"/>
              </w:rPr>
            </w:pPr>
            <w:r>
              <w:rPr>
                <w:color w:val="231F20"/>
                <w:spacing w:val="-2"/>
                <w:lang w:eastAsia="zh-CN"/>
              </w:rPr>
              <w:t>一次性告知当事</w:t>
            </w:r>
            <w:r>
              <w:rPr>
                <w:color w:val="231F20"/>
                <w:spacing w:val="4"/>
                <w:lang w:eastAsia="zh-CN"/>
              </w:rPr>
              <w:t xml:space="preserve"> </w:t>
            </w:r>
            <w:r>
              <w:rPr>
                <w:color w:val="231F20"/>
                <w:spacing w:val="-2"/>
                <w:lang w:eastAsia="zh-CN"/>
              </w:rPr>
              <w:t>人补齐补正</w:t>
            </w:r>
          </w:p>
        </w:tc>
      </w:tr>
    </w:tbl>
    <w:p>
      <w:pPr>
        <w:spacing w:before="221"/>
        <w:rPr>
          <w:lang w:eastAsia="zh-CN"/>
        </w:rPr>
      </w:pPr>
    </w:p>
    <w:tbl>
      <w:tblPr>
        <w:tblStyle w:val="5"/>
        <w:tblW w:w="501" w:type="dxa"/>
        <w:tblInd w:w="11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tcPr>
          <w:p>
            <w:pPr>
              <w:pStyle w:val="6"/>
              <w:spacing w:before="143" w:line="221" w:lineRule="auto"/>
              <w:ind w:left="93"/>
            </w:pPr>
            <w:r>
              <w:rPr>
                <w:color w:val="231F20"/>
                <w:spacing w:val="-3"/>
              </w:rPr>
              <w:t>受理</w:t>
            </w:r>
          </w:p>
        </w:tc>
      </w:tr>
    </w:tbl>
    <w:p>
      <w:pPr>
        <w:spacing w:line="423" w:lineRule="exact"/>
        <w:ind w:firstLine="1337"/>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2"/>
                    <a:stretch>
                      <a:fillRect/>
                    </a:stretch>
                  </pic:blipFill>
                  <pic:spPr>
                    <a:xfrm>
                      <a:off x="0" y="0"/>
                      <a:ext cx="53200" cy="268720"/>
                    </a:xfrm>
                    <a:prstGeom prst="rect">
                      <a:avLst/>
                    </a:prstGeom>
                  </pic:spPr>
                </pic:pic>
              </a:graphicData>
            </a:graphic>
          </wp:inline>
        </w:drawing>
      </w:r>
    </w:p>
    <w:p>
      <w:pPr>
        <w:spacing w:line="14" w:lineRule="exact"/>
      </w:pPr>
    </w:p>
    <w:tbl>
      <w:tblPr>
        <w:tblStyle w:val="5"/>
        <w:tblW w:w="819" w:type="dxa"/>
        <w:tblInd w:w="9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14" w:line="203" w:lineRule="auto"/>
        <w:ind w:left="470"/>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33" w:line="233" w:lineRule="auto"/>
        <w:ind w:left="487"/>
      </w:pPr>
      <w:r>
        <w:rPr>
          <w:color w:val="231F20"/>
          <w:spacing w:val="-2"/>
        </w:rPr>
        <w:t>法定时限：120个工作日</w:t>
      </w:r>
    </w:p>
    <w:p>
      <w:pPr>
        <w:pStyle w:val="2"/>
        <w:spacing w:before="35" w:line="232" w:lineRule="auto"/>
        <w:ind w:left="478"/>
      </w:pPr>
      <w:r>
        <w:rPr>
          <w:color w:val="231F20"/>
          <w:spacing w:val="-2"/>
        </w:rPr>
        <w:t>承诺时限：3个工作日</w:t>
      </w:r>
    </w:p>
    <w:p>
      <w:pPr>
        <w:spacing w:before="34" w:line="203" w:lineRule="auto"/>
        <w:ind w:left="47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2" w:line="233" w:lineRule="auto"/>
        <w:ind w:left="483"/>
      </w:pPr>
      <w:r>
        <w:rPr>
          <w:color w:val="231F20"/>
          <w:spacing w:val="-5"/>
        </w:rPr>
        <w:t>不收费</w:t>
      </w:r>
    </w:p>
    <w:p>
      <w:pPr>
        <w:spacing w:before="31" w:line="205" w:lineRule="auto"/>
        <w:ind w:left="478"/>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29" w:line="219" w:lineRule="auto"/>
        <w:ind w:left="481"/>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52" w:line="204" w:lineRule="auto"/>
        <w:ind w:left="463"/>
        <w:rPr>
          <w:rFonts w:ascii="微软雅黑" w:hAnsi="微软雅黑" w:eastAsia="微软雅黑" w:cs="微软雅黑"/>
          <w:sz w:val="22"/>
          <w:szCs w:val="22"/>
          <w:lang w:eastAsia="zh-CN"/>
        </w:rPr>
      </w:pPr>
      <w:r>
        <w:rPr>
          <w:rFonts w:hint="eastAsia" w:ascii="微软雅黑" w:hAnsi="微软雅黑" w:eastAsia="微软雅黑" w:cs="微软雅黑"/>
          <w:color w:val="231F20"/>
          <w:spacing w:val="-4"/>
          <w:sz w:val="22"/>
          <w:szCs w:val="22"/>
          <w:lang w:eastAsia="zh-CN"/>
        </w:rPr>
        <w:t>十一、办理地点</w:t>
      </w:r>
    </w:p>
    <w:p>
      <w:pPr>
        <w:pStyle w:val="2"/>
        <w:spacing w:before="41" w:line="244" w:lineRule="auto"/>
        <w:ind w:left="51" w:right="2" w:firstLine="409"/>
        <w:rPr>
          <w:rFonts w:hint="eastAsia" w:ascii="方正仿宋简体" w:hAnsi="方正仿宋简体" w:eastAsia="方正仿宋简体" w:cs="方正仿宋简体"/>
          <w:color w:val="231F20"/>
          <w:spacing w:val="-3"/>
          <w:lang w:eastAsia="zh-CN"/>
        </w:rPr>
      </w:pPr>
      <w:r>
        <w:rPr>
          <w:rFonts w:hint="eastAsia"/>
          <w:color w:val="231F20"/>
          <w:spacing w:val="-3"/>
          <w:lang w:eastAsia="zh-CN"/>
        </w:rPr>
        <w:t xml:space="preserve">1. </w:t>
      </w:r>
      <w:r>
        <w:rPr>
          <w:rFonts w:hint="eastAsia" w:ascii="宋体" w:hAnsi="宋体" w:eastAsia="宋体" w:cs="宋体"/>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hint="eastAsia" w:ascii="宋体" w:hAnsi="宋体" w:eastAsia="宋体" w:cs="宋体"/>
          <w:color w:val="231F20"/>
          <w:spacing w:val="-3"/>
          <w:lang w:eastAsia="zh-CN"/>
        </w:rPr>
        <w:t>（曹妃甸工业区兴业道</w:t>
      </w:r>
      <w:r>
        <w:rPr>
          <w:rFonts w:hint="eastAsia"/>
          <w:color w:val="231F20"/>
          <w:spacing w:val="-3"/>
          <w:lang w:eastAsia="zh-CN"/>
        </w:rPr>
        <w:t xml:space="preserve"> 1 </w:t>
      </w:r>
      <w:r>
        <w:rPr>
          <w:rFonts w:hint="eastAsia" w:ascii="宋体" w:hAnsi="宋体" w:eastAsia="宋体" w:cs="宋体"/>
          <w:color w:val="231F20"/>
          <w:spacing w:val="-3"/>
          <w:lang w:eastAsia="zh-CN"/>
        </w:rPr>
        <w:t>号二层）。</w:t>
      </w:r>
    </w:p>
    <w:p>
      <w:pPr>
        <w:pStyle w:val="2"/>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hint="eastAsia" w:ascii="宋体" w:hAnsi="宋体" w:eastAsia="宋体" w:cs="宋体"/>
          <w:color w:val="231F20"/>
          <w:spacing w:val="-3"/>
          <w:lang w:eastAsia="zh-CN"/>
        </w:rPr>
        <w:t>唐山市曹妃甸区垦区政务服务中心综合受理窗口</w:t>
      </w:r>
      <w:r>
        <w:rPr>
          <w:rFonts w:hint="eastAsia"/>
          <w:color w:val="231F20"/>
          <w:spacing w:val="-3"/>
          <w:lang w:eastAsia="zh-CN"/>
        </w:rPr>
        <w:t>W1-W6</w:t>
      </w:r>
      <w:r>
        <w:rPr>
          <w:rFonts w:hint="eastAsia" w:ascii="宋体" w:hAnsi="宋体" w:eastAsia="宋体" w:cs="宋体"/>
          <w:color w:val="231F20"/>
          <w:spacing w:val="-3"/>
          <w:lang w:eastAsia="zh-CN"/>
        </w:rPr>
        <w:t>（曹妃甸区唐海镇新城大街</w:t>
      </w:r>
      <w:r>
        <w:rPr>
          <w:rFonts w:hint="eastAsia"/>
          <w:color w:val="231F20"/>
          <w:spacing w:val="-3"/>
          <w:lang w:eastAsia="zh-CN"/>
        </w:rPr>
        <w:t xml:space="preserve"> 259 </w:t>
      </w:r>
      <w:r>
        <w:rPr>
          <w:rFonts w:hint="eastAsia" w:ascii="宋体" w:hAnsi="宋体" w:eastAsia="宋体" w:cs="宋体"/>
          <w:color w:val="231F20"/>
          <w:spacing w:val="-3"/>
          <w:lang w:eastAsia="zh-CN"/>
        </w:rPr>
        <w:t>号二层）。</w:t>
      </w:r>
    </w:p>
    <w:p>
      <w:pPr>
        <w:pStyle w:val="2"/>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hint="eastAsia" w:ascii="宋体" w:hAnsi="宋体" w:eastAsia="宋体" w:cs="宋体"/>
          <w:color w:val="231F20"/>
          <w:spacing w:val="-3"/>
          <w:lang w:eastAsia="zh-CN"/>
        </w:rPr>
        <w:t>唐山市曹妃甸区曹妃甸新城政务服务中心综合受理窗口</w:t>
      </w:r>
      <w:r>
        <w:rPr>
          <w:rFonts w:hint="eastAsia"/>
          <w:color w:val="231F20"/>
          <w:spacing w:val="-3"/>
          <w:lang w:eastAsia="zh-CN"/>
        </w:rPr>
        <w:t>B02-B05</w:t>
      </w:r>
      <w:r>
        <w:rPr>
          <w:rFonts w:hint="eastAsia" w:ascii="宋体" w:hAnsi="宋体" w:eastAsia="宋体" w:cs="宋体"/>
          <w:color w:val="231F20"/>
          <w:spacing w:val="-3"/>
          <w:lang w:eastAsia="zh-CN"/>
        </w:rPr>
        <w:t>（曹妃甸区新城通海路）。</w:t>
      </w:r>
    </w:p>
    <w:p>
      <w:pPr>
        <w:pStyle w:val="2"/>
        <w:spacing w:before="41" w:line="244" w:lineRule="auto"/>
        <w:ind w:left="51" w:right="2" w:firstLine="409"/>
        <w:rPr>
          <w:rFonts w:hint="eastAsia"/>
          <w:color w:val="231F20"/>
          <w:spacing w:val="-3"/>
          <w:lang w:eastAsia="zh-CN"/>
        </w:rPr>
      </w:pPr>
      <w:r>
        <w:rPr>
          <w:rFonts w:hint="eastAsia" w:ascii="宋体" w:hAnsi="宋体" w:eastAsia="宋体" w:cs="宋体"/>
          <w:color w:val="231F20"/>
          <w:spacing w:val="-3"/>
          <w:lang w:eastAsia="zh-CN"/>
        </w:rPr>
        <w:t>交通指引：</w:t>
      </w:r>
    </w:p>
    <w:p>
      <w:pPr>
        <w:pStyle w:val="2"/>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hint="eastAsia" w:ascii="宋体" w:hAnsi="宋体" w:eastAsia="宋体" w:cs="宋体"/>
          <w:color w:val="231F20"/>
          <w:spacing w:val="-3"/>
          <w:lang w:eastAsia="zh-CN"/>
        </w:rPr>
        <w:t>临港中心：乘坐公交</w:t>
      </w:r>
      <w:r>
        <w:rPr>
          <w:rFonts w:hint="eastAsia"/>
          <w:color w:val="231F20"/>
          <w:spacing w:val="-3"/>
          <w:lang w:eastAsia="zh-CN"/>
        </w:rPr>
        <w:t>K1</w:t>
      </w:r>
      <w:r>
        <w:rPr>
          <w:rFonts w:hint="eastAsia" w:ascii="宋体" w:hAnsi="宋体" w:eastAsia="宋体" w:cs="宋体"/>
          <w:color w:val="231F20"/>
          <w:spacing w:val="-3"/>
          <w:lang w:eastAsia="zh-CN"/>
        </w:rPr>
        <w:t>支线</w:t>
      </w:r>
      <w:r>
        <w:rPr>
          <w:rFonts w:hint="eastAsia"/>
          <w:color w:val="231F20"/>
          <w:spacing w:val="-3"/>
          <w:lang w:eastAsia="zh-CN"/>
        </w:rPr>
        <w:t>/K1</w:t>
      </w:r>
      <w:r>
        <w:rPr>
          <w:rFonts w:hint="eastAsia" w:ascii="宋体" w:hAnsi="宋体" w:eastAsia="宋体" w:cs="宋体"/>
          <w:color w:val="231F20"/>
          <w:spacing w:val="-3"/>
          <w:lang w:eastAsia="zh-CN"/>
        </w:rPr>
        <w:t>专线，四大联检下车（曹妃甸工业区兴业道</w:t>
      </w:r>
      <w:r>
        <w:rPr>
          <w:rFonts w:hint="eastAsia"/>
          <w:color w:val="231F20"/>
          <w:spacing w:val="-3"/>
          <w:lang w:eastAsia="zh-CN"/>
        </w:rPr>
        <w:t>1</w:t>
      </w:r>
      <w:r>
        <w:rPr>
          <w:rFonts w:hint="eastAsia" w:ascii="宋体" w:hAnsi="宋体" w:eastAsia="宋体" w:cs="宋体"/>
          <w:color w:val="231F20"/>
          <w:spacing w:val="-3"/>
          <w:lang w:eastAsia="zh-CN"/>
        </w:rPr>
        <w:t>号）；</w:t>
      </w:r>
    </w:p>
    <w:p>
      <w:pPr>
        <w:pStyle w:val="2"/>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hint="eastAsia" w:ascii="宋体" w:hAnsi="宋体" w:eastAsia="宋体" w:cs="宋体"/>
          <w:color w:val="231F20"/>
          <w:spacing w:val="-3"/>
          <w:lang w:eastAsia="zh-CN"/>
        </w:rPr>
        <w:t>垦区中心：乘坐公交</w:t>
      </w:r>
      <w:r>
        <w:rPr>
          <w:rFonts w:hint="eastAsia"/>
          <w:color w:val="231F20"/>
          <w:spacing w:val="-3"/>
          <w:lang w:eastAsia="zh-CN"/>
        </w:rPr>
        <w:t>101</w:t>
      </w:r>
      <w:r>
        <w:rPr>
          <w:rFonts w:hint="eastAsia" w:ascii="宋体" w:hAnsi="宋体" w:eastAsia="宋体" w:cs="宋体"/>
          <w:color w:val="231F20"/>
          <w:spacing w:val="-3"/>
          <w:lang w:eastAsia="zh-CN"/>
        </w:rPr>
        <w:t>路</w:t>
      </w:r>
      <w:r>
        <w:rPr>
          <w:rFonts w:hint="eastAsia"/>
          <w:color w:val="231F20"/>
          <w:spacing w:val="-3"/>
          <w:lang w:eastAsia="zh-CN"/>
        </w:rPr>
        <w:t>/102</w:t>
      </w:r>
      <w:r>
        <w:rPr>
          <w:rFonts w:hint="eastAsia" w:ascii="宋体" w:hAnsi="宋体" w:eastAsia="宋体" w:cs="宋体"/>
          <w:color w:val="231F20"/>
          <w:spacing w:val="-3"/>
          <w:lang w:eastAsia="zh-CN"/>
        </w:rPr>
        <w:t>路，行政审批大厅下车（曹妃甸新城大街与唐海路交叉口西行</w:t>
      </w:r>
      <w:r>
        <w:rPr>
          <w:rFonts w:hint="eastAsia"/>
          <w:color w:val="231F20"/>
          <w:spacing w:val="-3"/>
          <w:lang w:eastAsia="zh-CN"/>
        </w:rPr>
        <w:t>200</w:t>
      </w:r>
      <w:r>
        <w:rPr>
          <w:rFonts w:hint="eastAsia" w:ascii="宋体" w:hAnsi="宋体" w:eastAsia="宋体" w:cs="宋体"/>
          <w:color w:val="231F20"/>
          <w:spacing w:val="-3"/>
          <w:lang w:eastAsia="zh-CN"/>
        </w:rPr>
        <w:t>米）</w:t>
      </w:r>
    </w:p>
    <w:p>
      <w:pPr>
        <w:pStyle w:val="2"/>
        <w:spacing w:before="41" w:line="244" w:lineRule="auto"/>
        <w:ind w:left="51" w:right="2" w:firstLine="409"/>
        <w:rPr>
          <w:rFonts w:hint="eastAsia"/>
          <w:lang w:eastAsia="zh-CN"/>
        </w:rPr>
      </w:pPr>
      <w:r>
        <w:rPr>
          <w:rFonts w:hint="eastAsia"/>
          <w:color w:val="231F20"/>
          <w:spacing w:val="-3"/>
          <w:lang w:eastAsia="zh-CN"/>
        </w:rPr>
        <w:t>3.</w:t>
      </w:r>
      <w:r>
        <w:rPr>
          <w:rFonts w:hint="eastAsia" w:ascii="宋体" w:hAnsi="宋体" w:eastAsia="宋体" w:cs="宋体"/>
          <w:color w:val="231F20"/>
          <w:spacing w:val="-3"/>
          <w:lang w:eastAsia="zh-CN"/>
        </w:rPr>
        <w:t>新城中心：乘坐公交</w:t>
      </w:r>
      <w:r>
        <w:rPr>
          <w:rFonts w:hint="eastAsia"/>
          <w:color w:val="231F20"/>
          <w:spacing w:val="-3"/>
          <w:lang w:eastAsia="zh-CN"/>
        </w:rPr>
        <w:t>K2</w:t>
      </w:r>
      <w:r>
        <w:rPr>
          <w:rFonts w:hint="eastAsia" w:ascii="宋体" w:hAnsi="宋体" w:eastAsia="宋体" w:cs="宋体"/>
          <w:color w:val="231F20"/>
          <w:spacing w:val="-3"/>
          <w:lang w:eastAsia="zh-CN"/>
        </w:rPr>
        <w:t>路，新城服务中心下车（曹妃甸新城未来大道</w:t>
      </w:r>
      <w:r>
        <w:rPr>
          <w:rFonts w:hint="eastAsia"/>
          <w:color w:val="231F20"/>
          <w:spacing w:val="-3"/>
          <w:lang w:eastAsia="zh-CN"/>
        </w:rPr>
        <w:t>1</w:t>
      </w:r>
      <w:r>
        <w:rPr>
          <w:rFonts w:hint="eastAsia" w:ascii="宋体" w:hAnsi="宋体" w:eastAsia="宋体" w:cs="宋体"/>
          <w:color w:val="231F20"/>
          <w:spacing w:val="-3"/>
          <w:lang w:eastAsia="zh-CN"/>
        </w:rPr>
        <w:t>号）；</w:t>
      </w:r>
    </w:p>
    <w:p>
      <w:pPr>
        <w:spacing w:before="37" w:line="204" w:lineRule="auto"/>
        <w:ind w:left="463"/>
        <w:rPr>
          <w:rFonts w:hint="eastAsia" w:ascii="微软雅黑" w:hAnsi="微软雅黑" w:eastAsia="微软雅黑" w:cs="微软雅黑"/>
          <w:sz w:val="22"/>
          <w:szCs w:val="22"/>
          <w:lang w:eastAsia="zh-CN"/>
        </w:rPr>
      </w:pPr>
      <w:r>
        <w:rPr>
          <w:rFonts w:hint="eastAsia" w:ascii="微软雅黑" w:hAnsi="微软雅黑" w:eastAsia="微软雅黑" w:cs="微软雅黑"/>
          <w:color w:val="231F20"/>
          <w:spacing w:val="-2"/>
          <w:sz w:val="22"/>
          <w:szCs w:val="22"/>
          <w:lang w:eastAsia="zh-CN"/>
        </w:rPr>
        <w:t>十二、办公时间</w:t>
      </w:r>
    </w:p>
    <w:p>
      <w:pPr>
        <w:spacing w:before="34" w:line="201" w:lineRule="auto"/>
        <w:ind w:left="463"/>
        <w:rPr>
          <w:rFonts w:hint="eastAsia" w:ascii="方正仿宋简体" w:hAnsi="方正仿宋简体" w:eastAsia="方正仿宋简体" w:cs="方正仿宋简体"/>
          <w:color w:val="231F20"/>
          <w:spacing w:val="-3"/>
          <w:sz w:val="22"/>
          <w:szCs w:val="22"/>
          <w:lang w:eastAsia="zh-CN"/>
        </w:rPr>
      </w:pPr>
      <w:r>
        <w:rPr>
          <w:rFonts w:hint="eastAsia" w:ascii="方正仿宋简体" w:hAnsi="方正仿宋简体" w:eastAsia="方正仿宋简体" w:cs="方正仿宋简体"/>
          <w:color w:val="231F20"/>
          <w:spacing w:val="-3"/>
          <w:sz w:val="22"/>
          <w:szCs w:val="22"/>
          <w:lang w:eastAsia="zh-CN"/>
        </w:rPr>
        <w:t>周一到周五：春秋冬季（9月1日至5月31日）上午8:30～12:00，下午13:30～17:30；夏季（6月1日至8月31日）上午8:30～12:00，下午14:30～17:30，法定节假日除外。</w:t>
      </w:r>
    </w:p>
    <w:p>
      <w:pPr>
        <w:spacing w:before="34" w:line="201" w:lineRule="auto"/>
        <w:ind w:left="463"/>
        <w:rPr>
          <w:rFonts w:hint="eastAsia" w:ascii="微软雅黑" w:hAnsi="微软雅黑" w:eastAsia="微软雅黑" w:cs="微软雅黑"/>
          <w:sz w:val="22"/>
          <w:szCs w:val="22"/>
          <w:lang w:eastAsia="zh-CN"/>
        </w:rPr>
      </w:pPr>
      <w:r>
        <w:rPr>
          <w:rFonts w:hint="eastAsia" w:ascii="微软雅黑" w:hAnsi="微软雅黑" w:eastAsia="微软雅黑" w:cs="微软雅黑"/>
          <w:color w:val="231F20"/>
          <w:spacing w:val="-2"/>
          <w:sz w:val="22"/>
          <w:szCs w:val="22"/>
          <w:lang w:eastAsia="zh-CN"/>
        </w:rPr>
        <w:t>十三、咨询电话</w:t>
      </w:r>
    </w:p>
    <w:p>
      <w:pPr>
        <w:pStyle w:val="2"/>
        <w:spacing w:before="34" w:line="249" w:lineRule="auto"/>
        <w:ind w:left="21" w:right="21" w:firstLine="440"/>
        <w:rPr>
          <w:rFonts w:hint="eastAsia" w:ascii="方正仿宋简体" w:hAnsi="方正仿宋简体" w:eastAsia="方正仿宋简体" w:cs="方正仿宋简体"/>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hint="eastAsia" w:ascii="宋体" w:hAnsi="宋体" w:eastAsia="宋体" w:cs="宋体"/>
          <w:color w:val="231F20"/>
          <w:spacing w:val="5"/>
          <w:lang w:eastAsia="zh-CN"/>
        </w:rPr>
        <w:t>（临</w:t>
      </w:r>
      <w:r>
        <w:rPr>
          <w:rFonts w:hint="eastAsia"/>
          <w:color w:val="231F20"/>
          <w:spacing w:val="-34"/>
          <w:lang w:eastAsia="zh-CN"/>
        </w:rPr>
        <w:t xml:space="preserve"> </w:t>
      </w:r>
      <w:r>
        <w:rPr>
          <w:rFonts w:hint="eastAsia" w:ascii="宋体" w:hAnsi="宋体" w:eastAsia="宋体" w:cs="宋体"/>
          <w:color w:val="231F20"/>
          <w:spacing w:val="5"/>
          <w:lang w:eastAsia="zh-CN"/>
        </w:rPr>
        <w:t>港</w:t>
      </w:r>
      <w:r>
        <w:rPr>
          <w:rFonts w:hint="eastAsia"/>
          <w:color w:val="231F20"/>
          <w:spacing w:val="5"/>
          <w:lang w:eastAsia="zh-CN"/>
        </w:rPr>
        <w:t xml:space="preserve"> </w:t>
      </w:r>
      <w:r>
        <w:rPr>
          <w:rFonts w:hint="eastAsia" w:ascii="宋体" w:hAnsi="宋体" w:eastAsia="宋体" w:cs="宋体"/>
          <w:color w:val="231F20"/>
          <w:spacing w:val="5"/>
          <w:lang w:eastAsia="zh-CN"/>
        </w:rPr>
        <w:t>中心</w:t>
      </w:r>
      <w:r>
        <w:rPr>
          <w:rFonts w:hint="eastAsia"/>
          <w:color w:val="231F20"/>
          <w:spacing w:val="-52"/>
          <w:lang w:eastAsia="zh-CN"/>
        </w:rPr>
        <w:t xml:space="preserve"> </w:t>
      </w:r>
      <w:r>
        <w:rPr>
          <w:rFonts w:hint="eastAsia" w:ascii="宋体" w:hAnsi="宋体" w:eastAsia="宋体" w:cs="宋体"/>
          <w:color w:val="231F20"/>
          <w:spacing w:val="5"/>
          <w:lang w:eastAsia="zh-CN"/>
        </w:rPr>
        <w:t>）</w:t>
      </w:r>
      <w:r>
        <w:rPr>
          <w:rFonts w:hint="eastAsia"/>
          <w:color w:val="231F20"/>
          <w:spacing w:val="-51"/>
          <w:lang w:eastAsia="zh-CN"/>
        </w:rPr>
        <w:t xml:space="preserve"> </w:t>
      </w:r>
      <w:r>
        <w:rPr>
          <w:rFonts w:hint="eastAsia" w:ascii="宋体" w:hAnsi="宋体" w:eastAsia="宋体" w:cs="宋体"/>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hint="eastAsia" w:ascii="宋体" w:hAnsi="宋体" w:eastAsia="宋体" w:cs="宋体"/>
          <w:color w:val="231F20"/>
          <w:spacing w:val="-14"/>
          <w:lang w:eastAsia="zh-CN"/>
        </w:rPr>
        <w:t>（</w:t>
      </w:r>
      <w:r>
        <w:rPr>
          <w:rFonts w:hint="eastAsia"/>
          <w:color w:val="231F20"/>
          <w:spacing w:val="-14"/>
          <w:lang w:eastAsia="zh-CN"/>
        </w:rPr>
        <w:t xml:space="preserve"> </w:t>
      </w:r>
      <w:r>
        <w:rPr>
          <w:rFonts w:hint="eastAsia" w:ascii="宋体" w:hAnsi="宋体" w:eastAsia="宋体" w:cs="宋体"/>
          <w:color w:val="231F20"/>
          <w:spacing w:val="-14"/>
          <w:lang w:eastAsia="zh-CN"/>
        </w:rPr>
        <w:t>垦</w:t>
      </w:r>
      <w:r>
        <w:rPr>
          <w:rFonts w:hint="eastAsia"/>
          <w:color w:val="231F20"/>
          <w:spacing w:val="16"/>
          <w:lang w:eastAsia="zh-CN"/>
        </w:rPr>
        <w:t xml:space="preserve"> </w:t>
      </w:r>
      <w:r>
        <w:rPr>
          <w:rFonts w:hint="eastAsia" w:ascii="宋体" w:hAnsi="宋体" w:eastAsia="宋体" w:cs="宋体"/>
          <w:color w:val="231F20"/>
          <w:spacing w:val="-14"/>
          <w:lang w:eastAsia="zh-CN"/>
        </w:rPr>
        <w:t>区</w:t>
      </w:r>
      <w:r>
        <w:rPr>
          <w:rFonts w:hint="eastAsia"/>
          <w:color w:val="231F20"/>
          <w:spacing w:val="17"/>
          <w:lang w:eastAsia="zh-CN"/>
        </w:rPr>
        <w:t xml:space="preserve"> </w:t>
      </w:r>
      <w:r>
        <w:rPr>
          <w:rFonts w:hint="eastAsia" w:ascii="宋体" w:hAnsi="宋体" w:eastAsia="宋体" w:cs="宋体"/>
          <w:color w:val="231F20"/>
          <w:spacing w:val="-14"/>
          <w:lang w:eastAsia="zh-CN"/>
        </w:rPr>
        <w:t>中</w:t>
      </w:r>
      <w:r>
        <w:rPr>
          <w:rFonts w:hint="eastAsia"/>
          <w:color w:val="231F20"/>
          <w:spacing w:val="-15"/>
          <w:lang w:eastAsia="zh-CN"/>
        </w:rPr>
        <w:t xml:space="preserve"> </w:t>
      </w:r>
      <w:r>
        <w:rPr>
          <w:rFonts w:hint="eastAsia" w:ascii="宋体" w:hAnsi="宋体" w:eastAsia="宋体" w:cs="宋体"/>
          <w:color w:val="231F20"/>
          <w:spacing w:val="-15"/>
          <w:lang w:eastAsia="zh-CN"/>
        </w:rPr>
        <w:t>心</w:t>
      </w:r>
      <w:r>
        <w:rPr>
          <w:rFonts w:hint="eastAsia"/>
          <w:color w:val="231F20"/>
          <w:spacing w:val="-26"/>
          <w:lang w:eastAsia="zh-CN"/>
        </w:rPr>
        <w:t xml:space="preserve"> </w:t>
      </w:r>
      <w:r>
        <w:rPr>
          <w:rFonts w:hint="eastAsia" w:ascii="宋体" w:hAnsi="宋体" w:eastAsia="宋体" w:cs="宋体"/>
          <w:color w:val="231F20"/>
          <w:spacing w:val="-15"/>
          <w:lang w:eastAsia="zh-CN"/>
        </w:rPr>
        <w:t>）</w:t>
      </w:r>
      <w:r>
        <w:rPr>
          <w:rFonts w:hint="eastAsia"/>
          <w:color w:val="231F20"/>
          <w:spacing w:val="-26"/>
          <w:lang w:eastAsia="zh-CN"/>
        </w:rPr>
        <w:t xml:space="preserve"> </w:t>
      </w:r>
      <w:r>
        <w:rPr>
          <w:rFonts w:hint="eastAsia" w:ascii="宋体" w:hAnsi="宋体" w:eastAsia="宋体" w:cs="宋体"/>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hint="eastAsia" w:ascii="宋体" w:hAnsi="宋体" w:eastAsia="宋体" w:cs="宋体"/>
          <w:color w:val="231F20"/>
          <w:spacing w:val="-1"/>
          <w:lang w:eastAsia="zh-CN"/>
        </w:rPr>
        <w:t>（新城中心）</w:t>
      </w:r>
    </w:p>
    <w:p>
      <w:pPr>
        <w:spacing w:before="36" w:line="196" w:lineRule="auto"/>
        <w:ind w:left="463"/>
        <w:rPr>
          <w:rFonts w:hint="eastAsia" w:ascii="微软雅黑" w:hAnsi="微软雅黑" w:eastAsia="微软雅黑" w:cs="微软雅黑"/>
          <w:sz w:val="22"/>
          <w:szCs w:val="22"/>
          <w:lang w:eastAsia="zh-CN"/>
        </w:rPr>
      </w:pPr>
      <w:r>
        <w:rPr>
          <w:rFonts w:hint="eastAsia" w:ascii="微软雅黑" w:hAnsi="微软雅黑" w:eastAsia="微软雅黑" w:cs="微软雅黑"/>
          <w:color w:val="231F20"/>
          <w:spacing w:val="-2"/>
          <w:sz w:val="22"/>
          <w:szCs w:val="22"/>
          <w:lang w:eastAsia="zh-CN"/>
        </w:rPr>
        <w:t>十四、监督（投诉）电话</w:t>
      </w:r>
    </w:p>
    <w:p>
      <w:pPr>
        <w:pStyle w:val="2"/>
        <w:spacing w:before="70" w:line="189" w:lineRule="auto"/>
        <w:ind w:left="461"/>
        <w:rPr>
          <w:rFonts w:hint="eastAsia" w:ascii="方正仿宋简体" w:hAnsi="方正仿宋简体" w:eastAsia="方正仿宋简体" w:cs="方正仿宋简体"/>
        </w:rPr>
      </w:pPr>
      <w:r>
        <w:rPr>
          <w:rFonts w:hint="eastAsia"/>
          <w:color w:val="231F20"/>
          <w:spacing w:val="-1"/>
        </w:rPr>
        <w:t>0315-8787068</w:t>
      </w:r>
    </w:p>
    <w:p>
      <w:pPr>
        <w:numPr>
          <w:ilvl w:val="0"/>
          <w:numId w:val="1"/>
        </w:numPr>
        <w:spacing w:before="63" w:line="201" w:lineRule="auto"/>
        <w:ind w:left="463"/>
        <w:textAlignment w:val="auto"/>
        <w:rPr>
          <w:rFonts w:hint="eastAsia" w:ascii="微软雅黑" w:hAnsi="微软雅黑" w:eastAsia="微软雅黑" w:cs="微软雅黑"/>
          <w:color w:val="231F20"/>
          <w:spacing w:val="-2"/>
          <w:sz w:val="22"/>
          <w:szCs w:val="22"/>
        </w:rPr>
      </w:pPr>
      <w:r>
        <w:rPr>
          <w:rFonts w:hint="eastAsia" w:ascii="微软雅黑" w:hAnsi="微软雅黑" w:eastAsia="微软雅黑" w:cs="微软雅黑"/>
          <w:color w:val="231F20"/>
          <w:spacing w:val="-2"/>
          <w:sz w:val="22"/>
          <w:szCs w:val="22"/>
        </w:rPr>
        <w:t>救济途径</w:t>
      </w:r>
    </w:p>
    <w:p>
      <w:pPr>
        <w:spacing w:before="51" w:line="205" w:lineRule="auto"/>
        <w:ind w:left="478"/>
        <w:rPr>
          <w:lang w:eastAsia="zh-CN"/>
        </w:rPr>
      </w:pPr>
      <w:r>
        <w:rPr>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hint="eastAsia" w:ascii="微软雅黑" w:hAnsi="微软雅黑" w:eastAsia="微软雅黑" w:cs="微软雅黑"/>
          <w:color w:val="231F20"/>
          <w:spacing w:val="-3"/>
          <w:lang w:eastAsia="zh-CN"/>
        </w:rPr>
        <w:t>。</w:t>
      </w:r>
    </w:p>
    <w:sectPr>
      <w:type w:val="continuous"/>
      <w:pgSz w:w="10772" w:h="11906"/>
      <w:pgMar w:top="400" w:right="579" w:bottom="400" w:left="596" w:header="0" w:footer="0" w:gutter="0"/>
      <w:cols w:equalWidth="0" w:num="2">
        <w:col w:w="5232" w:space="100"/>
        <w:col w:w="4264"/>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方正仿宋简体">
    <w:panose1 w:val="03000509000000000000"/>
    <w:charset w:val="86"/>
    <w:family w:val="roma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
  <w:docVars>
    <w:docVar w:name="commondata" w:val="eyJoZGlkIjoiMDE0NGRhY2QzMjFiMjY1NTY5OGI4N2RjMTBhODhlMTgifQ=="/>
  </w:docVars>
  <w:rsids>
    <w:rsidRoot w:val="00B56568"/>
    <w:rsid w:val="001D44B8"/>
    <w:rsid w:val="008A767D"/>
    <w:rsid w:val="00B56568"/>
    <w:rsid w:val="28B07D1B"/>
    <w:rsid w:val="669E60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33"/>
    <customShpInfo spid="_x0000_s1032"/>
    <customShpInfo spid="_x0000_s1031"/>
    <customShpInfo spid="_x0000_s1030"/>
    <customShpInfo spid="_x0000_s1029"/>
    <customShpInfo spid="_x0000_s1028"/>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255</Words>
  <Characters>1458</Characters>
  <Lines>12</Lines>
  <Paragraphs>3</Paragraphs>
  <TotalTime>1</TotalTime>
  <ScaleCrop>false</ScaleCrop>
  <LinksUpToDate>false</LinksUpToDate>
  <CharactersWithSpaces>1710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2022-10-21T11:06:00Z</dcterms:created>
  <dc:creator>Admin</dc:creator>
  <cp:lastModifiedBy>白筱羽</cp:lastModifiedBy>
  <dcterms:modified xsi:type="dcterms:W3CDTF">2023-08-07T06:36:58Z</dcterms:modified>
  <dc:title>501.道路运输从业人员资格证核发服务指南</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2023-08-01T16:30:44Z</vt:filetime>
  </property>
  <property fmtid="{D5CDD505-2E9C-101B-9397-08002B2CF9AE}" pid="4" name="KSOProductBuildVer">
    <vt:lpwstr>2052-12.1.0.15120</vt:lpwstr>
  </property>
  <property fmtid="{D5CDD505-2E9C-101B-9397-08002B2CF9AE}" pid="5" name="ICV">
    <vt:lpwstr>C2EF312D5C0A44C4B33EB1E752441C6E_12</vt:lpwstr>
  </property>
</Properties>
</file>