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8" w:lineRule="auto"/>
        <w:rPr>
          <w:rFonts w:ascii="Arial"/>
          <w:sz w:val="21"/>
        </w:rPr>
      </w:pPr>
    </w:p>
    <w:p>
      <w:pPr>
        <w:spacing w:line="14" w:lineRule="auto"/>
        <w:rPr>
          <w:rFonts w:ascii="Arial"/>
          <w:sz w:val="2"/>
        </w:rPr>
      </w:pPr>
      <w:bookmarkStart w:id="0" w:name="_GoBack"/>
      <w:bookmarkEnd w:id="0"/>
      <w:r>
        <w:rPr>
          <w:rFonts w:ascii="Arial" w:hAnsi="Arial" w:eastAsia="Arial" w:cs="Arial"/>
          <w:sz w:val="2"/>
          <w:szCs w:val="2"/>
        </w:rPr>
        <w:br w:type="column"/>
      </w: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103" w:line="175" w:lineRule="auto"/>
        <w:ind w:left="1355"/>
        <w:rPr>
          <w:rFonts w:ascii="微软雅黑" w:hAnsi="微软雅黑" w:eastAsia="微软雅黑" w:cs="微软雅黑"/>
          <w:sz w:val="24"/>
          <w:szCs w:val="24"/>
        </w:rPr>
      </w:pPr>
      <w:r>
        <w:drawing>
          <wp:anchor distT="0" distB="0" distL="0" distR="0" simplePos="0" relativeHeight="251659264" behindDoc="1" locked="0" layoutInCell="1" allowOverlap="1">
            <wp:simplePos x="0" y="0"/>
            <wp:positionH relativeFrom="column">
              <wp:posOffset>0</wp:posOffset>
            </wp:positionH>
            <wp:positionV relativeFrom="paragraph">
              <wp:posOffset>-1009015</wp:posOffset>
            </wp:positionV>
            <wp:extent cx="3416935" cy="75558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416807" cy="7555991"/>
                    </a:xfrm>
                    <a:prstGeom prst="rect">
                      <a:avLst/>
                    </a:prstGeom>
                  </pic:spPr>
                </pic:pic>
              </a:graphicData>
            </a:graphic>
          </wp:anchor>
        </w:drawing>
      </w:r>
      <w:r>
        <w:rPr>
          <w:rFonts w:ascii="微软雅黑" w:hAnsi="微软雅黑" w:eastAsia="微软雅黑" w:cs="微软雅黑"/>
          <w:color w:val="231F20"/>
          <w:spacing w:val="-1"/>
          <w:sz w:val="24"/>
          <w:szCs w:val="24"/>
        </w:rPr>
        <w:t>危险化学品经营许可核发</w:t>
      </w:r>
    </w:p>
    <w:p>
      <w:pPr>
        <w:spacing w:before="1" w:line="204" w:lineRule="auto"/>
        <w:ind w:left="2195"/>
        <w:rPr>
          <w:rFonts w:ascii="微软雅黑" w:hAnsi="微软雅黑" w:eastAsia="微软雅黑" w:cs="微软雅黑"/>
          <w:sz w:val="24"/>
          <w:szCs w:val="24"/>
        </w:rPr>
      </w:pPr>
      <w:r>
        <w:rPr>
          <w:rFonts w:ascii="微软雅黑" w:hAnsi="微软雅黑" w:eastAsia="微软雅黑" w:cs="微软雅黑"/>
          <w:color w:val="231F20"/>
          <w:spacing w:val="-2"/>
          <w:sz w:val="24"/>
          <w:szCs w:val="24"/>
        </w:rPr>
        <w:t>服务指南</w:t>
      </w:r>
    </w:p>
    <w:p>
      <w:pPr>
        <w:spacing w:before="201" w:line="202" w:lineRule="auto"/>
        <w:ind w:left="1014"/>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一、事项名称</w:t>
      </w:r>
    </w:p>
    <w:p>
      <w:pPr>
        <w:pStyle w:val="2"/>
        <w:spacing w:before="44" w:line="230" w:lineRule="auto"/>
        <w:ind w:left="1012"/>
      </w:pPr>
      <w:r>
        <w:rPr>
          <w:color w:val="231F20"/>
          <w:spacing w:val="-2"/>
        </w:rPr>
        <w:t>危险化学品经营许可核发</w:t>
      </w:r>
    </w:p>
    <w:p>
      <w:pPr>
        <w:spacing w:before="49" w:line="204" w:lineRule="auto"/>
        <w:ind w:left="101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二、办理依据</w:t>
      </w:r>
    </w:p>
    <w:p>
      <w:pPr>
        <w:pStyle w:val="2"/>
        <w:spacing w:before="40" w:line="261" w:lineRule="auto"/>
        <w:ind w:left="572" w:right="599" w:firstLine="410"/>
      </w:pPr>
      <w:r>
        <w:rPr>
          <w:color w:val="231F20"/>
          <w:spacing w:val="12"/>
        </w:rPr>
        <w:t>《危险化学品安全管理条例》2013年</w:t>
      </w:r>
      <w:r>
        <w:rPr>
          <w:color w:val="231F20"/>
          <w:spacing w:val="14"/>
        </w:rPr>
        <w:t xml:space="preserve"> </w:t>
      </w:r>
      <w:r>
        <w:rPr>
          <w:color w:val="231F20"/>
          <w:spacing w:val="-1"/>
        </w:rPr>
        <w:t>12月7日国务院令第645号第三十三条国家对</w:t>
      </w:r>
      <w:r>
        <w:rPr>
          <w:color w:val="231F20"/>
          <w:spacing w:val="8"/>
        </w:rPr>
        <w:t xml:space="preserve"> </w:t>
      </w:r>
      <w:r>
        <w:rPr>
          <w:color w:val="231F20"/>
          <w:spacing w:val="5"/>
        </w:rPr>
        <w:t>危险化学品经营(包括仓储经营，下同)实行</w:t>
      </w:r>
      <w:r>
        <w:rPr>
          <w:color w:val="231F20"/>
          <w:spacing w:val="12"/>
        </w:rPr>
        <w:t xml:space="preserve"> </w:t>
      </w:r>
      <w:r>
        <w:rPr>
          <w:color w:val="231F20"/>
          <w:spacing w:val="1"/>
        </w:rPr>
        <w:t>许可制度。未经许可，任何单位和个人不得</w:t>
      </w:r>
      <w:r>
        <w:rPr>
          <w:color w:val="231F20"/>
          <w:spacing w:val="7"/>
        </w:rPr>
        <w:t xml:space="preserve"> </w:t>
      </w:r>
      <w:r>
        <w:rPr>
          <w:color w:val="231F20"/>
          <w:spacing w:val="-5"/>
        </w:rPr>
        <w:t>经营危险化学品。</w:t>
      </w:r>
    </w:p>
    <w:p>
      <w:pPr>
        <w:spacing w:before="50" w:line="203" w:lineRule="auto"/>
        <w:ind w:left="1016"/>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三、受理范围</w:t>
      </w:r>
    </w:p>
    <w:p>
      <w:pPr>
        <w:pStyle w:val="2"/>
        <w:spacing w:before="58" w:line="201" w:lineRule="auto"/>
        <w:ind w:left="1014"/>
      </w:pPr>
      <w:r>
        <w:rPr>
          <w:color w:val="231F20"/>
          <w:spacing w:val="-3"/>
        </w:rPr>
        <w:t>企业法人</w:t>
      </w:r>
    </w:p>
    <w:p>
      <w:pPr>
        <w:spacing w:before="73" w:line="203" w:lineRule="auto"/>
        <w:ind w:left="1026"/>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四、受理条件</w:t>
      </w:r>
    </w:p>
    <w:p>
      <w:pPr>
        <w:pStyle w:val="2"/>
        <w:spacing w:before="44" w:line="251" w:lineRule="auto"/>
        <w:ind w:left="583" w:right="601" w:firstLine="428"/>
      </w:pPr>
      <w:r>
        <w:rPr>
          <w:color w:val="231F20"/>
          <w:spacing w:val="1"/>
        </w:rPr>
        <w:t>提交材料齐全，符合法定程序，内容真</w:t>
      </w:r>
      <w:r>
        <w:rPr>
          <w:color w:val="231F20"/>
          <w:spacing w:val="9"/>
        </w:rPr>
        <w:t xml:space="preserve"> </w:t>
      </w:r>
      <w:r>
        <w:rPr>
          <w:color w:val="231F20"/>
          <w:spacing w:val="-6"/>
        </w:rPr>
        <w:t>实有效</w:t>
      </w:r>
    </w:p>
    <w:p>
      <w:pPr>
        <w:spacing w:before="43" w:line="204" w:lineRule="auto"/>
        <w:ind w:left="1011"/>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五、申请材料</w:t>
      </w:r>
    </w:p>
    <w:p>
      <w:pPr>
        <w:pStyle w:val="2"/>
        <w:spacing w:before="41" w:line="249" w:lineRule="auto"/>
        <w:ind w:left="583" w:right="616" w:firstLine="407"/>
      </w:pPr>
      <w:r>
        <w:rPr>
          <w:color w:val="231F20"/>
          <w:spacing w:val="10"/>
        </w:rPr>
        <w:t>（一</w:t>
      </w:r>
      <w:r>
        <w:rPr>
          <w:color w:val="231F20"/>
          <w:spacing w:val="-6"/>
        </w:rPr>
        <w:t xml:space="preserve"> </w:t>
      </w:r>
      <w:r>
        <w:rPr>
          <w:color w:val="231F20"/>
          <w:spacing w:val="10"/>
        </w:rPr>
        <w:t>）申请经营许可证的文件及申请</w:t>
      </w:r>
      <w:r>
        <w:rPr>
          <w:color w:val="231F20"/>
        </w:rPr>
        <w:t xml:space="preserve"> </w:t>
      </w:r>
      <w:r>
        <w:rPr>
          <w:color w:val="231F20"/>
          <w:spacing w:val="-15"/>
        </w:rPr>
        <w:t>书；</w:t>
      </w:r>
    </w:p>
    <w:p>
      <w:pPr>
        <w:pStyle w:val="2"/>
        <w:spacing w:before="52" w:line="249" w:lineRule="auto"/>
        <w:ind w:left="575" w:right="618" w:firstLine="415"/>
      </w:pPr>
      <w:r>
        <w:rPr>
          <w:color w:val="231F20"/>
          <w:spacing w:val="1"/>
        </w:rPr>
        <w:t>（二）安全生产规章制度和岗位操作规</w:t>
      </w:r>
      <w:r>
        <w:rPr>
          <w:color w:val="231F20"/>
          <w:spacing w:val="13"/>
        </w:rPr>
        <w:t xml:space="preserve"> </w:t>
      </w:r>
      <w:r>
        <w:rPr>
          <w:color w:val="231F20"/>
          <w:spacing w:val="-7"/>
        </w:rPr>
        <w:t>程的目录清单；</w:t>
      </w:r>
    </w:p>
    <w:p>
      <w:pPr>
        <w:pStyle w:val="2"/>
        <w:spacing w:before="55" w:line="253" w:lineRule="auto"/>
        <w:ind w:left="574" w:right="600" w:firstLine="416"/>
      </w:pPr>
      <w:r>
        <w:rPr>
          <w:color w:val="231F20"/>
          <w:spacing w:val="1"/>
        </w:rPr>
        <w:t>（三）企业主要负责人、安全生产管理</w:t>
      </w:r>
      <w:r>
        <w:rPr>
          <w:color w:val="231F20"/>
          <w:spacing w:val="11"/>
        </w:rPr>
        <w:t xml:space="preserve"> </w:t>
      </w:r>
      <w:r>
        <w:rPr>
          <w:color w:val="231F20"/>
          <w:spacing w:val="1"/>
        </w:rPr>
        <w:t>人员、特种作业人员的相关资格证书（复制</w:t>
      </w:r>
      <w:r>
        <w:rPr>
          <w:color w:val="231F20"/>
          <w:spacing w:val="5"/>
        </w:rPr>
        <w:t xml:space="preserve"> </w:t>
      </w:r>
      <w:r>
        <w:rPr>
          <w:color w:val="231F20"/>
          <w:spacing w:val="-3"/>
        </w:rPr>
        <w:t>件）和其他从业人员培训合格的证明材料；</w:t>
      </w:r>
    </w:p>
    <w:p>
      <w:pPr>
        <w:pStyle w:val="2"/>
        <w:spacing w:before="60" w:line="249" w:lineRule="auto"/>
        <w:ind w:left="574" w:right="620" w:firstLine="416"/>
      </w:pPr>
      <w:r>
        <w:rPr>
          <w:color w:val="231F20"/>
          <w:spacing w:val="1"/>
        </w:rPr>
        <w:t>（四）经营场所产权证明文件或者租赁</w:t>
      </w:r>
      <w:r>
        <w:rPr>
          <w:color w:val="231F20"/>
          <w:spacing w:val="11"/>
        </w:rPr>
        <w:t xml:space="preserve"> </w:t>
      </w:r>
      <w:r>
        <w:rPr>
          <w:color w:val="231F20"/>
          <w:spacing w:val="-5"/>
        </w:rPr>
        <w:t>证明文件（复制件</w:t>
      </w:r>
      <w:r>
        <w:rPr>
          <w:color w:val="231F20"/>
          <w:spacing w:val="-3"/>
        </w:rPr>
        <w:t>）；</w:t>
      </w:r>
    </w:p>
    <w:p>
      <w:pPr>
        <w:pStyle w:val="2"/>
        <w:spacing w:before="52" w:line="232" w:lineRule="auto"/>
        <w:ind w:left="990"/>
      </w:pPr>
      <w:r>
        <w:rPr>
          <w:color w:val="231F20"/>
          <w:spacing w:val="1"/>
        </w:rPr>
        <w:t>（五）工商行政管理部门颁发的企业性</w:t>
      </w:r>
    </w:p>
    <w:p>
      <w:pPr>
        <w:spacing w:line="232" w:lineRule="auto"/>
        <w:sectPr>
          <w:headerReference r:id="rId5" w:type="default"/>
          <w:footerReference r:id="rId6" w:type="default"/>
          <w:pgSz w:w="10772" w:h="11906"/>
          <w:pgMar w:top="1" w:right="2" w:bottom="1" w:left="601" w:header="0" w:footer="0" w:gutter="0"/>
          <w:cols w:equalWidth="0" w:num="2">
            <w:col w:w="4687" w:space="100"/>
            <w:col w:w="5381"/>
          </w:cols>
        </w:sectPr>
      </w:pPr>
    </w:p>
    <w:p>
      <w:pPr>
        <w:spacing w:before="37"/>
      </w:pPr>
      <w:r>
        <w:pict>
          <v:rect id="_x0000_s1026" o:spid="_x0000_s1026" o:spt="1" style="position:absolute;left:0pt;margin-left:87.9pt;margin-top:417.4pt;height:3.65pt;width:4.2pt;mso-position-horizontal-relative:page;mso-position-vertical-relative:page;z-index:251674624;mso-width-relative:page;mso-height-relative:page;" fillcolor="#231F20" filled="t" stroked="f" coordsize="21600,21600" o:allowincell="f">
            <v:path/>
            <v:fill on="t" focussize="0,0"/>
            <v:stroke on="f"/>
            <v:imagedata o:title=""/>
            <o:lock v:ext="edit"/>
          </v:rect>
        </w:pict>
      </w:r>
      <w:r>
        <w:pict>
          <v:rect id="_x0000_s1027" o:spid="_x0000_s1027" o:spt="1" style="position:absolute;left:0pt;margin-left:89.65pt;margin-top:420.4pt;height:21.05pt;width:0.65pt;mso-position-horizontal-relative:page;mso-position-vertical-relative:page;z-index:251670528;mso-width-relative:page;mso-height-relative:page;" fillcolor="#231F20" filled="t" stroked="f" coordsize="21600,21600" o:allowincell="f">
            <v:path/>
            <v:fill on="t" focussize="0,0"/>
            <v:stroke on="f"/>
            <v:imagedata o:title=""/>
            <o:lock v:ext="edit"/>
          </v:rect>
        </w:pict>
      </w:r>
      <w:r>
        <w:pict>
          <v:rect id="_x0000_s1028" o:spid="_x0000_s1028" o:spt="1" style="position:absolute;left:0pt;margin-left:194.7pt;margin-top:452.35pt;height:0.65pt;width:18.05pt;mso-position-horizontal-relative:page;mso-position-vertical-relative:page;z-index:251669504;mso-width-relative:page;mso-height-relative:page;" fillcolor="#231F20" filled="t" stroked="f" coordsize="21600,21600" o:allowincell="f">
            <v:path/>
            <v:fill on="t" focussize="0,0"/>
            <v:stroke on="f"/>
            <v:imagedata o:title=""/>
            <o:lock v:ext="edit"/>
          </v:rect>
        </w:pict>
      </w:r>
      <w:r>
        <w:pict>
          <v:rect id="_x0000_s1029" o:spid="_x0000_s1029" o:spt="1" style="position:absolute;left:0pt;margin-left:102.6pt;margin-top:452.35pt;height:0.65pt;width:17.7pt;mso-position-horizontal-relative:page;mso-position-vertical-relative:page;z-index:251667456;mso-width-relative:page;mso-height-relative:page;" fillcolor="#231F20" filled="t" stroked="f" coordsize="21600,21600" o:allowincell="f">
            <v:path/>
            <v:fill on="t" focussize="0,0"/>
            <v:stroke on="f"/>
            <v:imagedata o:title=""/>
            <o:lock v:ext="edit"/>
          </v:rect>
        </w:pict>
      </w:r>
      <w:r>
        <w:pict>
          <v:shape id="_x0000_s1030" o:spid="_x0000_s1030" style="position:absolute;left:0pt;margin-left:43.45pt;margin-top:400.5pt;height:0.65pt;width:14.05pt;mso-position-horizontal-relative:page;mso-position-vertical-relative:page;z-index:251672576;mso-width-relative:page;mso-height-relative:page;" filled="f" stroked="t" coordsize="281,12" o:allowincell="f" path="m0,6l280,6e">
            <v:fill on="f" focussize="0,0"/>
            <v:stroke weight="0.6pt" color="#231F20" miterlimit="10" joinstyle="miter"/>
            <v:imagedata o:title=""/>
            <o:lock v:ext="edit"/>
          </v:shape>
        </w:pict>
      </w:r>
      <w:r>
        <w:drawing>
          <wp:anchor distT="0" distB="0" distL="0" distR="0" simplePos="0" relativeHeight="251664384" behindDoc="0" locked="0" layoutInCell="0" allowOverlap="1">
            <wp:simplePos x="0" y="0"/>
            <wp:positionH relativeFrom="page">
              <wp:posOffset>528955</wp:posOffset>
            </wp:positionH>
            <wp:positionV relativeFrom="page">
              <wp:posOffset>5090160</wp:posOffset>
            </wp:positionV>
            <wp:extent cx="53340" cy="4641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3174" cy="463901"/>
                    </a:xfrm>
                    <a:prstGeom prst="rect">
                      <a:avLst/>
                    </a:prstGeom>
                  </pic:spPr>
                </pic:pic>
              </a:graphicData>
            </a:graphic>
          </wp:anchor>
        </w:drawing>
      </w:r>
      <w:r>
        <w:pict>
          <v:shape id="_x0000_s1031" o:spid="_x0000_s1031" o:spt="202" type="#_x0000_t202" style="position:absolute;left:0pt;margin-left:27pt;margin-top:436.3pt;height:32.7pt;width:33.4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618"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618"/>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593" w:hRule="atLeast"/>
                    </w:trPr>
                    <w:tc>
                      <w:tcPr>
                        <w:tcW w:w="618" w:type="dxa"/>
                        <w:vAlign w:val="top"/>
                      </w:tcPr>
                      <w:p>
                        <w:pPr>
                          <w:pStyle w:val="6"/>
                          <w:spacing w:before="36" w:line="210" w:lineRule="auto"/>
                          <w:ind w:left="69" w:right="63" w:firstLine="23"/>
                          <w:jc w:val="both"/>
                        </w:pPr>
                        <w:r>
                          <w:rPr>
                            <w:color w:val="231F20"/>
                            <w:spacing w:val="-10"/>
                          </w:rPr>
                          <w:t>申请人</w:t>
                        </w:r>
                        <w:r>
                          <w:rPr>
                            <w:color w:val="231F20"/>
                          </w:rPr>
                          <w:t xml:space="preserve"> </w:t>
                        </w:r>
                        <w:r>
                          <w:rPr>
                            <w:color w:val="231F20"/>
                            <w:spacing w:val="-2"/>
                          </w:rPr>
                          <w:t>提交申</w:t>
                        </w:r>
                        <w:r>
                          <w:rPr>
                            <w:color w:val="231F20"/>
                          </w:rPr>
                          <w:t xml:space="preserve"> </w:t>
                        </w:r>
                        <w:r>
                          <w:rPr>
                            <w:color w:val="231F20"/>
                            <w:spacing w:val="-2"/>
                          </w:rPr>
                          <w:t>请材料</w:t>
                        </w:r>
                      </w:p>
                    </w:tc>
                  </w:tr>
                </w:tbl>
                <w:p>
                  <w:pPr>
                    <w:rPr>
                      <w:rFonts w:ascii="Arial"/>
                      <w:sz w:val="21"/>
                    </w:rPr>
                  </w:pPr>
                </w:p>
              </w:txbxContent>
            </v:textbox>
          </v:shape>
        </w:pict>
      </w:r>
      <w:r>
        <w:pict>
          <v:rect id="_x0000_s1032" o:spid="_x0000_s1032" o:spt="1" style="position:absolute;left:0pt;margin-left:119.7pt;margin-top:450.55pt;height:4.2pt;width:3.65pt;mso-position-horizontal-relative:page;mso-position-vertical-relative:page;z-index:251668480;mso-width-relative:page;mso-height-relative:page;" fillcolor="#231F20" filled="t" stroked="f" coordsize="21600,21600" o:allowincell="f">
            <v:path/>
            <v:fill on="t" focussize="0,0"/>
            <v:stroke on="f"/>
            <v:imagedata o:title=""/>
            <o:lock v:ext="edit"/>
          </v:rect>
        </w:pict>
      </w:r>
      <w:r>
        <w:pict>
          <v:shape id="_x0000_s1033" o:spid="_x0000_s1033" o:spt="202" type="#_x0000_t202" style="position:absolute;left:0pt;margin-left:118.7pt;margin-top:440pt;height:25.3pt;width:31.1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2"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2" w:type="dxa"/>
                        <w:vAlign w:val="top"/>
                      </w:tcPr>
                      <w:p>
                        <w:pPr>
                          <w:pStyle w:val="6"/>
                          <w:spacing w:before="53" w:line="213" w:lineRule="auto"/>
                          <w:ind w:left="168" w:right="78"/>
                        </w:pPr>
                        <w:r>
                          <w:rPr>
                            <w:color w:val="231F20"/>
                            <w:spacing w:val="-3"/>
                          </w:rPr>
                          <w:t>现场</w:t>
                        </w:r>
                        <w:r>
                          <w:rPr>
                            <w:color w:val="231F20"/>
                          </w:rPr>
                          <w:t xml:space="preserve"> </w:t>
                        </w:r>
                        <w:r>
                          <w:rPr>
                            <w:color w:val="231F20"/>
                            <w:spacing w:val="-3"/>
                          </w:rPr>
                          <w:t>勘查</w:t>
                        </w:r>
                      </w:p>
                    </w:tc>
                  </w:tr>
                </w:tbl>
                <w:p>
                  <w:pPr>
                    <w:rPr>
                      <w:rFonts w:ascii="Arial"/>
                      <w:sz w:val="21"/>
                    </w:rPr>
                  </w:pPr>
                </w:p>
              </w:txbxContent>
            </v:textbox>
          </v:shape>
        </w:pict>
      </w:r>
      <w:r>
        <w:pict>
          <v:shape id="_x0000_s1034" o:spid="_x0000_s1034" o:spt="202" type="#_x0000_t202" style="position:absolute;left:0pt;margin-left:168.35pt;margin-top:440pt;height:25.3pt;width:27.6pt;mso-position-horizontal-relative:page;mso-position-vertical-relative:page;z-index:-25165619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0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01" w:type="dxa"/>
                        <w:vAlign w:val="top"/>
                      </w:tcPr>
                      <w:p>
                        <w:pPr>
                          <w:pStyle w:val="6"/>
                          <w:spacing w:before="142" w:line="220" w:lineRule="auto"/>
                          <w:ind w:left="95"/>
                        </w:pPr>
                        <w:r>
                          <w:rPr>
                            <w:color w:val="231F20"/>
                            <w:spacing w:val="-3"/>
                          </w:rPr>
                          <w:t>审核</w:t>
                        </w:r>
                      </w:p>
                    </w:tc>
                  </w:tr>
                </w:tbl>
                <w:p>
                  <w:pPr>
                    <w:rPr>
                      <w:rFonts w:ascii="Arial"/>
                      <w:sz w:val="21"/>
                    </w:rPr>
                  </w:pPr>
                </w:p>
              </w:txbxContent>
            </v:textbox>
          </v:shape>
        </w:pict>
      </w:r>
      <w:r>
        <w:pict>
          <v:shape id="_x0000_s1035" o:spid="_x0000_s1035" o:spt="202" type="#_x0000_t202" style="position:absolute;left:0pt;margin-left:211.1pt;margin-top:440pt;height:25.3pt;width:31.1pt;mso-position-horizontal-relative:page;mso-position-vertical-relative:page;z-index:25167360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571"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7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571" w:type="dxa"/>
                        <w:vAlign w:val="top"/>
                      </w:tcPr>
                      <w:p>
                        <w:pPr>
                          <w:pStyle w:val="6"/>
                          <w:spacing w:before="143" w:line="219" w:lineRule="auto"/>
                        </w:pPr>
                        <w:r>
                          <w:rPr>
                            <w:color w:val="231F20"/>
                            <w:position w:val="1"/>
                          </w:rPr>
                          <w:drawing>
                            <wp:inline distT="0" distB="0" distL="0" distR="0">
                              <wp:extent cx="45085" cy="527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45115" cy="53174"/>
                                      </a:xfrm>
                                      <a:prstGeom prst="rect">
                                        <a:avLst/>
                                      </a:prstGeom>
                                    </pic:spPr>
                                  </pic:pic>
                                </a:graphicData>
                              </a:graphic>
                            </wp:inline>
                          </w:drawing>
                        </w:r>
                        <w:r>
                          <w:rPr>
                            <w:color w:val="231F20"/>
                            <w:spacing w:val="20"/>
                          </w:rPr>
                          <w:t xml:space="preserve"> </w:t>
                        </w:r>
                        <w:r>
                          <w:rPr>
                            <w:color w:val="231F20"/>
                            <w:spacing w:val="-4"/>
                          </w:rPr>
                          <w:t>办结</w:t>
                        </w:r>
                      </w:p>
                    </w:tc>
                  </w:tr>
                </w:tbl>
                <w:p>
                  <w:pPr>
                    <w:rPr>
                      <w:rFonts w:ascii="Arial"/>
                      <w:sz w:val="21"/>
                    </w:rPr>
                  </w:pPr>
                </w:p>
              </w:txbxContent>
            </v:textbox>
          </v:shape>
        </w:pict>
      </w:r>
      <w:r>
        <w:drawing>
          <wp:anchor distT="0" distB="0" distL="0" distR="0" simplePos="0" relativeHeight="251665408" behindDoc="0" locked="0" layoutInCell="0" allowOverlap="1">
            <wp:simplePos x="0" y="0"/>
            <wp:positionH relativeFrom="page">
              <wp:posOffset>1889760</wp:posOffset>
            </wp:positionH>
            <wp:positionV relativeFrom="page">
              <wp:posOffset>5721985</wp:posOffset>
            </wp:positionV>
            <wp:extent cx="264160" cy="533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264042" cy="53174"/>
                    </a:xfrm>
                    <a:prstGeom prst="rect">
                      <a:avLst/>
                    </a:prstGeom>
                  </pic:spPr>
                </pic:pic>
              </a:graphicData>
            </a:graphic>
          </wp:anchor>
        </w:drawing>
      </w:r>
      <w:r>
        <w:drawing>
          <wp:anchor distT="0" distB="0" distL="0" distR="0" simplePos="0" relativeHeight="251666432" behindDoc="0" locked="0" layoutInCell="0" allowOverlap="1">
            <wp:simplePos x="0" y="0"/>
            <wp:positionH relativeFrom="page">
              <wp:posOffset>753745</wp:posOffset>
            </wp:positionH>
            <wp:positionV relativeFrom="page">
              <wp:posOffset>5721985</wp:posOffset>
            </wp:positionV>
            <wp:extent cx="224790" cy="5334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24875" cy="53174"/>
                    </a:xfrm>
                    <a:prstGeom prst="rect">
                      <a:avLst/>
                    </a:prstGeom>
                  </pic:spPr>
                </pic:pic>
              </a:graphicData>
            </a:graphic>
          </wp:anchor>
        </w:drawing>
      </w:r>
      <w:r>
        <w:pict>
          <v:shape id="_x0000_s1036" o:spid="_x0000_s1036" o:spt="202" type="#_x0000_t202" style="position:absolute;left:0pt;margin-left:153.05pt;margin-top:486.55pt;height:25.3pt;width:58.4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5"/>
                    <w:tblW w:w="1117" w:type="dxa"/>
                    <w:tblInd w:w="25"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117"/>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1117" w:type="dxa"/>
                        <w:vAlign w:val="top"/>
                      </w:tcPr>
                      <w:p>
                        <w:pPr>
                          <w:pStyle w:val="6"/>
                          <w:spacing w:before="41" w:line="213" w:lineRule="auto"/>
                          <w:ind w:left="194" w:hanging="154"/>
                        </w:pPr>
                        <w:r>
                          <w:rPr>
                            <w:color w:val="231F20"/>
                            <w:spacing w:val="-8"/>
                          </w:rPr>
                          <w:t>不予许可决定，</w:t>
                        </w:r>
                        <w:r>
                          <w:rPr>
                            <w:color w:val="231F20"/>
                            <w:spacing w:val="1"/>
                          </w:rPr>
                          <w:t xml:space="preserve"> </w:t>
                        </w:r>
                        <w:r>
                          <w:rPr>
                            <w:color w:val="231F20"/>
                            <w:spacing w:val="-3"/>
                          </w:rPr>
                          <w:t>送达申请人</w:t>
                        </w:r>
                      </w:p>
                    </w:tc>
                  </w:tr>
                </w:tbl>
                <w:p>
                  <w:pPr>
                    <w:rPr>
                      <w:rFonts w:ascii="Arial"/>
                      <w:sz w:val="21"/>
                    </w:rPr>
                  </w:pPr>
                </w:p>
              </w:txbxContent>
            </v:textbox>
          </v:shape>
        </w:pict>
      </w:r>
      <w:r>
        <w:drawing>
          <wp:anchor distT="0" distB="0" distL="0" distR="0" simplePos="0" relativeHeight="251671552" behindDoc="0" locked="0" layoutInCell="0" allowOverlap="1">
            <wp:simplePos x="0" y="0"/>
            <wp:positionH relativeFrom="page">
              <wp:posOffset>1116330</wp:posOffset>
            </wp:positionH>
            <wp:positionV relativeFrom="page">
              <wp:posOffset>5894070</wp:posOffset>
            </wp:positionV>
            <wp:extent cx="53340" cy="26924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3"/>
                    <a:stretch>
                      <a:fillRect/>
                    </a:stretch>
                  </pic:blipFill>
                  <pic:spPr>
                    <a:xfrm>
                      <a:off x="0" y="0"/>
                      <a:ext cx="53174" cy="269502"/>
                    </a:xfrm>
                    <a:prstGeom prst="rect">
                      <a:avLst/>
                    </a:prstGeom>
                  </pic:spPr>
                </pic:pic>
              </a:graphicData>
            </a:graphic>
          </wp:anchor>
        </w:drawing>
      </w:r>
    </w:p>
    <w:p>
      <w:pPr>
        <w:sectPr>
          <w:pgSz w:w="10772" w:h="11906"/>
          <w:pgMar w:top="400" w:right="600" w:bottom="400" w:left="560" w:header="0" w:footer="0" w:gutter="0"/>
          <w:cols w:equalWidth="0" w:num="1">
            <w:col w:w="9610"/>
          </w:cols>
        </w:sectPr>
      </w:pPr>
    </w:p>
    <w:p>
      <w:pPr>
        <w:pStyle w:val="2"/>
        <w:spacing w:before="50" w:line="249" w:lineRule="auto"/>
        <w:ind w:left="30" w:right="1045"/>
      </w:pPr>
      <w:r>
        <w:rPr>
          <w:color w:val="231F20"/>
          <w:spacing w:val="1"/>
        </w:rPr>
        <w:t>质营业执照或者企业名称预先核准文件（复</w:t>
      </w:r>
      <w:r>
        <w:rPr>
          <w:color w:val="231F20"/>
          <w:spacing w:val="3"/>
        </w:rPr>
        <w:t xml:space="preserve"> </w:t>
      </w:r>
      <w:r>
        <w:rPr>
          <w:color w:val="231F20"/>
          <w:spacing w:val="-14"/>
        </w:rPr>
        <w:t>制件</w:t>
      </w:r>
      <w:r>
        <w:rPr>
          <w:color w:val="231F20"/>
          <w:spacing w:val="-7"/>
        </w:rPr>
        <w:t>）；</w:t>
      </w:r>
    </w:p>
    <w:p>
      <w:pPr>
        <w:pStyle w:val="2"/>
        <w:spacing w:before="52" w:line="360" w:lineRule="exact"/>
        <w:ind w:left="444"/>
      </w:pPr>
      <w:r>
        <w:rPr>
          <w:color w:val="231F20"/>
          <w:spacing w:val="1"/>
          <w:position w:val="9"/>
        </w:rPr>
        <w:t>（六）危险化学品事故应急预案备案登</w:t>
      </w:r>
    </w:p>
    <w:p>
      <w:pPr>
        <w:pStyle w:val="2"/>
        <w:spacing w:before="1" w:line="232" w:lineRule="auto"/>
        <w:ind w:left="29"/>
      </w:pPr>
      <w:r>
        <w:rPr>
          <w:color w:val="231F20"/>
          <w:spacing w:val="-5"/>
        </w:rPr>
        <w:t>记表（复制件）。</w:t>
      </w:r>
    </w:p>
    <w:p>
      <w:pPr>
        <w:pStyle w:val="2"/>
        <w:spacing w:before="47" w:line="246" w:lineRule="auto"/>
        <w:ind w:left="28" w:right="1046" w:firstLine="452"/>
      </w:pPr>
      <w:r>
        <w:rPr>
          <w:color w:val="231F20"/>
        </w:rPr>
        <w:t>带有储存设施经营危险化学品的，申请</w:t>
      </w:r>
      <w:r>
        <w:rPr>
          <w:color w:val="231F20"/>
          <w:spacing w:val="11"/>
        </w:rPr>
        <w:t xml:space="preserve"> </w:t>
      </w:r>
      <w:r>
        <w:rPr>
          <w:color w:val="231F20"/>
          <w:spacing w:val="-4"/>
        </w:rPr>
        <w:t>人还应当提交下列文件、资料：</w:t>
      </w:r>
    </w:p>
    <w:p>
      <w:pPr>
        <w:pStyle w:val="2"/>
        <w:spacing w:before="58" w:line="261" w:lineRule="auto"/>
        <w:ind w:left="26" w:right="1045" w:firstLine="418"/>
      </w:pPr>
      <w:r>
        <w:rPr>
          <w:color w:val="231F20"/>
          <w:spacing w:val="9"/>
        </w:rPr>
        <w:t>（一</w:t>
      </w:r>
      <w:r>
        <w:rPr>
          <w:color w:val="231F20"/>
          <w:spacing w:val="-9"/>
        </w:rPr>
        <w:t xml:space="preserve"> </w:t>
      </w:r>
      <w:r>
        <w:rPr>
          <w:color w:val="231F20"/>
          <w:spacing w:val="9"/>
        </w:rPr>
        <w:t>）储存设施相关证明文件（复制</w:t>
      </w:r>
      <w:r>
        <w:rPr>
          <w:color w:val="231F20"/>
        </w:rPr>
        <w:t xml:space="preserve"> </w:t>
      </w:r>
      <w:r>
        <w:rPr>
          <w:color w:val="231F20"/>
          <w:spacing w:val="1"/>
        </w:rPr>
        <w:t>件</w:t>
      </w:r>
      <w:r>
        <w:rPr>
          <w:color w:val="231F20"/>
          <w:spacing w:val="4"/>
        </w:rPr>
        <w:t>）；</w:t>
      </w:r>
      <w:r>
        <w:rPr>
          <w:color w:val="231F20"/>
          <w:spacing w:val="1"/>
        </w:rPr>
        <w:t>租赁储存设施的，需要提交租赁证明 文件（复制件</w:t>
      </w:r>
      <w:r>
        <w:rPr>
          <w:color w:val="231F20"/>
          <w:spacing w:val="4"/>
        </w:rPr>
        <w:t>）；</w:t>
      </w:r>
      <w:r>
        <w:rPr>
          <w:color w:val="231F20"/>
          <w:spacing w:val="1"/>
        </w:rPr>
        <w:t>储存设施新建、改建、扩 建的，需要提交危险化学品建设项目安全设</w:t>
      </w:r>
      <w:r>
        <w:rPr>
          <w:color w:val="231F20"/>
          <w:spacing w:val="7"/>
        </w:rPr>
        <w:t xml:space="preserve"> </w:t>
      </w:r>
      <w:r>
        <w:rPr>
          <w:color w:val="231F20"/>
          <w:spacing w:val="-4"/>
        </w:rPr>
        <w:t>施竣工验收报告（复制件</w:t>
      </w:r>
      <w:r>
        <w:rPr>
          <w:color w:val="231F20"/>
          <w:spacing w:val="-1"/>
        </w:rPr>
        <w:t>）；</w:t>
      </w:r>
    </w:p>
    <w:p>
      <w:pPr>
        <w:pStyle w:val="2"/>
        <w:spacing w:before="50" w:line="259" w:lineRule="auto"/>
        <w:ind w:left="28" w:right="1045" w:firstLine="416"/>
      </w:pPr>
      <w:r>
        <w:rPr>
          <w:color w:val="231F20"/>
          <w:spacing w:val="1"/>
        </w:rPr>
        <w:t>（二）重大危险源备案证明材料、专职</w:t>
      </w:r>
      <w:r>
        <w:rPr>
          <w:color w:val="231F20"/>
          <w:spacing w:val="5"/>
        </w:rPr>
        <w:t xml:space="preserve"> </w:t>
      </w:r>
      <w:r>
        <w:rPr>
          <w:color w:val="231F20"/>
          <w:spacing w:val="1"/>
        </w:rPr>
        <w:t>安全生产管理人员的学历证书、技术职称证</w:t>
      </w:r>
      <w:r>
        <w:rPr>
          <w:color w:val="231F20"/>
          <w:spacing w:val="5"/>
        </w:rPr>
        <w:t xml:space="preserve"> </w:t>
      </w:r>
      <w:r>
        <w:rPr>
          <w:color w:val="231F20"/>
          <w:spacing w:val="1"/>
        </w:rPr>
        <w:t>书或者危险物品安全类注册安全工程师资格</w:t>
      </w:r>
      <w:r>
        <w:rPr>
          <w:color w:val="231F20"/>
          <w:spacing w:val="5"/>
        </w:rPr>
        <w:t xml:space="preserve"> </w:t>
      </w:r>
      <w:r>
        <w:rPr>
          <w:color w:val="231F20"/>
          <w:spacing w:val="-7"/>
        </w:rPr>
        <w:t>证书（复制件</w:t>
      </w:r>
      <w:r>
        <w:rPr>
          <w:color w:val="231F20"/>
          <w:spacing w:val="-2"/>
        </w:rPr>
        <w:t>）；</w:t>
      </w:r>
    </w:p>
    <w:p>
      <w:pPr>
        <w:pStyle w:val="2"/>
        <w:spacing w:before="53" w:line="233" w:lineRule="auto"/>
        <w:ind w:left="444"/>
      </w:pPr>
      <w:r>
        <w:rPr>
          <w:color w:val="231F20"/>
          <w:spacing w:val="-2"/>
        </w:rPr>
        <w:t>（三）安全评价报告。</w:t>
      </w:r>
    </w:p>
    <w:p>
      <w:pPr>
        <w:spacing w:before="45" w:line="203" w:lineRule="auto"/>
        <w:ind w:left="467"/>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六、审批机关</w:t>
      </w:r>
    </w:p>
    <w:p>
      <w:pPr>
        <w:pStyle w:val="2"/>
        <w:spacing w:before="43" w:line="231" w:lineRule="auto"/>
        <w:ind w:left="465"/>
      </w:pPr>
      <w:r>
        <w:rPr>
          <w:color w:val="231F20"/>
          <w:spacing w:val="-1"/>
        </w:rPr>
        <w:t>唐山市曹妃甸区行政审批局</w:t>
      </w:r>
    </w:p>
    <w:p>
      <w:pPr>
        <w:spacing w:before="48" w:line="202" w:lineRule="auto"/>
        <w:ind w:left="463"/>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七、事项办理流程图</w:t>
      </w:r>
    </w:p>
    <w:p>
      <w:pPr>
        <w:spacing w:line="153" w:lineRule="exact"/>
      </w:pPr>
    </w:p>
    <w:tbl>
      <w:tblPr>
        <w:tblStyle w:val="5"/>
        <w:tblW w:w="1302" w:type="dxa"/>
        <w:tblInd w:w="58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1302"/>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658" w:hRule="atLeast"/>
        </w:trPr>
        <w:tc>
          <w:tcPr>
            <w:tcW w:w="1302" w:type="dxa"/>
            <w:vAlign w:val="top"/>
          </w:tcPr>
          <w:p>
            <w:pPr>
              <w:pStyle w:val="6"/>
              <w:spacing w:before="69" w:line="208" w:lineRule="auto"/>
              <w:ind w:left="34"/>
            </w:pPr>
            <w:r>
              <w:rPr>
                <w:color w:val="231F20"/>
                <w:spacing w:val="-7"/>
              </w:rPr>
              <w:t>申请材料不全的，</w:t>
            </w:r>
          </w:p>
          <w:p>
            <w:pPr>
              <w:pStyle w:val="6"/>
              <w:spacing w:line="213" w:lineRule="auto"/>
              <w:ind w:left="252" w:right="86" w:hanging="158"/>
            </w:pPr>
            <w:r>
              <w:rPr>
                <w:color w:val="231F20"/>
                <w:spacing w:val="-2"/>
              </w:rPr>
              <w:t>一次性告知当事</w:t>
            </w:r>
            <w:r>
              <w:rPr>
                <w:color w:val="231F20"/>
                <w:spacing w:val="4"/>
              </w:rPr>
              <w:t xml:space="preserve"> </w:t>
            </w:r>
            <w:r>
              <w:rPr>
                <w:color w:val="231F20"/>
                <w:spacing w:val="-2"/>
              </w:rPr>
              <w:t>人补齐补正</w:t>
            </w:r>
          </w:p>
        </w:tc>
      </w:tr>
    </w:tbl>
    <w:p>
      <w:pPr>
        <w:spacing w:before="222"/>
      </w:pPr>
    </w:p>
    <w:tbl>
      <w:tblPr>
        <w:tblStyle w:val="5"/>
        <w:tblW w:w="501" w:type="dxa"/>
        <w:tblInd w:w="988"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501"/>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4" w:hRule="atLeast"/>
        </w:trPr>
        <w:tc>
          <w:tcPr>
            <w:tcW w:w="501" w:type="dxa"/>
            <w:vAlign w:val="top"/>
          </w:tcPr>
          <w:p>
            <w:pPr>
              <w:pStyle w:val="6"/>
              <w:spacing w:before="143" w:line="221" w:lineRule="auto"/>
              <w:ind w:left="93"/>
            </w:pPr>
            <w:r>
              <w:rPr>
                <w:color w:val="231F20"/>
                <w:spacing w:val="-3"/>
              </w:rPr>
              <w:t>受理</w:t>
            </w:r>
          </w:p>
        </w:tc>
      </w:tr>
    </w:tbl>
    <w:p>
      <w:pPr>
        <w:spacing w:line="424" w:lineRule="exact"/>
        <w:ind w:firstLine="3040"/>
      </w:pPr>
      <w:r>
        <w:rPr>
          <w:position w:val="-8"/>
        </w:rPr>
        <w:drawing>
          <wp:inline distT="0" distB="0" distL="0" distR="0">
            <wp:extent cx="52705" cy="26860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53174" cy="269151"/>
                    </a:xfrm>
                    <a:prstGeom prst="rect">
                      <a:avLst/>
                    </a:prstGeom>
                  </pic:spPr>
                </pic:pic>
              </a:graphicData>
            </a:graphic>
          </wp:inline>
        </w:drawing>
      </w:r>
    </w:p>
    <w:p>
      <w:pPr>
        <w:spacing w:line="138" w:lineRule="auto"/>
        <w:rPr>
          <w:rFonts w:ascii="Arial"/>
          <w:sz w:val="2"/>
        </w:rPr>
      </w:pPr>
    </w:p>
    <w:tbl>
      <w:tblPr>
        <w:tblStyle w:val="5"/>
        <w:tblW w:w="819" w:type="dxa"/>
        <w:tblInd w:w="829" w:type="dxa"/>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Layout w:type="fixed"/>
        <w:tblCellMar>
          <w:top w:w="0" w:type="dxa"/>
          <w:left w:w="0" w:type="dxa"/>
          <w:bottom w:w="0" w:type="dxa"/>
          <w:right w:w="0" w:type="dxa"/>
        </w:tblCellMar>
      </w:tblPr>
      <w:tblGrid>
        <w:gridCol w:w="819"/>
      </w:tblGrid>
      <w:tr>
        <w:tblPrEx>
          <w:tblBorders>
            <w:top w:val="single" w:color="231F20" w:sz="4" w:space="0"/>
            <w:left w:val="single" w:color="231F20" w:sz="4" w:space="0"/>
            <w:bottom w:val="single" w:color="231F20" w:sz="4" w:space="0"/>
            <w:right w:val="single" w:color="231F20" w:sz="4" w:space="0"/>
            <w:insideH w:val="none" w:color="auto" w:sz="0" w:space="0"/>
            <w:insideV w:val="none" w:color="auto" w:sz="0" w:space="0"/>
          </w:tblBorders>
          <w:tblCellMar>
            <w:top w:w="0" w:type="dxa"/>
            <w:left w:w="0" w:type="dxa"/>
            <w:bottom w:w="0" w:type="dxa"/>
            <w:right w:w="0" w:type="dxa"/>
          </w:tblCellMar>
        </w:tblPrEx>
        <w:trPr>
          <w:trHeight w:val="445" w:hRule="atLeast"/>
        </w:trPr>
        <w:tc>
          <w:tcPr>
            <w:tcW w:w="819" w:type="dxa"/>
            <w:vAlign w:val="top"/>
          </w:tcPr>
          <w:p>
            <w:pPr>
              <w:pStyle w:val="6"/>
              <w:spacing w:before="71" w:line="210" w:lineRule="auto"/>
              <w:ind w:left="130" w:hanging="77"/>
            </w:pPr>
            <w:r>
              <w:rPr>
                <w:color w:val="231F20"/>
                <w:spacing w:val="-9"/>
              </w:rPr>
              <w:t>不予受理，</w:t>
            </w:r>
            <w:r>
              <w:rPr>
                <w:color w:val="231F20"/>
              </w:rPr>
              <w:t xml:space="preserve"> </w:t>
            </w:r>
            <w:r>
              <w:rPr>
                <w:color w:val="231F20"/>
                <w:spacing w:val="-2"/>
              </w:rPr>
              <w:t>退还申请</w:t>
            </w:r>
          </w:p>
        </w:tc>
      </w:tr>
    </w:tbl>
    <w:p>
      <w:pPr>
        <w:spacing w:before="294" w:line="203" w:lineRule="auto"/>
        <w:ind w:left="451"/>
        <w:rPr>
          <w:rFonts w:ascii="微软雅黑" w:hAnsi="微软雅黑" w:eastAsia="微软雅黑" w:cs="微软雅黑"/>
          <w:sz w:val="22"/>
          <w:szCs w:val="22"/>
        </w:rPr>
      </w:pPr>
      <w:r>
        <w:rPr>
          <w:rFonts w:ascii="微软雅黑" w:hAnsi="微软雅黑" w:eastAsia="微软雅黑" w:cs="微软雅黑"/>
          <w:color w:val="231F20"/>
          <w:spacing w:val="-1"/>
          <w:sz w:val="22"/>
          <w:szCs w:val="22"/>
        </w:rPr>
        <w:t>八、审批时限</w:t>
      </w:r>
    </w:p>
    <w:p>
      <w:pPr>
        <w:pStyle w:val="2"/>
        <w:spacing w:before="33" w:line="219" w:lineRule="auto"/>
        <w:ind w:left="468"/>
      </w:pPr>
      <w:r>
        <w:rPr>
          <w:color w:val="231F20"/>
          <w:spacing w:val="-2"/>
        </w:rPr>
        <w:t>法定时限：45个工作日</w:t>
      </w:r>
    </w:p>
    <w:p>
      <w:pPr>
        <w:spacing w:line="14" w:lineRule="auto"/>
        <w:rPr>
          <w:rFonts w:ascii="Arial"/>
          <w:sz w:val="2"/>
        </w:rPr>
      </w:pPr>
      <w:r>
        <w:rPr>
          <w:rFonts w:ascii="Arial" w:hAnsi="Arial" w:eastAsia="Arial" w:cs="Arial"/>
          <w:sz w:val="2"/>
          <w:szCs w:val="2"/>
        </w:rPr>
        <w:br w:type="column"/>
      </w:r>
    </w:p>
    <w:p>
      <w:pPr>
        <w:pStyle w:val="2"/>
        <w:spacing w:before="48" w:line="232" w:lineRule="auto"/>
        <w:ind w:left="463"/>
      </w:pPr>
      <w:r>
        <w:rPr>
          <w:color w:val="231F20"/>
          <w:spacing w:val="-2"/>
        </w:rPr>
        <w:t>承诺时限：3个工作日</w:t>
      </w:r>
    </w:p>
    <w:p>
      <w:pPr>
        <w:pStyle w:val="2"/>
        <w:spacing w:before="38" w:line="247" w:lineRule="auto"/>
        <w:ind w:left="22" w:right="1" w:firstLine="450"/>
      </w:pPr>
      <w:r>
        <w:rPr>
          <w:color w:val="231F20"/>
        </w:rPr>
        <w:t>实行告知承诺制的，符合申请条件当场</w:t>
      </w:r>
      <w:r>
        <w:rPr>
          <w:color w:val="231F20"/>
          <w:spacing w:val="14"/>
        </w:rPr>
        <w:t xml:space="preserve"> </w:t>
      </w:r>
      <w:r>
        <w:rPr>
          <w:color w:val="231F20"/>
          <w:spacing w:val="-2"/>
        </w:rPr>
        <w:t>作出行政审批决定</w:t>
      </w:r>
    </w:p>
    <w:p>
      <w:pPr>
        <w:spacing w:before="35" w:line="203" w:lineRule="auto"/>
        <w:ind w:left="459"/>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九、收费情况</w:t>
      </w:r>
    </w:p>
    <w:p>
      <w:pPr>
        <w:pStyle w:val="2"/>
        <w:spacing w:before="33" w:line="233" w:lineRule="auto"/>
        <w:ind w:left="468"/>
      </w:pPr>
      <w:r>
        <w:rPr>
          <w:color w:val="231F20"/>
          <w:spacing w:val="-5"/>
        </w:rPr>
        <w:t>不收费</w:t>
      </w:r>
    </w:p>
    <w:p>
      <w:pPr>
        <w:spacing w:before="33"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3"/>
          <w:sz w:val="22"/>
          <w:szCs w:val="22"/>
        </w:rPr>
        <w:t>十、网办网址</w:t>
      </w:r>
    </w:p>
    <w:p>
      <w:pPr>
        <w:pStyle w:val="2"/>
        <w:spacing w:before="32" w:line="219" w:lineRule="auto"/>
        <w:ind w:left="466"/>
      </w:pPr>
      <w:r>
        <w:fldChar w:fldCharType="begin"/>
      </w:r>
      <w:r>
        <w:instrText xml:space="preserve"> HYPERLINK "http://tscfdhbzwfw.gov.cn/" </w:instrText>
      </w:r>
      <w:r>
        <w:fldChar w:fldCharType="separate"/>
      </w:r>
      <w:r>
        <w:rPr>
          <w:color w:val="231F20"/>
          <w:spacing w:val="-1"/>
        </w:rPr>
        <w:t>http://tscfdhbzwfw.gov.cn/</w:t>
      </w:r>
      <w:r>
        <w:rPr>
          <w:color w:val="231F20"/>
          <w:spacing w:val="-1"/>
        </w:rPr>
        <w:fldChar w:fldCharType="end"/>
      </w:r>
    </w:p>
    <w:p>
      <w:pPr>
        <w:spacing w:before="52" w:line="205" w:lineRule="auto"/>
        <w:ind w:left="463"/>
        <w:rPr>
          <w:rFonts w:ascii="微软雅黑" w:hAnsi="微软雅黑" w:eastAsia="微软雅黑" w:cs="微软雅黑"/>
          <w:sz w:val="22"/>
          <w:szCs w:val="22"/>
        </w:rPr>
      </w:pPr>
      <w:r>
        <w:rPr>
          <w:rFonts w:ascii="微软雅黑" w:hAnsi="微软雅黑" w:eastAsia="微软雅黑" w:cs="微软雅黑"/>
          <w:color w:val="231F20"/>
          <w:spacing w:val="-4"/>
          <w:sz w:val="22"/>
          <w:szCs w:val="22"/>
        </w:rPr>
        <w:t>十一、办理地点</w:t>
      </w:r>
    </w:p>
    <w:p>
      <w:pPr>
        <w:pStyle w:val="2"/>
        <w:spacing w:before="34" w:line="254" w:lineRule="auto"/>
        <w:ind w:left="25" w:right="1" w:firstLine="452"/>
      </w:pPr>
      <w:r>
        <w:rPr>
          <w:color w:val="231F20"/>
          <w:spacing w:val="1"/>
        </w:rPr>
        <w:t>1.中国（河北）自由贸易试验区曹妃甸</w:t>
      </w:r>
      <w:r>
        <w:rPr>
          <w:color w:val="231F20"/>
          <w:spacing w:val="4"/>
        </w:rPr>
        <w:t xml:space="preserve"> </w:t>
      </w:r>
      <w:r>
        <w:rPr>
          <w:color w:val="231F20"/>
          <w:spacing w:val="1"/>
        </w:rPr>
        <w:t>片区政务服务中心、唐山市曹妃甸区临港政</w:t>
      </w:r>
      <w:r>
        <w:rPr>
          <w:color w:val="231F20"/>
          <w:spacing w:val="3"/>
        </w:rPr>
        <w:t xml:space="preserve"> </w:t>
      </w:r>
      <w:r>
        <w:rPr>
          <w:color w:val="231F20"/>
          <w:spacing w:val="17"/>
        </w:rPr>
        <w:t>务服务中心（曹妃甸工业区兴业道1号二</w:t>
      </w:r>
      <w:r>
        <w:rPr>
          <w:color w:val="231F20"/>
          <w:spacing w:val="13"/>
        </w:rPr>
        <w:t xml:space="preserve"> </w:t>
      </w:r>
      <w:r>
        <w:rPr>
          <w:color w:val="231F20"/>
          <w:spacing w:val="-2"/>
        </w:rPr>
        <w:t>层）</w:t>
      </w:r>
    </w:p>
    <w:p>
      <w:pPr>
        <w:pStyle w:val="2"/>
        <w:spacing w:before="36" w:line="246" w:lineRule="auto"/>
        <w:ind w:firstLine="463"/>
      </w:pPr>
      <w:r>
        <w:rPr>
          <w:color w:val="231F20"/>
          <w:spacing w:val="17"/>
        </w:rPr>
        <w:t>2.唐山市曹妃甸区垦区政务服务中心</w:t>
      </w:r>
      <w:r>
        <w:rPr>
          <w:color w:val="231F20"/>
          <w:spacing w:val="2"/>
        </w:rPr>
        <w:t xml:space="preserve"> </w:t>
      </w:r>
      <w:r>
        <w:rPr>
          <w:color w:val="231F20"/>
        </w:rPr>
        <w:t>（曹妃甸区唐海镇新城大街259号二层）</w:t>
      </w:r>
    </w:p>
    <w:p>
      <w:pPr>
        <w:pStyle w:val="2"/>
        <w:spacing w:before="41" w:line="246" w:lineRule="auto"/>
        <w:ind w:left="51" w:right="2" w:firstLine="409"/>
        <w:rPr>
          <w:rFonts w:hint="eastAsia"/>
          <w:color w:val="231F20"/>
          <w:spacing w:val="-3"/>
        </w:rPr>
      </w:pPr>
      <w:r>
        <w:rPr>
          <w:color w:val="231F20"/>
          <w:spacing w:val="3"/>
        </w:rPr>
        <w:t>3.唐山市曹妃甸区曹妃甸新城政务服务</w:t>
      </w:r>
      <w:r>
        <w:rPr>
          <w:color w:val="231F20"/>
          <w:spacing w:val="16"/>
        </w:rPr>
        <w:t xml:space="preserve"> </w:t>
      </w:r>
      <w:r>
        <w:rPr>
          <w:color w:val="231F20"/>
          <w:spacing w:val="-3"/>
        </w:rPr>
        <w:t>中心（曹妃甸区新城通海路）</w:t>
      </w:r>
      <w:r>
        <w:rPr>
          <w:rFonts w:hint="eastAsia"/>
          <w:color w:val="231F20"/>
          <w:spacing w:val="-3"/>
        </w:rPr>
        <w:t>1. 中国（河北）自由贸易试验区曹妃甸片区政务服务中心、唐山市曹妃甸区临港政务服务中心综合受理窗口B01-B06（曹妃甸工业区兴业道 1 号二层）。</w:t>
      </w:r>
    </w:p>
    <w:p>
      <w:pPr>
        <w:pStyle w:val="2"/>
        <w:spacing w:before="41" w:line="246" w:lineRule="auto"/>
        <w:ind w:left="51" w:right="2" w:firstLine="409"/>
        <w:rPr>
          <w:rFonts w:hint="eastAsia"/>
          <w:color w:val="231F20"/>
          <w:spacing w:val="-3"/>
        </w:rPr>
      </w:pPr>
      <w:r>
        <w:rPr>
          <w:rFonts w:hint="eastAsia"/>
          <w:color w:val="231F20"/>
          <w:spacing w:val="-3"/>
        </w:rPr>
        <w:t>2. 唐山市曹妃甸区垦区政务服务中心综合受理窗口W1-W6（曹妃甸区唐海镇新城大街 259 号二层）。</w:t>
      </w:r>
    </w:p>
    <w:p>
      <w:pPr>
        <w:pStyle w:val="2"/>
        <w:spacing w:before="41" w:line="246" w:lineRule="auto"/>
        <w:ind w:left="51" w:right="2" w:firstLine="409"/>
        <w:rPr>
          <w:rFonts w:hint="eastAsia"/>
          <w:color w:val="231F20"/>
          <w:spacing w:val="-3"/>
        </w:rPr>
      </w:pPr>
      <w:r>
        <w:rPr>
          <w:rFonts w:hint="eastAsia"/>
          <w:color w:val="231F20"/>
          <w:spacing w:val="-3"/>
        </w:rPr>
        <w:t>3. 唐山市曹妃甸区曹妃甸新城政务服务中心综合受理窗口B02-B05（曹妃甸区新城通海路）。</w:t>
      </w:r>
    </w:p>
    <w:p>
      <w:pPr>
        <w:pStyle w:val="2"/>
        <w:spacing w:before="41" w:line="246" w:lineRule="auto"/>
        <w:ind w:left="51" w:right="2" w:firstLine="409"/>
        <w:rPr>
          <w:rFonts w:hint="eastAsia"/>
          <w:color w:val="231F20"/>
          <w:spacing w:val="-3"/>
        </w:rPr>
      </w:pPr>
      <w:r>
        <w:rPr>
          <w:rFonts w:hint="eastAsia"/>
          <w:color w:val="231F20"/>
          <w:spacing w:val="-3"/>
        </w:rPr>
        <w:t>交通指引：</w:t>
      </w:r>
    </w:p>
    <w:p>
      <w:pPr>
        <w:pStyle w:val="2"/>
        <w:spacing w:before="41" w:line="246" w:lineRule="auto"/>
        <w:ind w:left="51" w:right="2" w:firstLine="409"/>
        <w:rPr>
          <w:rFonts w:hint="eastAsia"/>
          <w:color w:val="231F20"/>
          <w:spacing w:val="-3"/>
        </w:rPr>
      </w:pPr>
      <w:r>
        <w:rPr>
          <w:rFonts w:hint="eastAsia"/>
          <w:color w:val="231F20"/>
          <w:spacing w:val="-3"/>
        </w:rPr>
        <w:t>1.临港中心：乘坐公交K1支线/K1专线，四大联检下车（曹妃甸工业区兴业道1号）；</w:t>
      </w:r>
    </w:p>
    <w:p>
      <w:pPr>
        <w:pStyle w:val="2"/>
        <w:spacing w:before="41" w:line="246" w:lineRule="auto"/>
        <w:ind w:left="51" w:right="2" w:firstLine="409"/>
        <w:rPr>
          <w:rFonts w:hint="eastAsia"/>
          <w:color w:val="231F20"/>
          <w:spacing w:val="-3"/>
        </w:rPr>
      </w:pPr>
      <w:r>
        <w:rPr>
          <w:rFonts w:hint="eastAsia"/>
          <w:color w:val="231F20"/>
          <w:spacing w:val="-3"/>
        </w:rPr>
        <w:t>2.垦区中心：乘坐公交101路/102路，行政审批大厅下车（曹妃甸新城大街与唐海路交叉口西行200米）</w:t>
      </w:r>
    </w:p>
    <w:p>
      <w:pPr>
        <w:pStyle w:val="2"/>
        <w:spacing w:before="41" w:line="246" w:lineRule="auto"/>
        <w:ind w:left="51" w:right="2" w:firstLine="409"/>
      </w:pPr>
      <w:r>
        <w:rPr>
          <w:rFonts w:hint="eastAsia"/>
          <w:color w:val="231F20"/>
          <w:spacing w:val="-3"/>
        </w:rPr>
        <w:t>3.新城中心：乘坐公交K2路，新城服务中心下车（曹妃甸新城未来大道1号）；</w:t>
      </w:r>
    </w:p>
    <w:p>
      <w:pPr>
        <w:spacing w:before="37" w:line="204"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十二、办公时间</w:t>
      </w:r>
    </w:p>
    <w:p>
      <w:pPr>
        <w:spacing w:before="34" w:line="203" w:lineRule="auto"/>
        <w:ind w:left="463"/>
        <w:rPr>
          <w:rFonts w:hint="eastAsia" w:ascii="方正仿宋简体" w:hAnsi="方正仿宋简体" w:eastAsia="方正仿宋简体" w:cs="方正仿宋简体"/>
          <w:snapToGrid w:val="0"/>
          <w:color w:val="231F20"/>
          <w:spacing w:val="-3"/>
          <w:kern w:val="0"/>
          <w:sz w:val="22"/>
          <w:szCs w:val="22"/>
          <w:lang w:val="en-US" w:eastAsia="en-US" w:bidi="ar-SA"/>
        </w:rPr>
      </w:pPr>
      <w:r>
        <w:rPr>
          <w:rFonts w:hint="eastAsia" w:ascii="方正仿宋简体" w:hAnsi="方正仿宋简体" w:eastAsia="方正仿宋简体" w:cs="方正仿宋简体"/>
          <w:snapToGrid w:val="0"/>
          <w:color w:val="231F20"/>
          <w:spacing w:val="-3"/>
          <w:kern w:val="0"/>
          <w:sz w:val="22"/>
          <w:szCs w:val="22"/>
          <w:lang w:val="en-US" w:eastAsia="en-US" w:bidi="ar-SA"/>
        </w:rPr>
        <w:t>周一到周五：春秋冬季（9月1日至5月31日）上午8:30～12:00，下午13:30～17:30；夏季（6月1日至8月31日）上午8:30～12:00，下午14:30～17:30，法定节假日除外。</w:t>
      </w:r>
    </w:p>
    <w:p>
      <w:pPr>
        <w:spacing w:before="34" w:line="203"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十三、咨询电话</w:t>
      </w:r>
    </w:p>
    <w:p>
      <w:pPr>
        <w:pStyle w:val="2"/>
        <w:spacing w:before="34" w:line="251" w:lineRule="auto"/>
        <w:ind w:left="21" w:right="21" w:firstLine="440"/>
      </w:pPr>
      <w:r>
        <w:rPr>
          <w:color w:val="231F20"/>
          <w:spacing w:val="5"/>
        </w:rPr>
        <w:t>03</w:t>
      </w:r>
      <w:r>
        <w:rPr>
          <w:color w:val="231F20"/>
          <w:spacing w:val="-7"/>
        </w:rPr>
        <w:t xml:space="preserve"> </w:t>
      </w:r>
      <w:r>
        <w:rPr>
          <w:color w:val="231F20"/>
          <w:spacing w:val="5"/>
        </w:rPr>
        <w:t>1</w:t>
      </w:r>
      <w:r>
        <w:rPr>
          <w:color w:val="231F20"/>
          <w:spacing w:val="-37"/>
        </w:rPr>
        <w:t xml:space="preserve"> </w:t>
      </w:r>
      <w:r>
        <w:rPr>
          <w:color w:val="231F20"/>
          <w:spacing w:val="5"/>
        </w:rPr>
        <w:t>5</w:t>
      </w:r>
      <w:r>
        <w:rPr>
          <w:color w:val="231F20"/>
          <w:spacing w:val="-36"/>
        </w:rPr>
        <w:t xml:space="preserve"> </w:t>
      </w:r>
      <w:r>
        <w:rPr>
          <w:color w:val="231F20"/>
          <w:spacing w:val="5"/>
        </w:rPr>
        <w:t>-</w:t>
      </w:r>
      <w:r>
        <w:rPr>
          <w:color w:val="231F20"/>
          <w:spacing w:val="-41"/>
        </w:rPr>
        <w:t xml:space="preserve"> </w:t>
      </w:r>
      <w:r>
        <w:rPr>
          <w:color w:val="231F20"/>
          <w:spacing w:val="5"/>
        </w:rPr>
        <w:t>8</w:t>
      </w:r>
      <w:r>
        <w:rPr>
          <w:color w:val="231F20"/>
          <w:spacing w:val="-40"/>
        </w:rPr>
        <w:t xml:space="preserve"> </w:t>
      </w:r>
      <w:r>
        <w:rPr>
          <w:color w:val="231F20"/>
          <w:spacing w:val="5"/>
        </w:rPr>
        <w:t>8</w:t>
      </w:r>
      <w:r>
        <w:rPr>
          <w:color w:val="231F20"/>
          <w:spacing w:val="-36"/>
        </w:rPr>
        <w:t xml:space="preserve"> </w:t>
      </w:r>
      <w:r>
        <w:rPr>
          <w:color w:val="231F20"/>
          <w:spacing w:val="5"/>
        </w:rPr>
        <w:t>51</w:t>
      </w:r>
      <w:r>
        <w:rPr>
          <w:color w:val="231F20"/>
          <w:spacing w:val="-40"/>
        </w:rPr>
        <w:t xml:space="preserve"> </w:t>
      </w:r>
      <w:r>
        <w:rPr>
          <w:color w:val="231F20"/>
          <w:spacing w:val="5"/>
        </w:rPr>
        <w:t>606（临</w:t>
      </w:r>
      <w:r>
        <w:rPr>
          <w:color w:val="231F20"/>
          <w:spacing w:val="-34"/>
        </w:rPr>
        <w:t xml:space="preserve"> </w:t>
      </w:r>
      <w:r>
        <w:rPr>
          <w:color w:val="231F20"/>
          <w:spacing w:val="5"/>
        </w:rPr>
        <w:t>港 中心</w:t>
      </w:r>
      <w:r>
        <w:rPr>
          <w:color w:val="231F20"/>
          <w:spacing w:val="-52"/>
        </w:rPr>
        <w:t xml:space="preserve"> </w:t>
      </w:r>
      <w:r>
        <w:rPr>
          <w:color w:val="231F20"/>
          <w:spacing w:val="5"/>
        </w:rPr>
        <w:t>）</w:t>
      </w:r>
      <w:r>
        <w:rPr>
          <w:color w:val="231F20"/>
          <w:spacing w:val="-51"/>
        </w:rPr>
        <w:t xml:space="preserve"> </w:t>
      </w:r>
      <w:r>
        <w:rPr>
          <w:color w:val="231F20"/>
          <w:spacing w:val="5"/>
        </w:rPr>
        <w:t>、</w:t>
      </w:r>
      <w:r>
        <w:rPr>
          <w:color w:val="231F20"/>
        </w:rPr>
        <w:t xml:space="preserve"> </w:t>
      </w:r>
      <w:r>
        <w:rPr>
          <w:color w:val="231F20"/>
          <w:spacing w:val="-14"/>
        </w:rPr>
        <w:t>0 3 1 5 - 8 7 8 7 0 5 0</w:t>
      </w:r>
      <w:r>
        <w:rPr>
          <w:color w:val="231F20"/>
          <w:spacing w:val="-26"/>
        </w:rPr>
        <w:t xml:space="preserve"> </w:t>
      </w:r>
      <w:r>
        <w:rPr>
          <w:color w:val="231F20"/>
          <w:spacing w:val="-14"/>
        </w:rPr>
        <w:t>（ 垦</w:t>
      </w:r>
      <w:r>
        <w:rPr>
          <w:color w:val="231F20"/>
          <w:spacing w:val="16"/>
        </w:rPr>
        <w:t xml:space="preserve"> </w:t>
      </w:r>
      <w:r>
        <w:rPr>
          <w:color w:val="231F20"/>
          <w:spacing w:val="-14"/>
        </w:rPr>
        <w:t>区</w:t>
      </w:r>
      <w:r>
        <w:rPr>
          <w:color w:val="231F20"/>
          <w:spacing w:val="17"/>
        </w:rPr>
        <w:t xml:space="preserve"> </w:t>
      </w:r>
      <w:r>
        <w:rPr>
          <w:color w:val="231F20"/>
          <w:spacing w:val="-14"/>
        </w:rPr>
        <w:t>中</w:t>
      </w:r>
      <w:r>
        <w:rPr>
          <w:color w:val="231F20"/>
          <w:spacing w:val="-15"/>
        </w:rPr>
        <w:t xml:space="preserve"> 心</w:t>
      </w:r>
      <w:r>
        <w:rPr>
          <w:color w:val="231F20"/>
          <w:spacing w:val="-26"/>
        </w:rPr>
        <w:t xml:space="preserve"> </w:t>
      </w:r>
      <w:r>
        <w:rPr>
          <w:color w:val="231F20"/>
          <w:spacing w:val="-15"/>
        </w:rPr>
        <w:t>）</w:t>
      </w:r>
      <w:r>
        <w:rPr>
          <w:color w:val="231F20"/>
          <w:spacing w:val="-26"/>
        </w:rPr>
        <w:t xml:space="preserve"> </w:t>
      </w:r>
      <w:r>
        <w:rPr>
          <w:color w:val="231F20"/>
          <w:spacing w:val="-15"/>
        </w:rPr>
        <w:t>、</w:t>
      </w:r>
      <w:r>
        <w:rPr>
          <w:color w:val="231F20"/>
        </w:rPr>
        <w:t xml:space="preserve"> </w:t>
      </w:r>
      <w:r>
        <w:rPr>
          <w:color w:val="231F20"/>
          <w:spacing w:val="-1"/>
        </w:rPr>
        <w:t>0315-7721104（新城中心）</w:t>
      </w:r>
    </w:p>
    <w:p>
      <w:pPr>
        <w:spacing w:before="36" w:line="199" w:lineRule="auto"/>
        <w:ind w:left="463"/>
        <w:rPr>
          <w:rFonts w:ascii="微软雅黑" w:hAnsi="微软雅黑" w:eastAsia="微软雅黑" w:cs="微软雅黑"/>
          <w:sz w:val="22"/>
          <w:szCs w:val="22"/>
        </w:rPr>
      </w:pPr>
      <w:r>
        <w:rPr>
          <w:rFonts w:ascii="微软雅黑" w:hAnsi="微软雅黑" w:eastAsia="微软雅黑" w:cs="微软雅黑"/>
          <w:color w:val="231F20"/>
          <w:spacing w:val="-2"/>
          <w:sz w:val="22"/>
          <w:szCs w:val="22"/>
        </w:rPr>
        <w:t>十四、监督（投诉）电话</w:t>
      </w:r>
    </w:p>
    <w:p>
      <w:pPr>
        <w:pStyle w:val="2"/>
        <w:spacing w:before="70" w:line="190" w:lineRule="auto"/>
        <w:ind w:left="461"/>
      </w:pPr>
      <w:r>
        <w:rPr>
          <w:color w:val="231F20"/>
          <w:spacing w:val="-1"/>
        </w:rPr>
        <w:t>0315-8787068</w:t>
      </w:r>
    </w:p>
    <w:p>
      <w:pPr>
        <w:numPr>
          <w:ilvl w:val="0"/>
          <w:numId w:val="1"/>
        </w:numPr>
        <w:spacing w:before="63" w:line="203" w:lineRule="auto"/>
        <w:ind w:left="463"/>
        <w:rPr>
          <w:rFonts w:ascii="微软雅黑" w:hAnsi="微软雅黑" w:eastAsia="微软雅黑" w:cs="微软雅黑"/>
          <w:color w:val="231F20"/>
          <w:spacing w:val="-2"/>
          <w:sz w:val="22"/>
          <w:szCs w:val="22"/>
        </w:rPr>
      </w:pPr>
      <w:r>
        <w:rPr>
          <w:rFonts w:ascii="微软雅黑" w:hAnsi="微软雅黑" w:eastAsia="微软雅黑" w:cs="微软雅黑"/>
          <w:color w:val="231F20"/>
          <w:spacing w:val="-2"/>
          <w:sz w:val="22"/>
          <w:szCs w:val="22"/>
        </w:rPr>
        <w:t>救济途径</w:t>
      </w:r>
    </w:p>
    <w:p>
      <w:pPr>
        <w:pStyle w:val="2"/>
        <w:spacing w:before="41" w:line="246" w:lineRule="auto"/>
        <w:ind w:left="51" w:right="2" w:firstLine="409"/>
        <w:rPr>
          <w:rFonts w:hint="eastAsia"/>
          <w:color w:val="231F20"/>
          <w:spacing w:val="-3"/>
        </w:rPr>
      </w:pPr>
      <w:r>
        <w:rPr>
          <w:rFonts w:hint="eastAsia"/>
          <w:color w:val="231F20"/>
          <w:spacing w:val="-3"/>
        </w:rPr>
        <w:t>申请人如对行政许可决定不服，可于收到决定书之日起六十日内向唐山市曹妃甸区人民政府申请复议，也可以于六个月内依法向唐山市曹妃甸区人民法院提起行政诉讼。</w:t>
      </w:r>
    </w:p>
    <w:sectPr>
      <w:type w:val="continuous"/>
      <w:pgSz w:w="10772" w:h="11906"/>
      <w:pgMar w:top="400" w:right="600" w:bottom="400" w:left="560" w:header="0" w:footer="0" w:gutter="0"/>
      <w:cols w:equalWidth="0" w:num="2">
        <w:col w:w="5280" w:space="100"/>
        <w:col w:w="42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AA1FB"/>
    <w:multiLevelType w:val="singleLevel"/>
    <w:tmpl w:val="848AA1FB"/>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0NGRhY2QzMjFiMjY1NTY5OGI4N2RjMTBhODhlMTgifQ=="/>
  </w:docVars>
  <w:rsids>
    <w:rsidRoot w:val="00000000"/>
    <w:rsid w:val="465910C5"/>
    <w:rsid w:val="68E64AF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2022-10-21T11:08:00Z</dcterms:created>
  <dc:creator>Admin</dc:creator>
  <cp:lastModifiedBy>白筱羽</cp:lastModifiedBy>
  <dcterms:modified xsi:type="dcterms:W3CDTF">2023-08-01T09:09:44Z</dcterms:modified>
  <dc:title>299.危险化学品经营许可核发服务指南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2023-08-01T10:30:32Z</vt:filetime>
  </property>
  <property fmtid="{D5CDD505-2E9C-101B-9397-08002B2CF9AE}" pid="4" name="KSOProductBuildVer">
    <vt:lpwstr>2052-12.1.0.15120</vt:lpwstr>
  </property>
  <property fmtid="{D5CDD505-2E9C-101B-9397-08002B2CF9AE}" pid="5" name="ICV">
    <vt:lpwstr>FE55036C00A54EC1A48EF4CF6A840068_12</vt:lpwstr>
  </property>
</Properties>
</file>