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医疗机构变更服务对象和服务方式（增加互联网诊疗服务方式）</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医疗机构变更服务对象和服务方式（增加互联网诊疗服务方式）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《医疗机构互联网诊疗申请表》；</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合作协议</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信息安全和预防医疗数据泄露应急预案</w:t>
      </w:r>
      <w:r>
        <w:rPr>
          <w:rFonts w:hint="eastAsia" w:ascii="仿宋" w:hAnsi="仿宋" w:eastAsia="仿宋"/>
          <w:sz w:val="32"/>
          <w:szCs w:val="32"/>
          <w:lang w:val="en-US"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第三级信息安全等级保护备案证明及本年度测评报告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开展互联网诊疗要求的互联网技术设备设施、信息系统建设以及技术人员情况报告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人员经过医疗卫生法律法规、医疗服务政策、各项规章制度、岗位职责、流程规范和应急预案的培训证明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rPr>
        <w:t>河北省互联网医疗服务监管平台接口联调对接验收报告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8.</w:t>
      </w:r>
      <w:r>
        <w:rPr>
          <w:rFonts w:hint="eastAsia" w:ascii="仿宋" w:hAnsi="仿宋" w:eastAsia="仿宋"/>
          <w:sz w:val="32"/>
          <w:szCs w:val="32"/>
        </w:rPr>
        <w:t>申请增加互联网诊疗服务方式的原因和理由</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rPr>
        <w:t>互联网诊疗所聘专业技术人员名单，及人员职称证</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10.</w:t>
      </w:r>
      <w:r>
        <w:rPr>
          <w:rFonts w:hint="eastAsia" w:ascii="仿宋" w:hAnsi="仿宋" w:eastAsia="仿宋"/>
          <w:sz w:val="32"/>
          <w:szCs w:val="32"/>
        </w:rPr>
        <w:t>互联网诊疗规章制度目录、岗位职责</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11.授权他人办理的，提交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widowControl/>
        <w:shd w:val="clear" w:color="auto" w:fill="FFFFFF"/>
        <w:spacing w:line="56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F7A36A3"/>
    <w:rsid w:val="10067E60"/>
    <w:rsid w:val="13953D46"/>
    <w:rsid w:val="150E4CFB"/>
    <w:rsid w:val="1B9F4E90"/>
    <w:rsid w:val="20B75C6F"/>
    <w:rsid w:val="214C62A1"/>
    <w:rsid w:val="23147BB5"/>
    <w:rsid w:val="24E764F7"/>
    <w:rsid w:val="25210AEA"/>
    <w:rsid w:val="28EB0BBC"/>
    <w:rsid w:val="292E6006"/>
    <w:rsid w:val="2B9176D3"/>
    <w:rsid w:val="2C2E1D7E"/>
    <w:rsid w:val="2F6B5C7B"/>
    <w:rsid w:val="36920AEA"/>
    <w:rsid w:val="3A8B353F"/>
    <w:rsid w:val="3AB52389"/>
    <w:rsid w:val="3D6B5143"/>
    <w:rsid w:val="4ABE2425"/>
    <w:rsid w:val="4FD075AB"/>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897</Words>
  <Characters>1024</Characters>
  <Lines>5</Lines>
  <Paragraphs>1</Paragraphs>
  <TotalTime>0</TotalTime>
  <ScaleCrop>false</ScaleCrop>
  <LinksUpToDate>false</LinksUpToDate>
  <CharactersWithSpaces>1026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2023-08-01T09:31:15Z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