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0" w:line="343" w:lineRule="exact"/>
        <w:ind w:left="4796"/>
      </w:pPr>
      <w:r>
        <w:rPr>
          <w:color w:val="231F20"/>
          <w:spacing w:val="-3"/>
          <w:position w:val="7"/>
        </w:rPr>
        <w:t>劳务派遣经营许可</w:t>
      </w:r>
    </w:p>
    <w:p>
      <w:pPr>
        <w:spacing w:before="1"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29" w:line="237" w:lineRule="auto"/>
        <w:ind w:left="4786" w:right="909" w:firstLine="15"/>
        <w:jc w:val="both"/>
        <w:rPr>
          <w:rFonts w:ascii="微软雅黑" w:hAnsi="微软雅黑" w:eastAsia="微软雅黑" w:cs="微软雅黑"/>
        </w:rPr>
      </w:pPr>
      <w:r>
        <w:rPr>
          <w:color w:val="231F20"/>
          <w:spacing w:val="-4"/>
        </w:rPr>
        <w:t>1.《中华人民共和国劳动合同法》；</w:t>
      </w:r>
      <w:r>
        <w:rPr>
          <w:color w:val="231F20"/>
          <w:spacing w:val="1"/>
        </w:rPr>
        <w:t xml:space="preserve"> </w:t>
      </w:r>
      <w:r>
        <w:rPr>
          <w:color w:val="231F20"/>
          <w:spacing w:val="-3"/>
        </w:rPr>
        <w:t>2.《劳务派遣行政许可实施办法》。</w:t>
      </w:r>
      <w:r>
        <w:rPr>
          <w:color w:val="231F20"/>
          <w:spacing w:val="11"/>
        </w:rPr>
        <w:t xml:space="preserve"> </w:t>
      </w:r>
      <w:r>
        <w:rPr>
          <w:rFonts w:ascii="微软雅黑" w:hAnsi="微软雅黑" w:eastAsia="微软雅黑" w:cs="微软雅黑"/>
          <w:color w:val="231F20"/>
          <w:spacing w:val="-2"/>
        </w:rPr>
        <w:t>三、受理范围</w:t>
      </w:r>
    </w:p>
    <w:p>
      <w:pPr>
        <w:pStyle w:val="2"/>
        <w:spacing w:before="31" w:line="227" w:lineRule="auto"/>
        <w:ind w:left="4798" w:right="1080" w:firstLine="35"/>
        <w:rPr>
          <w:rFonts w:ascii="微软雅黑" w:hAnsi="微软雅黑" w:eastAsia="微软雅黑" w:cs="微软雅黑"/>
        </w:rPr>
      </w:pPr>
      <w:r>
        <w:rPr>
          <w:color w:val="231F20"/>
          <w:spacing w:val="-5"/>
        </w:rPr>
        <w:t>自然人、企业法人、社会组织法人</w:t>
      </w:r>
      <w:r>
        <w:rPr>
          <w:color w:val="231F20"/>
          <w:spacing w:val="13"/>
        </w:rPr>
        <w:t xml:space="preserve"> </w:t>
      </w:r>
      <w:r>
        <w:rPr>
          <w:rFonts w:ascii="微软雅黑" w:hAnsi="微软雅黑" w:eastAsia="微软雅黑" w:cs="微软雅黑"/>
          <w:color w:val="231F20"/>
          <w:spacing w:val="-4"/>
        </w:rPr>
        <w:t>四、受理条件</w:t>
      </w:r>
    </w:p>
    <w:p>
      <w:pPr>
        <w:pStyle w:val="2"/>
        <w:spacing w:before="30" w:line="246"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29"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28" w:line="229" w:lineRule="auto"/>
        <w:ind w:left="4802"/>
      </w:pPr>
      <w:r>
        <w:rPr>
          <w:color w:val="231F20"/>
          <w:spacing w:val="-5"/>
        </w:rPr>
        <w:t>1.劳务派遣经营许可申请书；</w:t>
      </w:r>
    </w:p>
    <w:p>
      <w:pPr>
        <w:pStyle w:val="2"/>
        <w:spacing w:before="41" w:line="249" w:lineRule="auto"/>
        <w:ind w:left="4344" w:right="600" w:firstLine="442"/>
      </w:pPr>
      <w:r>
        <w:rPr>
          <w:color w:val="231F20"/>
          <w:spacing w:val="4"/>
        </w:rPr>
        <w:t>2.公司章程以及验资机构出具的验资报</w:t>
      </w:r>
      <w:r>
        <w:rPr>
          <w:color w:val="231F20"/>
        </w:rPr>
        <w:t xml:space="preserve"> </w:t>
      </w:r>
      <w:r>
        <w:rPr>
          <w:color w:val="231F20"/>
          <w:spacing w:val="1"/>
        </w:rPr>
        <w:t>告或者财务审计报告</w:t>
      </w:r>
      <w:r>
        <w:rPr>
          <w:color w:val="231F20"/>
          <w:spacing w:val="5"/>
        </w:rPr>
        <w:t>；（</w:t>
      </w:r>
      <w:r>
        <w:rPr>
          <w:color w:val="231F20"/>
          <w:spacing w:val="1"/>
        </w:rPr>
        <w:t>实缴注册资本不得</w:t>
      </w:r>
      <w:r>
        <w:rPr>
          <w:color w:val="231F20"/>
        </w:rPr>
        <w:t xml:space="preserve"> </w:t>
      </w:r>
      <w:r>
        <w:rPr>
          <w:color w:val="231F20"/>
          <w:spacing w:val="-1"/>
        </w:rPr>
        <w:t>少于人民币200万元）</w:t>
      </w:r>
    </w:p>
    <w:p>
      <w:pPr>
        <w:pStyle w:val="2"/>
        <w:spacing w:before="37" w:line="248" w:lineRule="auto"/>
        <w:ind w:left="4349" w:right="600" w:firstLine="434"/>
      </w:pPr>
      <w:r>
        <w:rPr>
          <w:color w:val="231F20"/>
          <w:spacing w:val="3"/>
        </w:rPr>
        <w:t>3.经营场所的使用证明以及与开展业务</w:t>
      </w:r>
      <w:r>
        <w:rPr>
          <w:color w:val="231F20"/>
          <w:spacing w:val="16"/>
        </w:rPr>
        <w:t xml:space="preserve"> </w:t>
      </w:r>
      <w:r>
        <w:rPr>
          <w:color w:val="231F20"/>
          <w:spacing w:val="1"/>
        </w:rPr>
        <w:t>相适应的办公设施设备、信息管理系统等清</w:t>
      </w:r>
      <w:r>
        <w:rPr>
          <w:color w:val="231F20"/>
          <w:spacing w:val="3"/>
        </w:rPr>
        <w:t xml:space="preserve"> </w:t>
      </w:r>
      <w:r>
        <w:rPr>
          <w:color w:val="231F20"/>
          <w:spacing w:val="-14"/>
        </w:rPr>
        <w:t>单；</w:t>
      </w:r>
    </w:p>
    <w:p>
      <w:pPr>
        <w:pStyle w:val="2"/>
        <w:spacing w:before="37" w:line="252" w:lineRule="auto"/>
        <w:ind w:left="4340" w:right="600" w:firstLine="444"/>
      </w:pPr>
      <w:r>
        <w:rPr>
          <w:color w:val="231F20"/>
          <w:spacing w:val="2"/>
        </w:rPr>
        <w:t>4.劳务派遣管理制度，包括劳动合同、</w:t>
      </w:r>
      <w:r>
        <w:rPr>
          <w:color w:val="231F20"/>
          <w:spacing w:val="5"/>
        </w:rPr>
        <w:t xml:space="preserve"> </w:t>
      </w:r>
      <w:r>
        <w:rPr>
          <w:color w:val="231F20"/>
          <w:spacing w:val="14"/>
        </w:rPr>
        <w:t>劳动报酬、社会保险、工作时间、休息休</w:t>
      </w:r>
      <w:r>
        <w:rPr>
          <w:color w:val="231F20"/>
        </w:rPr>
        <w:t xml:space="preserve"> </w:t>
      </w:r>
      <w:r>
        <w:rPr>
          <w:color w:val="231F20"/>
          <w:spacing w:val="1"/>
        </w:rPr>
        <w:t>假、劳动纪律等与劳动者切身利益相关的规</w:t>
      </w:r>
      <w:r>
        <w:rPr>
          <w:color w:val="231F20"/>
          <w:spacing w:val="11"/>
        </w:rPr>
        <w:t xml:space="preserve"> </w:t>
      </w:r>
      <w:r>
        <w:rPr>
          <w:color w:val="231F20"/>
          <w:spacing w:val="-5"/>
        </w:rPr>
        <w:t>章制度文本。</w:t>
      </w:r>
    </w:p>
    <w:p>
      <w:pPr>
        <w:spacing w:before="32"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29" w:line="227" w:lineRule="auto"/>
        <w:ind w:left="4782" w:right="1740" w:firstLine="1"/>
        <w:rPr>
          <w:rFonts w:ascii="微软雅黑" w:hAnsi="微软雅黑" w:eastAsia="微软雅黑" w:cs="微软雅黑"/>
        </w:rPr>
      </w:pPr>
      <w:r>
        <w:rPr>
          <w:color w:val="231F20"/>
          <w:spacing w:val="-1"/>
        </w:rPr>
        <w:t>唐山市曹妃甸区行政审批局</w:t>
      </w:r>
      <w:r>
        <w:rPr>
          <w:color w:val="231F20"/>
        </w:rPr>
        <w:t xml:space="preserve"> </w:t>
      </w:r>
      <w:r>
        <w:rPr>
          <w:rFonts w:ascii="微软雅黑" w:hAnsi="微软雅黑" w:eastAsia="微软雅黑" w:cs="微软雅黑"/>
          <w:color w:val="231F20"/>
          <w:spacing w:val="-1"/>
        </w:rPr>
        <w:t>七、事项办理流程图</w:t>
      </w:r>
    </w:p>
    <w:p>
      <w:pPr>
        <w:spacing w:line="227" w:lineRule="auto"/>
        <w:rPr>
          <w:rFonts w:ascii="微软雅黑" w:hAnsi="微软雅黑" w:eastAsia="微软雅黑" w:cs="微软雅黑"/>
        </w:rPr>
        <w:sectPr>
          <w:headerReference r:id="rId5" w:type="default"/>
          <w:pgSz w:w="10772" w:h="11906"/>
          <w:pgMar w:top="400" w:right="2" w:bottom="0" w:left="1615" w:header="0" w:footer="0" w:gutter="0"/>
          <w:cols w:space="720" w:num="1"/>
        </w:sectPr>
      </w:pPr>
    </w:p>
    <w:p>
      <w:pPr>
        <w:spacing w:before="84"/>
      </w:pPr>
      <w:r>
        <w:pict>
          <v:rect id="_x0000_s1026" o:spid="_x0000_s1026" o:spt="1" style="position:absolute;left:0pt;margin-left:190.8pt;margin-top:104.8pt;height:0.6pt;width:8.4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02.6pt;height:5.05pt;width:4.4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49.65pt;height:0.6pt;width:5.35pt;mso-position-horizontal-relative:page;mso-position-vertical-relative:page;z-index:251672576;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49.95pt;height:35.45pt;width:0.65pt;mso-position-horizontal-relative:page;mso-position-vertical-relative:page;z-index:251671552;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71.55pt;margin-top:36.55pt;height:24.65pt;width:37.8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06"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32"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634365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0528" behindDoc="0" locked="0" layoutInCell="0" allowOverlap="1">
            <wp:simplePos x="0" y="0"/>
            <wp:positionH relativeFrom="page">
              <wp:posOffset>1372235</wp:posOffset>
            </wp:positionH>
            <wp:positionV relativeFrom="page">
              <wp:posOffset>601980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2"/>
                    </a:xfrm>
                    <a:prstGeom prst="rect">
                      <a:avLst/>
                    </a:prstGeom>
                  </pic:spPr>
                </pic:pic>
              </a:graphicData>
            </a:graphic>
          </wp:anchor>
        </w:drawing>
      </w:r>
      <w:r>
        <w:pict>
          <v:shape id="_x0000_s1031" o:spid="_x0000_s1031" o:spt="202" type="#_x0000_t202" style="position:absolute;left:0pt;margin-left:51.85pt;margin-top:88.3pt;height:33.6pt;width:30.7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88.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88.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88.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95.85pt;height:20.55pt;width:1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1294130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1303020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1303020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9" w:bottom="0" w:left="566" w:header="0" w:footer="0" w:gutter="0"/>
          <w:cols w:equalWidth="0" w:num="1">
            <w:col w:w="9626"/>
          </w:cols>
        </w:sectPr>
      </w:pPr>
    </w:p>
    <w:p>
      <w:pPr>
        <w:spacing w:line="25" w:lineRule="exact"/>
      </w:pPr>
    </w:p>
    <w:tbl>
      <w:tblPr>
        <w:tblStyle w:val="5"/>
        <w:tblW w:w="711" w:type="dxa"/>
        <w:tblInd w:w="251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spacing w:line="499"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2"/>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0"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83"/>
      </w:pPr>
      <w:r>
        <w:rPr>
          <w:color w:val="231F20"/>
          <w:spacing w:val="-2"/>
        </w:rPr>
        <w:t>法定时限：20个工作日</w:t>
      </w:r>
    </w:p>
    <w:p>
      <w:pPr>
        <w:pStyle w:val="2"/>
        <w:spacing w:before="44" w:line="232" w:lineRule="auto"/>
        <w:ind w:left="475"/>
      </w:pPr>
      <w:r>
        <w:rPr>
          <w:color w:val="231F20"/>
          <w:spacing w:val="-2"/>
        </w:rPr>
        <w:t>承诺时限：3个工作日</w:t>
      </w:r>
    </w:p>
    <w:p>
      <w:pPr>
        <w:pStyle w:val="2"/>
        <w:spacing w:before="44" w:line="356" w:lineRule="exact"/>
        <w:ind w:left="483"/>
      </w:pPr>
      <w:r>
        <w:rPr>
          <w:color w:val="231F20"/>
          <w:position w:val="8"/>
        </w:rPr>
        <w:t>实行告知承诺制的，符合申请条件当场</w:t>
      </w:r>
    </w:p>
    <w:p>
      <w:pPr>
        <w:pStyle w:val="2"/>
        <w:spacing w:before="1" w:line="232" w:lineRule="auto"/>
        <w:ind w:left="33"/>
      </w:pPr>
      <w:r>
        <w:rPr>
          <w:color w:val="231F20"/>
          <w:spacing w:val="-1"/>
        </w:rPr>
        <w:t>作出行政审批决定（只有告知承诺事项写）</w:t>
      </w:r>
    </w:p>
    <w:p>
      <w:pPr>
        <w:spacing w:before="42"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79"/>
      </w:pPr>
      <w:r>
        <w:rPr>
          <w:color w:val="231F20"/>
          <w:spacing w:val="-5"/>
        </w:rPr>
        <w:t>不收费</w:t>
      </w:r>
    </w:p>
    <w:p>
      <w:pPr>
        <w:spacing w:before="38"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3" w:line="259" w:lineRule="auto"/>
        <w:ind w:left="2"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w:t>
      </w:r>
      <w:bookmarkStart w:id="0" w:name="_GoBack"/>
      <w:bookmarkEnd w:id="0"/>
    </w:p>
    <w:sectPr>
      <w:type w:val="continuous"/>
      <w:pgSz w:w="10772" w:h="11906"/>
      <w:pgMar w:top="400" w:right="579" w:bottom="0" w:left="566" w:header="0" w:footer="0" w:gutter="0"/>
      <w:cols w:equalWidth="0" w:num="2">
        <w:col w:w="5319"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33D846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719</Words>
  <Characters>824</Characters>
  <TotalTime>0</TotalTime>
  <ScaleCrop>false</ScaleCrop>
  <LinksUpToDate>false</LinksUpToDate>
  <CharactersWithSpaces>872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2022-10-21T10:56:00Z</dcterms:created>
  <dc:creator>Admin</dc:creator>
  <cp:lastModifiedBy>An玙</cp:lastModifiedBy>
  <dcterms:modified xsi:type="dcterms:W3CDTF">2023-08-01T08:52:23Z</dcterms:modified>
  <dc:title>54.劳务派遣经营许可（设立）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2023-08-01T16:07:17Z</vt:filetime>
  </property>
  <property fmtid="{D5CDD505-2E9C-101B-9397-08002B2CF9AE}" pid="4" name="KSOProductBuildVer">
    <vt:lpwstr>2052-11.1.0.14309</vt:lpwstr>
  </property>
  <property fmtid="{D5CDD505-2E9C-101B-9397-08002B2CF9AE}" pid="5" name="ICV">
    <vt:lpwstr>F740BE3406654A02818139B212FF064F_12</vt:lpwstr>
  </property>
</Properties>
</file>