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r>
        <w:drawing>
          <wp:anchor distT="0" distB="0" distL="0" distR="0" simplePos="0" relativeHeight="251659264" behindDoc="1" locked="0" layoutInCell="1" allowOverlap="1">
            <wp:simplePos x="0" y="0"/>
            <wp:positionH relativeFrom="column">
              <wp:posOffset>2228215</wp:posOffset>
            </wp:positionH>
            <wp:positionV relativeFrom="paragraph">
              <wp:posOffset>-236220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52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建设殡仪馆、火葬场、殡仪服务站、</w:t>
      </w:r>
    </w:p>
    <w:p>
      <w:pPr>
        <w:spacing w:before="2" w:line="189" w:lineRule="auto"/>
        <w:ind w:left="5737" w:right="670" w:hanging="1320"/>
        <w:rPr>
          <w:rFonts w:ascii="微软雅黑" w:hAnsi="微软雅黑" w:eastAsia="微软雅黑" w:cs="微软雅黑"/>
          <w:sz w:val="24"/>
          <w:szCs w:val="24"/>
        </w:rPr>
      </w:pPr>
      <w:r>
        <w:rPr>
          <w:rFonts w:ascii="微软雅黑" w:hAnsi="微软雅黑" w:eastAsia="微软雅黑" w:cs="微软雅黑"/>
          <w:color w:val="231F20"/>
          <w:spacing w:val="-1"/>
          <w:sz w:val="24"/>
          <w:szCs w:val="24"/>
        </w:rPr>
        <w:t>骨灰堂、经营性公墓、农村公益性墓地</w:t>
      </w:r>
      <w:r>
        <w:rPr>
          <w:rFonts w:ascii="微软雅黑" w:hAnsi="微软雅黑" w:eastAsia="微软雅黑" w:cs="微软雅黑"/>
          <w:color w:val="231F20"/>
          <w:spacing w:val="1"/>
          <w:sz w:val="24"/>
          <w:szCs w:val="24"/>
        </w:rPr>
        <w:t xml:space="preserve"> </w:t>
      </w:r>
      <w:r>
        <w:rPr>
          <w:rFonts w:ascii="微软雅黑" w:hAnsi="微软雅黑" w:eastAsia="微软雅黑" w:cs="微软雅黑"/>
          <w:color w:val="231F20"/>
          <w:spacing w:val="-2"/>
          <w:sz w:val="24"/>
          <w:szCs w:val="24"/>
        </w:rPr>
        <w:t>审批服务指南</w:t>
      </w:r>
    </w:p>
    <w:p>
      <w:pPr>
        <w:spacing w:before="18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64" w:line="377" w:lineRule="exact"/>
        <w:ind w:left="4785"/>
      </w:pPr>
      <w:r>
        <w:rPr>
          <w:color w:val="231F20"/>
          <w:spacing w:val="-2"/>
          <w:position w:val="10"/>
        </w:rPr>
        <w:t>建设农村公益性墓地审批</w:t>
      </w:r>
    </w:p>
    <w:p>
      <w:pPr>
        <w:spacing w:before="1"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62" w:line="257" w:lineRule="auto"/>
        <w:ind w:left="4365" w:right="618" w:firstLine="390"/>
      </w:pPr>
      <w:r>
        <w:rPr>
          <w:color w:val="231F20"/>
          <w:spacing w:val="2"/>
        </w:rPr>
        <w:t>《国务院关于修改和废止部分行政法规</w:t>
      </w:r>
      <w:r>
        <w:rPr>
          <w:color w:val="231F20"/>
          <w:spacing w:val="3"/>
        </w:rPr>
        <w:t xml:space="preserve"> </w:t>
      </w:r>
      <w:r>
        <w:rPr>
          <w:color w:val="231F20"/>
          <w:spacing w:val="-3"/>
        </w:rPr>
        <w:t>的决定》</w:t>
      </w:r>
    </w:p>
    <w:p>
      <w:pPr>
        <w:spacing w:before="6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63" w:line="239" w:lineRule="auto"/>
        <w:ind w:left="4798" w:right="1080" w:firstLine="35"/>
        <w:rPr>
          <w:rFonts w:ascii="微软雅黑" w:hAnsi="微软雅黑" w:eastAsia="微软雅黑" w:cs="微软雅黑"/>
        </w:rPr>
      </w:pPr>
      <w:r>
        <w:rPr>
          <w:color w:val="231F20"/>
          <w:spacing w:val="-5"/>
        </w:rPr>
        <w:t>自然人、企业法人、社会组织法人</w:t>
      </w:r>
      <w:r>
        <w:rPr>
          <w:color w:val="231F20"/>
          <w:spacing w:val="13"/>
        </w:rPr>
        <w:t xml:space="preserve"> </w:t>
      </w:r>
      <w:r>
        <w:rPr>
          <w:rFonts w:ascii="微软雅黑" w:hAnsi="微软雅黑" w:eastAsia="微软雅黑" w:cs="微软雅黑"/>
          <w:color w:val="231F20"/>
          <w:spacing w:val="-4"/>
        </w:rPr>
        <w:t>四、受理条件</w:t>
      </w:r>
    </w:p>
    <w:p>
      <w:pPr>
        <w:pStyle w:val="2"/>
        <w:spacing w:before="63" w:line="259"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6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62" w:line="380" w:lineRule="exact"/>
        <w:ind w:left="4802"/>
        <w:rPr>
          <w:rFonts w:hint="eastAsia" w:ascii="宋体" w:hAnsi="宋体" w:eastAsia="宋体" w:cs="宋体"/>
        </w:rPr>
      </w:pPr>
      <w:r>
        <w:rPr>
          <w:rFonts w:hint="eastAsia" w:ascii="宋体" w:hAnsi="宋体" w:eastAsia="宋体" w:cs="宋体"/>
          <w:color w:val="231F20"/>
          <w:spacing w:val="-3"/>
          <w:position w:val="10"/>
        </w:rPr>
        <w:t>1、公墓开业申请书</w:t>
      </w:r>
    </w:p>
    <w:p>
      <w:pPr>
        <w:pStyle w:val="2"/>
        <w:spacing w:before="1" w:line="233" w:lineRule="auto"/>
        <w:ind w:left="4786"/>
        <w:rPr>
          <w:rFonts w:hint="eastAsia" w:ascii="宋体" w:hAnsi="宋体" w:eastAsia="宋体" w:cs="宋体"/>
        </w:rPr>
      </w:pPr>
      <w:r>
        <w:rPr>
          <w:rFonts w:hint="eastAsia" w:ascii="宋体" w:hAnsi="宋体" w:eastAsia="宋体" w:cs="宋体"/>
          <w:color w:val="231F20"/>
          <w:spacing w:val="-2"/>
        </w:rPr>
        <w:t>2、公墓开业申请表</w:t>
      </w:r>
    </w:p>
    <w:p>
      <w:pPr>
        <w:pStyle w:val="2"/>
        <w:spacing w:before="66" w:line="232" w:lineRule="auto"/>
        <w:ind w:left="4784"/>
        <w:rPr>
          <w:rFonts w:hint="eastAsia" w:ascii="宋体" w:hAnsi="宋体" w:eastAsia="宋体" w:cs="宋体"/>
        </w:rPr>
      </w:pPr>
      <w:r>
        <w:rPr>
          <w:rFonts w:hint="eastAsia" w:ascii="宋体" w:hAnsi="宋体" w:eastAsia="宋体" w:cs="宋体"/>
          <w:color w:val="231F20"/>
          <w:spacing w:val="-2"/>
        </w:rPr>
        <w:t>3、公墓建设情况报告</w:t>
      </w:r>
    </w:p>
    <w:p>
      <w:pPr>
        <w:pStyle w:val="2"/>
        <w:spacing w:before="70" w:line="255" w:lineRule="auto"/>
        <w:ind w:left="4788" w:right="1181" w:hanging="3"/>
        <w:rPr>
          <w:rFonts w:hint="eastAsia" w:ascii="宋体" w:hAnsi="宋体" w:eastAsia="宋体" w:cs="宋体"/>
        </w:rPr>
      </w:pPr>
      <w:r>
        <w:rPr>
          <w:rFonts w:hint="eastAsia" w:ascii="宋体" w:hAnsi="宋体" w:eastAsia="宋体" w:cs="宋体"/>
          <w:color w:val="231F20"/>
          <w:spacing w:val="-1"/>
        </w:rPr>
        <w:t>4、公墓总体平面图及墓位分布图</w:t>
      </w:r>
      <w:r>
        <w:rPr>
          <w:rFonts w:hint="eastAsia" w:ascii="宋体" w:hAnsi="宋体" w:eastAsia="宋体" w:cs="宋体"/>
          <w:color w:val="231F20"/>
          <w:spacing w:val="1"/>
        </w:rPr>
        <w:t xml:space="preserve"> </w:t>
      </w:r>
      <w:r>
        <w:rPr>
          <w:rFonts w:hint="eastAsia" w:ascii="宋体" w:hAnsi="宋体" w:eastAsia="宋体" w:cs="宋体"/>
          <w:color w:val="231F20"/>
          <w:spacing w:val="-2"/>
        </w:rPr>
        <w:t>5、公墓总体外观照片</w:t>
      </w:r>
    </w:p>
    <w:p>
      <w:pPr>
        <w:pStyle w:val="2"/>
        <w:spacing w:before="76" w:line="233" w:lineRule="auto"/>
        <w:ind w:left="4785"/>
        <w:rPr>
          <w:rFonts w:hint="eastAsia" w:ascii="宋体" w:hAnsi="宋体" w:eastAsia="宋体" w:cs="宋体"/>
        </w:rPr>
      </w:pPr>
      <w:r>
        <w:rPr>
          <w:rFonts w:hint="eastAsia" w:ascii="宋体" w:hAnsi="宋体" w:eastAsia="宋体" w:cs="宋体"/>
          <w:color w:val="231F20"/>
          <w:spacing w:val="8"/>
        </w:rPr>
        <w:t>6、省民政厅同意建设公墓的行政许可</w:t>
      </w:r>
    </w:p>
    <w:p>
      <w:pPr>
        <w:pStyle w:val="2"/>
        <w:spacing w:before="67" w:line="233" w:lineRule="auto"/>
        <w:ind w:left="4348"/>
        <w:rPr>
          <w:rFonts w:hint="eastAsia" w:ascii="宋体" w:hAnsi="宋体" w:eastAsia="宋体" w:cs="宋体"/>
        </w:rPr>
      </w:pPr>
      <w:r>
        <w:rPr>
          <w:rFonts w:hint="eastAsia" w:ascii="宋体" w:hAnsi="宋体" w:eastAsia="宋体" w:cs="宋体"/>
          <w:color w:val="231F20"/>
          <w:spacing w:val="-4"/>
        </w:rPr>
        <w:t>决定书</w:t>
      </w:r>
    </w:p>
    <w:p>
      <w:pPr>
        <w:pStyle w:val="2"/>
        <w:spacing w:before="68" w:line="253" w:lineRule="auto"/>
        <w:ind w:left="4784" w:right="739" w:firstLine="5"/>
        <w:rPr>
          <w:rFonts w:ascii="微软雅黑" w:hAnsi="微软雅黑" w:eastAsia="微软雅黑" w:cs="微软雅黑"/>
        </w:rPr>
      </w:pPr>
      <w:r>
        <w:rPr>
          <w:rFonts w:hint="eastAsia" w:ascii="宋体" w:hAnsi="宋体" w:eastAsia="宋体" w:cs="宋体"/>
          <w:color w:val="231F20"/>
          <w:spacing w:val="-1"/>
        </w:rPr>
        <w:t>7、县级民政局同意公墓开业的请示）</w:t>
      </w:r>
      <w:r>
        <w:rPr>
          <w:rFonts w:hint="eastAsia" w:ascii="宋体" w:hAnsi="宋体" w:eastAsia="宋体" w:cs="宋体"/>
          <w:color w:val="231F20"/>
          <w:spacing w:val="9"/>
        </w:rPr>
        <w:t xml:space="preserve"> </w:t>
      </w:r>
      <w:r>
        <w:rPr>
          <w:rFonts w:hint="eastAsia" w:ascii="宋体" w:hAnsi="宋体" w:eastAsia="宋体" w:cs="宋体"/>
          <w:color w:val="231F20"/>
          <w:spacing w:val="-1"/>
        </w:rPr>
        <w:t>8、设区市民政局同意公墓开业的</w:t>
      </w:r>
      <w:r>
        <w:rPr>
          <w:color w:val="231F20"/>
          <w:spacing w:val="-1"/>
        </w:rPr>
        <w:t>请示</w:t>
      </w:r>
      <w:r>
        <w:rPr>
          <w:color w:val="231F20"/>
          <w:spacing w:val="4"/>
        </w:rPr>
        <w:t xml:space="preserve"> </w:t>
      </w:r>
      <w:r>
        <w:rPr>
          <w:rFonts w:ascii="微软雅黑" w:hAnsi="微软雅黑" w:eastAsia="微软雅黑" w:cs="微软雅黑"/>
          <w:color w:val="231F20"/>
          <w:spacing w:val="-2"/>
        </w:rPr>
        <w:t>六、审批机关</w:t>
      </w:r>
    </w:p>
    <w:p>
      <w:pPr>
        <w:pStyle w:val="2"/>
        <w:spacing w:before="64" w:line="231" w:lineRule="auto"/>
        <w:ind w:left="4784"/>
      </w:pPr>
      <w:r>
        <w:rPr>
          <w:color w:val="231F20"/>
          <w:spacing w:val="-1"/>
        </w:rPr>
        <w:t>唐山市曹妃甸区行政审批局</w:t>
      </w:r>
    </w:p>
    <w:p>
      <w:pPr>
        <w:spacing w:line="231" w:lineRule="auto"/>
        <w:sectPr>
          <w:headerReference r:id="rId5" w:type="default"/>
          <w:pgSz w:w="10772" w:h="11906"/>
          <w:pgMar w:top="400" w:right="2" w:bottom="0" w:left="1615" w:header="0" w:footer="0" w:gutter="0"/>
          <w:cols w:space="720" w:num="1"/>
        </w:sectPr>
      </w:pPr>
    </w:p>
    <w:p>
      <w:pPr>
        <w:spacing w:before="35"/>
      </w:pPr>
      <w:r>
        <w:pict>
          <v:rect id="_x0000_s1026" o:spid="_x0000_s1026" o:spt="1" style="position:absolute;left:0pt;margin-left:94.95pt;margin-top:93.05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75pt;margin-top:96.1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7pt;margin-top:128pt;height:0.6pt;width:39.1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5pt;margin-top:76.1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529590</wp:posOffset>
            </wp:positionH>
            <wp:positionV relativeFrom="page">
              <wp:posOffset>970915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1pt;margin-top:111.9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4pt;margin-top:115.6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2pt;margin-top:115.65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1393190</wp:posOffset>
            </wp:positionH>
            <wp:positionV relativeFrom="page">
              <wp:posOffset>1602740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751840</wp:posOffset>
            </wp:positionH>
            <wp:positionV relativeFrom="page">
              <wp:posOffset>1602740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1pt;margin-top:160.2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1205865</wp:posOffset>
            </wp:positionH>
            <wp:positionV relativeFrom="page">
              <wp:posOffset>1774825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91" w:bottom="0" w:left="556" w:header="0" w:footer="0" w:gutter="0"/>
          <w:cols w:equalWidth="0" w:num="1">
            <w:col w:w="9624"/>
          </w:cols>
        </w:sectPr>
      </w:pPr>
    </w:p>
    <w:p>
      <w:pPr>
        <w:spacing w:before="50" w:line="202" w:lineRule="auto"/>
        <w:ind w:left="47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44" w:lineRule="exact"/>
      </w:pPr>
    </w:p>
    <w:tbl>
      <w:tblPr>
        <w:tblStyle w:val="5"/>
        <w:tblW w:w="1302" w:type="dxa"/>
        <w:tblInd w:w="7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3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5"/>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7"/>
                    </a:xfrm>
                    <a:prstGeom prst="rect">
                      <a:avLst/>
                    </a:prstGeom>
                  </pic:spPr>
                </pic:pic>
              </a:graphicData>
            </a:graphic>
          </wp:inline>
        </w:drawing>
      </w:r>
    </w:p>
    <w:p>
      <w:pPr>
        <w:spacing w:line="138" w:lineRule="auto"/>
        <w:rPr>
          <w:rFonts w:ascii="Arial"/>
          <w:sz w:val="2"/>
        </w:rPr>
      </w:pPr>
    </w:p>
    <w:tbl>
      <w:tblPr>
        <w:tblStyle w:val="5"/>
        <w:tblW w:w="819" w:type="dxa"/>
        <w:tblInd w:w="934"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63"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w:t>
      </w:r>
      <w:r>
        <w:rPr>
          <w:rFonts w:hint="eastAsia" w:ascii="宋体" w:hAnsi="宋体" w:eastAsia="宋体" w:cs="宋体"/>
          <w:color w:val="231F20"/>
          <w:spacing w:val="-2"/>
        </w:rPr>
        <w:t>20</w:t>
      </w:r>
      <w:r>
        <w:rPr>
          <w:color w:val="231F20"/>
          <w:spacing w:val="-2"/>
        </w:rPr>
        <w:t>个工作日</w:t>
      </w:r>
    </w:p>
    <w:p>
      <w:pPr>
        <w:pStyle w:val="2"/>
        <w:spacing w:before="47" w:line="232" w:lineRule="auto"/>
        <w:ind w:left="463"/>
      </w:pPr>
      <w:r>
        <w:rPr>
          <w:color w:val="231F20"/>
          <w:spacing w:val="-2"/>
        </w:rPr>
        <w:t>承诺时限：</w:t>
      </w:r>
      <w:r>
        <w:rPr>
          <w:rFonts w:hint="eastAsia" w:ascii="宋体" w:hAnsi="宋体" w:eastAsia="宋体" w:cs="宋体"/>
          <w:color w:val="231F20"/>
          <w:spacing w:val="-2"/>
        </w:rPr>
        <w:t>3</w:t>
      </w:r>
      <w:r>
        <w:rPr>
          <w:color w:val="231F20"/>
          <w:spacing w:val="-2"/>
        </w:rPr>
        <w:t>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66"/>
      </w:pPr>
      <w:r>
        <w:rPr>
          <w:rFonts w:hint="eastAsia" w:ascii="黑体" w:hAnsi="黑体" w:eastAsia="黑体" w:cs="黑体"/>
        </w:rPr>
        <w:fldChar w:fldCharType="begin"/>
      </w:r>
      <w:r>
        <w:rPr>
          <w:rFonts w:hint="eastAsia" w:ascii="黑体" w:hAnsi="黑体" w:eastAsia="黑体" w:cs="黑体"/>
        </w:rPr>
        <w:instrText xml:space="preserve"> HYPERLINK "http://tscfd.hbzwfw.gov.cn/" </w:instrText>
      </w:r>
      <w:r>
        <w:rPr>
          <w:rFonts w:hint="eastAsia" w:ascii="黑体" w:hAnsi="黑体" w:eastAsia="黑体" w:cs="黑体"/>
        </w:rPr>
        <w:fldChar w:fldCharType="separate"/>
      </w:r>
      <w:r>
        <w:rPr>
          <w:rFonts w:hint="eastAsia" w:ascii="黑体" w:hAnsi="黑体" w:eastAsia="黑体" w:cs="黑体"/>
          <w:color w:val="231F20"/>
        </w:rPr>
        <w:t>http://tscfd.hbzwfw.gov.cn/</w:t>
      </w:r>
      <w:r>
        <w:rPr>
          <w:rFonts w:hint="eastAsia" w:ascii="黑体" w:hAnsi="黑体" w:eastAsia="黑体" w:cs="黑体"/>
          <w:color w:val="231F20"/>
        </w:rPr>
        <w:fldChar w:fldCharType="end"/>
      </w:r>
      <w:r>
        <w:rPr>
          <w:rFonts w:hint="eastAsia" w:ascii="黑体" w:hAnsi="黑体" w:eastAsia="黑体" w:cs="黑体"/>
          <w:color w:val="231F20"/>
        </w:rPr>
        <w:t>.</w:t>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4" w:line="259" w:lineRule="auto"/>
        <w:ind w:left="23" w:right="1" w:firstLine="473"/>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type w:val="continuous"/>
      <w:pgSz w:w="10772" w:h="11906"/>
      <w:pgMar w:top="400" w:right="591" w:bottom="0" w:left="556" w:header="0" w:footer="0" w:gutter="0"/>
      <w:cols w:equalWidth="0" w:num="2">
        <w:col w:w="5294"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029B78C5"/>
    <w:rsid w:val="051D7C82"/>
    <w:rsid w:val="0A346B81"/>
    <w:rsid w:val="1EEC32CA"/>
    <w:rsid w:val="2C2051E2"/>
    <w:rsid w:val="344F1ED9"/>
    <w:rsid w:val="3F2364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824</Words>
  <Characters>945</Characters>
  <TotalTime>0</TotalTime>
  <ScaleCrop>false</ScaleCrop>
  <LinksUpToDate>false</LinksUpToDate>
  <CharactersWithSpaces>992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2022-10-21T11:09:00Z</dcterms:created>
  <dc:creator>Admin</dc:creator>
  <cp:lastModifiedBy>An玙</cp:lastModifiedBy>
  <dcterms:modified xsi:type="dcterms:W3CDTF">2023-08-01T08:57:02Z</dcterms:modified>
  <dc:title>40.建设农村公益性墓地审批服务指南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2023-08-01T16:07:15Z</vt:filetime>
  </property>
  <property fmtid="{D5CDD505-2E9C-101B-9397-08002B2CF9AE}" pid="4" name="KSOProductBuildVer">
    <vt:lpwstr>2052-11.1.0.14309</vt:lpwstr>
  </property>
  <property fmtid="{D5CDD505-2E9C-101B-9397-08002B2CF9AE}" pid="5" name="ICV">
    <vt:lpwstr>BB2F725DD1B248F89FAB06E0B0ABF9B9_12</vt:lpwstr>
  </property>
</Properties>
</file>