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出版物零售单位和个体工商户变更审批</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出版物零售单位和个体工商户变更审批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pStyle w:val="10"/>
        <w:rPr>
          <w:rFonts w:hint="default" w:ascii="仿宋" w:hAnsi="仿宋" w:eastAsia="仿宋" w:cs="Helvetica"/>
          <w:spacing w:val="-6"/>
          <w:kern w:val="0"/>
          <w:sz w:val="32"/>
          <w:szCs w:val="32"/>
          <w:lang w:val="en-US" w:eastAsia="zh-CN" w:bidi="ar-SA"/>
        </w:rPr>
      </w:pPr>
      <w:r>
        <w:rPr>
          <w:rFonts w:hint="eastAsia" w:ascii="仿宋" w:hAnsi="仿宋" w:eastAsia="仿宋" w:cs="Helvetica"/>
          <w:spacing w:val="-6"/>
          <w:kern w:val="0"/>
          <w:sz w:val="32"/>
          <w:szCs w:val="32"/>
          <w:lang w:val="en-US" w:eastAsia="zh-CN" w:bidi="ar-SA"/>
        </w:rPr>
        <w:t>1.《出版管理条例》（中华人民共和国国务院令第732号，根据2020年11月29日《国务院关于修改和废止部分行政法规的决定》第五次修订）</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56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bidi="ar-SA"/>
        </w:rPr>
        <w:t>2.《出版物市场管理规定》（国家新闻出版广电总局、中华人</w:t>
      </w:r>
      <w:r>
        <w:rPr>
          <w:rFonts w:hint="eastAsia" w:ascii="仿宋" w:hAnsi="仿宋" w:eastAsia="仿宋" w:cs="Helvetica"/>
          <w:spacing w:val="-6"/>
          <w:kern w:val="0"/>
          <w:sz w:val="32"/>
          <w:szCs w:val="32"/>
        </w:rPr>
        <w:t>民共和国商务部令第</w:t>
      </w:r>
      <w:r>
        <w:rPr>
          <w:rFonts w:ascii="仿宋" w:hAnsi="仿宋" w:eastAsia="仿宋" w:cs="Helvetica"/>
          <w:spacing w:val="-6"/>
          <w:kern w:val="0"/>
          <w:sz w:val="32"/>
          <w:szCs w:val="32"/>
        </w:rPr>
        <w:t>10</w:t>
      </w:r>
      <w:r>
        <w:rPr>
          <w:rFonts w:hint="eastAsia" w:ascii="仿宋" w:hAnsi="仿宋" w:eastAsia="仿宋" w:cs="Helvetica"/>
          <w:spacing w:val="-6"/>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eastAsia" w:ascii="黑体" w:hAnsi="黑体" w:eastAsia="黑体"/>
          <w:sz w:val="32"/>
          <w:szCs w:val="32"/>
        </w:rPr>
      </w:pPr>
      <w:r>
        <w:rPr>
          <w:rFonts w:hint="eastAsia" w:ascii="仿宋" w:hAnsi="仿宋" w:eastAsia="仿宋" w:cs="Helvetica"/>
          <w:kern w:val="0"/>
          <w:sz w:val="32"/>
          <w:szCs w:val="32"/>
          <w:lang w:val="en-US" w:eastAsia="zh-CN"/>
        </w:rPr>
        <w:t>提交材料齐全，符合法定程序，内容真实有效。</w:t>
      </w:r>
    </w:p>
    <w:p>
      <w:pPr>
        <w:keepNext w:val="0"/>
        <w:keepLines w:val="0"/>
        <w:pageBreakBefore w:val="0"/>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ascii="Times New Roman" w:hAnsi="黑体" w:eastAsia="黑体" w:cs="Times New Roman"/>
          <w:sz w:val="32"/>
          <w:szCs w:val="32"/>
        </w:rPr>
      </w:pPr>
      <w:r>
        <w:rPr>
          <w:rFonts w:hint="eastAsia" w:ascii="Times New Roman" w:hAnsi="黑体" w:eastAsia="黑体" w:cs="Times New Roman"/>
          <w:sz w:val="32"/>
          <w:szCs w:val="32"/>
          <w:lang w:val="en-US" w:eastAsia="zh-CN"/>
        </w:rPr>
        <w:t>申请</w:t>
      </w:r>
      <w:r>
        <w:rPr>
          <w:rFonts w:ascii="Times New Roman" w:hAnsi="黑体" w:eastAsia="黑体" w:cs="Times New Roman"/>
          <w:sz w:val="32"/>
          <w:szCs w:val="32"/>
        </w:rPr>
        <w:t>材料</w:t>
      </w:r>
    </w:p>
    <w:p>
      <w:pPr>
        <w:keepNext w:val="0"/>
        <w:keepLines w:val="0"/>
        <w:pageBreakBefore w:val="0"/>
        <w:numPr>
          <w:ilvl w:val="0"/>
          <w:numId w:val="2"/>
        </w:numPr>
        <w:kinsoku/>
        <w:wordWrap/>
        <w:overflowPunct/>
        <w:topLinePunct w:val="0"/>
        <w:autoSpaceDE/>
        <w:autoSpaceDN/>
        <w:bidi w:val="0"/>
        <w:adjustRightInd/>
        <w:snapToGrid/>
        <w:spacing w:line="580" w:lineRule="exact"/>
        <w:ind w:left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零售单位（优化审批服务）</w:t>
      </w:r>
    </w:p>
    <w:p>
      <w:pPr>
        <w:spacing w:line="57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1.变更申请表；</w:t>
      </w:r>
    </w:p>
    <w:p>
      <w:pPr>
        <w:spacing w:line="57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2.原《出版物经营许可证》正副本；</w:t>
      </w:r>
    </w:p>
    <w:p>
      <w:pPr>
        <w:spacing w:line="57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default" w:ascii="楷体" w:hAnsi="楷体" w:eastAsia="楷体" w:cs="楷体"/>
          <w:b/>
          <w:bCs/>
          <w:sz w:val="32"/>
          <w:szCs w:val="32"/>
          <w:lang w:val="en-US" w:eastAsia="zh-CN"/>
        </w:rPr>
      </w:pPr>
      <w:r>
        <w:rPr>
          <w:rFonts w:hint="eastAsia" w:ascii="楷体" w:hAnsi="楷体" w:eastAsia="楷体" w:cs="楷体"/>
          <w:b/>
          <w:bCs/>
          <w:sz w:val="32"/>
          <w:szCs w:val="32"/>
          <w:lang w:val="en-US" w:eastAsia="zh-CN"/>
        </w:rPr>
        <w:t>（二）个体工商户（告知承诺制）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val="en-US" w:eastAsia="zh-CN"/>
        </w:rPr>
        <w:t>变更</w:t>
      </w:r>
      <w:r>
        <w:rPr>
          <w:rFonts w:hint="eastAsia" w:ascii="仿宋" w:hAnsi="仿宋" w:eastAsia="仿宋"/>
          <w:sz w:val="32"/>
          <w:szCs w:val="32"/>
        </w:rPr>
        <w:t>申请</w:t>
      </w:r>
      <w:r>
        <w:rPr>
          <w:rFonts w:hint="eastAsia" w:ascii="仿宋" w:hAnsi="仿宋" w:eastAsia="仿宋"/>
          <w:sz w:val="32"/>
          <w:szCs w:val="32"/>
          <w:lang w:val="en-US" w:eastAsia="zh-CN"/>
        </w:rPr>
        <w:t>表</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原《出版物经营许可证》正副本；</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ascii="仿宋" w:hAnsi="仿宋" w:eastAsia="仿宋"/>
          <w:sz w:val="32"/>
          <w:szCs w:val="32"/>
        </w:rPr>
        <w:t>3.</w:t>
      </w:r>
      <w:r>
        <w:rPr>
          <w:rFonts w:hint="eastAsia" w:ascii="仿宋" w:hAnsi="仿宋" w:eastAsia="仿宋"/>
          <w:sz w:val="32"/>
          <w:szCs w:val="32"/>
          <w:lang w:val="en-US" w:eastAsia="zh-CN"/>
        </w:rPr>
        <w:t>营业执照复印件；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4.变更场所的，提交新场所的使用证明；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5.告知承诺书。</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635000</wp:posOffset>
                </wp:positionH>
                <wp:positionV relativeFrom="paragraph">
                  <wp:posOffset>281305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50pt;margin-top:22.15pt;height:158.2pt;width:309.6pt;z-index:251659264;mso-width-relative:page;mso-height-relative:page;" coordorigin="5253,35640" coordsize="6192,3164" o:gfxdata="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Abp1qs2gAAAAo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办结时限：3个工作日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A5F1C0"/>
    <w:multiLevelType w:val="singleLevel"/>
    <w:tmpl w:val="A0A5F1C0"/>
    <w:lvl w:ilvl="0" w:tentative="0">
      <w:start w:val="1"/>
      <w:numFmt w:val="chineseCounting"/>
      <w:suff w:val="nothing"/>
      <w:lvlText w:val="（%1）"/>
      <w:lvlJc w:val="left"/>
      <w:rPr>
        <w:rFonts w:hint="eastAsia"/>
      </w:rPr>
    </w:lvl>
  </w:abstractNum>
  <w:abstractNum w:abstractNumId="1">
    <w:nsid w:val="B8E86376"/>
    <w:multiLevelType w:val="singleLevel"/>
    <w:tmpl w:val="B8E8637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YmU2YzAwYmRkYjhkNmE1NjYxYmQxODRjNGQzZmEifQ=="/>
  </w:docVars>
  <w:rsids>
    <w:rsidRoot w:val="00A10DBC"/>
    <w:rsid w:val="00092068"/>
    <w:rsid w:val="00124744"/>
    <w:rsid w:val="00137E15"/>
    <w:rsid w:val="00234208"/>
    <w:rsid w:val="004244DD"/>
    <w:rsid w:val="00505014"/>
    <w:rsid w:val="00541750"/>
    <w:rsid w:val="007D06FC"/>
    <w:rsid w:val="008A603C"/>
    <w:rsid w:val="00A10DBC"/>
    <w:rsid w:val="00A43C7E"/>
    <w:rsid w:val="00AA22DA"/>
    <w:rsid w:val="00B33A17"/>
    <w:rsid w:val="00B74699"/>
    <w:rsid w:val="00BB113C"/>
    <w:rsid w:val="00CA4D57"/>
    <w:rsid w:val="00CC3D27"/>
    <w:rsid w:val="00E3437A"/>
    <w:rsid w:val="00E978AD"/>
    <w:rsid w:val="00FC48EB"/>
    <w:rsid w:val="00FF3C9C"/>
    <w:rsid w:val="03EF15AA"/>
    <w:rsid w:val="058C23FA"/>
    <w:rsid w:val="05EB4FF2"/>
    <w:rsid w:val="06CA0E13"/>
    <w:rsid w:val="0A2E366B"/>
    <w:rsid w:val="10BD5367"/>
    <w:rsid w:val="12275035"/>
    <w:rsid w:val="13817344"/>
    <w:rsid w:val="15115BED"/>
    <w:rsid w:val="158158AC"/>
    <w:rsid w:val="15A871BF"/>
    <w:rsid w:val="16CD49B3"/>
    <w:rsid w:val="17F56306"/>
    <w:rsid w:val="19CE19A7"/>
    <w:rsid w:val="1A6659AB"/>
    <w:rsid w:val="1AD0267C"/>
    <w:rsid w:val="1B130F83"/>
    <w:rsid w:val="1B8A6761"/>
    <w:rsid w:val="1B9F6447"/>
    <w:rsid w:val="1D2B5845"/>
    <w:rsid w:val="1D350343"/>
    <w:rsid w:val="1EBA6A26"/>
    <w:rsid w:val="24AF7725"/>
    <w:rsid w:val="25FA1426"/>
    <w:rsid w:val="292E6006"/>
    <w:rsid w:val="2B5307DC"/>
    <w:rsid w:val="2D3F30A2"/>
    <w:rsid w:val="2F3F27D7"/>
    <w:rsid w:val="2F667E82"/>
    <w:rsid w:val="301A7572"/>
    <w:rsid w:val="303027FA"/>
    <w:rsid w:val="32E2284E"/>
    <w:rsid w:val="36936C6B"/>
    <w:rsid w:val="369E4A52"/>
    <w:rsid w:val="371B42F4"/>
    <w:rsid w:val="373A6E70"/>
    <w:rsid w:val="3B484C5A"/>
    <w:rsid w:val="3DAD51A8"/>
    <w:rsid w:val="4130369D"/>
    <w:rsid w:val="44D31075"/>
    <w:rsid w:val="4CBC3E62"/>
    <w:rsid w:val="4D1D7427"/>
    <w:rsid w:val="4E224FCE"/>
    <w:rsid w:val="53AB2168"/>
    <w:rsid w:val="5E341674"/>
    <w:rsid w:val="62B8233A"/>
    <w:rsid w:val="643C6862"/>
    <w:rsid w:val="65F72F2D"/>
    <w:rsid w:val="6AA55E4B"/>
    <w:rsid w:val="6BBD714D"/>
    <w:rsid w:val="6BE70CC9"/>
    <w:rsid w:val="6CB93CFF"/>
    <w:rsid w:val="6E0C1B48"/>
    <w:rsid w:val="70B93FD0"/>
    <w:rsid w:val="7277489D"/>
    <w:rsid w:val="72E40557"/>
    <w:rsid w:val="734359DE"/>
    <w:rsid w:val="77314181"/>
    <w:rsid w:val="7B1751B8"/>
    <w:rsid w:val="7D317011"/>
    <w:rsid w:val="7DA83346"/>
    <w:rsid w:val="9E3BE5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Hewlett-Packard Company</Company>
  <Pages>3</Pages>
  <Words>747</Words>
  <Characters>868</Characters>
  <Lines>4</Lines>
  <Paragraphs>1</Paragraphs>
  <TotalTime>0</TotalTime>
  <ScaleCrop>false</ScaleCrop>
  <LinksUpToDate>false</LinksUpToDate>
  <CharactersWithSpaces>868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2019-12-06T18:41:00Z</dcterms:created>
  <dc:creator>fanxiaoling</dc:creator>
  <cp:lastModifiedBy>NTKO</cp:lastModifiedBy>
  <dcterms:modified xsi:type="dcterms:W3CDTF">2023-08-01T03:55:17Z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5D50CA6ACEC444C5A6475F3B2BC1B1D3</vt:lpwstr>
  </property>
</Properties>
</file>