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96" w:lineRule="auto"/>
        <w:rPr>
          <w:rFonts w:ascii="Arial"/>
          <w:sz w:val="21"/>
        </w:rPr>
      </w:pPr>
      <w:r>
        <w:rPr>
          <w:rFonts w:ascii="微软雅黑" w:hAnsi="微软雅黑" w:eastAsia="微软雅黑" w:cs="微软雅黑"/>
          <w:color w:val="231F20"/>
          <w:spacing w:val="-2"/>
          <w:sz w:val="24"/>
          <w:szCs w:val="24"/>
        </w:rPr>
        <w:drawing>
          <wp:anchor distT="0" distB="0" distL="0" distR="0" simplePos="0" relativeHeight="251659264" behindDoc="1" locked="0" layoutInCell="1" allowOverlap="1">
            <wp:simplePos x="0" y="0"/>
            <wp:positionH relativeFrom="column">
              <wp:posOffset>2373630</wp:posOffset>
            </wp:positionH>
            <wp:positionV relativeFrom="paragraph">
              <wp:posOffset>-222885</wp:posOffset>
            </wp:positionV>
            <wp:extent cx="3416935" cy="7555865"/>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8"/>
                    <a:stretch>
                      <a:fillRect/>
                    </a:stretch>
                  </pic:blipFill>
                  <pic:spPr>
                    <a:xfrm>
                      <a:off x="0" y="0"/>
                      <a:ext cx="3416807" cy="7555991"/>
                    </a:xfrm>
                    <a:prstGeom prst="rect">
                      <a:avLst/>
                    </a:prstGeom>
                  </pic:spPr>
                </pic:pic>
              </a:graphicData>
            </a:graphic>
          </wp:anchor>
        </w:drawing>
      </w:r>
    </w:p>
    <w:p>
      <w:pPr>
        <w:spacing w:line="296" w:lineRule="auto"/>
        <w:rPr>
          <w:rFonts w:ascii="Arial"/>
          <w:sz w:val="21"/>
        </w:rPr>
      </w:pPr>
    </w:p>
    <w:p>
      <w:pPr>
        <w:spacing w:line="297" w:lineRule="auto"/>
        <w:rPr>
          <w:rFonts w:ascii="Arial"/>
          <w:sz w:val="21"/>
        </w:rPr>
      </w:pPr>
    </w:p>
    <w:p>
      <w:pPr>
        <w:spacing w:line="297" w:lineRule="auto"/>
        <w:rPr>
          <w:rFonts w:ascii="Arial"/>
          <w:sz w:val="21"/>
        </w:rPr>
      </w:pPr>
    </w:p>
    <w:p>
      <w:pPr>
        <w:spacing w:before="1" w:line="204" w:lineRule="auto"/>
        <w:ind w:left="5725" w:leftChars="2052" w:hanging="1416" w:hangingChars="600"/>
        <w:rPr>
          <w:rFonts w:ascii="微软雅黑" w:hAnsi="微软雅黑" w:eastAsia="微软雅黑" w:cs="微软雅黑"/>
          <w:color w:val="231F20"/>
          <w:spacing w:val="-2"/>
          <w:sz w:val="24"/>
          <w:szCs w:val="24"/>
        </w:rPr>
      </w:pPr>
      <w:r>
        <w:rPr>
          <w:rFonts w:hint="eastAsia" w:ascii="微软雅黑" w:hAnsi="微软雅黑" w:eastAsia="微软雅黑" w:cs="微软雅黑"/>
          <w:color w:val="231F20"/>
          <w:spacing w:val="-2"/>
          <w:sz w:val="24"/>
          <w:szCs w:val="24"/>
        </w:rPr>
        <w:t>权限内出售、购买、利用国家重点保护野生动物或其产品审批</w:t>
      </w:r>
    </w:p>
    <w:p>
      <w:pPr>
        <w:spacing w:before="1" w:line="204" w:lineRule="auto"/>
        <w:ind w:left="5928"/>
        <w:rPr>
          <w:rFonts w:ascii="微软雅黑" w:hAnsi="微软雅黑" w:eastAsia="微软雅黑" w:cs="微软雅黑"/>
          <w:sz w:val="24"/>
          <w:szCs w:val="24"/>
        </w:rPr>
      </w:pPr>
      <w:r>
        <w:rPr>
          <w:rFonts w:ascii="微软雅黑" w:hAnsi="微软雅黑" w:eastAsia="微软雅黑" w:cs="微软雅黑"/>
          <w:color w:val="231F20"/>
          <w:spacing w:val="-2"/>
          <w:sz w:val="24"/>
          <w:szCs w:val="24"/>
        </w:rPr>
        <w:t>服务指南</w:t>
      </w:r>
    </w:p>
    <w:p>
      <w:pPr>
        <w:spacing w:before="221" w:line="202" w:lineRule="auto"/>
        <w:ind w:left="4806"/>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一、事项名称</w:t>
      </w:r>
    </w:p>
    <w:p>
      <w:pPr>
        <w:spacing w:before="45" w:line="204" w:lineRule="auto"/>
        <w:ind w:left="4805"/>
        <w:rPr>
          <w:rFonts w:hint="eastAsia" w:ascii="方正仿宋简体" w:hAnsi="方正仿宋简体" w:eastAsia="方正仿宋简体" w:cs="方正仿宋简体"/>
          <w:snapToGrid w:val="0"/>
          <w:color w:val="231F20"/>
          <w:spacing w:val="13"/>
          <w:kern w:val="0"/>
          <w:sz w:val="22"/>
          <w:szCs w:val="22"/>
          <w:lang w:val="en-US" w:eastAsia="en-US" w:bidi="ar-SA"/>
        </w:rPr>
      </w:pPr>
      <w:r>
        <w:rPr>
          <w:rFonts w:hint="eastAsia" w:ascii="方正仿宋简体" w:hAnsi="方正仿宋简体" w:eastAsia="方正仿宋简体" w:cs="方正仿宋简体"/>
          <w:snapToGrid w:val="0"/>
          <w:color w:val="231F20"/>
          <w:spacing w:val="13"/>
          <w:kern w:val="0"/>
          <w:sz w:val="22"/>
          <w:szCs w:val="22"/>
          <w:lang w:val="en-US" w:eastAsia="en-US" w:bidi="ar-SA"/>
        </w:rPr>
        <w:t>权限内出售、购买、利用国家重点保护野生动物或其产品审批</w:t>
      </w:r>
    </w:p>
    <w:p>
      <w:pPr>
        <w:spacing w:before="45" w:line="204" w:lineRule="auto"/>
        <w:ind w:left="4805"/>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二、办理依据</w:t>
      </w:r>
    </w:p>
    <w:p>
      <w:pPr>
        <w:pStyle w:val="2"/>
        <w:spacing w:before="43" w:line="256" w:lineRule="auto"/>
        <w:ind w:left="4366" w:right="579" w:firstLine="408"/>
        <w:rPr>
          <w:rFonts w:hint="eastAsia" w:ascii="方正仿宋简体" w:hAnsi="方正仿宋简体" w:eastAsia="方正仿宋简体" w:cs="方正仿宋简体"/>
          <w:snapToGrid w:val="0"/>
          <w:color w:val="231F20"/>
          <w:spacing w:val="13"/>
          <w:kern w:val="0"/>
          <w:sz w:val="22"/>
          <w:szCs w:val="22"/>
          <w:lang w:val="en-US" w:eastAsia="en-US" w:bidi="ar-SA"/>
        </w:rPr>
      </w:pPr>
      <w:r>
        <w:rPr>
          <w:rFonts w:hint="eastAsia" w:ascii="方正仿宋简体" w:hAnsi="方正仿宋简体" w:eastAsia="方正仿宋简体" w:cs="方正仿宋简体"/>
          <w:snapToGrid w:val="0"/>
          <w:color w:val="231F20"/>
          <w:spacing w:val="13"/>
          <w:kern w:val="0"/>
          <w:sz w:val="22"/>
          <w:szCs w:val="22"/>
          <w:lang w:val="en-US" w:eastAsia="en-US" w:bidi="ar-SA"/>
        </w:rPr>
        <w:t>《中华人民共和国野生动物保护法》（1988年11月8日第七届全国人民代表大会常务委员会第四次会议通过　根据2018年10月26日第十三届全国人民代表大会常务委员会第六次会议《关于修改〈中华人民共和国野生动物保护法〉等十五部法律的决定》第三次修正）第二十五条和第二十七条</w:t>
      </w:r>
    </w:p>
    <w:p>
      <w:pPr>
        <w:pStyle w:val="2"/>
        <w:spacing w:before="43" w:line="256" w:lineRule="auto"/>
        <w:ind w:left="4366" w:right="579" w:firstLine="408"/>
        <w:rPr>
          <w:rFonts w:hint="eastAsia" w:ascii="方正仿宋简体" w:hAnsi="方正仿宋简体" w:eastAsia="方正仿宋简体" w:cs="方正仿宋简体"/>
          <w:snapToGrid w:val="0"/>
          <w:color w:val="231F20"/>
          <w:spacing w:val="13"/>
          <w:kern w:val="0"/>
          <w:sz w:val="22"/>
          <w:szCs w:val="22"/>
          <w:lang w:val="en-US" w:eastAsia="zh-CN" w:bidi="ar-SA"/>
        </w:rPr>
      </w:pPr>
      <w:r>
        <w:rPr>
          <w:rFonts w:hint="eastAsia" w:ascii="方正仿宋简体" w:hAnsi="方正仿宋简体" w:eastAsia="方正仿宋简体" w:cs="方正仿宋简体"/>
          <w:snapToGrid w:val="0"/>
          <w:color w:val="231F20"/>
          <w:spacing w:val="13"/>
          <w:kern w:val="0"/>
          <w:sz w:val="22"/>
          <w:szCs w:val="22"/>
          <w:lang w:val="en-US" w:eastAsia="en-US" w:bidi="ar-SA"/>
        </w:rPr>
        <w:t>《河北省陆生野生动物保护条例》</w:t>
      </w:r>
      <w:r>
        <w:rPr>
          <w:rFonts w:hint="eastAsia" w:ascii="方正仿宋简体" w:hAnsi="方正仿宋简体" w:eastAsia="方正仿宋简体" w:cs="方正仿宋简体"/>
          <w:snapToGrid w:val="0"/>
          <w:color w:val="231F20"/>
          <w:spacing w:val="13"/>
          <w:kern w:val="0"/>
          <w:sz w:val="22"/>
          <w:szCs w:val="22"/>
          <w:lang w:val="en-US" w:eastAsia="zh-CN" w:bidi="ar-SA"/>
        </w:rPr>
        <w:t>（</w:t>
      </w:r>
      <w:r>
        <w:rPr>
          <w:rFonts w:hint="eastAsia" w:ascii="方正仿宋简体" w:hAnsi="方正仿宋简体" w:eastAsia="方正仿宋简体" w:cs="方正仿宋简体"/>
          <w:snapToGrid w:val="0"/>
          <w:color w:val="231F20"/>
          <w:spacing w:val="13"/>
          <w:kern w:val="0"/>
          <w:sz w:val="22"/>
          <w:szCs w:val="22"/>
          <w:lang w:val="en-US" w:eastAsia="en-US" w:bidi="ar-SA"/>
        </w:rPr>
        <w:t>1993年12月22日河北省第八届人大常委会第五次会议通过，2018年5月31日予以修正</w:t>
      </w:r>
      <w:r>
        <w:rPr>
          <w:rFonts w:hint="eastAsia" w:ascii="方正仿宋简体" w:hAnsi="方正仿宋简体" w:eastAsia="方正仿宋简体" w:cs="方正仿宋简体"/>
          <w:snapToGrid w:val="0"/>
          <w:color w:val="231F20"/>
          <w:spacing w:val="13"/>
          <w:kern w:val="0"/>
          <w:sz w:val="22"/>
          <w:szCs w:val="22"/>
          <w:lang w:val="en-US" w:eastAsia="zh-CN" w:bidi="ar-SA"/>
        </w:rPr>
        <w:t>）第二十八条</w:t>
      </w:r>
    </w:p>
    <w:p>
      <w:pPr>
        <w:spacing w:before="47" w:line="203" w:lineRule="auto"/>
        <w:ind w:left="4809"/>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三、受理范围</w:t>
      </w:r>
    </w:p>
    <w:p>
      <w:pPr>
        <w:pStyle w:val="2"/>
        <w:spacing w:before="44" w:line="228" w:lineRule="auto"/>
        <w:ind w:left="4853"/>
      </w:pPr>
      <w:r>
        <w:rPr>
          <w:color w:val="231F20"/>
          <w:spacing w:val="-4"/>
        </w:rPr>
        <w:t>自然人、企业法人、社会组织法人</w:t>
      </w:r>
    </w:p>
    <w:p>
      <w:pPr>
        <w:spacing w:before="51" w:line="203" w:lineRule="auto"/>
        <w:ind w:left="4818"/>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四、受理条件</w:t>
      </w:r>
    </w:p>
    <w:p>
      <w:pPr>
        <w:pStyle w:val="2"/>
        <w:spacing w:before="44" w:line="251" w:lineRule="auto"/>
        <w:ind w:left="4376" w:right="581" w:firstLine="428"/>
      </w:pPr>
      <w:r>
        <w:rPr>
          <w:color w:val="231F20"/>
          <w:spacing w:val="1"/>
        </w:rPr>
        <w:t>提交材料齐全，符合法定程序，内容真</w:t>
      </w:r>
      <w:r>
        <w:rPr>
          <w:color w:val="231F20"/>
          <w:spacing w:val="9"/>
        </w:rPr>
        <w:t xml:space="preserve"> </w:t>
      </w:r>
      <w:r>
        <w:rPr>
          <w:color w:val="231F20"/>
          <w:spacing w:val="-6"/>
        </w:rPr>
        <w:t>实有效</w:t>
      </w:r>
    </w:p>
    <w:p>
      <w:pPr>
        <w:spacing w:before="43" w:line="204" w:lineRule="auto"/>
        <w:ind w:left="4804"/>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五、申请材料</w:t>
      </w:r>
    </w:p>
    <w:p>
      <w:pPr>
        <w:pStyle w:val="2"/>
        <w:spacing w:before="44" w:line="251" w:lineRule="auto"/>
        <w:ind w:left="4376" w:right="581" w:firstLine="428"/>
        <w:rPr>
          <w:color w:val="231F20"/>
          <w:spacing w:val="1"/>
        </w:rPr>
      </w:pPr>
      <w:r>
        <w:rPr>
          <w:color w:val="231F20"/>
          <w:spacing w:val="1"/>
        </w:rPr>
        <w:t>1.野生动物保护管理行政许可事项申请表；</w:t>
      </w:r>
    </w:p>
    <w:p>
      <w:pPr>
        <w:pStyle w:val="2"/>
        <w:spacing w:before="44" w:line="251" w:lineRule="auto"/>
        <w:ind w:left="4376" w:right="581" w:firstLine="428"/>
        <w:rPr>
          <w:color w:val="231F20"/>
          <w:spacing w:val="1"/>
        </w:rPr>
      </w:pPr>
      <w:r>
        <w:rPr>
          <w:color w:val="231F20"/>
          <w:spacing w:val="1"/>
        </w:rPr>
        <w:t>2.证明野生动物或其制品来源的有效文件或材料；</w:t>
      </w:r>
    </w:p>
    <w:p>
      <w:pPr>
        <w:pStyle w:val="2"/>
        <w:spacing w:before="44" w:line="251" w:lineRule="auto"/>
        <w:ind w:left="4376" w:right="581" w:firstLine="428"/>
        <w:rPr>
          <w:color w:val="231F20"/>
          <w:spacing w:val="1"/>
        </w:rPr>
      </w:pPr>
      <w:r>
        <w:rPr>
          <w:color w:val="231F20"/>
          <w:spacing w:val="1"/>
        </w:rPr>
        <w:t>3.县级林业主管部门出具的审查意见；</w:t>
      </w:r>
    </w:p>
    <w:p>
      <w:pPr>
        <w:pStyle w:val="2"/>
        <w:spacing w:before="44" w:line="251" w:lineRule="auto"/>
        <w:ind w:left="4376" w:right="581" w:firstLine="428"/>
        <w:rPr>
          <w:color w:val="231F20"/>
          <w:spacing w:val="1"/>
        </w:rPr>
      </w:pPr>
      <w:r>
        <w:rPr>
          <w:color w:val="231F20"/>
          <w:spacing w:val="1"/>
        </w:rPr>
        <w:t>4.出售、购买、利用野生动物或其制品的实施方案、合同及证明文件；</w:t>
      </w:r>
    </w:p>
    <w:p>
      <w:pPr>
        <w:pStyle w:val="2"/>
        <w:spacing w:before="44" w:line="251" w:lineRule="auto"/>
        <w:ind w:left="4376" w:right="581" w:firstLine="428"/>
        <w:rPr>
          <w:rFonts w:hint="default" w:eastAsia="方正仿宋简体"/>
          <w:color w:val="231F20"/>
          <w:spacing w:val="1"/>
          <w:lang w:val="en-US" w:eastAsia="zh-CN"/>
        </w:rPr>
      </w:pPr>
      <w:r>
        <w:rPr>
          <w:rFonts w:hint="eastAsia"/>
          <w:color w:val="231F20"/>
          <w:spacing w:val="1"/>
          <w:lang w:val="en-US" w:eastAsia="zh-CN"/>
        </w:rPr>
        <w:t>5.野生动物活体或野生动物制品说明；</w:t>
      </w:r>
    </w:p>
    <w:p>
      <w:pPr>
        <w:pStyle w:val="2"/>
        <w:spacing w:before="44" w:line="251" w:lineRule="auto"/>
        <w:ind w:left="4376" w:right="581" w:firstLine="428"/>
        <w:rPr>
          <w:color w:val="231F20"/>
          <w:spacing w:val="1"/>
        </w:rPr>
      </w:pPr>
      <w:r>
        <w:rPr>
          <w:rFonts w:hint="eastAsia"/>
          <w:color w:val="231F20"/>
          <w:spacing w:val="1"/>
          <w:lang w:val="en-US" w:eastAsia="zh-CN"/>
        </w:rPr>
        <w:t>6</w:t>
      </w:r>
      <w:r>
        <w:rPr>
          <w:color w:val="231F20"/>
          <w:spacing w:val="1"/>
        </w:rPr>
        <w:t>.证明申请人和委托代理人身份的有效文件或材料及代理关系证明，以及从事活动的背景材料</w:t>
      </w:r>
    </w:p>
    <w:p>
      <w:pPr>
        <w:spacing w:before="49" w:line="203" w:lineRule="auto"/>
        <w:ind w:left="4805"/>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六、审批机关</w:t>
      </w:r>
    </w:p>
    <w:p>
      <w:pPr>
        <w:pStyle w:val="2"/>
        <w:spacing w:before="43" w:line="231" w:lineRule="auto"/>
        <w:ind w:left="4804"/>
      </w:pPr>
      <w:r>
        <w:rPr>
          <w:color w:val="231F20"/>
          <w:spacing w:val="-1"/>
        </w:rPr>
        <w:t>唐山市曹妃甸区行政审批局</w:t>
      </w:r>
    </w:p>
    <w:p>
      <w:pPr>
        <w:spacing w:line="25" w:lineRule="exact"/>
      </w:pPr>
    </w:p>
    <w:p>
      <w:pPr>
        <w:spacing w:before="48" w:line="202" w:lineRule="auto"/>
        <w:ind w:left="4802"/>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七、事项办理流程图</w:t>
      </w:r>
    </w:p>
    <w:p>
      <w:pPr>
        <w:spacing w:line="202" w:lineRule="auto"/>
        <w:rPr>
          <w:rFonts w:ascii="微软雅黑" w:hAnsi="微软雅黑" w:eastAsia="微软雅黑" w:cs="微软雅黑"/>
          <w:sz w:val="22"/>
          <w:szCs w:val="22"/>
        </w:rPr>
        <w:sectPr>
          <w:headerReference r:id="rId5" w:type="default"/>
          <w:pgSz w:w="10772" w:h="11906"/>
          <w:pgMar w:top="400" w:right="2" w:bottom="0" w:left="1615" w:header="0" w:footer="0" w:gutter="0"/>
          <w:cols w:space="720" w:num="1"/>
        </w:sectPr>
      </w:pPr>
      <w:bookmarkStart w:id="0" w:name="_GoBack"/>
      <w:bookmarkEnd w:id="0"/>
    </w:p>
    <w:p>
      <w:pPr>
        <w:spacing w:before="87"/>
      </w:pPr>
      <w:r>
        <w:pict>
          <v:rect id="_x0000_s1026" o:spid="_x0000_s1026" o:spt="1" style="position:absolute;left:0pt;margin-left:95.05pt;margin-top:71.25pt;height:3.65pt;width:4.2pt;mso-position-horizontal-relative:page;mso-position-vertical-relative:page;z-index:251668480;mso-width-relative:page;mso-height-relative:page;" fillcolor="#231F20" filled="t" stroked="f" coordsize="21600,21600" o:allowincell="f">
            <v:path/>
            <v:fill on="t" focussize="0,0"/>
            <v:stroke on="f"/>
            <v:imagedata o:title=""/>
            <o:lock v:ext="edit"/>
          </v:rect>
        </w:pict>
      </w:r>
      <w:r>
        <w:pict>
          <v:rect id="_x0000_s1027" o:spid="_x0000_s1027" o:spt="1" style="position:absolute;left:0pt;margin-left:96.8pt;margin-top:74.25pt;height:21.05pt;width:0.65pt;mso-position-horizontal-relative:page;mso-position-vertical-relative:page;z-index:251667456;mso-width-relative:page;mso-height-relative:page;" fillcolor="#231F20" filled="t" stroked="f" coordsize="21600,21600" o:allowincell="f">
            <v:path/>
            <v:fill on="t" focussize="0,0"/>
            <v:stroke on="f"/>
            <v:imagedata o:title=""/>
            <o:lock v:ext="edit"/>
          </v:rect>
        </w:pict>
      </w:r>
      <w:r>
        <w:pict>
          <v:rect id="_x0000_s1028" o:spid="_x0000_s1028" o:spt="1" style="position:absolute;left:0pt;margin-left:173.8pt;margin-top:106.15pt;height:0.6pt;width:39.15pt;mso-position-horizontal-relative:page;mso-position-vertical-relative:page;z-index:251665408;mso-width-relative:page;mso-height-relative:page;" fillcolor="#231F20" filled="t" stroked="f" coordsize="21600,21600" o:allowincell="f">
            <v:path/>
            <v:fill on="t" focussize="0,0"/>
            <v:stroke on="f"/>
            <v:imagedata o:title=""/>
            <o:lock v:ext="edit"/>
          </v:rect>
        </w:pict>
      </w:r>
      <w:r>
        <w:pict>
          <v:shape id="_x0000_s1029" o:spid="_x0000_s1029" style="position:absolute;left:0pt;margin-left:43.6pt;margin-top:54.35pt;height:0.6pt;width:21.05pt;mso-position-horizontal-relative:page;mso-position-vertical-relative:page;z-index:251670528;mso-width-relative:page;mso-height-relative:page;" filled="f" stroked="t" coordsize="420,12" o:allowincell="f" path="m0,5l420,5e">
            <v:fill on="f" focussize="0,0"/>
            <v:stroke weight="0.6pt" color="#231F20" miterlimit="10" joinstyle="miter"/>
            <v:imagedata o:title=""/>
            <o:lock v:ext="edit"/>
          </v:shape>
        </w:pict>
      </w:r>
      <w:r>
        <w:drawing>
          <wp:anchor distT="0" distB="0" distL="0" distR="0" simplePos="0" relativeHeight="251663360" behindDoc="0" locked="0" layoutInCell="0" allowOverlap="1">
            <wp:simplePos x="0" y="0"/>
            <wp:positionH relativeFrom="page">
              <wp:posOffset>530860</wp:posOffset>
            </wp:positionH>
            <wp:positionV relativeFrom="page">
              <wp:posOffset>694055</wp:posOffset>
            </wp:positionV>
            <wp:extent cx="53340" cy="464185"/>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9"/>
                    <a:stretch>
                      <a:fillRect/>
                    </a:stretch>
                  </pic:blipFill>
                  <pic:spPr>
                    <a:xfrm>
                      <a:off x="0" y="0"/>
                      <a:ext cx="53174" cy="463901"/>
                    </a:xfrm>
                    <a:prstGeom prst="rect">
                      <a:avLst/>
                    </a:prstGeom>
                  </pic:spPr>
                </pic:pic>
              </a:graphicData>
            </a:graphic>
          </wp:anchor>
        </w:drawing>
      </w:r>
      <w:r>
        <w:pict>
          <v:shape id="_x0000_s1030" o:spid="_x0000_s1030" o:spt="202" type="#_x0000_t202" style="position:absolute;left:0pt;margin-left:27.15pt;margin-top:90.15pt;height:32.7pt;width:33.45pt;mso-position-horizontal-relative:page;mso-position-vertical-relative:page;z-index:251662336;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618"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618"/>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593" w:hRule="atLeast"/>
                    </w:trPr>
                    <w:tc>
                      <w:tcPr>
                        <w:tcW w:w="618" w:type="dxa"/>
                        <w:vAlign w:val="top"/>
                      </w:tcPr>
                      <w:p>
                        <w:pPr>
                          <w:pStyle w:val="6"/>
                          <w:spacing w:before="36" w:line="210" w:lineRule="auto"/>
                          <w:ind w:left="69" w:right="63" w:firstLine="23"/>
                          <w:jc w:val="both"/>
                        </w:pPr>
                        <w:r>
                          <w:rPr>
                            <w:color w:val="231F20"/>
                            <w:spacing w:val="-10"/>
                          </w:rPr>
                          <w:t>申请人</w:t>
                        </w:r>
                        <w:r>
                          <w:rPr>
                            <w:color w:val="231F20"/>
                          </w:rPr>
                          <w:t xml:space="preserve"> </w:t>
                        </w:r>
                        <w:r>
                          <w:rPr>
                            <w:color w:val="231F20"/>
                            <w:spacing w:val="-2"/>
                          </w:rPr>
                          <w:t>提交申</w:t>
                        </w:r>
                        <w:r>
                          <w:rPr>
                            <w:color w:val="231F20"/>
                          </w:rPr>
                          <w:t xml:space="preserve"> </w:t>
                        </w:r>
                        <w:r>
                          <w:rPr>
                            <w:color w:val="231F20"/>
                            <w:spacing w:val="-2"/>
                          </w:rPr>
                          <w:t>请材料</w:t>
                        </w:r>
                      </w:p>
                    </w:tc>
                  </w:tr>
                </w:tbl>
                <w:p>
                  <w:pPr>
                    <w:rPr>
                      <w:rFonts w:ascii="Arial"/>
                      <w:sz w:val="21"/>
                    </w:rPr>
                  </w:pPr>
                </w:p>
              </w:txbxContent>
            </v:textbox>
          </v:shape>
        </w:pict>
      </w:r>
      <w:r>
        <w:pict>
          <v:shape id="_x0000_s1031" o:spid="_x0000_s1031" o:spt="202" type="#_x0000_t202" style="position:absolute;left:0pt;margin-left:147.5pt;margin-top:93.85pt;height:25.3pt;width:27.6pt;mso-position-horizontal-relative:page;mso-position-vertical-relative:page;z-index:-25165619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501"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0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501" w:type="dxa"/>
                        <w:vAlign w:val="top"/>
                      </w:tcPr>
                      <w:p>
                        <w:pPr>
                          <w:pStyle w:val="6"/>
                          <w:spacing w:before="142" w:line="220" w:lineRule="auto"/>
                          <w:ind w:left="95"/>
                        </w:pPr>
                        <w:r>
                          <w:rPr>
                            <w:color w:val="231F20"/>
                            <w:spacing w:val="-3"/>
                          </w:rPr>
                          <w:t>审核</w:t>
                        </w:r>
                      </w:p>
                    </w:tc>
                  </w:tr>
                </w:tbl>
                <w:p>
                  <w:pPr>
                    <w:rPr>
                      <w:rFonts w:ascii="Arial"/>
                      <w:sz w:val="21"/>
                    </w:rPr>
                  </w:pPr>
                </w:p>
              </w:txbxContent>
            </v:textbox>
          </v:shape>
        </w:pict>
      </w:r>
      <w:r>
        <w:pict>
          <v:shape id="_x0000_s1032" o:spid="_x0000_s1032" o:spt="202" type="#_x0000_t202" style="position:absolute;left:0pt;margin-left:211.25pt;margin-top:93.85pt;height:25.3pt;width:31.1pt;mso-position-horizontal-relative:page;mso-position-vertical-relative:page;z-index:25166643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571"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7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571" w:type="dxa"/>
                        <w:vAlign w:val="top"/>
                      </w:tcPr>
                      <w:p>
                        <w:pPr>
                          <w:pStyle w:val="6"/>
                          <w:spacing w:before="143" w:line="219" w:lineRule="auto"/>
                        </w:pPr>
                        <w:r>
                          <w:rPr>
                            <w:color w:val="231F20"/>
                            <w:position w:val="1"/>
                          </w:rPr>
                          <w:drawing>
                            <wp:inline distT="0" distB="0" distL="0" distR="0">
                              <wp:extent cx="45085" cy="52705"/>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0"/>
                                      <a:stretch>
                                        <a:fillRect/>
                                      </a:stretch>
                                    </pic:blipFill>
                                    <pic:spPr>
                                      <a:xfrm>
                                        <a:off x="0" y="0"/>
                                        <a:ext cx="45115" cy="53200"/>
                                      </a:xfrm>
                                      <a:prstGeom prst="rect">
                                        <a:avLst/>
                                      </a:prstGeom>
                                    </pic:spPr>
                                  </pic:pic>
                                </a:graphicData>
                              </a:graphic>
                            </wp:inline>
                          </w:drawing>
                        </w:r>
                        <w:r>
                          <w:rPr>
                            <w:color w:val="231F20"/>
                            <w:spacing w:val="20"/>
                          </w:rPr>
                          <w:t xml:space="preserve"> </w:t>
                        </w:r>
                        <w:r>
                          <w:rPr>
                            <w:color w:val="231F20"/>
                            <w:spacing w:val="-4"/>
                          </w:rPr>
                          <w:t>办结</w:t>
                        </w:r>
                      </w:p>
                    </w:tc>
                  </w:tr>
                </w:tbl>
                <w:p>
                  <w:pPr>
                    <w:rPr>
                      <w:rFonts w:ascii="Arial"/>
                      <w:sz w:val="21"/>
                    </w:rPr>
                  </w:pPr>
                </w:p>
              </w:txbxContent>
            </v:textbox>
          </v:shape>
        </w:pict>
      </w:r>
      <w:r>
        <w:drawing>
          <wp:anchor distT="0" distB="0" distL="0" distR="0" simplePos="0" relativeHeight="251671552" behindDoc="0" locked="0" layoutInCell="0" allowOverlap="1">
            <wp:simplePos x="0" y="0"/>
            <wp:positionH relativeFrom="page">
              <wp:posOffset>1393825</wp:posOffset>
            </wp:positionH>
            <wp:positionV relativeFrom="page">
              <wp:posOffset>1325245</wp:posOffset>
            </wp:positionV>
            <wp:extent cx="495300" cy="53340"/>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1"/>
                    <a:stretch>
                      <a:fillRect/>
                    </a:stretch>
                  </pic:blipFill>
                  <pic:spPr>
                    <a:xfrm>
                      <a:off x="0" y="0"/>
                      <a:ext cx="495524" cy="53200"/>
                    </a:xfrm>
                    <a:prstGeom prst="rect">
                      <a:avLst/>
                    </a:prstGeom>
                  </pic:spPr>
                </pic:pic>
              </a:graphicData>
            </a:graphic>
          </wp:anchor>
        </w:drawing>
      </w:r>
      <w:r>
        <w:drawing>
          <wp:anchor distT="0" distB="0" distL="0" distR="0" simplePos="0" relativeHeight="251664384" behindDoc="0" locked="0" layoutInCell="0" allowOverlap="1">
            <wp:simplePos x="0" y="0"/>
            <wp:positionH relativeFrom="page">
              <wp:posOffset>753110</wp:posOffset>
            </wp:positionH>
            <wp:positionV relativeFrom="page">
              <wp:posOffset>1325245</wp:posOffset>
            </wp:positionV>
            <wp:extent cx="316865" cy="53340"/>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2"/>
                    <a:stretch>
                      <a:fillRect/>
                    </a:stretch>
                  </pic:blipFill>
                  <pic:spPr>
                    <a:xfrm>
                      <a:off x="0" y="0"/>
                      <a:ext cx="316607" cy="53200"/>
                    </a:xfrm>
                    <a:prstGeom prst="rect">
                      <a:avLst/>
                    </a:prstGeom>
                  </pic:spPr>
                </pic:pic>
              </a:graphicData>
            </a:graphic>
          </wp:anchor>
        </w:drawing>
      </w:r>
      <w:r>
        <w:pict>
          <v:shape id="_x0000_s1033" o:spid="_x0000_s1033" o:spt="202" type="#_x0000_t202" style="position:absolute;left:0pt;margin-left:132.2pt;margin-top:138.35pt;height:25.3pt;width:58.4pt;mso-position-horizontal-relative:page;mso-position-vertical-relative:page;z-index:25166131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1117"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117"/>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1117" w:type="dxa"/>
                        <w:vAlign w:val="top"/>
                      </w:tcPr>
                      <w:p>
                        <w:pPr>
                          <w:pStyle w:val="6"/>
                          <w:spacing w:before="61" w:line="213" w:lineRule="auto"/>
                          <w:ind w:left="194" w:hanging="154"/>
                        </w:pPr>
                        <w:r>
                          <w:rPr>
                            <w:color w:val="231F20"/>
                            <w:spacing w:val="-8"/>
                          </w:rPr>
                          <w:t>不予许可决定，</w:t>
                        </w:r>
                        <w:r>
                          <w:rPr>
                            <w:color w:val="231F20"/>
                            <w:spacing w:val="1"/>
                          </w:rPr>
                          <w:t xml:space="preserve"> </w:t>
                        </w:r>
                        <w:r>
                          <w:rPr>
                            <w:color w:val="231F20"/>
                            <w:spacing w:val="-3"/>
                          </w:rPr>
                          <w:t>送达申请人</w:t>
                        </w:r>
                      </w:p>
                    </w:tc>
                  </w:tr>
                </w:tbl>
                <w:p>
                  <w:pPr>
                    <w:rPr>
                      <w:rFonts w:ascii="Arial"/>
                      <w:sz w:val="21"/>
                    </w:rPr>
                  </w:pPr>
                </w:p>
              </w:txbxContent>
            </v:textbox>
          </v:shape>
        </w:pict>
      </w:r>
      <w:r>
        <w:drawing>
          <wp:anchor distT="0" distB="0" distL="0" distR="0" simplePos="0" relativeHeight="251669504" behindDoc="0" locked="0" layoutInCell="0" allowOverlap="1">
            <wp:simplePos x="0" y="0"/>
            <wp:positionH relativeFrom="page">
              <wp:posOffset>1207135</wp:posOffset>
            </wp:positionH>
            <wp:positionV relativeFrom="page">
              <wp:posOffset>1497330</wp:posOffset>
            </wp:positionV>
            <wp:extent cx="53340" cy="269240"/>
            <wp:effectExtent l="0" t="0" r="0" b="0"/>
            <wp:wrapNone/>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3"/>
                    <a:stretch>
                      <a:fillRect/>
                    </a:stretch>
                  </pic:blipFill>
                  <pic:spPr>
                    <a:xfrm>
                      <a:off x="0" y="0"/>
                      <a:ext cx="53174" cy="269503"/>
                    </a:xfrm>
                    <a:prstGeom prst="rect">
                      <a:avLst/>
                    </a:prstGeom>
                  </pic:spPr>
                </pic:pic>
              </a:graphicData>
            </a:graphic>
          </wp:anchor>
        </w:drawing>
      </w:r>
    </w:p>
    <w:p>
      <w:pPr>
        <w:sectPr>
          <w:headerReference r:id="rId6" w:type="default"/>
          <w:pgSz w:w="10772" w:h="11906"/>
          <w:pgMar w:top="400" w:right="579" w:bottom="0" w:left="563" w:header="0" w:footer="0" w:gutter="0"/>
          <w:cols w:equalWidth="0" w:num="1">
            <w:col w:w="9629"/>
          </w:cols>
        </w:sectPr>
      </w:pPr>
    </w:p>
    <w:tbl>
      <w:tblPr>
        <w:tblStyle w:val="5"/>
        <w:tblW w:w="1302" w:type="dxa"/>
        <w:tblInd w:w="728"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302"/>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658" w:hRule="atLeast"/>
        </w:trPr>
        <w:tc>
          <w:tcPr>
            <w:tcW w:w="1302" w:type="dxa"/>
            <w:vAlign w:val="top"/>
          </w:tcPr>
          <w:p>
            <w:pPr>
              <w:pStyle w:val="6"/>
              <w:spacing w:before="69" w:line="208" w:lineRule="auto"/>
              <w:ind w:left="34"/>
            </w:pPr>
            <w:r>
              <w:rPr>
                <w:color w:val="231F20"/>
                <w:spacing w:val="-7"/>
              </w:rPr>
              <w:t>申请材料不全的，</w:t>
            </w:r>
          </w:p>
          <w:p>
            <w:pPr>
              <w:pStyle w:val="6"/>
              <w:spacing w:line="213" w:lineRule="auto"/>
              <w:ind w:left="252" w:right="85" w:hanging="158"/>
            </w:pPr>
            <w:r>
              <w:rPr>
                <w:color w:val="231F20"/>
                <w:spacing w:val="-2"/>
              </w:rPr>
              <w:t>一次性告知当事</w:t>
            </w:r>
            <w:r>
              <w:rPr>
                <w:color w:val="231F20"/>
                <w:spacing w:val="4"/>
              </w:rPr>
              <w:t xml:space="preserve"> </w:t>
            </w:r>
            <w:r>
              <w:rPr>
                <w:color w:val="231F20"/>
                <w:spacing w:val="-2"/>
              </w:rPr>
              <w:t>人补齐补正</w:t>
            </w:r>
          </w:p>
        </w:tc>
      </w:tr>
    </w:tbl>
    <w:p>
      <w:pPr>
        <w:spacing w:before="221"/>
      </w:pPr>
    </w:p>
    <w:tbl>
      <w:tblPr>
        <w:tblStyle w:val="5"/>
        <w:tblW w:w="501" w:type="dxa"/>
        <w:tblInd w:w="1128"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0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4" w:hRule="atLeast"/>
        </w:trPr>
        <w:tc>
          <w:tcPr>
            <w:tcW w:w="501" w:type="dxa"/>
            <w:vAlign w:val="top"/>
          </w:tcPr>
          <w:p>
            <w:pPr>
              <w:pStyle w:val="6"/>
              <w:spacing w:before="143" w:line="221" w:lineRule="auto"/>
              <w:ind w:left="93"/>
            </w:pPr>
            <w:r>
              <w:rPr>
                <w:color w:val="231F20"/>
                <w:spacing w:val="-3"/>
              </w:rPr>
              <w:t>受理</w:t>
            </w:r>
          </w:p>
        </w:tc>
      </w:tr>
    </w:tbl>
    <w:p>
      <w:pPr>
        <w:spacing w:line="423" w:lineRule="exact"/>
        <w:ind w:firstLine="2620"/>
      </w:pPr>
      <w:r>
        <w:rPr>
          <w:position w:val="-8"/>
        </w:rPr>
        <w:drawing>
          <wp:inline distT="0" distB="0" distL="0" distR="0">
            <wp:extent cx="52705" cy="268605"/>
            <wp:effectExtent l="0" t="0" r="0" b="0"/>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4"/>
                    <a:stretch>
                      <a:fillRect/>
                    </a:stretch>
                  </pic:blipFill>
                  <pic:spPr>
                    <a:xfrm>
                      <a:off x="0" y="0"/>
                      <a:ext cx="53174" cy="269149"/>
                    </a:xfrm>
                    <a:prstGeom prst="rect">
                      <a:avLst/>
                    </a:prstGeom>
                  </pic:spPr>
                </pic:pic>
              </a:graphicData>
            </a:graphic>
          </wp:inline>
        </w:drawing>
      </w:r>
    </w:p>
    <w:p>
      <w:pPr>
        <w:spacing w:line="131" w:lineRule="auto"/>
        <w:rPr>
          <w:rFonts w:ascii="Arial"/>
          <w:sz w:val="2"/>
        </w:rPr>
      </w:pPr>
    </w:p>
    <w:tbl>
      <w:tblPr>
        <w:tblStyle w:val="5"/>
        <w:tblW w:w="819" w:type="dxa"/>
        <w:tblInd w:w="929"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819"/>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819" w:type="dxa"/>
            <w:vAlign w:val="top"/>
          </w:tcPr>
          <w:p>
            <w:pPr>
              <w:pStyle w:val="6"/>
              <w:spacing w:before="71" w:line="210" w:lineRule="auto"/>
              <w:ind w:left="130" w:hanging="77"/>
            </w:pPr>
            <w:r>
              <w:rPr>
                <w:color w:val="231F20"/>
                <w:spacing w:val="-9"/>
              </w:rPr>
              <w:t>不予受理，</w:t>
            </w:r>
            <w:r>
              <w:rPr>
                <w:color w:val="231F20"/>
              </w:rPr>
              <w:t xml:space="preserve"> </w:t>
            </w:r>
            <w:r>
              <w:rPr>
                <w:color w:val="231F20"/>
                <w:spacing w:val="-2"/>
              </w:rPr>
              <w:t>退还申请</w:t>
            </w:r>
          </w:p>
        </w:tc>
      </w:tr>
    </w:tbl>
    <w:p>
      <w:pPr>
        <w:spacing w:before="160" w:line="203" w:lineRule="auto"/>
        <w:ind w:left="463"/>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八、审批时限</w:t>
      </w:r>
    </w:p>
    <w:p>
      <w:pPr>
        <w:pStyle w:val="2"/>
        <w:spacing w:before="40" w:line="233" w:lineRule="auto"/>
        <w:ind w:left="479"/>
      </w:pPr>
      <w:r>
        <w:rPr>
          <w:color w:val="231F20"/>
          <w:spacing w:val="-2"/>
        </w:rPr>
        <w:t>法定时限：35个工作日</w:t>
      </w:r>
    </w:p>
    <w:p>
      <w:pPr>
        <w:pStyle w:val="2"/>
        <w:spacing w:before="43" w:line="232" w:lineRule="auto"/>
        <w:ind w:left="470"/>
      </w:pPr>
      <w:r>
        <w:rPr>
          <w:color w:val="231F20"/>
          <w:spacing w:val="-2"/>
        </w:rPr>
        <w:t>承诺时限：3个工作日</w:t>
      </w:r>
    </w:p>
    <w:p>
      <w:pPr>
        <w:spacing w:before="43" w:line="203" w:lineRule="auto"/>
        <w:ind w:left="466"/>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九、收费情况</w:t>
      </w:r>
    </w:p>
    <w:p>
      <w:pPr>
        <w:pStyle w:val="2"/>
        <w:spacing w:before="39" w:line="233" w:lineRule="auto"/>
        <w:ind w:left="475"/>
      </w:pPr>
      <w:r>
        <w:rPr>
          <w:color w:val="231F20"/>
          <w:spacing w:val="-5"/>
        </w:rPr>
        <w:t>不收费</w:t>
      </w:r>
    </w:p>
    <w:p>
      <w:pPr>
        <w:spacing w:before="39" w:line="205" w:lineRule="auto"/>
        <w:ind w:left="470"/>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十、网办网址</w:t>
      </w:r>
    </w:p>
    <w:p>
      <w:pPr>
        <w:pStyle w:val="2"/>
        <w:spacing w:before="38" w:line="219" w:lineRule="auto"/>
        <w:ind w:left="473"/>
      </w:pPr>
      <w:r>
        <w:fldChar w:fldCharType="begin"/>
      </w:r>
      <w:r>
        <w:instrText xml:space="preserve"> HYPERLINK "http://tscfdhbzwfw.gov.cn/" </w:instrText>
      </w:r>
      <w:r>
        <w:fldChar w:fldCharType="separate"/>
      </w:r>
      <w:r>
        <w:rPr>
          <w:color w:val="231F20"/>
          <w:spacing w:val="-1"/>
        </w:rPr>
        <w:t>http://tscfdhbzwfw.gov.cn/</w:t>
      </w:r>
      <w:r>
        <w:rPr>
          <w:color w:val="231F20"/>
          <w:spacing w:val="-1"/>
        </w:rPr>
        <w:fldChar w:fldCharType="end"/>
      </w:r>
    </w:p>
    <w:p>
      <w:pPr>
        <w:pStyle w:val="2"/>
        <w:spacing w:before="41" w:line="246" w:lineRule="auto"/>
        <w:ind w:left="51" w:right="2" w:firstLine="409"/>
        <w:rPr>
          <w:rFonts w:hint="eastAsia"/>
          <w:color w:val="231F20"/>
          <w:spacing w:val="-3"/>
        </w:rPr>
      </w:pPr>
      <w:r>
        <w:rPr>
          <w:rFonts w:hint="eastAsia"/>
          <w:color w:val="231F20"/>
          <w:spacing w:val="-3"/>
        </w:rPr>
        <w:t>1. 中国（河北）自由贸易试验区曹妃甸片区政务服务中心、唐山市曹妃甸区临港政务服务中心综合受理窗口B01-B06（曹妃甸工业区兴业道 1 号二层）。</w:t>
      </w:r>
    </w:p>
    <w:p>
      <w:pPr>
        <w:pStyle w:val="2"/>
        <w:spacing w:before="41" w:line="246" w:lineRule="auto"/>
        <w:ind w:left="51" w:right="2" w:firstLine="409"/>
        <w:rPr>
          <w:rFonts w:hint="eastAsia"/>
          <w:color w:val="231F20"/>
          <w:spacing w:val="-3"/>
        </w:rPr>
      </w:pPr>
      <w:r>
        <w:rPr>
          <w:rFonts w:hint="eastAsia"/>
          <w:color w:val="231F20"/>
          <w:spacing w:val="-3"/>
        </w:rPr>
        <w:t>2. 唐山市曹妃甸区垦区政务服务中心综合受理窗口W1-W6（曹妃甸区唐海镇新城大街 259 号二层）。</w:t>
      </w:r>
    </w:p>
    <w:p>
      <w:pPr>
        <w:pStyle w:val="2"/>
        <w:spacing w:before="41" w:line="246" w:lineRule="auto"/>
        <w:ind w:left="51" w:right="2" w:firstLine="409"/>
        <w:rPr>
          <w:rFonts w:hint="eastAsia"/>
          <w:color w:val="231F20"/>
          <w:spacing w:val="-3"/>
        </w:rPr>
      </w:pPr>
      <w:r>
        <w:rPr>
          <w:rFonts w:hint="eastAsia"/>
          <w:color w:val="231F20"/>
          <w:spacing w:val="-3"/>
        </w:rPr>
        <w:t>3. 唐山市曹妃甸区曹妃甸新城政务服务中心综合受理窗口B02-B05（曹妃甸区新城通海路）。</w:t>
      </w:r>
    </w:p>
    <w:p>
      <w:pPr>
        <w:pStyle w:val="2"/>
        <w:spacing w:before="41" w:line="246" w:lineRule="auto"/>
        <w:ind w:left="51" w:right="2" w:firstLine="409"/>
        <w:rPr>
          <w:rFonts w:hint="eastAsia"/>
          <w:color w:val="231F20"/>
          <w:spacing w:val="-3"/>
        </w:rPr>
      </w:pPr>
      <w:r>
        <w:rPr>
          <w:rFonts w:hint="eastAsia"/>
          <w:color w:val="231F20"/>
          <w:spacing w:val="-3"/>
        </w:rPr>
        <w:t>交通指引：</w:t>
      </w:r>
    </w:p>
    <w:p>
      <w:pPr>
        <w:pStyle w:val="2"/>
        <w:spacing w:before="41" w:line="246" w:lineRule="auto"/>
        <w:ind w:left="51" w:right="2" w:firstLine="409"/>
        <w:rPr>
          <w:rFonts w:hint="eastAsia"/>
          <w:color w:val="231F20"/>
          <w:spacing w:val="-3"/>
        </w:rPr>
      </w:pPr>
      <w:r>
        <w:rPr>
          <w:rFonts w:hint="eastAsia"/>
          <w:color w:val="231F20"/>
          <w:spacing w:val="-3"/>
        </w:rPr>
        <w:t>1.临港中心：乘坐公交K1支线/K1专线，四大联检下车（曹妃甸工业区兴业道1号）；</w:t>
      </w:r>
    </w:p>
    <w:p>
      <w:pPr>
        <w:pStyle w:val="2"/>
        <w:spacing w:before="41" w:line="246" w:lineRule="auto"/>
        <w:ind w:left="51" w:right="2" w:firstLine="409"/>
        <w:rPr>
          <w:rFonts w:hint="eastAsia"/>
          <w:color w:val="231F20"/>
          <w:spacing w:val="-3"/>
        </w:rPr>
      </w:pPr>
      <w:r>
        <w:rPr>
          <w:rFonts w:hint="eastAsia"/>
          <w:color w:val="231F20"/>
          <w:spacing w:val="-3"/>
        </w:rPr>
        <w:t>2.垦区中心：乘坐公交101路/102路，行政审批大厅下车（曹妃甸新城大街与唐海路交叉口西行200米）</w:t>
      </w:r>
    </w:p>
    <w:p>
      <w:pPr>
        <w:pStyle w:val="2"/>
        <w:spacing w:before="41" w:line="246" w:lineRule="auto"/>
        <w:ind w:left="51" w:right="2" w:firstLine="409"/>
      </w:pPr>
      <w:r>
        <w:rPr>
          <w:rFonts w:hint="eastAsia"/>
          <w:color w:val="231F20"/>
          <w:spacing w:val="-3"/>
        </w:rPr>
        <w:t>3.新城中心：乘坐公交K2路，新城服务中心下车（曹妃甸新城未来大道1号）；</w:t>
      </w:r>
    </w:p>
    <w:p>
      <w:pPr>
        <w:spacing w:before="37" w:line="204"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十二、办公时间</w:t>
      </w:r>
    </w:p>
    <w:p>
      <w:pPr>
        <w:spacing w:before="34" w:line="203" w:lineRule="auto"/>
        <w:ind w:left="463"/>
        <w:rPr>
          <w:rFonts w:hint="eastAsia" w:ascii="方正仿宋简体" w:hAnsi="方正仿宋简体" w:eastAsia="方正仿宋简体" w:cs="方正仿宋简体"/>
          <w:snapToGrid w:val="0"/>
          <w:color w:val="231F20"/>
          <w:spacing w:val="-3"/>
          <w:kern w:val="0"/>
          <w:sz w:val="22"/>
          <w:szCs w:val="22"/>
          <w:lang w:val="en-US" w:eastAsia="en-US" w:bidi="ar-SA"/>
        </w:rPr>
      </w:pPr>
      <w:r>
        <w:rPr>
          <w:rFonts w:hint="eastAsia" w:ascii="方正仿宋简体" w:hAnsi="方正仿宋简体" w:eastAsia="方正仿宋简体" w:cs="方正仿宋简体"/>
          <w:snapToGrid w:val="0"/>
          <w:color w:val="231F20"/>
          <w:spacing w:val="-3"/>
          <w:kern w:val="0"/>
          <w:sz w:val="22"/>
          <w:szCs w:val="22"/>
          <w:lang w:val="en-US" w:eastAsia="en-US" w:bidi="ar-SA"/>
        </w:rPr>
        <w:t>周一到周五：春秋冬季（9月1日至5月31日）上午8:30～12:00，下午13:30～17:30；夏季（6月1日至8月31日）上午8:30～12:00，下午14:30～17:30，法定节假日除外。</w:t>
      </w:r>
    </w:p>
    <w:p>
      <w:pPr>
        <w:spacing w:before="34" w:line="203"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十三、咨询电话</w:t>
      </w:r>
    </w:p>
    <w:p>
      <w:pPr>
        <w:pStyle w:val="2"/>
        <w:spacing w:before="34" w:line="251" w:lineRule="auto"/>
        <w:ind w:left="21" w:right="21" w:firstLine="440"/>
      </w:pPr>
      <w:r>
        <w:rPr>
          <w:color w:val="231F20"/>
          <w:spacing w:val="5"/>
        </w:rPr>
        <w:t>03</w:t>
      </w:r>
      <w:r>
        <w:rPr>
          <w:color w:val="231F20"/>
          <w:spacing w:val="-7"/>
        </w:rPr>
        <w:t xml:space="preserve"> </w:t>
      </w:r>
      <w:r>
        <w:rPr>
          <w:color w:val="231F20"/>
          <w:spacing w:val="5"/>
        </w:rPr>
        <w:t>1</w:t>
      </w:r>
      <w:r>
        <w:rPr>
          <w:color w:val="231F20"/>
          <w:spacing w:val="-37"/>
        </w:rPr>
        <w:t xml:space="preserve"> </w:t>
      </w:r>
      <w:r>
        <w:rPr>
          <w:color w:val="231F20"/>
          <w:spacing w:val="5"/>
        </w:rPr>
        <w:t>5</w:t>
      </w:r>
      <w:r>
        <w:rPr>
          <w:color w:val="231F20"/>
          <w:spacing w:val="-36"/>
        </w:rPr>
        <w:t xml:space="preserve"> </w:t>
      </w:r>
      <w:r>
        <w:rPr>
          <w:color w:val="231F20"/>
          <w:spacing w:val="5"/>
        </w:rPr>
        <w:t>-</w:t>
      </w:r>
      <w:r>
        <w:rPr>
          <w:color w:val="231F20"/>
          <w:spacing w:val="-41"/>
        </w:rPr>
        <w:t xml:space="preserve"> </w:t>
      </w:r>
      <w:r>
        <w:rPr>
          <w:color w:val="231F20"/>
          <w:spacing w:val="5"/>
        </w:rPr>
        <w:t>8</w:t>
      </w:r>
      <w:r>
        <w:rPr>
          <w:color w:val="231F20"/>
          <w:spacing w:val="-40"/>
        </w:rPr>
        <w:t xml:space="preserve"> </w:t>
      </w:r>
      <w:r>
        <w:rPr>
          <w:color w:val="231F20"/>
          <w:spacing w:val="5"/>
        </w:rPr>
        <w:t>8</w:t>
      </w:r>
      <w:r>
        <w:rPr>
          <w:color w:val="231F20"/>
          <w:spacing w:val="-36"/>
        </w:rPr>
        <w:t xml:space="preserve"> </w:t>
      </w:r>
      <w:r>
        <w:rPr>
          <w:color w:val="231F20"/>
          <w:spacing w:val="5"/>
        </w:rPr>
        <w:t>51</w:t>
      </w:r>
      <w:r>
        <w:rPr>
          <w:color w:val="231F20"/>
          <w:spacing w:val="-40"/>
        </w:rPr>
        <w:t xml:space="preserve"> </w:t>
      </w:r>
      <w:r>
        <w:rPr>
          <w:color w:val="231F20"/>
          <w:spacing w:val="5"/>
        </w:rPr>
        <w:t>606（临</w:t>
      </w:r>
      <w:r>
        <w:rPr>
          <w:color w:val="231F20"/>
          <w:spacing w:val="-34"/>
        </w:rPr>
        <w:t xml:space="preserve"> </w:t>
      </w:r>
      <w:r>
        <w:rPr>
          <w:color w:val="231F20"/>
          <w:spacing w:val="5"/>
        </w:rPr>
        <w:t>港 中心</w:t>
      </w:r>
      <w:r>
        <w:rPr>
          <w:color w:val="231F20"/>
          <w:spacing w:val="-52"/>
        </w:rPr>
        <w:t xml:space="preserve"> </w:t>
      </w:r>
      <w:r>
        <w:rPr>
          <w:color w:val="231F20"/>
          <w:spacing w:val="5"/>
        </w:rPr>
        <w:t>）</w:t>
      </w:r>
      <w:r>
        <w:rPr>
          <w:color w:val="231F20"/>
          <w:spacing w:val="-51"/>
        </w:rPr>
        <w:t xml:space="preserve"> </w:t>
      </w:r>
      <w:r>
        <w:rPr>
          <w:color w:val="231F20"/>
          <w:spacing w:val="5"/>
        </w:rPr>
        <w:t>、</w:t>
      </w:r>
      <w:r>
        <w:rPr>
          <w:color w:val="231F20"/>
        </w:rPr>
        <w:t xml:space="preserve"> </w:t>
      </w:r>
      <w:r>
        <w:rPr>
          <w:color w:val="231F20"/>
          <w:spacing w:val="-14"/>
        </w:rPr>
        <w:t>0 3 1 5 - 8 7 8 7 0 5 0</w:t>
      </w:r>
      <w:r>
        <w:rPr>
          <w:color w:val="231F20"/>
          <w:spacing w:val="-26"/>
        </w:rPr>
        <w:t xml:space="preserve"> </w:t>
      </w:r>
      <w:r>
        <w:rPr>
          <w:color w:val="231F20"/>
          <w:spacing w:val="-14"/>
        </w:rPr>
        <w:t>（ 垦</w:t>
      </w:r>
      <w:r>
        <w:rPr>
          <w:color w:val="231F20"/>
          <w:spacing w:val="16"/>
        </w:rPr>
        <w:t xml:space="preserve"> </w:t>
      </w:r>
      <w:r>
        <w:rPr>
          <w:color w:val="231F20"/>
          <w:spacing w:val="-14"/>
        </w:rPr>
        <w:t>区</w:t>
      </w:r>
      <w:r>
        <w:rPr>
          <w:color w:val="231F20"/>
          <w:spacing w:val="17"/>
        </w:rPr>
        <w:t xml:space="preserve"> </w:t>
      </w:r>
      <w:r>
        <w:rPr>
          <w:color w:val="231F20"/>
          <w:spacing w:val="-14"/>
        </w:rPr>
        <w:t>中</w:t>
      </w:r>
      <w:r>
        <w:rPr>
          <w:color w:val="231F20"/>
          <w:spacing w:val="-15"/>
        </w:rPr>
        <w:t xml:space="preserve"> 心</w:t>
      </w:r>
      <w:r>
        <w:rPr>
          <w:color w:val="231F20"/>
          <w:spacing w:val="-26"/>
        </w:rPr>
        <w:t xml:space="preserve"> </w:t>
      </w:r>
      <w:r>
        <w:rPr>
          <w:color w:val="231F20"/>
          <w:spacing w:val="-15"/>
        </w:rPr>
        <w:t>）</w:t>
      </w:r>
      <w:r>
        <w:rPr>
          <w:color w:val="231F20"/>
          <w:spacing w:val="-26"/>
        </w:rPr>
        <w:t xml:space="preserve"> </w:t>
      </w:r>
      <w:r>
        <w:rPr>
          <w:color w:val="231F20"/>
          <w:spacing w:val="-15"/>
        </w:rPr>
        <w:t>、</w:t>
      </w:r>
      <w:r>
        <w:rPr>
          <w:color w:val="231F20"/>
        </w:rPr>
        <w:t xml:space="preserve"> </w:t>
      </w:r>
      <w:r>
        <w:rPr>
          <w:color w:val="231F20"/>
          <w:spacing w:val="-1"/>
        </w:rPr>
        <w:t>0315-7721104（新城中心）</w:t>
      </w:r>
    </w:p>
    <w:p>
      <w:pPr>
        <w:spacing w:before="36" w:line="199"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十四、监督（投诉）电话</w:t>
      </w:r>
    </w:p>
    <w:p>
      <w:pPr>
        <w:pStyle w:val="2"/>
        <w:spacing w:before="70" w:line="190" w:lineRule="auto"/>
        <w:ind w:left="461"/>
      </w:pPr>
      <w:r>
        <w:rPr>
          <w:color w:val="231F20"/>
          <w:spacing w:val="-1"/>
        </w:rPr>
        <w:t>0315-8787068</w:t>
      </w:r>
    </w:p>
    <w:p>
      <w:pPr>
        <w:numPr>
          <w:ilvl w:val="0"/>
          <w:numId w:val="1"/>
        </w:numPr>
        <w:spacing w:before="63" w:line="203" w:lineRule="auto"/>
        <w:ind w:left="463"/>
        <w:rPr>
          <w:rFonts w:ascii="微软雅黑" w:hAnsi="微软雅黑" w:eastAsia="微软雅黑" w:cs="微软雅黑"/>
          <w:color w:val="231F20"/>
          <w:spacing w:val="-2"/>
          <w:sz w:val="22"/>
          <w:szCs w:val="22"/>
        </w:rPr>
      </w:pPr>
      <w:r>
        <w:rPr>
          <w:rFonts w:ascii="微软雅黑" w:hAnsi="微软雅黑" w:eastAsia="微软雅黑" w:cs="微软雅黑"/>
          <w:color w:val="231F20"/>
          <w:spacing w:val="-2"/>
          <w:sz w:val="22"/>
          <w:szCs w:val="22"/>
        </w:rPr>
        <w:t>救济途径</w:t>
      </w:r>
    </w:p>
    <w:p>
      <w:pPr>
        <w:pStyle w:val="2"/>
        <w:spacing w:before="41" w:line="246" w:lineRule="auto"/>
        <w:ind w:left="51" w:right="2" w:firstLine="409"/>
        <w:rPr>
          <w:rFonts w:hint="eastAsia"/>
          <w:color w:val="231F20"/>
          <w:spacing w:val="-3"/>
        </w:rPr>
      </w:pPr>
      <w:r>
        <w:rPr>
          <w:rFonts w:hint="eastAsia"/>
          <w:color w:val="231F20"/>
          <w:spacing w:val="-3"/>
        </w:rPr>
        <w:t>申请人如对行政许可决定不服，可于收到决定书之日起六十日内向唐山市曹妃甸区人民政府申请复议，也可以于六个月内依法向唐山市曹妃甸区人民法院提起行政诉讼。</w:t>
      </w:r>
    </w:p>
    <w:p>
      <w:pPr>
        <w:pStyle w:val="2"/>
        <w:spacing w:before="38" w:line="257" w:lineRule="auto"/>
        <w:ind w:left="2" w:firstLine="473"/>
      </w:pPr>
    </w:p>
    <w:sectPr>
      <w:type w:val="continuous"/>
      <w:pgSz w:w="10772" w:h="11906"/>
      <w:pgMar w:top="400" w:right="579" w:bottom="0" w:left="563" w:header="0" w:footer="0" w:gutter="0"/>
      <w:cols w:equalWidth="0" w:num="2">
        <w:col w:w="5322" w:space="100"/>
        <w:col w:w="4208"/>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8AA1FB"/>
    <w:multiLevelType w:val="singleLevel"/>
    <w:tmpl w:val="848AA1FB"/>
    <w:lvl w:ilvl="0" w:tentative="0">
      <w:start w:val="1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MDE0NGRhY2QzMjFiMjY1NTY5OGI4N2RjMTBhODhlMTgifQ=="/>
  </w:docVars>
  <w:rsids>
    <w:rsidRoot w:val="00000000"/>
    <w:rsid w:val="1E4A3ACB"/>
    <w:rsid w:val="1F903C55"/>
    <w:rsid w:val="36577E74"/>
    <w:rsid w:val="444A5871"/>
    <w:rsid w:val="53E265A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方正仿宋简体" w:hAnsi="方正仿宋简体" w:eastAsia="方正仿宋简体" w:cs="方正仿宋简体"/>
      <w:sz w:val="22"/>
      <w:szCs w:val="22"/>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16"/>
      <w:szCs w:val="16"/>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2</Pages>
  <Words>659</Words>
  <Characters>771</Characters>
  <TotalTime>6</TotalTime>
  <ScaleCrop>false</ScaleCrop>
  <LinksUpToDate>false</LinksUpToDate>
  <CharactersWithSpaces>813</CharactersWithSpaces>
  <Application>WPS Office_12.1.0.15120_F1E327BC-269C-435d-A152-05C5408002CA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2022-10-21T10:59:00Z</dcterms:created>
  <dc:creator>Admin</dc:creator>
  <cp:lastModifiedBy>白筱羽</cp:lastModifiedBy>
  <dcterms:modified xsi:type="dcterms:W3CDTF">2023-08-07T06:57:59Z</dcterms:modified>
  <dc:title>99.农药广告审查服务指南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2023-08-01T16:08:48Z</vt:filetime>
  </property>
  <property fmtid="{D5CDD505-2E9C-101B-9397-08002B2CF9AE}" pid="4" name="KSOProductBuildVer">
    <vt:lpwstr>2052-12.1.0.15120</vt:lpwstr>
  </property>
  <property fmtid="{D5CDD505-2E9C-101B-9397-08002B2CF9AE}" pid="5" name="ICV">
    <vt:lpwstr>FF1EED6FE40C4D0184F2C345087854E7_13</vt:lpwstr>
  </property>
</Properties>
</file>