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68" w:right="1390" w:hanging="840"/>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建设殡仪馆、火葬场审批</w:t>
      </w:r>
      <w:r>
        <w:rPr>
          <w:rFonts w:ascii="微软雅黑" w:hAnsi="微软雅黑" w:eastAsia="微软雅黑" w:cs="微软雅黑"/>
          <w:color w:val="231F20"/>
          <w:spacing w:val="4"/>
          <w:sz w:val="24"/>
          <w:szCs w:val="24"/>
        </w:rPr>
        <w:t xml:space="preserve"> </w:t>
      </w:r>
      <w:r>
        <w:rPr>
          <w:rFonts w:ascii="微软雅黑" w:hAnsi="微软雅黑" w:eastAsia="微软雅黑" w:cs="微软雅黑"/>
          <w:color w:val="231F20"/>
          <w:spacing w:val="-2"/>
          <w:sz w:val="24"/>
          <w:szCs w:val="24"/>
        </w:rPr>
        <w:t>服务指南</w:t>
      </w:r>
    </w:p>
    <w:p>
      <w:pPr>
        <w:spacing w:before="22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31" w:lineRule="auto"/>
        <w:ind w:left="4785"/>
      </w:pPr>
      <w:r>
        <w:rPr>
          <w:color w:val="231F20"/>
          <w:spacing w:val="-2"/>
        </w:rPr>
        <w:t>建设殡仪馆、火葬场审批</w:t>
      </w:r>
    </w:p>
    <w:p>
      <w:pPr>
        <w:spacing w:before="47"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3" w:line="230" w:lineRule="auto"/>
        <w:ind w:left="4755"/>
      </w:pPr>
      <w:r>
        <w:rPr>
          <w:color w:val="231F20"/>
          <w:spacing w:val="4"/>
        </w:rPr>
        <w:t>《殡葬管理条例》</w:t>
      </w:r>
    </w:p>
    <w:p>
      <w:pPr>
        <w:spacing w:before="48"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4"/>
        </w:rPr>
        <w:t>自然人、企业法人、社会组织法人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33" w:lineRule="auto"/>
        <w:ind w:left="4802"/>
      </w:pPr>
      <w:r>
        <w:rPr>
          <w:color w:val="231F20"/>
          <w:spacing w:val="-5"/>
        </w:rPr>
        <w:t>1、申请书</w:t>
      </w:r>
    </w:p>
    <w:p>
      <w:pPr>
        <w:pStyle w:val="2"/>
        <w:spacing w:before="49" w:line="251" w:lineRule="auto"/>
        <w:ind w:left="4354" w:right="600" w:firstLine="432"/>
      </w:pPr>
      <w:r>
        <w:rPr>
          <w:color w:val="231F20"/>
          <w:spacing w:val="8"/>
        </w:rPr>
        <w:t>2、当地民政、土地、建设部门的审查</w:t>
      </w:r>
      <w:r>
        <w:rPr>
          <w:color w:val="231F20"/>
        </w:rPr>
        <w:t xml:space="preserve"> </w:t>
      </w:r>
      <w:r>
        <w:rPr>
          <w:color w:val="231F20"/>
          <w:spacing w:val="-6"/>
        </w:rPr>
        <w:t>意见</w:t>
      </w:r>
    </w:p>
    <w:p>
      <w:pPr>
        <w:pStyle w:val="2"/>
        <w:spacing w:before="46" w:line="233" w:lineRule="auto"/>
        <w:ind w:left="4784"/>
      </w:pPr>
      <w:r>
        <w:rPr>
          <w:color w:val="231F20"/>
          <w:spacing w:val="-2"/>
        </w:rPr>
        <w:t>3、项目可行性报告</w:t>
      </w:r>
    </w:p>
    <w:p>
      <w:pPr>
        <w:pStyle w:val="2"/>
        <w:spacing w:before="46" w:line="253" w:lineRule="auto"/>
        <w:ind w:left="4368" w:right="601" w:firstLine="416"/>
      </w:pPr>
      <w:r>
        <w:rPr>
          <w:color w:val="231F20"/>
          <w:spacing w:val="7"/>
        </w:rPr>
        <w:t>4、财政或金融机构出具的有效验资证</w:t>
      </w:r>
      <w:r>
        <w:rPr>
          <w:color w:val="231F20"/>
          <w:spacing w:val="8"/>
        </w:rPr>
        <w:t xml:space="preserve"> </w:t>
      </w:r>
      <w:r>
        <w:rPr>
          <w:color w:val="231F20"/>
        </w:rPr>
        <w:t>明</w:t>
      </w:r>
    </w:p>
    <w:p>
      <w:pPr>
        <w:pStyle w:val="2"/>
        <w:spacing w:before="42" w:line="251" w:lineRule="auto"/>
        <w:ind w:left="4369" w:right="599" w:firstLine="419"/>
      </w:pPr>
      <w:r>
        <w:rPr>
          <w:color w:val="231F20"/>
          <w:spacing w:val="8"/>
        </w:rPr>
        <w:t>5、拟代表资格人基本情况及身份证复</w:t>
      </w:r>
      <w:r>
        <w:rPr>
          <w:color w:val="231F20"/>
          <w:spacing w:val="1"/>
        </w:rPr>
        <w:t xml:space="preserve"> </w:t>
      </w:r>
      <w:r>
        <w:rPr>
          <w:color w:val="231F20"/>
          <w:spacing w:val="-10"/>
        </w:rPr>
        <w:t>印件</w:t>
      </w:r>
    </w:p>
    <w:p>
      <w:pPr>
        <w:pStyle w:val="2"/>
        <w:spacing w:before="47" w:line="230" w:lineRule="auto"/>
        <w:ind w:left="4785"/>
      </w:pPr>
      <w:r>
        <w:rPr>
          <w:color w:val="231F20"/>
          <w:spacing w:val="-2"/>
        </w:rPr>
        <w:t>6、村、镇初审意见</w:t>
      </w:r>
    </w:p>
    <w:p>
      <w:pPr>
        <w:pStyle w:val="2"/>
        <w:spacing w:before="52" w:line="232" w:lineRule="auto"/>
        <w:ind w:left="4789"/>
      </w:pPr>
      <w:r>
        <w:rPr>
          <w:color w:val="231F20"/>
          <w:spacing w:val="-2"/>
        </w:rPr>
        <w:t>7、规划、环保部门审核意见</w:t>
      </w:r>
    </w:p>
    <w:p>
      <w:pPr>
        <w:spacing w:before="47"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784"/>
      </w:pPr>
      <w:r>
        <w:rPr>
          <w:color w:val="231F20"/>
          <w:spacing w:val="-1"/>
        </w:rPr>
        <w:t>唐山市曹妃甸区行政审批局</w:t>
      </w:r>
    </w:p>
    <w:p>
      <w:pPr>
        <w:spacing w:before="48" w:line="202" w:lineRule="auto"/>
        <w:ind w:left="478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202" w:lineRule="auto"/>
        <w:rPr>
          <w:rFonts w:ascii="微软雅黑" w:hAnsi="微软雅黑" w:eastAsia="微软雅黑" w:cs="微软雅黑"/>
          <w:sz w:val="22"/>
          <w:szCs w:val="22"/>
        </w:rPr>
        <w:sectPr>
          <w:headerReference r:id="rId5" w:type="default"/>
          <w:pgSz w:w="10772" w:h="11906"/>
          <w:pgMar w:top="400" w:right="2" w:bottom="0" w:left="1615" w:header="0" w:footer="0" w:gutter="0"/>
          <w:cols w:space="720" w:num="1"/>
        </w:sectPr>
      </w:pPr>
    </w:p>
    <w:p>
      <w:pPr>
        <w:spacing w:before="88"/>
      </w:pPr>
      <w:r>
        <w:pict>
          <v:rect id="_x0000_s1026" o:spid="_x0000_s1026" o:spt="1" style="position:absolute;left:0pt;margin-left:94.95pt;margin-top:71.1pt;height:3.65pt;width:4.2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75pt;margin-top:74.1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7pt;margin-top:106.05pt;height:0.6pt;width:39.15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5pt;margin-top:54.2pt;height:0.6pt;width:21.05pt;mso-position-horizontal-relative:page;mso-position-vertical-relative:page;z-index:251669504;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529590</wp:posOffset>
            </wp:positionH>
            <wp:positionV relativeFrom="page">
              <wp:posOffset>692150</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7.1pt;margin-top:90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4pt;margin-top:93.7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2pt;margin-top:93.7pt;height:25.3pt;width:31.1pt;mso-position-horizontal-relative:page;mso-position-vertical-relative:page;z-index:25167052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1393190</wp:posOffset>
            </wp:positionH>
            <wp:positionV relativeFrom="page">
              <wp:posOffset>1323975</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5"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751840</wp:posOffset>
            </wp:positionH>
            <wp:positionV relativeFrom="page">
              <wp:posOffset>1323975</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2.1pt;margin-top:138.2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8480" behindDoc="0" locked="0" layoutInCell="0" allowOverlap="1">
            <wp:simplePos x="0" y="0"/>
            <wp:positionH relativeFrom="page">
              <wp:posOffset>1205865</wp:posOffset>
            </wp:positionH>
            <wp:positionV relativeFrom="page">
              <wp:posOffset>1496060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3"/>
                    </a:xfrm>
                    <a:prstGeom prst="rect">
                      <a:avLst/>
                    </a:prstGeom>
                  </pic:spPr>
                </pic:pic>
              </a:graphicData>
            </a:graphic>
          </wp:anchor>
        </w:drawing>
      </w:r>
    </w:p>
    <w:p>
      <w:pPr>
        <w:sectPr>
          <w:headerReference r:id="rId6" w:type="default"/>
          <w:pgSz w:w="10772" w:h="11906"/>
          <w:pgMar w:top="400" w:right="599" w:bottom="0" w:left="556" w:header="0" w:footer="0" w:gutter="0"/>
          <w:cols w:equalWidth="0" w:num="1">
            <w:col w:w="9616"/>
          </w:cols>
        </w:sectPr>
      </w:pPr>
    </w:p>
    <w:p>
      <w:pPr>
        <w:spacing w:line="21" w:lineRule="exact"/>
      </w:pPr>
    </w:p>
    <w:tbl>
      <w:tblPr>
        <w:tblStyle w:val="5"/>
        <w:tblW w:w="1302" w:type="dxa"/>
        <w:tblInd w:w="73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113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2626"/>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47"/>
                    </a:xfrm>
                    <a:prstGeom prst="rect">
                      <a:avLst/>
                    </a:prstGeom>
                  </pic:spPr>
                </pic:pic>
              </a:graphicData>
            </a:graphic>
          </wp:inline>
        </w:drawing>
      </w:r>
    </w:p>
    <w:p>
      <w:pPr>
        <w:spacing w:line="134" w:lineRule="auto"/>
        <w:rPr>
          <w:rFonts w:ascii="Arial"/>
          <w:sz w:val="2"/>
        </w:rPr>
      </w:pPr>
    </w:p>
    <w:tbl>
      <w:tblPr>
        <w:tblStyle w:val="5"/>
        <w:tblW w:w="819" w:type="dxa"/>
        <w:tblInd w:w="93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43" w:line="203" w:lineRule="auto"/>
        <w:ind w:left="45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4" w:line="233" w:lineRule="auto"/>
        <w:ind w:left="472"/>
      </w:pPr>
      <w:r>
        <w:rPr>
          <w:color w:val="231F20"/>
          <w:spacing w:val="-2"/>
        </w:rPr>
        <w:t>法定时限：</w:t>
      </w:r>
      <w:r>
        <w:rPr>
          <w:rFonts w:hint="eastAsia" w:ascii="方正仿宋简体" w:hAnsi="方正仿宋简体" w:eastAsia="方正仿宋简体" w:cs="方正仿宋简体"/>
          <w:color w:val="231F20"/>
          <w:spacing w:val="-3"/>
        </w:rPr>
        <w:t>20</w:t>
      </w:r>
      <w:r>
        <w:rPr>
          <w:color w:val="231F20"/>
          <w:spacing w:val="-2"/>
        </w:rPr>
        <w:t>个工作日</w:t>
      </w:r>
    </w:p>
    <w:p>
      <w:pPr>
        <w:pStyle w:val="2"/>
        <w:spacing w:before="37" w:line="232" w:lineRule="auto"/>
        <w:ind w:left="463"/>
      </w:pPr>
      <w:r>
        <w:rPr>
          <w:color w:val="231F20"/>
          <w:spacing w:val="-2"/>
        </w:rPr>
        <w:t>承诺时限：</w:t>
      </w:r>
      <w:r>
        <w:rPr>
          <w:rFonts w:hint="eastAsia" w:ascii="方正仿宋简体" w:hAnsi="方正仿宋简体" w:eastAsia="方正仿宋简体" w:cs="方正仿宋简体"/>
          <w:color w:val="231F20"/>
          <w:spacing w:val="-3"/>
        </w:rPr>
        <w:t>3</w:t>
      </w:r>
      <w:r>
        <w:rPr>
          <w:color w:val="231F20"/>
          <w:spacing w:val="-2"/>
        </w:rPr>
        <w:t>个工作日</w:t>
      </w:r>
    </w:p>
    <w:p>
      <w:pPr>
        <w:spacing w:before="36"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4" w:line="233" w:lineRule="auto"/>
        <w:ind w:left="468"/>
      </w:pPr>
      <w:r>
        <w:rPr>
          <w:color w:val="231F20"/>
          <w:spacing w:val="-5"/>
        </w:rPr>
        <w:t>不收费</w:t>
      </w:r>
    </w:p>
    <w:p>
      <w:pPr>
        <w:spacing w:before="3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bookmarkStart w:id="0" w:name="_GoBack"/>
      <w:bookmarkEnd w:id="0"/>
    </w:p>
    <w:p>
      <w:pPr>
        <w:pStyle w:val="2"/>
        <w:spacing w:before="41" w:line="246" w:lineRule="auto"/>
        <w:ind w:left="51" w:right="2" w:firstLine="409"/>
        <w:rPr>
          <w:rFonts w:hint="eastAsia" w:ascii="方正仿宋简体" w:hAnsi="方正仿宋简体" w:eastAsia="方正仿宋简体" w:cs="方正仿宋简体"/>
          <w:color w:val="231F20"/>
          <w:spacing w:val="-3"/>
        </w:rPr>
      </w:pPr>
      <w:r>
        <w:rPr>
          <w:rFonts w:hint="eastAsia" w:ascii="方正仿宋简体" w:hAnsi="方正仿宋简体" w:eastAsia="方正仿宋简体" w:cs="方正仿宋简体"/>
          <w:color w:val="231F20"/>
          <w:spacing w:val="-3"/>
        </w:rPr>
        <w:fldChar w:fldCharType="begin"/>
      </w:r>
      <w:r>
        <w:rPr>
          <w:rFonts w:hint="eastAsia" w:ascii="方正仿宋简体" w:hAnsi="方正仿宋简体" w:eastAsia="方正仿宋简体" w:cs="方正仿宋简体"/>
          <w:color w:val="231F20"/>
          <w:spacing w:val="-3"/>
        </w:rPr>
        <w:instrText xml:space="preserve"> HYPERLINK "http://tscfd.hbzwfw.gov.cn/" </w:instrText>
      </w:r>
      <w:r>
        <w:rPr>
          <w:rFonts w:hint="eastAsia" w:ascii="方正仿宋简体" w:hAnsi="方正仿宋简体" w:eastAsia="方正仿宋简体" w:cs="方正仿宋简体"/>
          <w:color w:val="231F20"/>
          <w:spacing w:val="-3"/>
        </w:rPr>
        <w:fldChar w:fldCharType="separate"/>
      </w:r>
      <w:r>
        <w:rPr>
          <w:rFonts w:hint="eastAsia" w:ascii="方正仿宋简体" w:hAnsi="方正仿宋简体" w:eastAsia="方正仿宋简体" w:cs="方正仿宋简体"/>
          <w:color w:val="231F20"/>
          <w:spacing w:val="-3"/>
        </w:rPr>
        <w:t>http://tscfd.hbzwfw.gov.cn/</w:t>
      </w:r>
      <w:r>
        <w:rPr>
          <w:rFonts w:hint="eastAsia" w:ascii="方正仿宋简体" w:hAnsi="方正仿宋简体" w:eastAsia="方正仿宋简体" w:cs="方正仿宋简体"/>
          <w:color w:val="231F20"/>
          <w:spacing w:val="-3"/>
        </w:rPr>
        <w:fldChar w:fldCharType="end"/>
      </w:r>
      <w:r>
        <w:rPr>
          <w:rFonts w:hint="eastAsia" w:ascii="方正仿宋简体" w:hAnsi="方正仿宋简体" w:eastAsia="方正仿宋简体" w:cs="方正仿宋简体"/>
          <w:color w:val="231F20"/>
          <w:spacing w:val="-3"/>
        </w:rPr>
        <w:t>.</w:t>
      </w:r>
    </w:p>
    <w:p>
      <w:pPr>
        <w:pStyle w:val="2"/>
        <w:spacing w:before="41" w:line="246" w:lineRule="auto"/>
        <w:ind w:left="51" w:right="2" w:firstLine="409"/>
        <w:rPr>
          <w:rFonts w:hint="eastAsia" w:ascii="方正仿宋简体" w:hAnsi="方正仿宋简体" w:eastAsia="方正仿宋简体" w:cs="方正仿宋简体"/>
          <w:color w:val="231F20"/>
          <w:spacing w:val="-3"/>
        </w:rPr>
      </w:pPr>
      <w:r>
        <w:rPr>
          <w:rFonts w:hint="eastAsia" w:ascii="方正仿宋简体" w:hAnsi="方正仿宋简体" w:eastAsia="方正仿宋简体" w:cs="方正仿宋简体"/>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ascii="方正仿宋简体" w:hAnsi="方正仿宋简体" w:eastAsia="方正仿宋简体" w:cs="方正仿宋简体"/>
          <w:color w:val="231F20"/>
          <w:spacing w:val="-3"/>
        </w:rPr>
      </w:pPr>
      <w:r>
        <w:rPr>
          <w:rFonts w:hint="eastAsia" w:ascii="方正仿宋简体" w:hAnsi="方正仿宋简体" w:eastAsia="方正仿宋简体" w:cs="方正仿宋简体"/>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ascii="方正仿宋简体" w:hAnsi="方正仿宋简体" w:eastAsia="方正仿宋简体" w:cs="方正仿宋简体"/>
          <w:color w:val="231F20"/>
          <w:spacing w:val="-3"/>
        </w:rPr>
      </w:pPr>
      <w:r>
        <w:rPr>
          <w:rFonts w:hint="eastAsia" w:ascii="方正仿宋简体" w:hAnsi="方正仿宋简体" w:eastAsia="方正仿宋简体" w:cs="方正仿宋简体"/>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ascii="方正仿宋简体" w:hAnsi="方正仿宋简体" w:eastAsia="方正仿宋简体" w:cs="方正仿宋简体"/>
          <w:color w:val="231F20"/>
          <w:spacing w:val="-3"/>
        </w:rPr>
      </w:pPr>
      <w:r>
        <w:rPr>
          <w:rFonts w:hint="eastAsia" w:ascii="方正仿宋简体" w:hAnsi="方正仿宋简体" w:eastAsia="方正仿宋简体" w:cs="方正仿宋简体"/>
          <w:color w:val="231F20"/>
          <w:spacing w:val="-3"/>
        </w:rPr>
        <w:t>交通指引：</w:t>
      </w:r>
    </w:p>
    <w:p>
      <w:pPr>
        <w:pStyle w:val="2"/>
        <w:spacing w:before="41" w:line="246" w:lineRule="auto"/>
        <w:ind w:left="51" w:right="2" w:firstLine="409"/>
        <w:rPr>
          <w:rFonts w:hint="eastAsia" w:ascii="方正仿宋简体" w:hAnsi="方正仿宋简体" w:eastAsia="方正仿宋简体" w:cs="方正仿宋简体"/>
          <w:color w:val="231F20"/>
          <w:spacing w:val="-3"/>
        </w:rPr>
      </w:pPr>
      <w:r>
        <w:rPr>
          <w:rFonts w:hint="eastAsia" w:ascii="方正仿宋简体" w:hAnsi="方正仿宋简体" w:eastAsia="方正仿宋简体" w:cs="方正仿宋简体"/>
          <w:color w:val="231F20"/>
          <w:spacing w:val="-3"/>
        </w:rPr>
        <w:t>1.临港中心：乘坐公交K1支线/K1专线，四大联检下车（曹妃甸工业区兴业道1号）；</w:t>
      </w:r>
    </w:p>
    <w:p>
      <w:pPr>
        <w:pStyle w:val="2"/>
        <w:spacing w:before="41" w:line="246" w:lineRule="auto"/>
        <w:ind w:left="51" w:right="2" w:firstLine="409"/>
        <w:rPr>
          <w:rFonts w:hint="eastAsia" w:ascii="方正仿宋简体" w:hAnsi="方正仿宋简体" w:eastAsia="方正仿宋简体" w:cs="方正仿宋简体"/>
          <w:color w:val="231F20"/>
          <w:spacing w:val="-3"/>
        </w:rPr>
      </w:pPr>
      <w:r>
        <w:rPr>
          <w:rFonts w:hint="eastAsia" w:ascii="方正仿宋简体" w:hAnsi="方正仿宋简体" w:eastAsia="方正仿宋简体" w:cs="方正仿宋简体"/>
          <w:color w:val="231F20"/>
          <w:spacing w:val="-3"/>
        </w:rPr>
        <w:t>2.垦区中心：乘坐公交101路/102路，行政审批大厅下车（曹妃甸新城大街与唐海路交叉口西行200米）</w:t>
      </w:r>
    </w:p>
    <w:p>
      <w:pPr>
        <w:pStyle w:val="2"/>
        <w:spacing w:before="41" w:line="246" w:lineRule="auto"/>
        <w:ind w:left="51" w:right="2" w:firstLine="409"/>
        <w:rPr>
          <w:rFonts w:hint="eastAsia" w:ascii="方正仿宋简体" w:hAnsi="方正仿宋简体" w:eastAsia="方正仿宋简体" w:cs="方正仿宋简体"/>
          <w:color w:val="231F20"/>
          <w:spacing w:val="-3"/>
        </w:rPr>
      </w:pPr>
      <w:r>
        <w:rPr>
          <w:rFonts w:hint="eastAsia" w:ascii="方正仿宋简体" w:hAnsi="方正仿宋简体" w:eastAsia="方正仿宋简体" w:cs="方正仿宋简体"/>
          <w:color w:val="231F20"/>
          <w:spacing w:val="-3"/>
        </w:rPr>
        <w:t>3.新城中心：乘坐公交K2路，新城服务中心下车（曹妃甸新城未来大道1号）；</w:t>
      </w:r>
    </w:p>
    <w:p>
      <w:pPr>
        <w:pStyle w:val="2"/>
        <w:spacing w:before="41" w:line="246" w:lineRule="auto"/>
        <w:ind w:left="51" w:right="2" w:firstLine="409"/>
        <w:rPr>
          <w:rFonts w:hint="eastAsia" w:ascii="方正仿宋简体" w:hAnsi="方正仿宋简体" w:eastAsia="方正仿宋简体" w:cs="方正仿宋简体"/>
          <w:color w:val="231F20"/>
          <w:spacing w:val="-3"/>
        </w:rPr>
      </w:pPr>
      <w:r>
        <w:rPr>
          <w:rFonts w:hint="eastAsia" w:ascii="方正仿宋简体" w:hAnsi="方正仿宋简体" w:eastAsia="方正仿宋简体" w:cs="方正仿宋简体"/>
          <w:color w:val="231F20"/>
          <w:spacing w:val="-3"/>
        </w:rPr>
        <w:t>十二、办公时间</w:t>
      </w:r>
    </w:p>
    <w:p>
      <w:pPr>
        <w:pStyle w:val="2"/>
        <w:spacing w:before="41" w:line="246" w:lineRule="auto"/>
        <w:ind w:left="51" w:right="2" w:firstLine="409"/>
        <w:rPr>
          <w:rFonts w:hint="eastAsia" w:ascii="方正仿宋简体" w:hAnsi="方正仿宋简体" w:eastAsia="方正仿宋简体" w:cs="方正仿宋简体"/>
          <w:color w:val="231F20"/>
          <w:spacing w:val="-3"/>
          <w:lang w:val="en-US" w:eastAsia="en-US"/>
        </w:rPr>
      </w:pPr>
      <w:r>
        <w:rPr>
          <w:rFonts w:hint="eastAsia" w:ascii="方正仿宋简体" w:hAnsi="方正仿宋简体" w:eastAsia="方正仿宋简体" w:cs="方正仿宋简体"/>
          <w:color w:val="231F20"/>
          <w:spacing w:val="-3"/>
          <w:lang w:val="en-US" w:eastAsia="en-US"/>
        </w:rPr>
        <w:t>周一到周五：春秋冬季（9月1日至5月31日）上午8:30～12:00，下午13:30～17:30；夏季（6月1日至8月31日）上午8:30～12:00，下午14:30～17:30，法定节假日除外。</w:t>
      </w:r>
    </w:p>
    <w:p>
      <w:pPr>
        <w:pStyle w:val="2"/>
        <w:spacing w:before="41" w:line="246" w:lineRule="auto"/>
        <w:ind w:left="51" w:right="2" w:firstLine="409"/>
        <w:rPr>
          <w:rFonts w:hint="eastAsia" w:ascii="方正仿宋简体" w:hAnsi="方正仿宋简体" w:eastAsia="方正仿宋简体" w:cs="方正仿宋简体"/>
          <w:color w:val="231F20"/>
          <w:spacing w:val="-3"/>
        </w:rPr>
      </w:pPr>
      <w:r>
        <w:rPr>
          <w:rFonts w:hint="eastAsia" w:ascii="方正仿宋简体" w:hAnsi="方正仿宋简体" w:eastAsia="方正仿宋简体" w:cs="方正仿宋简体"/>
          <w:color w:val="231F20"/>
          <w:spacing w:val="-3"/>
        </w:rPr>
        <w:t>十三、咨询电话</w:t>
      </w:r>
    </w:p>
    <w:p>
      <w:pPr>
        <w:pStyle w:val="2"/>
        <w:spacing w:before="41" w:line="246" w:lineRule="auto"/>
        <w:ind w:left="51" w:right="2" w:firstLine="409"/>
        <w:rPr>
          <w:rFonts w:hint="eastAsia" w:ascii="方正仿宋简体" w:hAnsi="方正仿宋简体" w:eastAsia="方正仿宋简体" w:cs="方正仿宋简体"/>
          <w:color w:val="231F20"/>
          <w:spacing w:val="-3"/>
        </w:rPr>
      </w:pPr>
      <w:r>
        <w:rPr>
          <w:rFonts w:hint="eastAsia" w:ascii="方正仿宋简体" w:hAnsi="方正仿宋简体" w:eastAsia="方正仿宋简体" w:cs="方正仿宋简体"/>
          <w:color w:val="231F20"/>
          <w:spacing w:val="-3"/>
        </w:rPr>
        <w:t>03 1 5 - 8 8 51 606（临 港 中心 ） 、 0 3 1 5 - 8 7 8 7 0 5 0 （ 垦 区 中 心 ） 、 0315-7721104（新城中心）</w:t>
      </w:r>
    </w:p>
    <w:p>
      <w:pPr>
        <w:pStyle w:val="2"/>
        <w:spacing w:before="41" w:line="246" w:lineRule="auto"/>
        <w:ind w:left="51" w:right="2" w:firstLine="409"/>
        <w:rPr>
          <w:rFonts w:hint="eastAsia" w:ascii="方正仿宋简体" w:hAnsi="方正仿宋简体" w:eastAsia="方正仿宋简体" w:cs="方正仿宋简体"/>
          <w:color w:val="231F20"/>
          <w:spacing w:val="-3"/>
        </w:rPr>
      </w:pPr>
      <w:r>
        <w:rPr>
          <w:rFonts w:hint="eastAsia" w:ascii="方正仿宋简体" w:hAnsi="方正仿宋简体" w:eastAsia="方正仿宋简体" w:cs="方正仿宋简体"/>
          <w:color w:val="231F20"/>
          <w:spacing w:val="-3"/>
        </w:rPr>
        <w:t>十四、监督（投诉）电话</w:t>
      </w:r>
    </w:p>
    <w:p>
      <w:pPr>
        <w:pStyle w:val="2"/>
        <w:spacing w:before="41" w:line="246" w:lineRule="auto"/>
        <w:ind w:left="51" w:right="2" w:firstLine="409"/>
        <w:rPr>
          <w:rFonts w:hint="eastAsia" w:ascii="方正仿宋简体" w:hAnsi="方正仿宋简体" w:eastAsia="方正仿宋简体" w:cs="方正仿宋简体"/>
          <w:color w:val="231F20"/>
          <w:spacing w:val="-3"/>
        </w:rPr>
      </w:pPr>
      <w:r>
        <w:rPr>
          <w:rFonts w:hint="eastAsia" w:ascii="方正仿宋简体" w:hAnsi="方正仿宋简体" w:eastAsia="方正仿宋简体" w:cs="方正仿宋简体"/>
          <w:color w:val="231F20"/>
          <w:spacing w:val="-3"/>
        </w:rPr>
        <w:t>0315-8787068</w:t>
      </w:r>
    </w:p>
    <w:p>
      <w:pPr>
        <w:pStyle w:val="2"/>
        <w:spacing w:before="41" w:line="246" w:lineRule="auto"/>
        <w:ind w:left="51" w:right="2" w:firstLine="409"/>
        <w:rPr>
          <w:rFonts w:hint="eastAsia" w:ascii="方正仿宋简体" w:hAnsi="方正仿宋简体" w:eastAsia="方正仿宋简体" w:cs="方正仿宋简体"/>
          <w:color w:val="231F20"/>
          <w:spacing w:val="-3"/>
        </w:rPr>
      </w:pPr>
      <w:r>
        <w:rPr>
          <w:rFonts w:hint="eastAsia" w:ascii="方正仿宋简体" w:hAnsi="方正仿宋简体" w:eastAsia="方正仿宋简体" w:cs="方正仿宋简体"/>
          <w:color w:val="231F20"/>
          <w:spacing w:val="-3"/>
        </w:rPr>
        <w:t>救济途径</w:t>
      </w:r>
    </w:p>
    <w:p>
      <w:pPr>
        <w:pStyle w:val="2"/>
        <w:spacing w:before="41" w:line="246" w:lineRule="auto"/>
        <w:ind w:left="51" w:right="2" w:firstLine="409"/>
        <w:rPr>
          <w:rFonts w:hint="eastAsia" w:ascii="方正仿宋简体" w:hAnsi="方正仿宋简体" w:eastAsia="方正仿宋简体" w:cs="方正仿宋简体"/>
          <w:color w:val="231F20"/>
          <w:spacing w:val="-3"/>
        </w:rPr>
      </w:pPr>
      <w:r>
        <w:rPr>
          <w:rFonts w:hint="eastAsia" w:ascii="方正仿宋简体" w:hAnsi="方正仿宋简体" w:eastAsia="方正仿宋简体" w:cs="方正仿宋简体"/>
          <w:color w:val="231F20"/>
          <w:spacing w:val="-3"/>
        </w:rPr>
        <w:t>申请人如对行政许可决定不服，可于收到决定书之日起六十日内向唐山市曹妃甸区人民政府申请复议，也可以于六个月内依法向唐山市曹妃甸区人民法院提起行政诉</w:t>
      </w:r>
    </w:p>
    <w:sectPr>
      <w:type w:val="continuous"/>
      <w:pgSz w:w="10772" w:h="11906"/>
      <w:pgMar w:top="400" w:right="599" w:bottom="0" w:left="556" w:header="0" w:footer="0" w:gutter="0"/>
      <w:cols w:equalWidth="0" w:num="2">
        <w:col w:w="5309" w:space="100"/>
        <w:col w:w="420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7DA801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617</Words>
  <Characters>716</Characters>
  <TotalTime>1</TotalTime>
  <ScaleCrop>false</ScaleCrop>
  <LinksUpToDate>false</LinksUpToDate>
  <CharactersWithSpaces>756</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2022-10-21T11:09:00Z</dcterms:created>
  <dc:creator>Admin</dc:creator>
  <cp:lastModifiedBy>An玙</cp:lastModifiedBy>
  <dcterms:modified xsi:type="dcterms:W3CDTF">2023-08-01T08:07:12Z</dcterms:modified>
  <dc:title>38.建设殡仪馆、火葬场审批服务指南.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2023-08-01T14:36:09Z</vt:filetime>
  </property>
  <property fmtid="{D5CDD505-2E9C-101B-9397-08002B2CF9AE}" pid="4" name="KSOProductBuildVer">
    <vt:lpwstr>2052-11.1.0.14309</vt:lpwstr>
  </property>
  <property fmtid="{D5CDD505-2E9C-101B-9397-08002B2CF9AE}" pid="5" name="ICV">
    <vt:lpwstr>0E2B3DBBB8CD4A118BB365870C16D906_12</vt:lpwstr>
  </property>
</Properties>
</file>