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医疗机构变更服务对象和服务方式（增加互联网诊疗服务方式）</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医疗机构变更服务对象和服务方式（增加互联网诊疗服务方式）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3.《互联网医院管理办法（试行）》（国卫医发[2018]25号）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《医疗机构互联网诊疗申请表》；</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合作协议</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信息安全和预防医疗数据泄露应急预案</w:t>
      </w:r>
      <w:r>
        <w:rPr>
          <w:rFonts w:hint="eastAsia" w:ascii="仿宋" w:hAnsi="仿宋" w:eastAsia="仿宋"/>
          <w:sz w:val="32"/>
          <w:szCs w:val="32"/>
          <w:lang w:val="en-US"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sz w:val="32"/>
          <w:szCs w:val="32"/>
        </w:rPr>
        <w:t>第三级信息安全等级保护备案证明及本年度测评报告</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开展互联网诊疗要求的互联网技术设备设施、信息系统建设以及技术人员情况报告</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rPr>
        <w:t>人员经过医疗卫生法律法规、医疗服务政策、各项规章制度、岗位职责、流程规范和应急预案的培训证明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rPr>
        <w:t>河北省互联网医疗服务监管平台接口联调对接验收报告</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8.</w:t>
      </w:r>
      <w:r>
        <w:rPr>
          <w:rFonts w:hint="eastAsia" w:ascii="仿宋" w:hAnsi="仿宋" w:eastAsia="仿宋"/>
          <w:sz w:val="32"/>
          <w:szCs w:val="32"/>
        </w:rPr>
        <w:t>申请增加互联网诊疗服务方式的原因和理由</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9.</w:t>
      </w:r>
      <w:r>
        <w:rPr>
          <w:rFonts w:hint="eastAsia" w:ascii="仿宋" w:hAnsi="仿宋" w:eastAsia="仿宋"/>
          <w:sz w:val="32"/>
          <w:szCs w:val="32"/>
        </w:rPr>
        <w:t>互联网诊疗所聘专业技术人员名单，及人员职称证</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10.</w:t>
      </w:r>
      <w:r>
        <w:rPr>
          <w:rFonts w:hint="eastAsia" w:ascii="仿宋" w:hAnsi="仿宋" w:eastAsia="仿宋"/>
          <w:sz w:val="32"/>
          <w:szCs w:val="32"/>
        </w:rPr>
        <w:t>互联网诊疗规章制度目录、岗位职责</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11.授权他人办理的，提交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0.7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widowControl/>
        <w:shd w:val="clear" w:color="auto" w:fill="FFFFFF"/>
        <w:spacing w:line="560" w:lineRule="exact"/>
        <w:ind w:firstLine="640" w:firstLineChars="200"/>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F7A36A3"/>
    <w:rsid w:val="10067E60"/>
    <w:rsid w:val="13953D46"/>
    <w:rsid w:val="150E4CFB"/>
    <w:rsid w:val="1B9F4E90"/>
    <w:rsid w:val="20B75C6F"/>
    <w:rsid w:val="214C62A1"/>
    <w:rsid w:val="23147BB5"/>
    <w:rsid w:val="24E764F7"/>
    <w:rsid w:val="25210AEA"/>
    <w:rsid w:val="28EB0BBC"/>
    <w:rsid w:val="292E6006"/>
    <w:rsid w:val="2B9176D3"/>
    <w:rsid w:val="2C2E1D7E"/>
    <w:rsid w:val="2F6B5C7B"/>
    <w:rsid w:val="36920AEA"/>
    <w:rsid w:val="3A8B353F"/>
    <w:rsid w:val="3AB52389"/>
    <w:rsid w:val="3D6B5143"/>
    <w:rsid w:val="4ABE2425"/>
    <w:rsid w:val="4FD075AB"/>
    <w:rsid w:val="503069BE"/>
    <w:rsid w:val="512B4203"/>
    <w:rsid w:val="51851D47"/>
    <w:rsid w:val="5BC57C00"/>
    <w:rsid w:val="60356D5A"/>
    <w:rsid w:val="63AA519A"/>
    <w:rsid w:val="63FB40C2"/>
    <w:rsid w:val="66D767A1"/>
    <w:rsid w:val="6BDD0871"/>
    <w:rsid w:val="6C5441CD"/>
    <w:rsid w:val="70437CA7"/>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897</Words>
  <Characters>1024</Characters>
  <Lines>5</Lines>
  <Paragraphs>1</Paragraphs>
  <TotalTime>0</TotalTime>
  <ScaleCrop>false</ScaleCrop>
  <LinksUpToDate>false</LinksUpToDate>
  <CharactersWithSpaces>1026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2023-08-02T07:38:51Z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