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204" w:lineRule="auto"/>
        <w:ind w:left="5041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迁移古树名木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审批服务指南</w:t>
      </w:r>
    </w:p>
    <w:p>
      <w:pPr>
        <w:spacing w:before="208" w:line="292" w:lineRule="exact"/>
        <w:ind w:left="47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57" w:line="343" w:lineRule="exact"/>
        <w:ind w:left="477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7"/>
          <w:sz w:val="22"/>
          <w:szCs w:val="22"/>
        </w:rPr>
        <w:t>迁移古树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7"/>
          <w:sz w:val="22"/>
          <w:szCs w:val="22"/>
        </w:rPr>
        <w:t>名木审批</w:t>
      </w:r>
    </w:p>
    <w:p>
      <w:pPr>
        <w:spacing w:line="289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59" w:line="258" w:lineRule="auto"/>
        <w:ind w:left="4337" w:right="574" w:firstLine="41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《国务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院关于印发清理规范投资项目报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5"/>
          <w:sz w:val="22"/>
          <w:szCs w:val="22"/>
        </w:rPr>
        <w:t>建</w:t>
      </w:r>
      <w:r>
        <w:rPr>
          <w:rFonts w:ascii="方正仿宋简体" w:hAnsi="方正仿宋简体" w:eastAsia="方正仿宋简体" w:cs="方正仿宋简体"/>
          <w:color w:val="231F20"/>
          <w:spacing w:val="54"/>
          <w:sz w:val="22"/>
          <w:szCs w:val="22"/>
        </w:rPr>
        <w:t>审批事项实施方案的通知》(国发</w:t>
      </w:r>
    </w:p>
    <w:p>
      <w:pPr>
        <w:tabs>
          <w:tab w:val="left" w:pos="4426"/>
        </w:tabs>
        <w:spacing w:before="3" w:line="257" w:lineRule="auto"/>
        <w:ind w:left="4316" w:right="555" w:firstLine="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〔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2016〕29号) 2项审批事项合并为1项审批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事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项；  《河北省城市园林绿化管理办法》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ab/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(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011年12月31日公布，2017年12月31日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第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三次修正)第三十条。</w:t>
      </w:r>
    </w:p>
    <w:p>
      <w:pPr>
        <w:spacing w:line="292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58" w:line="273" w:lineRule="auto"/>
        <w:ind w:left="4791" w:right="593" w:firstLine="35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0"/>
          <w:sz w:val="22"/>
          <w:szCs w:val="22"/>
        </w:rPr>
        <w:t>自</w:t>
      </w:r>
      <w:r>
        <w:rPr>
          <w:rFonts w:ascii="方正仿宋简体" w:hAnsi="方正仿宋简体" w:eastAsia="方正仿宋简体" w:cs="方正仿宋简体"/>
          <w:color w:val="231F20"/>
          <w:spacing w:val="-12"/>
          <w:sz w:val="22"/>
          <w:szCs w:val="22"/>
        </w:rPr>
        <w:t>然人、企业法人、事业法人、行政机关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6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sz w:val="22"/>
          <w:szCs w:val="22"/>
        </w:rPr>
        <w:t>受理条件</w:t>
      </w:r>
    </w:p>
    <w:p>
      <w:pPr>
        <w:spacing w:before="3" w:line="256" w:lineRule="auto"/>
        <w:ind w:left="4348" w:right="57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349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8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8"/>
          <w:sz w:val="22"/>
          <w:szCs w:val="22"/>
        </w:rPr>
        <w:t>材料</w:t>
      </w:r>
    </w:p>
    <w:p>
      <w:pPr>
        <w:spacing w:line="338" w:lineRule="exact"/>
        <w:ind w:left="479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1.行政许可申请书；</w:t>
      </w:r>
    </w:p>
    <w:p>
      <w:pPr>
        <w:spacing w:before="8" w:line="258" w:lineRule="auto"/>
        <w:ind w:left="4383" w:right="573" w:firstLine="3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.城市绿化工程设计方案及工程建设项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目附属绿化设计变更方案和图纸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；</w:t>
      </w:r>
    </w:p>
    <w:p>
      <w:pPr>
        <w:spacing w:before="1" w:line="258" w:lineRule="auto"/>
        <w:ind w:left="4776" w:right="138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3.建设工程规划许可证；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4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古树名木移植专家论证意见；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5.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项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目完工后恢复协议；</w:t>
      </w:r>
    </w:p>
    <w:p>
      <w:pPr>
        <w:spacing w:before="3" w:line="267" w:lineRule="auto"/>
        <w:ind w:left="4333" w:right="572" w:firstLine="44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6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.拟建项目施工平面图、设计影响改变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0"/>
          <w:sz w:val="22"/>
          <w:szCs w:val="22"/>
        </w:rPr>
        <w:t>城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市绿化规划、绿化用地性质，  临时占用城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市绿地或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修剪、移植、砍伐树木平面图，树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9"/>
          <w:sz w:val="22"/>
          <w:szCs w:val="22"/>
        </w:rPr>
        <w:t>木移植、大修剪方案(含现状树木位</w:t>
      </w:r>
      <w:r>
        <w:rPr>
          <w:rFonts w:ascii="方正仿宋简体" w:hAnsi="方正仿宋简体" w:eastAsia="方正仿宋简体" w:cs="方正仿宋简体"/>
          <w:color w:val="231F20"/>
          <w:spacing w:val="37"/>
          <w:sz w:val="22"/>
          <w:szCs w:val="22"/>
        </w:rPr>
        <w:t>置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0"/>
          <w:sz w:val="22"/>
          <w:szCs w:val="22"/>
        </w:rPr>
        <w:t>图)</w:t>
      </w:r>
      <w:r>
        <w:rPr>
          <w:rFonts w:ascii="方正仿宋简体" w:hAnsi="方正仿宋简体" w:eastAsia="方正仿宋简体" w:cs="方正仿宋简体"/>
          <w:color w:val="231F20"/>
          <w:spacing w:val="39"/>
          <w:sz w:val="22"/>
          <w:szCs w:val="22"/>
        </w:rPr>
        <w:t>。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61.65pt;height:23.7pt;width:0.6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98.2pt;height:29.2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155.6pt;height:35.85pt;width:0.6pt;mso-position-horizontal-relative:page;mso-position-vertical-relative:page;z-index:2516910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155.6pt;height:35.8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112.8pt;height:38.0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130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61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97.9pt;height:0.6pt;width:26.25pt;mso-position-horizontal-relative:page;mso-position-vertical-relative:page;z-index:251681792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127.1pt;height:0.6pt;width:26.25pt;mso-position-horizontal-relative:page;mso-position-vertical-relative:page;z-index:251680768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98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112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155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61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61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96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107.8pt;height:19.5pt;width:45.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1929765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43.6pt;margin-top:155.3pt;height:6.7pt;width:6pt;mso-position-horizontal-relative:page;mso-position-vertical-relative:page;z-index:251671552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28.35pt;margin-top:155.3pt;height:6.7pt;width:6pt;mso-position-horizontal-relative:page;mso-position-vertical-relative:page;z-index:251672576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150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150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34.6pt;margin-top:155.3pt;height:6.7pt;width:6pt;mso-position-horizontal-relative:page;mso-position-vertical-relative:page;z-index:251673600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19.35pt;margin-top:155.3pt;height:6.7pt;width:6pt;mso-position-horizontal-relative:page;mso-position-vertical-relative:page;z-index:251674624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158.95pt;height:31.65pt;width:5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63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68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68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43.6pt;margin-top:185.05pt;height:6.7pt;width:6pt;mso-position-horizontal-relative:page;mso-position-vertical-relative:page;z-index:251676672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28.35pt;margin-top:185.05pt;height:6.7pt;width:6pt;mso-position-horizontal-relative:page;mso-position-vertical-relative:page;z-index:251675648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2176780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34.6pt;margin-top:185.05pt;height:6.7pt;width:6pt;mso-position-horizontal-relative:page;mso-position-vertical-relative:page;z-index:251678720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19.35pt;margin-top:185.05pt;height:6.7pt;width:6pt;mso-position-horizontal-relative:page;mso-position-vertical-relative:page;z-index:251677696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29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9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285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412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</w:t>
      </w:r>
      <w:r>
        <w:rPr>
          <w:rFonts w:hint="eastAsia"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  <w:lang w:val="en-US" w:eastAsia="zh-CN"/>
        </w:rPr>
        <w:t>35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承诺时限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：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个工作日</w:t>
      </w:r>
    </w:p>
    <w:p>
      <w:pPr>
        <w:spacing w:before="44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3" w:line="356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夏季（6月1日至8月31日）上午8:30-12:00，下午14:30-17:30. 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before="1" w:line="184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15-8820111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0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31DD018-209D-4167-AEF2-EF3E464F9CF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BB76BFD"/>
    <w:rsid w:val="0FEA1003"/>
    <w:rsid w:val="349704E7"/>
    <w:rsid w:val="3B057ED8"/>
    <w:rsid w:val="3E9F6D60"/>
    <w:rsid w:val="7FC72A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669</Words>
  <Characters>790</Characters>
  <TotalTime>0</TotalTime>
  <ScaleCrop>false</ScaleCrop>
  <LinksUpToDate>false</LinksUpToDate>
  <CharactersWithSpaces>838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2022-11-04T08:55:00Z</dcterms:created>
  <dc:creator>HR</dc:creator>
  <cp:lastModifiedBy>寒夜霜风</cp:lastModifiedBy>
  <dcterms:modified xsi:type="dcterms:W3CDTF">2023-08-01T03:38:13Z</dcterms:modified>
  <dc:title>迁移古树名木审批服务指南_复制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2023-07-01T10:35:57Z</vt:filetime>
  </property>
  <property fmtid="{D5CDD505-2E9C-101B-9397-08002B2CF9AE}" pid="4" name="KSOProductBuildVer">
    <vt:lpwstr>2052-11.1.0.14309</vt:lpwstr>
  </property>
  <property fmtid="{D5CDD505-2E9C-101B-9397-08002B2CF9AE}" pid="5" name="ICV">
    <vt:lpwstr>BE70CB8D08EE429C9BA3FB533E354043_12</vt:lpwstr>
  </property>
</Properties>
</file>