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96" w:lineRule="auto"/>
        <w:rPr>
          <w:rFonts w:ascii="Arial"/>
          <w:sz w:val="21"/>
        </w:rPr>
      </w:pPr>
    </w:p>
    <w:p>
      <w:pPr>
        <w:spacing w:line="296" w:lineRule="auto"/>
        <w:rPr>
          <w:rFonts w:ascii="Arial"/>
          <w:sz w:val="21"/>
        </w:rPr>
      </w:pPr>
    </w:p>
    <w:p>
      <w:pPr>
        <w:spacing w:line="296" w:lineRule="auto"/>
        <w:rPr>
          <w:rFonts w:ascii="Arial"/>
          <w:sz w:val="21"/>
        </w:rPr>
      </w:pPr>
    </w:p>
    <w:p>
      <w:pPr>
        <w:spacing w:line="297" w:lineRule="auto"/>
        <w:rPr>
          <w:rFonts w:ascii="Arial"/>
          <w:sz w:val="21"/>
        </w:rPr>
      </w:pPr>
    </w:p>
    <w:p>
      <w:pPr>
        <w:spacing w:before="103" w:line="190" w:lineRule="auto"/>
        <w:ind w:left="5968" w:right="1390" w:hanging="839"/>
        <w:rPr>
          <w:rFonts w:ascii="微软雅黑" w:hAnsi="微软雅黑" w:eastAsia="微软雅黑" w:cs="微软雅黑"/>
          <w:sz w:val="24"/>
          <w:szCs w:val="24"/>
        </w:rPr>
      </w:pPr>
      <w:r>
        <w:drawing>
          <wp:anchor distT="0" distB="0" distL="0" distR="0" simplePos="0" relativeHeight="251659264" behindDoc="1" locked="0" layoutInCell="1" allowOverlap="1">
            <wp:simplePos x="0" y="0"/>
            <wp:positionH relativeFrom="column">
              <wp:posOffset>2395220</wp:posOffset>
            </wp:positionH>
            <wp:positionV relativeFrom="paragraph">
              <wp:posOffset>-1009015</wp:posOffset>
            </wp:positionV>
            <wp:extent cx="3416935" cy="755586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3416807" cy="7555991"/>
                    </a:xfrm>
                    <a:prstGeom prst="rect">
                      <a:avLst/>
                    </a:prstGeom>
                  </pic:spPr>
                </pic:pic>
              </a:graphicData>
            </a:graphic>
          </wp:anchor>
        </w:drawing>
      </w:r>
      <w:r>
        <w:rPr>
          <w:rFonts w:ascii="微软雅黑" w:hAnsi="微软雅黑" w:eastAsia="微软雅黑" w:cs="微软雅黑"/>
          <w:color w:val="231F20"/>
          <w:spacing w:val="-1"/>
          <w:sz w:val="24"/>
          <w:szCs w:val="24"/>
        </w:rPr>
        <w:t>动物防疫条件合格证核发</w:t>
      </w:r>
      <w:r>
        <w:rPr>
          <w:rFonts w:ascii="微软雅黑" w:hAnsi="微软雅黑" w:eastAsia="微软雅黑" w:cs="微软雅黑"/>
          <w:color w:val="231F20"/>
          <w:spacing w:val="3"/>
          <w:sz w:val="24"/>
          <w:szCs w:val="24"/>
        </w:rPr>
        <w:t xml:space="preserve"> </w:t>
      </w:r>
      <w:r>
        <w:rPr>
          <w:rFonts w:ascii="微软雅黑" w:hAnsi="微软雅黑" w:eastAsia="微软雅黑" w:cs="微软雅黑"/>
          <w:color w:val="231F20"/>
          <w:spacing w:val="-2"/>
          <w:sz w:val="24"/>
          <w:szCs w:val="24"/>
        </w:rPr>
        <w:t>服务指南</w:t>
      </w:r>
    </w:p>
    <w:p>
      <w:pPr>
        <w:spacing w:before="221" w:line="202" w:lineRule="auto"/>
        <w:ind w:left="4786"/>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一、事项名称</w:t>
      </w:r>
    </w:p>
    <w:p>
      <w:pPr>
        <w:pStyle w:val="2"/>
        <w:spacing w:before="44" w:line="232" w:lineRule="auto"/>
        <w:ind w:left="4796"/>
      </w:pPr>
      <w:r>
        <w:rPr>
          <w:color w:val="231F20"/>
          <w:spacing w:val="-2"/>
        </w:rPr>
        <w:t>动物防疫条件合格证核发</w:t>
      </w:r>
    </w:p>
    <w:p>
      <w:pPr>
        <w:spacing w:before="46" w:line="204"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二、办理依据</w:t>
      </w:r>
    </w:p>
    <w:p>
      <w:pPr>
        <w:pStyle w:val="2"/>
        <w:spacing w:before="39" w:line="263" w:lineRule="auto"/>
        <w:ind w:left="4345" w:right="600" w:firstLine="456"/>
      </w:pPr>
      <w:r>
        <w:rPr>
          <w:color w:val="231F20"/>
          <w:spacing w:val="9"/>
        </w:rPr>
        <w:t>1.《中华人民共和国动物防疫法》(中</w:t>
      </w:r>
      <w:r>
        <w:rPr>
          <w:color w:val="231F20"/>
          <w:spacing w:val="13"/>
        </w:rPr>
        <w:t xml:space="preserve"> </w:t>
      </w:r>
      <w:r>
        <w:rPr>
          <w:color w:val="231F20"/>
          <w:spacing w:val="9"/>
        </w:rPr>
        <w:t>华人民共和国主席令第六十九号)（中华人</w:t>
      </w:r>
      <w:r>
        <w:rPr>
          <w:color w:val="231F20"/>
          <w:spacing w:val="7"/>
        </w:rPr>
        <w:t xml:space="preserve"> </w:t>
      </w:r>
      <w:r>
        <w:rPr>
          <w:color w:val="231F20"/>
          <w:spacing w:val="1"/>
        </w:rPr>
        <w:t>民共和国第十三届全国人民代表大会常务委</w:t>
      </w:r>
      <w:r>
        <w:rPr>
          <w:color w:val="231F20"/>
          <w:spacing w:val="6"/>
        </w:rPr>
        <w:t xml:space="preserve"> </w:t>
      </w:r>
      <w:r>
        <w:rPr>
          <w:color w:val="231F20"/>
          <w:spacing w:val="3"/>
        </w:rPr>
        <w:t>员会第二十五次会议于2021年1月22日修订</w:t>
      </w:r>
      <w:r>
        <w:rPr>
          <w:color w:val="231F20"/>
          <w:spacing w:val="16"/>
        </w:rPr>
        <w:t xml:space="preserve"> </w:t>
      </w:r>
      <w:r>
        <w:rPr>
          <w:color w:val="231F20"/>
          <w:spacing w:val="20"/>
        </w:rPr>
        <w:t>通过，现予公布，自2021年5月1日起施</w:t>
      </w:r>
      <w:r>
        <w:rPr>
          <w:color w:val="231F20"/>
          <w:spacing w:val="12"/>
        </w:rPr>
        <w:t xml:space="preserve"> </w:t>
      </w:r>
      <w:r>
        <w:rPr>
          <w:color w:val="231F20"/>
          <w:spacing w:val="-1"/>
        </w:rPr>
        <w:t>行。）</w:t>
      </w:r>
    </w:p>
    <w:p>
      <w:pPr>
        <w:pStyle w:val="2"/>
        <w:spacing w:before="48" w:line="262" w:lineRule="auto"/>
        <w:ind w:left="4345" w:right="600" w:firstLine="441"/>
      </w:pPr>
      <w:r>
        <w:rPr>
          <w:color w:val="231F20"/>
          <w:spacing w:val="2"/>
        </w:rPr>
        <w:t>2.《动物防疫条件审查办法（修订草案</w:t>
      </w:r>
      <w:r>
        <w:rPr>
          <w:color w:val="231F20"/>
          <w:spacing w:val="11"/>
        </w:rPr>
        <w:t xml:space="preserve"> </w:t>
      </w:r>
      <w:r>
        <w:rPr>
          <w:color w:val="231F20"/>
        </w:rPr>
        <w:t>征求意见稿）》（2019年）第二条，动物饲</w:t>
      </w:r>
      <w:r>
        <w:rPr>
          <w:color w:val="231F20"/>
          <w:spacing w:val="4"/>
        </w:rPr>
        <w:t xml:space="preserve"> </w:t>
      </w:r>
      <w:r>
        <w:rPr>
          <w:color w:val="231F20"/>
          <w:spacing w:val="1"/>
        </w:rPr>
        <w:t>养场、养殖小区、动物隔离场所、动物屠宰</w:t>
      </w:r>
      <w:r>
        <w:rPr>
          <w:color w:val="231F20"/>
          <w:spacing w:val="7"/>
        </w:rPr>
        <w:t xml:space="preserve"> </w:t>
      </w:r>
      <w:r>
        <w:rPr>
          <w:color w:val="231F20"/>
          <w:spacing w:val="1"/>
        </w:rPr>
        <w:t>加工场所以及动物和动物产品无害化处理场</w:t>
      </w:r>
      <w:r>
        <w:rPr>
          <w:color w:val="231F20"/>
          <w:spacing w:val="7"/>
        </w:rPr>
        <w:t xml:space="preserve"> </w:t>
      </w:r>
      <w:r>
        <w:rPr>
          <w:color w:val="231F20"/>
          <w:spacing w:val="-1"/>
        </w:rPr>
        <w:t>所，应当符合本办法规定的动物防疫条件，</w:t>
      </w:r>
      <w:r>
        <w:rPr>
          <w:color w:val="231F20"/>
          <w:spacing w:val="6"/>
        </w:rPr>
        <w:t xml:space="preserve"> </w:t>
      </w:r>
      <w:r>
        <w:rPr>
          <w:color w:val="231F20"/>
          <w:spacing w:val="-3"/>
        </w:rPr>
        <w:t>并取得《动物防疫条件合格证》。</w:t>
      </w:r>
    </w:p>
    <w:p>
      <w:pPr>
        <w:spacing w:before="48" w:line="203" w:lineRule="auto"/>
        <w:ind w:left="4789"/>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三、受理范围</w:t>
      </w:r>
    </w:p>
    <w:p>
      <w:pPr>
        <w:pStyle w:val="2"/>
        <w:spacing w:before="44" w:line="228" w:lineRule="auto"/>
        <w:ind w:left="4833"/>
      </w:pPr>
      <w:r>
        <w:rPr>
          <w:color w:val="231F20"/>
          <w:spacing w:val="-4"/>
        </w:rPr>
        <w:t>自然人、企业法人、社会组织法人</w:t>
      </w:r>
    </w:p>
    <w:p>
      <w:pPr>
        <w:spacing w:before="51" w:line="203" w:lineRule="auto"/>
        <w:ind w:left="4798"/>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四、受理条件</w:t>
      </w:r>
    </w:p>
    <w:p>
      <w:pPr>
        <w:pStyle w:val="2"/>
        <w:spacing w:before="44" w:line="251" w:lineRule="auto"/>
        <w:ind w:left="4356" w:right="601" w:firstLine="428"/>
      </w:pPr>
      <w:r>
        <w:rPr>
          <w:color w:val="231F20"/>
          <w:spacing w:val="1"/>
        </w:rPr>
        <w:t>提交材料齐全，符合法定程序，内容真</w:t>
      </w:r>
      <w:r>
        <w:rPr>
          <w:color w:val="231F20"/>
          <w:spacing w:val="9"/>
        </w:rPr>
        <w:t xml:space="preserve"> </w:t>
      </w:r>
      <w:r>
        <w:rPr>
          <w:color w:val="231F20"/>
          <w:spacing w:val="-6"/>
        </w:rPr>
        <w:t>实有效</w:t>
      </w:r>
    </w:p>
    <w:p>
      <w:pPr>
        <w:spacing w:before="43" w:line="204" w:lineRule="auto"/>
        <w:ind w:left="478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五、申请材料</w:t>
      </w:r>
    </w:p>
    <w:p>
      <w:pPr>
        <w:pStyle w:val="2"/>
        <w:spacing w:before="43" w:line="230" w:lineRule="auto"/>
        <w:ind w:left="4802"/>
      </w:pPr>
      <w:r>
        <w:rPr>
          <w:color w:val="231F20"/>
          <w:spacing w:val="-4"/>
        </w:rPr>
        <w:t>1、《动物防疫条件审查申请表》。</w:t>
      </w:r>
    </w:p>
    <w:p>
      <w:pPr>
        <w:pStyle w:val="2"/>
        <w:spacing w:before="50" w:line="253" w:lineRule="auto"/>
        <w:ind w:left="4354" w:right="600" w:firstLine="432"/>
      </w:pPr>
      <w:r>
        <w:rPr>
          <w:color w:val="231F20"/>
          <w:spacing w:val="8"/>
        </w:rPr>
        <w:t>2、场所地理位置图、各功能区布局平</w:t>
      </w:r>
      <w:r>
        <w:rPr>
          <w:color w:val="231F20"/>
        </w:rPr>
        <w:t xml:space="preserve"> </w:t>
      </w:r>
      <w:r>
        <w:rPr>
          <w:color w:val="231F20"/>
          <w:spacing w:val="-11"/>
        </w:rPr>
        <w:t>面图。</w:t>
      </w:r>
    </w:p>
    <w:p>
      <w:pPr>
        <w:spacing w:line="253" w:lineRule="auto"/>
        <w:sectPr>
          <w:headerReference r:id="rId5" w:type="default"/>
          <w:pgSz w:w="10772" w:h="11906"/>
          <w:pgMar w:top="400" w:right="2" w:bottom="0" w:left="1615" w:header="0" w:footer="0" w:gutter="0"/>
          <w:cols w:space="720" w:num="1"/>
        </w:sectPr>
      </w:pPr>
    </w:p>
    <w:p>
      <w:pPr>
        <w:spacing w:before="22"/>
      </w:pPr>
      <w:r>
        <w:pict>
          <v:rect id="_x0000_s1026" o:spid="_x0000_s1026" o:spt="1" style="position:absolute;left:0pt;margin-left:93.8pt;margin-top:253.35pt;height:3.65pt;width:4.2pt;mso-position-horizontal-relative:page;mso-position-vertical-relative:page;z-index:251671552;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95.6pt;margin-top:256.35pt;height:21.05pt;width:0.65pt;mso-position-horizontal-relative:page;mso-position-vertical-relative:page;z-index:251667456;mso-width-relative:page;mso-height-relative:page;" fillcolor="#231F20" filled="t" stroked="f" coordsize="21600,21600" o:allowincell="f">
            <v:path/>
            <v:fill on="t" focussize="0,0"/>
            <v:stroke on="f"/>
            <v:imagedata o:title=""/>
            <o:lock v:ext="edit"/>
          </v:rect>
        </w:pict>
      </w:r>
      <w:r>
        <w:pict>
          <v:rect id="_x0000_s1028" o:spid="_x0000_s1028" o:spt="1" style="position:absolute;left:0pt;margin-left:172.55pt;margin-top:288.3pt;height:0.6pt;width:39.15pt;mso-position-horizontal-relative:page;mso-position-vertical-relative:page;z-index:251669504;mso-width-relative:page;mso-height-relative:page;" fillcolor="#231F20" filled="t" stroked="f" coordsize="21600,21600" o:allowincell="f">
            <v:path/>
            <v:fill on="t" focussize="0,0"/>
            <v:stroke on="f"/>
            <v:imagedata o:title=""/>
            <o:lock v:ext="edit"/>
          </v:rect>
        </w:pict>
      </w:r>
      <w:r>
        <w:pict>
          <v:shape id="_x0000_s1029" o:spid="_x0000_s1029" style="position:absolute;left:0pt;margin-left:42.35pt;margin-top:236.45pt;height:0.6pt;width:21.05pt;mso-position-horizontal-relative:page;mso-position-vertical-relative:page;z-index:251668480;mso-width-relative:page;mso-height-relative:page;" filled="f" stroked="t" coordsize="420,12" o:allowincell="f" path="m0,5l420,5e">
            <v:fill on="f" focussize="0,0"/>
            <v:stroke weight="0.6pt" color="#231F20" miterlimit="10" joinstyle="miter"/>
            <v:imagedata o:title=""/>
            <o:lock v:ext="edit"/>
          </v:shape>
        </w:pict>
      </w:r>
      <w:r>
        <w:drawing>
          <wp:anchor distT="0" distB="0" distL="0" distR="0" simplePos="0" relativeHeight="251663360" behindDoc="0" locked="0" layoutInCell="0" allowOverlap="1">
            <wp:simplePos x="0" y="0"/>
            <wp:positionH relativeFrom="page">
              <wp:posOffset>514985</wp:posOffset>
            </wp:positionH>
            <wp:positionV relativeFrom="page">
              <wp:posOffset>3006725</wp:posOffset>
            </wp:positionV>
            <wp:extent cx="53340" cy="464185"/>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53174" cy="463901"/>
                    </a:xfrm>
                    <a:prstGeom prst="rect">
                      <a:avLst/>
                    </a:prstGeom>
                  </pic:spPr>
                </pic:pic>
              </a:graphicData>
            </a:graphic>
          </wp:anchor>
        </w:drawing>
      </w:r>
      <w:r>
        <w:pict>
          <v:shape id="_x0000_s1030" o:spid="_x0000_s1030" o:spt="202" type="#_x0000_t202" style="position:absolute;left:0pt;margin-left:25.9pt;margin-top:272.25pt;height:32.7pt;width:33.45pt;mso-position-horizontal-relative:page;mso-position-vertical-relative:page;z-index:25166233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618"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618"/>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593" w:hRule="atLeast"/>
                    </w:trPr>
                    <w:tc>
                      <w:tcPr>
                        <w:tcW w:w="618" w:type="dxa"/>
                        <w:vAlign w:val="top"/>
                      </w:tcPr>
                      <w:p>
                        <w:pPr>
                          <w:pStyle w:val="6"/>
                          <w:spacing w:before="36" w:line="210" w:lineRule="auto"/>
                          <w:ind w:left="69" w:right="63"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pPr>
                    <w:rPr>
                      <w:rFonts w:ascii="Arial"/>
                      <w:sz w:val="21"/>
                    </w:rPr>
                  </w:pPr>
                </w:p>
              </w:txbxContent>
            </v:textbox>
          </v:shape>
        </w:pict>
      </w:r>
      <w:r>
        <w:pict>
          <v:shape id="_x0000_s1031" o:spid="_x0000_s1031" o:spt="202" type="#_x0000_t202" style="position:absolute;left:0pt;margin-left:146.25pt;margin-top:275.95pt;height:25.3pt;width:27.6pt;mso-position-horizontal-relative:page;mso-position-vertical-relative:page;z-index:-25165619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0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01" w:type="dxa"/>
                        <w:vAlign w:val="top"/>
                      </w:tcPr>
                      <w:p>
                        <w:pPr>
                          <w:pStyle w:val="6"/>
                          <w:spacing w:before="142" w:line="220" w:lineRule="auto"/>
                          <w:ind w:left="95"/>
                        </w:pPr>
                        <w:r>
                          <w:rPr>
                            <w:color w:val="231F20"/>
                            <w:spacing w:val="-3"/>
                          </w:rPr>
                          <w:t>审核</w:t>
                        </w:r>
                      </w:p>
                    </w:tc>
                  </w:tr>
                </w:tbl>
                <w:p>
                  <w:pPr>
                    <w:rPr>
                      <w:rFonts w:ascii="Arial"/>
                      <w:sz w:val="21"/>
                    </w:rPr>
                  </w:pPr>
                </w:p>
              </w:txbxContent>
            </v:textbox>
          </v:shape>
        </w:pict>
      </w:r>
      <w:r>
        <w:pict>
          <v:shape id="_x0000_s1032" o:spid="_x0000_s1032" o:spt="202" type="#_x0000_t202" style="position:absolute;left:0pt;margin-left:210.05pt;margin-top:275.95pt;height:25.3pt;width:31.1pt;mso-position-horizontal-relative:page;mso-position-vertical-relative:page;z-index:25167052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7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7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71" w:type="dxa"/>
                        <w:vAlign w:val="top"/>
                      </w:tcPr>
                      <w:p>
                        <w:pPr>
                          <w:pStyle w:val="6"/>
                          <w:spacing w:before="143" w:line="219" w:lineRule="auto"/>
                        </w:pPr>
                        <w:r>
                          <w:rPr>
                            <w:color w:val="231F20"/>
                            <w:position w:val="1"/>
                          </w:rPr>
                          <w:drawing>
                            <wp:inline distT="0" distB="0" distL="0" distR="0">
                              <wp:extent cx="45085" cy="5270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45115" cy="53200"/>
                                      </a:xfrm>
                                      <a:prstGeom prst="rect">
                                        <a:avLst/>
                                      </a:prstGeom>
                                    </pic:spPr>
                                  </pic:pic>
                                </a:graphicData>
                              </a:graphic>
                            </wp:inline>
                          </w:drawing>
                        </w:r>
                        <w:r>
                          <w:rPr>
                            <w:color w:val="231F20"/>
                            <w:spacing w:val="20"/>
                          </w:rPr>
                          <w:t xml:space="preserve"> </w:t>
                        </w:r>
                        <w:r>
                          <w:rPr>
                            <w:color w:val="231F20"/>
                            <w:spacing w:val="-4"/>
                          </w:rPr>
                          <w:t>办结</w:t>
                        </w:r>
                      </w:p>
                    </w:tc>
                  </w:tr>
                </w:tbl>
                <w:p>
                  <w:pPr>
                    <w:rPr>
                      <w:rFonts w:ascii="Arial"/>
                      <w:sz w:val="21"/>
                    </w:rPr>
                  </w:pPr>
                </w:p>
              </w:txbxContent>
            </v:textbox>
          </v:shape>
        </w:pict>
      </w:r>
      <w:r>
        <w:drawing>
          <wp:anchor distT="0" distB="0" distL="0" distR="0" simplePos="0" relativeHeight="251665408" behindDoc="0" locked="0" layoutInCell="0" allowOverlap="1">
            <wp:simplePos x="0" y="0"/>
            <wp:positionH relativeFrom="page">
              <wp:posOffset>1378585</wp:posOffset>
            </wp:positionH>
            <wp:positionV relativeFrom="page">
              <wp:posOffset>3638550</wp:posOffset>
            </wp:positionV>
            <wp:extent cx="495300" cy="5334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495525" cy="53200"/>
                    </a:xfrm>
                    <a:prstGeom prst="rect">
                      <a:avLst/>
                    </a:prstGeom>
                  </pic:spPr>
                </pic:pic>
              </a:graphicData>
            </a:graphic>
          </wp:anchor>
        </w:drawing>
      </w:r>
      <w:r>
        <w:drawing>
          <wp:anchor distT="0" distB="0" distL="0" distR="0" simplePos="0" relativeHeight="251664384" behindDoc="0" locked="0" layoutInCell="0" allowOverlap="1">
            <wp:simplePos x="0" y="0"/>
            <wp:positionH relativeFrom="page">
              <wp:posOffset>737235</wp:posOffset>
            </wp:positionH>
            <wp:positionV relativeFrom="page">
              <wp:posOffset>3638550</wp:posOffset>
            </wp:positionV>
            <wp:extent cx="316865" cy="5334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316607" cy="53200"/>
                    </a:xfrm>
                    <a:prstGeom prst="rect">
                      <a:avLst/>
                    </a:prstGeom>
                  </pic:spPr>
                </pic:pic>
              </a:graphicData>
            </a:graphic>
          </wp:anchor>
        </w:drawing>
      </w:r>
      <w:r>
        <w:pict>
          <v:shape id="_x0000_s1033" o:spid="_x0000_s1033" o:spt="202" type="#_x0000_t202" style="position:absolute;left:0pt;margin-left:130.95pt;margin-top:320.5pt;height:25.3pt;width:58.4pt;mso-position-horizontal-relative:page;mso-position-vertical-relative:page;z-index:25166131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1117"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117"/>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1117" w:type="dxa"/>
                        <w:vAlign w:val="top"/>
                      </w:tcPr>
                      <w:p>
                        <w:pPr>
                          <w:pStyle w:val="6"/>
                          <w:spacing w:before="61" w:line="213" w:lineRule="auto"/>
                          <w:ind w:left="194" w:hanging="154"/>
                        </w:pPr>
                        <w:r>
                          <w:rPr>
                            <w:color w:val="231F20"/>
                            <w:spacing w:val="-8"/>
                          </w:rPr>
                          <w:t>不予许可决定，</w:t>
                        </w:r>
                        <w:r>
                          <w:rPr>
                            <w:color w:val="231F20"/>
                            <w:spacing w:val="1"/>
                          </w:rPr>
                          <w:t xml:space="preserve"> </w:t>
                        </w:r>
                        <w:r>
                          <w:rPr>
                            <w:color w:val="231F20"/>
                            <w:spacing w:val="-3"/>
                          </w:rPr>
                          <w:t>送达申请人</w:t>
                        </w:r>
                      </w:p>
                    </w:tc>
                  </w:tr>
                </w:tbl>
                <w:p>
                  <w:pPr>
                    <w:rPr>
                      <w:rFonts w:ascii="Arial"/>
                      <w:sz w:val="21"/>
                    </w:rPr>
                  </w:pPr>
                </w:p>
              </w:txbxContent>
            </v:textbox>
          </v:shape>
        </w:pict>
      </w:r>
      <w:r>
        <w:drawing>
          <wp:anchor distT="0" distB="0" distL="0" distR="0" simplePos="0" relativeHeight="251666432" behindDoc="0" locked="0" layoutInCell="0" allowOverlap="1">
            <wp:simplePos x="0" y="0"/>
            <wp:positionH relativeFrom="page">
              <wp:posOffset>1191260</wp:posOffset>
            </wp:positionH>
            <wp:positionV relativeFrom="page">
              <wp:posOffset>3810635</wp:posOffset>
            </wp:positionV>
            <wp:extent cx="53340" cy="269240"/>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174" cy="269503"/>
                    </a:xfrm>
                    <a:prstGeom prst="rect">
                      <a:avLst/>
                    </a:prstGeom>
                  </pic:spPr>
                </pic:pic>
              </a:graphicData>
            </a:graphic>
          </wp:anchor>
        </w:drawing>
      </w:r>
    </w:p>
    <w:p>
      <w:pPr>
        <w:sectPr>
          <w:headerReference r:id="rId6" w:type="default"/>
          <w:pgSz w:w="10772" w:h="11906"/>
          <w:pgMar w:top="400" w:right="600" w:bottom="0" w:left="538" w:header="0" w:footer="0" w:gutter="0"/>
          <w:cols w:equalWidth="0" w:num="1">
            <w:col w:w="9632"/>
          </w:cols>
        </w:sectPr>
      </w:pPr>
    </w:p>
    <w:p>
      <w:pPr>
        <w:pStyle w:val="2"/>
        <w:spacing w:before="49" w:line="231" w:lineRule="auto"/>
        <w:ind w:left="467"/>
      </w:pPr>
      <w:r>
        <w:rPr>
          <w:color w:val="231F20"/>
          <w:spacing w:val="-4"/>
        </w:rPr>
        <w:t>3、设施设备清单。</w:t>
      </w:r>
    </w:p>
    <w:p>
      <w:pPr>
        <w:pStyle w:val="2"/>
        <w:spacing w:before="50" w:line="360" w:lineRule="exact"/>
        <w:ind w:left="468"/>
      </w:pPr>
      <w:r>
        <w:rPr>
          <w:color w:val="231F20"/>
          <w:spacing w:val="7"/>
          <w:position w:val="9"/>
        </w:rPr>
        <w:t>4、管理制度文本（免疫制度、用药制</w:t>
      </w:r>
    </w:p>
    <w:p>
      <w:pPr>
        <w:pStyle w:val="2"/>
        <w:spacing w:line="230" w:lineRule="auto"/>
        <w:ind w:left="26"/>
      </w:pPr>
      <w:r>
        <w:rPr>
          <w:color w:val="231F20"/>
          <w:spacing w:val="1"/>
        </w:rPr>
        <w:t>度、疫情报告制度、消毒制度、标识管理制</w:t>
      </w:r>
    </w:p>
    <w:p>
      <w:pPr>
        <w:pStyle w:val="2"/>
        <w:spacing w:before="50" w:line="232" w:lineRule="auto"/>
        <w:ind w:left="26"/>
      </w:pPr>
      <w:r>
        <w:rPr>
          <w:color w:val="231F20"/>
          <w:spacing w:val="1"/>
        </w:rPr>
        <w:t>度、无害化处理制度、检疫申报制度、养殖</w:t>
      </w:r>
    </w:p>
    <w:p>
      <w:pPr>
        <w:pStyle w:val="2"/>
        <w:spacing w:before="50" w:line="219" w:lineRule="auto"/>
        <w:ind w:left="27"/>
      </w:pPr>
      <w:r>
        <w:rPr>
          <w:color w:val="231F20"/>
          <w:spacing w:val="-4"/>
        </w:rPr>
        <w:t>档案管理办法等）。</w:t>
      </w:r>
    </w:p>
    <w:p>
      <w:pPr>
        <w:pStyle w:val="2"/>
        <w:spacing w:before="65" w:line="360" w:lineRule="exact"/>
        <w:ind w:left="471"/>
      </w:pPr>
      <w:r>
        <w:rPr>
          <w:color w:val="231F20"/>
          <w:spacing w:val="22"/>
          <w:position w:val="9"/>
        </w:rPr>
        <w:t>5、人员情况证明（技术人员资质证</w:t>
      </w:r>
    </w:p>
    <w:p>
      <w:pPr>
        <w:pStyle w:val="2"/>
        <w:spacing w:before="1" w:line="219" w:lineRule="auto"/>
        <w:ind w:left="39"/>
      </w:pPr>
      <w:r>
        <w:rPr>
          <w:color w:val="231F20"/>
          <w:spacing w:val="-4"/>
        </w:rPr>
        <w:t>书、饲养人员健康证复印件）。</w:t>
      </w:r>
    </w:p>
    <w:p>
      <w:pPr>
        <w:spacing w:before="63" w:line="203" w:lineRule="auto"/>
        <w:ind w:left="469"/>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六、审批机关</w:t>
      </w:r>
    </w:p>
    <w:p>
      <w:pPr>
        <w:pStyle w:val="2"/>
        <w:spacing w:before="43" w:line="231" w:lineRule="auto"/>
        <w:ind w:left="467"/>
      </w:pPr>
      <w:r>
        <w:rPr>
          <w:color w:val="231F20"/>
          <w:spacing w:val="-1"/>
        </w:rPr>
        <w:t>唐山市曹妃甸区行政审批局</w:t>
      </w:r>
    </w:p>
    <w:p>
      <w:pPr>
        <w:spacing w:before="48" w:line="202" w:lineRule="auto"/>
        <w:ind w:left="465"/>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p>
      <w:pPr>
        <w:spacing w:line="128" w:lineRule="exact"/>
      </w:pPr>
    </w:p>
    <w:tbl>
      <w:tblPr>
        <w:tblStyle w:val="5"/>
        <w:tblW w:w="1302" w:type="dxa"/>
        <w:tblInd w:w="728"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30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58" w:hRule="atLeast"/>
        </w:trPr>
        <w:tc>
          <w:tcPr>
            <w:tcW w:w="1302" w:type="dxa"/>
            <w:vAlign w:val="top"/>
          </w:tcPr>
          <w:p>
            <w:pPr>
              <w:pStyle w:val="6"/>
              <w:spacing w:before="69" w:line="208" w:lineRule="auto"/>
              <w:ind w:left="34"/>
            </w:pPr>
            <w:r>
              <w:rPr>
                <w:color w:val="231F20"/>
                <w:spacing w:val="-7"/>
              </w:rPr>
              <w:t>申请材料不全的，</w:t>
            </w:r>
          </w:p>
          <w:p>
            <w:pPr>
              <w:pStyle w:val="6"/>
              <w:spacing w:line="213" w:lineRule="auto"/>
              <w:ind w:left="252" w:right="85" w:hanging="158"/>
            </w:pPr>
            <w:r>
              <w:rPr>
                <w:color w:val="231F20"/>
                <w:spacing w:val="-2"/>
              </w:rPr>
              <w:t>一次性告知当事</w:t>
            </w:r>
            <w:r>
              <w:rPr>
                <w:color w:val="231F20"/>
                <w:spacing w:val="4"/>
              </w:rPr>
              <w:t xml:space="preserve"> </w:t>
            </w:r>
            <w:r>
              <w:rPr>
                <w:color w:val="231F20"/>
                <w:spacing w:val="-2"/>
              </w:rPr>
              <w:t>人补齐补正</w:t>
            </w:r>
          </w:p>
        </w:tc>
      </w:tr>
    </w:tbl>
    <w:p>
      <w:pPr>
        <w:spacing w:before="222"/>
      </w:pPr>
    </w:p>
    <w:tbl>
      <w:tblPr>
        <w:tblStyle w:val="5"/>
        <w:tblW w:w="501" w:type="dxa"/>
        <w:tblInd w:w="1128"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4" w:hRule="atLeast"/>
        </w:trPr>
        <w:tc>
          <w:tcPr>
            <w:tcW w:w="501" w:type="dxa"/>
            <w:vAlign w:val="top"/>
          </w:tcPr>
          <w:p>
            <w:pPr>
              <w:pStyle w:val="6"/>
              <w:spacing w:before="143" w:line="221" w:lineRule="auto"/>
              <w:ind w:left="93"/>
            </w:pPr>
            <w:r>
              <w:rPr>
                <w:color w:val="231F20"/>
                <w:spacing w:val="-3"/>
              </w:rPr>
              <w:t>受理</w:t>
            </w:r>
          </w:p>
        </w:tc>
      </w:tr>
    </w:tbl>
    <w:p>
      <w:pPr>
        <w:spacing w:line="424" w:lineRule="exact"/>
        <w:ind w:firstLine="2620"/>
      </w:pPr>
      <w:r>
        <w:rPr>
          <w:position w:val="-8"/>
        </w:rPr>
        <w:drawing>
          <wp:inline distT="0" distB="0" distL="0" distR="0">
            <wp:extent cx="52705" cy="268605"/>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4"/>
                    <a:stretch>
                      <a:fillRect/>
                    </a:stretch>
                  </pic:blipFill>
                  <pic:spPr>
                    <a:xfrm>
                      <a:off x="0" y="0"/>
                      <a:ext cx="53174" cy="269152"/>
                    </a:xfrm>
                    <a:prstGeom prst="rect">
                      <a:avLst/>
                    </a:prstGeom>
                  </pic:spPr>
                </pic:pic>
              </a:graphicData>
            </a:graphic>
          </wp:inline>
        </w:drawing>
      </w:r>
    </w:p>
    <w:p>
      <w:pPr>
        <w:spacing w:line="136" w:lineRule="auto"/>
        <w:rPr>
          <w:rFonts w:ascii="Arial"/>
          <w:sz w:val="2"/>
        </w:rPr>
      </w:pPr>
    </w:p>
    <w:tbl>
      <w:tblPr>
        <w:tblStyle w:val="5"/>
        <w:tblW w:w="819" w:type="dxa"/>
        <w:tblInd w:w="929"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819"/>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819" w:type="dxa"/>
            <w:vAlign w:val="top"/>
          </w:tcPr>
          <w:p>
            <w:pPr>
              <w:pStyle w:val="6"/>
              <w:spacing w:before="71" w:line="210" w:lineRule="auto"/>
              <w:ind w:left="130" w:hanging="77"/>
            </w:pPr>
            <w:r>
              <w:rPr>
                <w:color w:val="231F20"/>
                <w:spacing w:val="-9"/>
              </w:rPr>
              <w:t>不予受理，</w:t>
            </w:r>
            <w:r>
              <w:rPr>
                <w:color w:val="231F20"/>
              </w:rPr>
              <w:t xml:space="preserve"> </w:t>
            </w:r>
            <w:r>
              <w:rPr>
                <w:color w:val="231F20"/>
                <w:spacing w:val="-2"/>
              </w:rPr>
              <w:t>退还申请</w:t>
            </w:r>
          </w:p>
        </w:tc>
      </w:tr>
    </w:tbl>
    <w:p>
      <w:pPr>
        <w:spacing w:before="256" w:line="203" w:lineRule="auto"/>
        <w:ind w:left="473"/>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26" w:line="233" w:lineRule="auto"/>
        <w:ind w:left="490"/>
      </w:pPr>
      <w:r>
        <w:rPr>
          <w:color w:val="231F20"/>
          <w:spacing w:val="-2"/>
        </w:rPr>
        <w:t>法定时限：30个工作日</w:t>
      </w:r>
    </w:p>
    <w:p>
      <w:pPr>
        <w:pStyle w:val="2"/>
        <w:spacing w:before="30" w:line="232" w:lineRule="auto"/>
        <w:ind w:left="481"/>
      </w:pPr>
      <w:r>
        <w:rPr>
          <w:color w:val="231F20"/>
          <w:spacing w:val="-2"/>
        </w:rPr>
        <w:t>承诺时限：3个工作日</w:t>
      </w:r>
    </w:p>
    <w:p>
      <w:pPr>
        <w:spacing w:before="28" w:line="203" w:lineRule="auto"/>
        <w:ind w:left="477"/>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26" w:line="233" w:lineRule="auto"/>
        <w:ind w:left="485"/>
      </w:pPr>
      <w:r>
        <w:rPr>
          <w:color w:val="231F20"/>
          <w:spacing w:val="-5"/>
        </w:rPr>
        <w:t>不收费</w:t>
      </w:r>
    </w:p>
    <w:p>
      <w:pPr>
        <w:spacing w:before="25" w:line="205" w:lineRule="auto"/>
        <w:ind w:left="481"/>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十、网办网址</w:t>
      </w:r>
    </w:p>
    <w:p>
      <w:pPr>
        <w:pStyle w:val="2"/>
        <w:spacing w:before="23" w:line="219" w:lineRule="auto"/>
        <w:ind w:left="484"/>
      </w:pPr>
      <w:r>
        <w:fldChar w:fldCharType="begin"/>
      </w:r>
      <w:r>
        <w:instrText xml:space="preserve"> HYPERLINK "http://tscfdhbzwfw.gov.cn/" </w:instrText>
      </w:r>
      <w:r>
        <w:fldChar w:fldCharType="separate"/>
      </w:r>
      <w:r>
        <w:rPr>
          <w:color w:val="231F20"/>
          <w:spacing w:val="-1"/>
        </w:rPr>
        <w:t>http://tscfdhbzwfw.gov.cn/</w:t>
      </w:r>
      <w:r>
        <w:rPr>
          <w:color w:val="231F20"/>
          <w:spacing w:val="-1"/>
        </w:rPr>
        <w:fldChar w:fldCharType="end"/>
      </w:r>
    </w:p>
    <w:p>
      <w:pPr>
        <w:spacing w:before="45" w:line="205" w:lineRule="auto"/>
        <w:ind w:left="481"/>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十一、办理地点</w:t>
      </w:r>
    </w:p>
    <w:p>
      <w:pPr>
        <w:pStyle w:val="2"/>
        <w:spacing w:before="41" w:line="246" w:lineRule="auto"/>
        <w:ind w:left="51" w:right="2" w:firstLine="409"/>
        <w:rPr>
          <w:rFonts w:hint="eastAsia"/>
          <w:color w:val="231F20"/>
          <w:spacing w:val="-3"/>
        </w:rPr>
      </w:pPr>
      <w:r>
        <w:rPr>
          <w:rFonts w:hint="eastAsia"/>
          <w:color w:val="231F20"/>
          <w:spacing w:val="-3"/>
        </w:rPr>
        <w:t>1. 中国（河北）自由贸易试验区曹妃甸片区政务服务中心、唐山市曹妃甸区临港政务服务中心综合受理窗口B01-B06（曹妃甸工业区兴业道 1 号二层）。</w:t>
      </w:r>
    </w:p>
    <w:p>
      <w:pPr>
        <w:pStyle w:val="2"/>
        <w:spacing w:before="41" w:line="246" w:lineRule="auto"/>
        <w:ind w:left="51" w:right="2" w:firstLine="409"/>
        <w:rPr>
          <w:rFonts w:hint="eastAsia"/>
          <w:color w:val="231F20"/>
          <w:spacing w:val="-3"/>
        </w:rPr>
      </w:pPr>
      <w:r>
        <w:rPr>
          <w:rFonts w:hint="eastAsia"/>
          <w:color w:val="231F20"/>
          <w:spacing w:val="-3"/>
        </w:rPr>
        <w:t>2. 唐山市曹妃甸区垦区政务服务中心综合受理窗口W1-W6（曹妃甸区唐海镇新城大街 259 号二层）。</w:t>
      </w:r>
    </w:p>
    <w:p>
      <w:pPr>
        <w:pStyle w:val="2"/>
        <w:spacing w:before="41" w:line="246" w:lineRule="auto"/>
        <w:ind w:left="51" w:right="2" w:firstLine="409"/>
        <w:rPr>
          <w:rFonts w:hint="eastAsia"/>
          <w:color w:val="231F20"/>
          <w:spacing w:val="-3"/>
        </w:rPr>
      </w:pPr>
      <w:r>
        <w:rPr>
          <w:rFonts w:hint="eastAsia"/>
          <w:color w:val="231F20"/>
          <w:spacing w:val="-3"/>
        </w:rPr>
        <w:t>3. 唐山市曹妃甸区曹妃甸新城政务服务中心综合受理窗口B02-B05（曹妃甸区新城通海路）。</w:t>
      </w:r>
    </w:p>
    <w:p>
      <w:pPr>
        <w:pStyle w:val="2"/>
        <w:spacing w:before="41" w:line="246" w:lineRule="auto"/>
        <w:ind w:left="51" w:right="2" w:firstLine="409"/>
        <w:rPr>
          <w:rFonts w:hint="eastAsia"/>
          <w:color w:val="231F20"/>
          <w:spacing w:val="-3"/>
        </w:rPr>
      </w:pPr>
      <w:r>
        <w:rPr>
          <w:rFonts w:hint="eastAsia"/>
          <w:color w:val="231F20"/>
          <w:spacing w:val="-3"/>
        </w:rPr>
        <w:t>交通指引：</w:t>
      </w:r>
    </w:p>
    <w:p>
      <w:pPr>
        <w:pStyle w:val="2"/>
        <w:spacing w:before="41" w:line="246" w:lineRule="auto"/>
        <w:ind w:left="51" w:right="2" w:firstLine="409"/>
        <w:rPr>
          <w:rFonts w:hint="eastAsia"/>
          <w:color w:val="231F20"/>
          <w:spacing w:val="-3"/>
        </w:rPr>
      </w:pPr>
      <w:r>
        <w:rPr>
          <w:rFonts w:hint="eastAsia"/>
          <w:color w:val="231F20"/>
          <w:spacing w:val="-3"/>
        </w:rPr>
        <w:t>1.临港中心：乘坐公交K1支线/K1专线，四大联检下车（曹妃甸工业区兴业道1号）；</w:t>
      </w:r>
    </w:p>
    <w:p>
      <w:pPr>
        <w:pStyle w:val="2"/>
        <w:spacing w:before="41" w:line="246" w:lineRule="auto"/>
        <w:ind w:left="51" w:right="2" w:firstLine="409"/>
        <w:rPr>
          <w:rFonts w:hint="eastAsia"/>
          <w:color w:val="231F20"/>
          <w:spacing w:val="-3"/>
        </w:rPr>
      </w:pPr>
      <w:r>
        <w:rPr>
          <w:rFonts w:hint="eastAsia"/>
          <w:color w:val="231F20"/>
          <w:spacing w:val="-3"/>
        </w:rPr>
        <w:t>2.垦区中心：乘坐公交101路/102路，行政审批大厅下车（曹妃甸新城大街与唐海路交叉口西行200米）</w:t>
      </w:r>
    </w:p>
    <w:p>
      <w:pPr>
        <w:pStyle w:val="2"/>
        <w:spacing w:before="41" w:line="246" w:lineRule="auto"/>
        <w:ind w:left="51" w:right="2" w:firstLine="409"/>
      </w:pPr>
      <w:r>
        <w:rPr>
          <w:rFonts w:hint="eastAsia"/>
          <w:color w:val="231F20"/>
          <w:spacing w:val="-3"/>
        </w:rPr>
        <w:t>3.新城中心：乘坐公交K2路，新城服务中心下车（曹妃甸新城未来大道1号）；</w:t>
      </w:r>
    </w:p>
    <w:p>
      <w:pPr>
        <w:spacing w:before="37" w:line="204"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spacing w:before="34" w:line="203" w:lineRule="auto"/>
        <w:ind w:left="463"/>
        <w:rPr>
          <w:rFonts w:hint="eastAsia" w:ascii="方正仿宋简体" w:hAnsi="方正仿宋简体" w:eastAsia="方正仿宋简体" w:cs="方正仿宋简体"/>
          <w:snapToGrid w:val="0"/>
          <w:color w:val="231F20"/>
          <w:spacing w:val="-3"/>
          <w:kern w:val="0"/>
          <w:sz w:val="22"/>
          <w:szCs w:val="22"/>
          <w:lang w:val="en-US" w:eastAsia="en-US" w:bidi="ar-SA"/>
        </w:rPr>
      </w:pPr>
      <w:r>
        <w:rPr>
          <w:rFonts w:hint="eastAsia" w:ascii="方正仿宋简体" w:hAnsi="方正仿宋简体" w:eastAsia="方正仿宋简体" w:cs="方正仿宋简体"/>
          <w:snapToGrid w:val="0"/>
          <w:color w:val="231F20"/>
          <w:spacing w:val="-3"/>
          <w:kern w:val="0"/>
          <w:sz w:val="22"/>
          <w:szCs w:val="22"/>
          <w:lang w:val="en-US" w:eastAsia="en-US" w:bidi="ar-SA"/>
        </w:rPr>
        <w:t>周一到周五：春秋冬季（9月1日至5月31日）上午8:30～12:00，下午13:30～17:30；夏季（6月1日至8月31日）上午8:30～12:00，下午14:30～17:30，法定节假日除外。</w:t>
      </w:r>
    </w:p>
    <w:p>
      <w:pPr>
        <w:spacing w:before="34"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34" w:line="251" w:lineRule="auto"/>
        <w:ind w:left="21" w:right="21" w:firstLine="440"/>
      </w:pPr>
      <w:r>
        <w:rPr>
          <w:color w:val="231F20"/>
          <w:spacing w:val="5"/>
        </w:rPr>
        <w:t>03</w:t>
      </w:r>
      <w:r>
        <w:rPr>
          <w:color w:val="231F20"/>
          <w:spacing w:val="-7"/>
        </w:rPr>
        <w:t xml:space="preserve"> </w:t>
      </w:r>
      <w:r>
        <w:rPr>
          <w:color w:val="231F20"/>
          <w:spacing w:val="5"/>
        </w:rPr>
        <w:t>1</w:t>
      </w:r>
      <w:r>
        <w:rPr>
          <w:color w:val="231F20"/>
          <w:spacing w:val="-37"/>
        </w:rPr>
        <w:t xml:space="preserve"> </w:t>
      </w:r>
      <w:r>
        <w:rPr>
          <w:color w:val="231F20"/>
          <w:spacing w:val="5"/>
        </w:rPr>
        <w:t>5</w:t>
      </w:r>
      <w:r>
        <w:rPr>
          <w:color w:val="231F20"/>
          <w:spacing w:val="-36"/>
        </w:rPr>
        <w:t xml:space="preserve"> </w:t>
      </w:r>
      <w:r>
        <w:rPr>
          <w:color w:val="231F20"/>
          <w:spacing w:val="5"/>
        </w:rPr>
        <w:t>-</w:t>
      </w:r>
      <w:r>
        <w:rPr>
          <w:color w:val="231F20"/>
          <w:spacing w:val="-41"/>
        </w:rPr>
        <w:t xml:space="preserve"> </w:t>
      </w:r>
      <w:r>
        <w:rPr>
          <w:color w:val="231F20"/>
          <w:spacing w:val="5"/>
        </w:rPr>
        <w:t>8</w:t>
      </w:r>
      <w:r>
        <w:rPr>
          <w:color w:val="231F20"/>
          <w:spacing w:val="-40"/>
        </w:rPr>
        <w:t xml:space="preserve"> </w:t>
      </w:r>
      <w:r>
        <w:rPr>
          <w:color w:val="231F20"/>
          <w:spacing w:val="5"/>
        </w:rPr>
        <w:t>8</w:t>
      </w:r>
      <w:r>
        <w:rPr>
          <w:color w:val="231F20"/>
          <w:spacing w:val="-36"/>
        </w:rPr>
        <w:t xml:space="preserve"> </w:t>
      </w:r>
      <w:r>
        <w:rPr>
          <w:color w:val="231F20"/>
          <w:spacing w:val="5"/>
        </w:rPr>
        <w:t>51</w:t>
      </w:r>
      <w:r>
        <w:rPr>
          <w:color w:val="231F20"/>
          <w:spacing w:val="-40"/>
        </w:rPr>
        <w:t xml:space="preserve"> </w:t>
      </w:r>
      <w:r>
        <w:rPr>
          <w:color w:val="231F20"/>
          <w:spacing w:val="5"/>
        </w:rPr>
        <w:t>606（临</w:t>
      </w:r>
      <w:r>
        <w:rPr>
          <w:color w:val="231F20"/>
          <w:spacing w:val="-34"/>
        </w:rPr>
        <w:t xml:space="preserve"> </w:t>
      </w:r>
      <w:r>
        <w:rPr>
          <w:color w:val="231F20"/>
          <w:spacing w:val="5"/>
        </w:rPr>
        <w:t>港 中心</w:t>
      </w:r>
      <w:r>
        <w:rPr>
          <w:color w:val="231F20"/>
          <w:spacing w:val="-52"/>
        </w:rPr>
        <w:t xml:space="preserve"> </w:t>
      </w:r>
      <w:r>
        <w:rPr>
          <w:color w:val="231F20"/>
          <w:spacing w:val="5"/>
        </w:rPr>
        <w:t>）</w:t>
      </w:r>
      <w:r>
        <w:rPr>
          <w:color w:val="231F20"/>
          <w:spacing w:val="-51"/>
        </w:rPr>
        <w:t xml:space="preserve"> </w:t>
      </w:r>
      <w:r>
        <w:rPr>
          <w:color w:val="231F20"/>
          <w:spacing w:val="5"/>
        </w:rPr>
        <w:t>、</w:t>
      </w:r>
      <w:r>
        <w:rPr>
          <w:color w:val="231F20"/>
        </w:rPr>
        <w:t xml:space="preserve"> </w:t>
      </w:r>
      <w:r>
        <w:rPr>
          <w:color w:val="231F20"/>
          <w:spacing w:val="-14"/>
        </w:rPr>
        <w:t>0 3 1 5 - 8 7 8 7 0 5 0</w:t>
      </w:r>
      <w:r>
        <w:rPr>
          <w:color w:val="231F20"/>
          <w:spacing w:val="-26"/>
        </w:rPr>
        <w:t xml:space="preserve"> </w:t>
      </w:r>
      <w:r>
        <w:rPr>
          <w:color w:val="231F20"/>
          <w:spacing w:val="-14"/>
        </w:rPr>
        <w:t>（ 垦</w:t>
      </w:r>
      <w:r>
        <w:rPr>
          <w:color w:val="231F20"/>
          <w:spacing w:val="16"/>
        </w:rPr>
        <w:t xml:space="preserve"> </w:t>
      </w:r>
      <w:r>
        <w:rPr>
          <w:color w:val="231F20"/>
          <w:spacing w:val="-14"/>
        </w:rPr>
        <w:t>区</w:t>
      </w:r>
      <w:r>
        <w:rPr>
          <w:color w:val="231F20"/>
          <w:spacing w:val="17"/>
        </w:rPr>
        <w:t xml:space="preserve"> </w:t>
      </w:r>
      <w:r>
        <w:rPr>
          <w:color w:val="231F20"/>
          <w:spacing w:val="-14"/>
        </w:rPr>
        <w:t>中</w:t>
      </w:r>
      <w:r>
        <w:rPr>
          <w:color w:val="231F20"/>
          <w:spacing w:val="-15"/>
        </w:rPr>
        <w:t xml:space="preserve"> 心</w:t>
      </w:r>
      <w:r>
        <w:rPr>
          <w:color w:val="231F20"/>
          <w:spacing w:val="-26"/>
        </w:rPr>
        <w:t xml:space="preserve"> </w:t>
      </w:r>
      <w:r>
        <w:rPr>
          <w:color w:val="231F20"/>
          <w:spacing w:val="-15"/>
        </w:rPr>
        <w:t>）</w:t>
      </w:r>
      <w:r>
        <w:rPr>
          <w:color w:val="231F20"/>
          <w:spacing w:val="-26"/>
        </w:rPr>
        <w:t xml:space="preserve"> </w:t>
      </w:r>
      <w:r>
        <w:rPr>
          <w:color w:val="231F20"/>
          <w:spacing w:val="-15"/>
        </w:rPr>
        <w:t>、</w:t>
      </w:r>
      <w:r>
        <w:rPr>
          <w:color w:val="231F20"/>
        </w:rPr>
        <w:t xml:space="preserve"> </w:t>
      </w:r>
      <w:r>
        <w:rPr>
          <w:color w:val="231F20"/>
          <w:spacing w:val="-1"/>
        </w:rPr>
        <w:t>0315-7721104（新城中心）</w:t>
      </w:r>
    </w:p>
    <w:p>
      <w:pPr>
        <w:spacing w:before="36" w:line="199"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70" w:line="190" w:lineRule="auto"/>
        <w:ind w:left="461"/>
      </w:pPr>
      <w:r>
        <w:rPr>
          <w:color w:val="231F20"/>
          <w:spacing w:val="-1"/>
        </w:rPr>
        <w:t>0315-8787068</w:t>
      </w:r>
    </w:p>
    <w:p>
      <w:pPr>
        <w:numPr>
          <w:ilvl w:val="0"/>
          <w:numId w:val="1"/>
        </w:numPr>
        <w:spacing w:before="63" w:line="203" w:lineRule="auto"/>
        <w:ind w:left="463"/>
        <w:rPr>
          <w:rFonts w:ascii="微软雅黑" w:hAnsi="微软雅黑" w:eastAsia="微软雅黑" w:cs="微软雅黑"/>
          <w:color w:val="231F20"/>
          <w:spacing w:val="-2"/>
          <w:sz w:val="22"/>
          <w:szCs w:val="22"/>
        </w:rPr>
      </w:pPr>
      <w:r>
        <w:rPr>
          <w:rFonts w:ascii="微软雅黑" w:hAnsi="微软雅黑" w:eastAsia="微软雅黑" w:cs="微软雅黑"/>
          <w:color w:val="231F20"/>
          <w:spacing w:val="-2"/>
          <w:sz w:val="22"/>
          <w:szCs w:val="22"/>
        </w:rPr>
        <w:t>救济途径</w:t>
      </w:r>
    </w:p>
    <w:p>
      <w:pPr>
        <w:pStyle w:val="2"/>
        <w:spacing w:before="41" w:line="246" w:lineRule="auto"/>
        <w:ind w:left="51" w:right="2" w:firstLine="409"/>
        <w:rPr>
          <w:rFonts w:hint="eastAsia"/>
          <w:color w:val="231F20"/>
          <w:spacing w:val="-3"/>
        </w:rPr>
      </w:pPr>
      <w:r>
        <w:rPr>
          <w:rFonts w:hint="eastAsia"/>
          <w:color w:val="231F20"/>
          <w:spacing w:val="-3"/>
        </w:rPr>
        <w:t>申请人如对行政许可决定不服，可于收到决定书之日起六十日内向唐山市曹妃甸区人民政府申请复议，也可以于六个月内依法向唐山市曹妃甸区人民法院提起行政诉讼。</w:t>
      </w:r>
    </w:p>
    <w:p>
      <w:pPr>
        <w:pStyle w:val="2"/>
        <w:spacing w:before="44" w:line="259" w:lineRule="auto"/>
        <w:ind w:left="23" w:right="1" w:firstLine="473"/>
      </w:pPr>
      <w:bookmarkStart w:id="0" w:name="_GoBack"/>
      <w:bookmarkEnd w:id="0"/>
    </w:p>
    <w:sectPr>
      <w:type w:val="continuous"/>
      <w:pgSz w:w="10772" w:h="11906"/>
      <w:pgMar w:top="400" w:right="600" w:bottom="0" w:left="538" w:header="0" w:footer="0" w:gutter="0"/>
      <w:cols w:equalWidth="0" w:num="2">
        <w:col w:w="5302" w:space="100"/>
        <w:col w:w="4231"/>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MDE0NGRhY2QzMjFiMjY1NTY5OGI4N2RjMTBhODhlMTgifQ=="/>
  </w:docVars>
  <w:rsids>
    <w:rsidRoot w:val="00000000"/>
    <w:rsid w:val="15BF7D1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方正仿宋简体" w:hAnsi="方正仿宋简体" w:eastAsia="方正仿宋简体" w:cs="方正仿宋简体"/>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Office_12.1.0.15120_F1E327BC-269C-435d-A152-05C5408002CA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2022-10-21T11:10:00Z</dcterms:created>
  <dc:creator>Admin</dc:creator>
  <cp:lastModifiedBy>白筱羽</cp:lastModifiedBy>
  <dcterms:modified xsi:type="dcterms:W3CDTF">2023-08-01T09:02:04Z</dcterms:modified>
  <dc:title>231.动物防疫条件合格证核发服务指南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2023-08-01T16:16:38Z</vt:filetime>
  </property>
  <property fmtid="{D5CDD505-2E9C-101B-9397-08002B2CF9AE}" pid="4" name="KSOProductBuildVer">
    <vt:lpwstr>2052-12.1.0.15120</vt:lpwstr>
  </property>
  <property fmtid="{D5CDD505-2E9C-101B-9397-08002B2CF9AE}" pid="5" name="ICV">
    <vt:lpwstr>06B44E6850004D179649C039497E6EAC_12</vt:lpwstr>
  </property>
</Properties>
</file>