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233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6432;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4384"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spacing w:line="259" w:lineRule="auto"/>
        <w:sectPr>
          <w:type w:val="continuous"/>
          <w:pgSz w:w="10772" w:h="11906"/>
          <w:pgMar w:top="400" w:right="562" w:bottom="0" w:left="558" w:header="0" w:footer="0" w:gutter="0"/>
          <w:cols w:equalWidth="0" w:num="2">
            <w:col w:w="5284" w:space="100"/>
            <w:col w:w="4267"/>
          </w:cols>
        </w:sectPr>
      </w:pPr>
      <w:bookmarkStart w:id="0" w:name="_GoBack"/>
      <w:bookmarkEnd w:id="0"/>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103" w:line="175" w:lineRule="auto"/>
        <w:ind w:left="4548"/>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-1009650</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危险化学品经营（无储存）变更许可</w:t>
      </w:r>
    </w:p>
    <w:p>
      <w:pPr>
        <w:spacing w:before="1" w:line="174" w:lineRule="auto"/>
        <w:ind w:left="5246"/>
        <w:rPr>
          <w:rFonts w:ascii="微软雅黑" w:hAnsi="微软雅黑" w:eastAsia="微软雅黑" w:cs="微软雅黑"/>
          <w:sz w:val="24"/>
          <w:szCs w:val="24"/>
        </w:rPr>
      </w:pPr>
      <w:r>
        <w:rPr>
          <w:rFonts w:ascii="微软雅黑" w:hAnsi="微软雅黑" w:eastAsia="微软雅黑" w:cs="微软雅黑"/>
          <w:color w:val="231F20"/>
          <w:sz w:val="24"/>
          <w:szCs w:val="24"/>
        </w:rPr>
        <w:t>（变更法人）服务指南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85" w:line="266" w:lineRule="auto"/>
        <w:ind w:left="4323" w:right="599" w:firstLine="461"/>
      </w:pPr>
      <w:r>
        <w:rPr>
          <w:color w:val="231F20"/>
          <w:spacing w:val="15"/>
        </w:rPr>
        <w:t>危险化学品经营（无储存）变更许可</w:t>
      </w:r>
      <w:r>
        <w:rPr>
          <w:color w:val="231F20"/>
          <w:spacing w:val="7"/>
        </w:rPr>
        <w:t xml:space="preserve"> </w:t>
      </w:r>
      <w:r>
        <w:rPr>
          <w:color w:val="231F20"/>
          <w:spacing w:val="3"/>
        </w:rPr>
        <w:t>（变更法人）</w:t>
      </w:r>
    </w:p>
    <w:p>
      <w:pPr>
        <w:spacing w:before="82"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82" w:line="230" w:lineRule="auto"/>
        <w:ind w:left="4802"/>
      </w:pPr>
      <w:r>
        <w:rPr>
          <w:color w:val="231F20"/>
          <w:spacing w:val="-1"/>
        </w:rPr>
        <w:t>1.《危险化学品安全管理条例》</w:t>
      </w:r>
    </w:p>
    <w:p>
      <w:pPr>
        <w:pStyle w:val="2"/>
        <w:spacing w:before="92" w:line="230" w:lineRule="auto"/>
        <w:ind w:left="4786"/>
      </w:pPr>
      <w:r>
        <w:rPr>
          <w:color w:val="231F20"/>
        </w:rPr>
        <w:t>2.《危险化学品经营许可证管理办法》</w:t>
      </w:r>
    </w:p>
    <w:p>
      <w:pPr>
        <w:spacing w:before="8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84" w:line="228" w:lineRule="auto"/>
        <w:ind w:left="4833"/>
      </w:pPr>
      <w:r>
        <w:rPr>
          <w:color w:val="231F20"/>
          <w:spacing w:val="-4"/>
        </w:rPr>
        <w:t>自然人、企业法人、社会组织法人</w:t>
      </w:r>
    </w:p>
    <w:p>
      <w:pPr>
        <w:spacing w:before="9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84" w:line="266"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8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82" w:line="229" w:lineRule="auto"/>
        <w:ind w:left="4802"/>
      </w:pPr>
      <w:r>
        <w:rPr>
          <w:color w:val="231F20"/>
          <w:spacing w:val="-5"/>
        </w:rPr>
        <w:t>1.经营许可证变更申请书；</w:t>
      </w:r>
    </w:p>
    <w:p>
      <w:pPr>
        <w:pStyle w:val="2"/>
        <w:spacing w:before="92" w:line="264" w:lineRule="auto"/>
        <w:ind w:left="4346" w:right="600" w:firstLine="440"/>
      </w:pPr>
      <w:r>
        <w:rPr>
          <w:color w:val="231F20"/>
          <w:spacing w:val="17"/>
        </w:rPr>
        <w:t>2.变更后的工商营业执照副本（复制</w:t>
      </w:r>
      <w:r>
        <w:rPr>
          <w:color w:val="231F20"/>
          <w:spacing w:val="2"/>
        </w:rPr>
        <w:t xml:space="preserve"> </w:t>
      </w:r>
      <w:r>
        <w:rPr>
          <w:color w:val="231F20"/>
          <w:spacing w:val="-1"/>
        </w:rPr>
        <w:t>件</w:t>
      </w:r>
      <w:r>
        <w:rPr>
          <w:color w:val="231F20"/>
          <w:spacing w:val="1"/>
        </w:rPr>
        <w:t>）；（</w:t>
      </w:r>
      <w:r>
        <w:rPr>
          <w:color w:val="231F20"/>
          <w:spacing w:val="-1"/>
        </w:rPr>
        <w:t>承诺限期补齐补全）</w:t>
      </w:r>
    </w:p>
    <w:p>
      <w:pPr>
        <w:pStyle w:val="2"/>
        <w:spacing w:before="92" w:line="264" w:lineRule="auto"/>
        <w:ind w:left="4323" w:right="601" w:firstLine="460"/>
      </w:pPr>
      <w:r>
        <w:rPr>
          <w:color w:val="231F20"/>
          <w:spacing w:val="17"/>
        </w:rPr>
        <w:t>3.变更后的主要负责人安全资格证书</w:t>
      </w:r>
      <w:r>
        <w:rPr>
          <w:color w:val="231F20"/>
          <w:spacing w:val="1"/>
        </w:rPr>
        <w:t xml:space="preserve"> （复制件）；（承诺限期补齐补全）</w:t>
      </w:r>
    </w:p>
    <w:p>
      <w:pPr>
        <w:pStyle w:val="2"/>
        <w:spacing w:before="94" w:line="232" w:lineRule="auto"/>
        <w:ind w:left="4785"/>
      </w:pPr>
      <w:r>
        <w:rPr>
          <w:color w:val="231F20"/>
          <w:spacing w:val="-5"/>
        </w:rPr>
        <w:t>4.告知承诺书。</w:t>
      </w:r>
    </w:p>
    <w:p>
      <w:pPr>
        <w:spacing w:before="8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83" w:line="231" w:lineRule="auto"/>
        <w:ind w:left="4784"/>
      </w:pPr>
      <w:r>
        <w:rPr>
          <w:color w:val="231F20"/>
          <w:spacing w:val="-1"/>
        </w:rPr>
        <w:t>唐山市曹妃甸区行政审批局</w:t>
      </w:r>
    </w:p>
    <w:p>
      <w:pPr>
        <w:spacing w:before="8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31AD41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2023-03-30T15:33:00Z</dcterms:created>
  <dc:creator>Admin</dc:creator>
  <cp:lastModifiedBy>白筱羽</cp:lastModifiedBy>
  <dcterms:modified xsi:type="dcterms:W3CDTF">2023-08-01T09:10:23Z</dcterms:modified>
  <dc:title>301.危险化学品经营（无储存）变更许可变更法人服务指南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y fmtid="{D5CDD505-2E9C-101B-9397-08002B2CF9AE}" pid="4" name="KSOProductBuildVer">
    <vt:lpwstr>2052-12.1.0.15120</vt:lpwstr>
  </property>
  <property fmtid="{D5CDD505-2E9C-101B-9397-08002B2CF9AE}" pid="5" name="ICV">
    <vt:lpwstr>19572E073B324297B0C1E8E6CDF67ED8_12</vt:lpwstr>
  </property>
</Properties>
</file>