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7"/>
      </w:pPr>
      <w:r>
        <w:pict>
          <v:rect id="_x0000_s1026" o:spid="_x0000_s1026" o:spt="1" style="position:absolute;left:0pt;margin-left:107.5pt;margin-top:219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222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253.95pt;height:0.6pt;width:16.75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253.95pt;height:0.6pt;width:14.7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202.1pt;height:0.6pt;width:27.05pt;mso-position-horizontal-relative:page;mso-position-vertical-relative:page;z-index:251663360;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2336" behindDoc="0" locked="0" layoutInCell="0" allowOverlap="1">
            <wp:simplePos x="0" y="0"/>
            <wp:positionH relativeFrom="page">
              <wp:posOffset>612775</wp:posOffset>
            </wp:positionH>
            <wp:positionV relativeFrom="page">
              <wp:posOffset>2570480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2"/>
                    </a:xfrm>
                    <a:prstGeom prst="rect">
                      <a:avLst/>
                    </a:prstGeom>
                  </pic:spPr>
                </pic:pic>
              </a:graphicData>
            </a:graphic>
          </wp:anchor>
        </w:drawing>
      </w:r>
      <w:r>
        <w:pict>
          <v:shape id="_x0000_s1031" o:spid="_x0000_s1031" o:spt="202" type="#_x0000_t202" style="position:absolute;left:0pt;margin-left:87.05pt;margin-top:241.55pt;height:25.3pt;width:40.1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200"/>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241.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241.6pt;height:25.3pt;width:39.8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200"/>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3201035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200"/>
                    </a:xfrm>
                    <a:prstGeom prst="rect">
                      <a:avLst/>
                    </a:prstGeom>
                  </pic:spPr>
                </pic:pic>
              </a:graphicData>
            </a:graphic>
          </wp:anchor>
        </w:drawing>
      </w:r>
      <w:r>
        <w:pict>
          <v:shape id="_x0000_s1034" o:spid="_x0000_s1034" o:spt="202" type="#_x0000_t202" style="position:absolute;left:0pt;margin-left:140.65pt;margin-top:286.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1365250</wp:posOffset>
            </wp:positionH>
            <wp:positionV relativeFrom="page">
              <wp:posOffset>3373755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3"/>
                    </a:xfrm>
                    <a:prstGeom prst="rect">
                      <a:avLst/>
                    </a:prstGeom>
                  </pic:spPr>
                </pic:pic>
              </a:graphicData>
            </a:graphic>
          </wp:anchor>
        </w:drawing>
      </w:r>
    </w:p>
    <w:p>
      <w:pPr>
        <w:sectPr>
          <w:headerReference r:id="rId5" w:type="default"/>
          <w:pgSz w:w="10772" w:h="11906"/>
          <w:pgMar w:top="400" w:right="561" w:bottom="0" w:left="558" w:header="0" w:footer="0" w:gutter="0"/>
          <w:cols w:equalWidth="0" w:num="1">
            <w:col w:w="9652"/>
          </w:cols>
        </w:sectPr>
      </w:pPr>
    </w:p>
    <w:p>
      <w:pPr>
        <w:pStyle w:val="2"/>
        <w:spacing w:before="49" w:line="229" w:lineRule="auto"/>
        <w:ind w:left="483"/>
      </w:pPr>
      <w:r>
        <w:rPr>
          <w:color w:val="231F20"/>
          <w:spacing w:val="-4"/>
        </w:rPr>
        <w:t>6.有效的企业验资报告；</w:t>
      </w:r>
    </w:p>
    <w:p>
      <w:pPr>
        <w:pStyle w:val="2"/>
        <w:spacing w:before="54" w:line="255" w:lineRule="auto"/>
        <w:ind w:left="52" w:right="1010" w:firstLine="435"/>
      </w:pPr>
      <w:r>
        <w:rPr>
          <w:color w:val="231F20"/>
          <w:spacing w:val="3"/>
        </w:rPr>
        <w:t>7.具备与收运能力相配套的复合标准的</w:t>
      </w:r>
      <w:r>
        <w:rPr>
          <w:color w:val="231F20"/>
          <w:spacing w:val="11"/>
        </w:rPr>
        <w:t xml:space="preserve"> </w:t>
      </w:r>
      <w:r>
        <w:rPr>
          <w:color w:val="231F20"/>
        </w:rPr>
        <w:t>收集容器材料（含设备照片、说明书、发票</w:t>
      </w:r>
      <w:r>
        <w:rPr>
          <w:color w:val="231F20"/>
          <w:spacing w:val="17"/>
        </w:rPr>
        <w:t xml:space="preserve"> </w:t>
      </w:r>
      <w:r>
        <w:rPr>
          <w:color w:val="231F20"/>
          <w:spacing w:val="-19"/>
        </w:rPr>
        <w:t>等</w:t>
      </w:r>
      <w:r>
        <w:rPr>
          <w:color w:val="231F20"/>
          <w:spacing w:val="-10"/>
        </w:rPr>
        <w:t>）；</w:t>
      </w:r>
    </w:p>
    <w:p>
      <w:pPr>
        <w:pStyle w:val="2"/>
        <w:spacing w:before="53" w:line="232" w:lineRule="auto"/>
        <w:ind w:left="482"/>
      </w:pPr>
      <w:r>
        <w:rPr>
          <w:color w:val="231F20"/>
          <w:spacing w:val="-2"/>
        </w:rPr>
        <w:t>8.行政许可告知承诺书。</w:t>
      </w:r>
    </w:p>
    <w:p>
      <w:pPr>
        <w:spacing w:before="46"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2"/>
      </w:pPr>
      <w:r>
        <w:rPr>
          <w:color w:val="231F20"/>
          <w:spacing w:val="-1"/>
        </w:rPr>
        <w:t>唐山市曹妃甸区行政审批局</w:t>
      </w:r>
    </w:p>
    <w:p>
      <w:pPr>
        <w:spacing w:before="47"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16"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55" w:line="233" w:lineRule="auto"/>
        <w:ind w:left="494"/>
      </w:pPr>
      <w:r>
        <w:rPr>
          <w:color w:val="231F20"/>
          <w:spacing w:val="-2"/>
        </w:rPr>
        <w:t>法定时限：20个工作日</w:t>
      </w:r>
    </w:p>
    <w:p>
      <w:pPr>
        <w:pStyle w:val="2"/>
        <w:spacing w:before="58" w:line="254" w:lineRule="auto"/>
        <w:ind w:left="44" w:right="1011"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5"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54" w:line="233" w:lineRule="auto"/>
        <w:ind w:left="490"/>
      </w:pPr>
      <w:r>
        <w:rPr>
          <w:color w:val="231F20"/>
          <w:spacing w:val="-5"/>
        </w:rPr>
        <w:t>不收费</w:t>
      </w:r>
    </w:p>
    <w:p>
      <w:pPr>
        <w:spacing w:before="53"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52"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bookmarkStart w:id="0" w:name="_GoBack"/>
      <w:bookmarkEnd w:id="0"/>
    </w:p>
    <w:p>
      <w:pPr>
        <w:spacing w:line="259" w:lineRule="auto"/>
        <w:sectPr>
          <w:type w:val="continuous"/>
          <w:pgSz w:w="10772" w:h="11906"/>
          <w:pgMar w:top="400" w:right="561" w:bottom="0" w:left="558" w:header="0" w:footer="0" w:gutter="0"/>
          <w:cols w:equalWidth="0" w:num="2">
            <w:col w:w="5262" w:space="100"/>
            <w:col w:w="4290"/>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75" w:lineRule="auto"/>
        <w:ind w:left="5268" w:right="782" w:hanging="720"/>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2"/>
          <w:sz w:val="24"/>
          <w:szCs w:val="24"/>
        </w:rPr>
        <w:t>各设区市、扩权县餐厨废弃物收集、</w:t>
      </w:r>
      <w:r>
        <w:rPr>
          <w:rFonts w:ascii="微软雅黑" w:hAnsi="微软雅黑" w:eastAsia="微软雅黑" w:cs="微软雅黑"/>
          <w:color w:val="231F20"/>
          <w:spacing w:val="13"/>
          <w:sz w:val="24"/>
          <w:szCs w:val="24"/>
        </w:rPr>
        <w:t xml:space="preserve"> </w:t>
      </w:r>
      <w:r>
        <w:rPr>
          <w:rFonts w:ascii="微软雅黑" w:hAnsi="微软雅黑" w:eastAsia="微软雅黑" w:cs="微软雅黑"/>
          <w:color w:val="231F20"/>
          <w:spacing w:val="-1"/>
          <w:sz w:val="24"/>
          <w:szCs w:val="24"/>
        </w:rPr>
        <w:t>运输从业许可服务指南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18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9" w:line="254" w:lineRule="auto"/>
        <w:ind w:left="4349" w:right="601" w:firstLine="435"/>
      </w:pPr>
      <w:r>
        <w:rPr>
          <w:color w:val="231F20"/>
          <w:spacing w:val="1"/>
        </w:rPr>
        <w:t>各设区市、扩权县餐厨废弃物收集、运</w:t>
      </w:r>
      <w:r>
        <w:rPr>
          <w:color w:val="231F20"/>
          <w:spacing w:val="8"/>
        </w:rPr>
        <w:t xml:space="preserve"> </w:t>
      </w:r>
      <w:r>
        <w:rPr>
          <w:color w:val="231F20"/>
          <w:spacing w:val="-3"/>
        </w:rPr>
        <w:t>输从业许可</w:t>
      </w:r>
    </w:p>
    <w:p>
      <w:pPr>
        <w:spacing w:before="49"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9" w:line="230" w:lineRule="auto"/>
        <w:ind w:left="4755"/>
      </w:pPr>
      <w:r>
        <w:rPr>
          <w:color w:val="231F20"/>
          <w:spacing w:val="2"/>
        </w:rPr>
        <w:t>《河北省餐厨废弃物管理办法》</w:t>
      </w:r>
    </w:p>
    <w:p>
      <w:pPr>
        <w:spacing w:before="5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0" w:line="228" w:lineRule="auto"/>
        <w:ind w:left="4833"/>
      </w:pPr>
      <w:r>
        <w:rPr>
          <w:color w:val="231F20"/>
          <w:spacing w:val="-4"/>
        </w:rPr>
        <w:t>自然人、企业法人、社会组织法人</w:t>
      </w:r>
    </w:p>
    <w:p>
      <w:pPr>
        <w:spacing w:before="57"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8" w:line="254"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9"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9" w:line="251" w:lineRule="auto"/>
        <w:ind w:left="4381" w:right="600" w:firstLine="421"/>
      </w:pPr>
      <w:r>
        <w:rPr>
          <w:color w:val="231F20"/>
          <w:spacing w:val="1"/>
        </w:rPr>
        <w:t>1.从事餐厨废弃物收集、运输从业许可</w:t>
      </w:r>
      <w:r>
        <w:rPr>
          <w:color w:val="231F20"/>
          <w:spacing w:val="4"/>
        </w:rPr>
        <w:t xml:space="preserve"> </w:t>
      </w:r>
      <w:r>
        <w:rPr>
          <w:color w:val="231F20"/>
          <w:spacing w:val="-16"/>
        </w:rPr>
        <w:t>申请书；</w:t>
      </w:r>
    </w:p>
    <w:p>
      <w:pPr>
        <w:pStyle w:val="2"/>
        <w:spacing w:before="59" w:line="251" w:lineRule="auto"/>
        <w:ind w:left="4343" w:right="591" w:firstLine="443"/>
      </w:pPr>
      <w:r>
        <w:rPr>
          <w:color w:val="231F20"/>
          <w:spacing w:val="4"/>
        </w:rPr>
        <w:t>2.营业执照（含符合规定的经营范围）</w:t>
      </w:r>
      <w:r>
        <w:rPr>
          <w:color w:val="231F20"/>
          <w:spacing w:val="8"/>
        </w:rPr>
        <w:t xml:space="preserve"> </w:t>
      </w:r>
      <w:r>
        <w:rPr>
          <w:color w:val="231F20"/>
          <w:spacing w:val="-4"/>
        </w:rPr>
        <w:t>及法定代表人居民身份证；</w:t>
      </w:r>
    </w:p>
    <w:p>
      <w:pPr>
        <w:pStyle w:val="2"/>
        <w:spacing w:before="58" w:line="258" w:lineRule="auto"/>
        <w:ind w:left="4358" w:right="600" w:firstLine="425"/>
      </w:pPr>
      <w:r>
        <w:rPr>
          <w:color w:val="231F20"/>
          <w:spacing w:val="3"/>
        </w:rPr>
        <w:t>3.具有防臭味扩散、防遗撒、防滴漏功</w:t>
      </w:r>
      <w:r>
        <w:rPr>
          <w:color w:val="231F20"/>
          <w:spacing w:val="16"/>
        </w:rPr>
        <w:t xml:space="preserve"> </w:t>
      </w:r>
      <w:r>
        <w:rPr>
          <w:color w:val="231F20"/>
        </w:rPr>
        <w:t>能的餐厨废弃物运输专用车辆材料（含设备</w:t>
      </w:r>
      <w:r>
        <w:rPr>
          <w:color w:val="231F20"/>
          <w:spacing w:val="12"/>
        </w:rPr>
        <w:t xml:space="preserve"> </w:t>
      </w:r>
      <w:r>
        <w:rPr>
          <w:color w:val="231F20"/>
          <w:spacing w:val="-6"/>
        </w:rPr>
        <w:t>照片、说明书、发票等</w:t>
      </w:r>
      <w:r>
        <w:rPr>
          <w:color w:val="231F20"/>
          <w:spacing w:val="1"/>
        </w:rPr>
        <w:t>）；</w:t>
      </w:r>
    </w:p>
    <w:p>
      <w:pPr>
        <w:pStyle w:val="2"/>
        <w:spacing w:before="63" w:line="258" w:lineRule="auto"/>
        <w:ind w:left="4346" w:right="601" w:firstLine="438"/>
      </w:pPr>
      <w:r>
        <w:rPr>
          <w:color w:val="231F20"/>
          <w:spacing w:val="3"/>
        </w:rPr>
        <w:t>4.具备固定办公及机械、设备、车辆停</w:t>
      </w:r>
      <w:r>
        <w:rPr>
          <w:color w:val="231F20"/>
          <w:spacing w:val="7"/>
        </w:rPr>
        <w:t xml:space="preserve"> </w:t>
      </w:r>
      <w:r>
        <w:rPr>
          <w:color w:val="231F20"/>
          <w:spacing w:val="-1"/>
        </w:rPr>
        <w:t>放场所的相关材料（若自有，提供房产证；</w:t>
      </w:r>
      <w:r>
        <w:rPr>
          <w:color w:val="231F20"/>
          <w:spacing w:val="7"/>
        </w:rPr>
        <w:t xml:space="preserve"> </w:t>
      </w:r>
      <w:r>
        <w:rPr>
          <w:color w:val="231F20"/>
          <w:spacing w:val="-4"/>
        </w:rPr>
        <w:t>若租赁，提供租赁合同和房产证</w:t>
      </w:r>
      <w:r>
        <w:rPr>
          <w:color w:val="231F20"/>
          <w:spacing w:val="4"/>
        </w:rPr>
        <w:t>）；</w:t>
      </w:r>
    </w:p>
    <w:p>
      <w:pPr>
        <w:pStyle w:val="2"/>
        <w:spacing w:before="60" w:line="253" w:lineRule="auto"/>
        <w:ind w:left="4346" w:right="599" w:firstLine="441"/>
      </w:pPr>
      <w:r>
        <w:rPr>
          <w:color w:val="231F20"/>
          <w:spacing w:val="17"/>
        </w:rPr>
        <w:t>5.各种作业车辆的道路运输经营许可</w:t>
      </w:r>
      <w:r>
        <w:rPr>
          <w:color w:val="231F20"/>
          <w:spacing w:val="3"/>
        </w:rPr>
        <w:t xml:space="preserve"> </w:t>
      </w:r>
      <w:r>
        <w:rPr>
          <w:color w:val="231F20"/>
          <w:spacing w:val="-6"/>
        </w:rPr>
        <w:t>证、行驶证。</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259B6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825</Words>
  <Characters>925</Characters>
  <TotalTime>0</TotalTime>
  <ScaleCrop>false</ScaleCrop>
  <LinksUpToDate>false</LinksUpToDate>
  <CharactersWithSpaces>982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2023-03-30T14:18:00Z</dcterms:created>
  <dc:creator>Admin</dc:creator>
  <cp:lastModifiedBy>An玙</cp:lastModifiedBy>
  <dcterms:modified xsi:type="dcterms:W3CDTF">2023-08-01T09:10:22Z</dcterms:modified>
  <dc:title>191.各设区市、扩权县餐厨废弃物收集、运输从业许可服务指南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2023-08-01T16:09:39Z</vt:filetime>
  </property>
  <property fmtid="{D5CDD505-2E9C-101B-9397-08002B2CF9AE}" pid="4" name="KSOProductBuildVer">
    <vt:lpwstr>2052-11.1.0.14309</vt:lpwstr>
  </property>
  <property fmtid="{D5CDD505-2E9C-101B-9397-08002B2CF9AE}" pid="5" name="ICV">
    <vt:lpwstr>02CDC6325E874053B72F45E90BB5AEDA_12</vt:lpwstr>
  </property>
</Properties>
</file>