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1515" w:rsidRDefault="00401515">
      <w:pPr>
        <w:spacing w:line="296" w:lineRule="auto"/>
      </w:pPr>
    </w:p>
    <w:p w:rsidR="00401515" w:rsidRDefault="00401515">
      <w:pPr>
        <w:spacing w:line="296" w:lineRule="auto"/>
      </w:pPr>
    </w:p>
    <w:p w:rsidR="00401515" w:rsidRDefault="00401515">
      <w:pPr>
        <w:spacing w:line="296" w:lineRule="auto"/>
      </w:pPr>
    </w:p>
    <w:p w:rsidR="00401515" w:rsidRDefault="00401515">
      <w:pPr>
        <w:spacing w:line="297" w:lineRule="auto"/>
      </w:pPr>
    </w:p>
    <w:p w:rsidR="00401515" w:rsidRDefault="00D423C6">
      <w:pPr>
        <w:spacing w:before="103" w:line="190" w:lineRule="auto"/>
        <w:ind w:left="5967" w:right="1390" w:hanging="840"/>
        <w:rPr>
          <w:rFonts w:ascii="微软雅黑" w:eastAsia="微软雅黑" w:hAnsi="微软雅黑" w:cs="微软雅黑"/>
          <w:sz w:val="24"/>
          <w:szCs w:val="24"/>
          <w:lang w:eastAsia="zh-CN"/>
        </w:rPr>
      </w:pPr>
      <w:r>
        <w:drawing>
          <wp:anchor distT="0" distB="0" distL="0" distR="0" simplePos="0" relativeHeight="251658240" behindDoc="1" locked="0" layoutInCell="1" allowOverlap="1">
            <wp:simplePos x="0" y="0"/>
            <wp:positionH relativeFrom="column">
              <wp:posOffset>2395588</wp:posOffset>
            </wp:positionH>
            <wp:positionV relativeFrom="paragraph">
              <wp:posOffset>-1009406</wp:posOffset>
            </wp:positionV>
            <wp:extent cx="3416807" cy="7555991"/>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3416807" cy="7555991"/>
                    </a:xfrm>
                    <a:prstGeom prst="rect">
                      <a:avLst/>
                    </a:prstGeom>
                  </pic:spPr>
                </pic:pic>
              </a:graphicData>
            </a:graphic>
          </wp:anchor>
        </w:drawing>
      </w:r>
      <w:r>
        <w:rPr>
          <w:rFonts w:ascii="微软雅黑" w:eastAsia="微软雅黑" w:hAnsi="微软雅黑" w:cs="微软雅黑"/>
          <w:color w:val="231F20"/>
          <w:spacing w:val="-1"/>
          <w:sz w:val="24"/>
          <w:szCs w:val="24"/>
          <w:lang w:eastAsia="zh-CN"/>
        </w:rPr>
        <w:t>从事营利性治沙活动许可</w:t>
      </w:r>
      <w:r>
        <w:rPr>
          <w:rFonts w:ascii="微软雅黑" w:eastAsia="微软雅黑" w:hAnsi="微软雅黑" w:cs="微软雅黑"/>
          <w:color w:val="231F20"/>
          <w:spacing w:val="5"/>
          <w:sz w:val="24"/>
          <w:szCs w:val="24"/>
          <w:lang w:eastAsia="zh-CN"/>
        </w:rPr>
        <w:t xml:space="preserve"> </w:t>
      </w:r>
      <w:r>
        <w:rPr>
          <w:rFonts w:ascii="微软雅黑" w:eastAsia="微软雅黑" w:hAnsi="微软雅黑" w:cs="微软雅黑"/>
          <w:color w:val="231F20"/>
          <w:spacing w:val="-2"/>
          <w:sz w:val="24"/>
          <w:szCs w:val="24"/>
          <w:lang w:eastAsia="zh-CN"/>
        </w:rPr>
        <w:t>服务指南</w:t>
      </w:r>
    </w:p>
    <w:p w:rsidR="00401515" w:rsidRDefault="00D423C6">
      <w:pPr>
        <w:spacing w:before="221" w:line="202" w:lineRule="auto"/>
        <w:ind w:left="4786"/>
        <w:rPr>
          <w:rFonts w:ascii="微软雅黑" w:eastAsia="微软雅黑" w:hAnsi="微软雅黑" w:cs="微软雅黑"/>
          <w:sz w:val="22"/>
          <w:szCs w:val="22"/>
          <w:lang w:eastAsia="zh-CN"/>
        </w:rPr>
      </w:pPr>
      <w:r>
        <w:rPr>
          <w:rFonts w:ascii="微软雅黑" w:eastAsia="微软雅黑" w:hAnsi="微软雅黑" w:cs="微软雅黑"/>
          <w:color w:val="231F20"/>
          <w:spacing w:val="-4"/>
          <w:sz w:val="22"/>
          <w:szCs w:val="22"/>
          <w:lang w:eastAsia="zh-CN"/>
        </w:rPr>
        <w:t>一、事项名称</w:t>
      </w:r>
    </w:p>
    <w:p w:rsidR="00401515" w:rsidRDefault="00D423C6">
      <w:pPr>
        <w:pStyle w:val="a3"/>
        <w:spacing w:before="64" w:line="227" w:lineRule="auto"/>
        <w:ind w:left="4787"/>
        <w:rPr>
          <w:lang w:eastAsia="zh-CN"/>
        </w:rPr>
      </w:pPr>
      <w:r>
        <w:rPr>
          <w:color w:val="231F20"/>
          <w:spacing w:val="-2"/>
          <w:lang w:eastAsia="zh-CN"/>
        </w:rPr>
        <w:t>从事营利性治沙活动许可</w:t>
      </w:r>
    </w:p>
    <w:p w:rsidR="00401515" w:rsidRDefault="00D423C6">
      <w:pPr>
        <w:spacing w:before="72" w:line="204" w:lineRule="auto"/>
        <w:ind w:left="4785"/>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二、办理依据</w:t>
      </w:r>
    </w:p>
    <w:p w:rsidR="00401515" w:rsidRDefault="00D423C6">
      <w:pPr>
        <w:pStyle w:val="a3"/>
        <w:spacing w:before="59" w:line="275" w:lineRule="auto"/>
        <w:ind w:left="4345" w:right="599" w:firstLine="441"/>
        <w:rPr>
          <w:lang w:eastAsia="zh-CN"/>
        </w:rPr>
      </w:pPr>
      <w:r>
        <w:rPr>
          <w:color w:val="231F20"/>
          <w:spacing w:val="3"/>
          <w:lang w:eastAsia="zh-CN"/>
        </w:rPr>
        <w:t>2001</w:t>
      </w:r>
      <w:r>
        <w:rPr>
          <w:color w:val="231F20"/>
          <w:spacing w:val="3"/>
          <w:lang w:eastAsia="zh-CN"/>
        </w:rPr>
        <w:t>年</w:t>
      </w:r>
      <w:r>
        <w:rPr>
          <w:color w:val="231F20"/>
          <w:spacing w:val="3"/>
          <w:lang w:eastAsia="zh-CN"/>
        </w:rPr>
        <w:t>8</w:t>
      </w:r>
      <w:r>
        <w:rPr>
          <w:color w:val="231F20"/>
          <w:spacing w:val="3"/>
          <w:lang w:eastAsia="zh-CN"/>
        </w:rPr>
        <w:t>月</w:t>
      </w:r>
      <w:r>
        <w:rPr>
          <w:color w:val="231F20"/>
          <w:spacing w:val="3"/>
          <w:lang w:eastAsia="zh-CN"/>
        </w:rPr>
        <w:t>31</w:t>
      </w:r>
      <w:r>
        <w:rPr>
          <w:color w:val="231F20"/>
          <w:spacing w:val="3"/>
          <w:lang w:eastAsia="zh-CN"/>
        </w:rPr>
        <w:t>日第九届全国人民代表大</w:t>
      </w:r>
      <w:r>
        <w:rPr>
          <w:color w:val="231F20"/>
          <w:spacing w:val="15"/>
          <w:lang w:eastAsia="zh-CN"/>
        </w:rPr>
        <w:t xml:space="preserve"> </w:t>
      </w:r>
      <w:r>
        <w:rPr>
          <w:color w:val="231F20"/>
          <w:spacing w:val="7"/>
          <w:lang w:eastAsia="zh-CN"/>
        </w:rPr>
        <w:t>会常务委员会第二十三次会议通过，</w:t>
      </w:r>
      <w:r>
        <w:rPr>
          <w:color w:val="231F20"/>
          <w:spacing w:val="7"/>
          <w:lang w:eastAsia="zh-CN"/>
        </w:rPr>
        <w:t xml:space="preserve"> </w:t>
      </w:r>
      <w:r>
        <w:rPr>
          <w:color w:val="231F20"/>
          <w:spacing w:val="7"/>
          <w:lang w:eastAsia="zh-CN"/>
        </w:rPr>
        <w:t>根据</w:t>
      </w:r>
      <w:r>
        <w:rPr>
          <w:color w:val="231F20"/>
          <w:spacing w:val="16"/>
          <w:lang w:eastAsia="zh-CN"/>
        </w:rPr>
        <w:t xml:space="preserve"> </w:t>
      </w:r>
      <w:r>
        <w:rPr>
          <w:color w:val="231F20"/>
          <w:spacing w:val="8"/>
          <w:lang w:eastAsia="zh-CN"/>
        </w:rPr>
        <w:t>2018</w:t>
      </w:r>
      <w:r>
        <w:rPr>
          <w:color w:val="231F20"/>
          <w:spacing w:val="8"/>
          <w:lang w:eastAsia="zh-CN"/>
        </w:rPr>
        <w:t>年</w:t>
      </w:r>
      <w:r>
        <w:rPr>
          <w:color w:val="231F20"/>
          <w:spacing w:val="8"/>
          <w:lang w:eastAsia="zh-CN"/>
        </w:rPr>
        <w:t>10</w:t>
      </w:r>
      <w:r>
        <w:rPr>
          <w:color w:val="231F20"/>
          <w:spacing w:val="8"/>
          <w:lang w:eastAsia="zh-CN"/>
        </w:rPr>
        <w:t>月</w:t>
      </w:r>
      <w:r>
        <w:rPr>
          <w:color w:val="231F20"/>
          <w:spacing w:val="8"/>
          <w:lang w:eastAsia="zh-CN"/>
        </w:rPr>
        <w:t>26</w:t>
      </w:r>
      <w:r>
        <w:rPr>
          <w:color w:val="231F20"/>
          <w:spacing w:val="8"/>
          <w:lang w:eastAsia="zh-CN"/>
        </w:rPr>
        <w:t>日第十三届全国人民代表大</w:t>
      </w:r>
      <w:r>
        <w:rPr>
          <w:color w:val="231F20"/>
          <w:spacing w:val="18"/>
          <w:lang w:eastAsia="zh-CN"/>
        </w:rPr>
        <w:t xml:space="preserve"> </w:t>
      </w:r>
      <w:r>
        <w:rPr>
          <w:color w:val="231F20"/>
          <w:spacing w:val="1"/>
          <w:lang w:eastAsia="zh-CN"/>
        </w:rPr>
        <w:t>会常务委员会第六次会议《关于修改〈中华</w:t>
      </w:r>
      <w:r>
        <w:rPr>
          <w:color w:val="231F20"/>
          <w:spacing w:val="7"/>
          <w:lang w:eastAsia="zh-CN"/>
        </w:rPr>
        <w:t xml:space="preserve"> </w:t>
      </w:r>
      <w:r>
        <w:rPr>
          <w:color w:val="231F20"/>
          <w:spacing w:val="1"/>
          <w:lang w:eastAsia="zh-CN"/>
        </w:rPr>
        <w:t>人民共和国野生动物保护法〉等十五部法律</w:t>
      </w:r>
      <w:r>
        <w:rPr>
          <w:color w:val="231F20"/>
          <w:spacing w:val="7"/>
          <w:lang w:eastAsia="zh-CN"/>
        </w:rPr>
        <w:t xml:space="preserve"> </w:t>
      </w:r>
      <w:r>
        <w:rPr>
          <w:color w:val="231F20"/>
          <w:spacing w:val="-2"/>
          <w:lang w:eastAsia="zh-CN"/>
        </w:rPr>
        <w:t>的决定》修正</w:t>
      </w:r>
    </w:p>
    <w:p w:rsidR="00401515" w:rsidRDefault="00D423C6">
      <w:pPr>
        <w:spacing w:before="69" w:line="203" w:lineRule="auto"/>
        <w:ind w:left="4789"/>
        <w:rPr>
          <w:rFonts w:ascii="微软雅黑" w:eastAsia="微软雅黑" w:hAnsi="微软雅黑" w:cs="微软雅黑"/>
          <w:sz w:val="22"/>
          <w:szCs w:val="22"/>
          <w:lang w:eastAsia="zh-CN"/>
        </w:rPr>
      </w:pPr>
      <w:r>
        <w:rPr>
          <w:rFonts w:ascii="微软雅黑" w:eastAsia="微软雅黑" w:hAnsi="微软雅黑" w:cs="微软雅黑"/>
          <w:color w:val="231F20"/>
          <w:spacing w:val="-3"/>
          <w:sz w:val="22"/>
          <w:szCs w:val="22"/>
          <w:lang w:eastAsia="zh-CN"/>
        </w:rPr>
        <w:t>三、受理范围</w:t>
      </w:r>
    </w:p>
    <w:p w:rsidR="00401515" w:rsidRDefault="00D423C6">
      <w:pPr>
        <w:pStyle w:val="a3"/>
        <w:spacing w:before="64" w:line="228" w:lineRule="auto"/>
        <w:ind w:left="4833"/>
        <w:rPr>
          <w:lang w:eastAsia="zh-CN"/>
        </w:rPr>
      </w:pPr>
      <w:r>
        <w:rPr>
          <w:color w:val="231F20"/>
          <w:spacing w:val="-4"/>
          <w:lang w:eastAsia="zh-CN"/>
        </w:rPr>
        <w:t>自然人、企业法人、社会组织法人</w:t>
      </w:r>
    </w:p>
    <w:p w:rsidR="00401515" w:rsidRDefault="00D423C6">
      <w:pPr>
        <w:spacing w:before="71" w:line="203" w:lineRule="auto"/>
        <w:ind w:left="4798"/>
        <w:rPr>
          <w:rFonts w:ascii="微软雅黑" w:eastAsia="微软雅黑" w:hAnsi="微软雅黑" w:cs="微软雅黑"/>
          <w:sz w:val="22"/>
          <w:szCs w:val="22"/>
          <w:lang w:eastAsia="zh-CN"/>
        </w:rPr>
      </w:pPr>
      <w:r>
        <w:rPr>
          <w:rFonts w:ascii="微软雅黑" w:eastAsia="微软雅黑" w:hAnsi="微软雅黑" w:cs="微软雅黑"/>
          <w:color w:val="231F20"/>
          <w:spacing w:val="-4"/>
          <w:sz w:val="22"/>
          <w:szCs w:val="22"/>
          <w:lang w:eastAsia="zh-CN"/>
        </w:rPr>
        <w:t>四、受理条件</w:t>
      </w:r>
    </w:p>
    <w:p w:rsidR="00401515" w:rsidRDefault="00D423C6">
      <w:pPr>
        <w:pStyle w:val="a3"/>
        <w:spacing w:before="62" w:line="259" w:lineRule="auto"/>
        <w:ind w:left="4356" w:right="601" w:firstLine="428"/>
        <w:rPr>
          <w:lang w:eastAsia="zh-CN"/>
        </w:rPr>
      </w:pPr>
      <w:r>
        <w:rPr>
          <w:color w:val="231F20"/>
          <w:spacing w:val="1"/>
          <w:lang w:eastAsia="zh-CN"/>
        </w:rPr>
        <w:t>提交材料齐全，符合法定程序，内容真</w:t>
      </w:r>
      <w:r>
        <w:rPr>
          <w:color w:val="231F20"/>
          <w:spacing w:val="9"/>
          <w:lang w:eastAsia="zh-CN"/>
        </w:rPr>
        <w:t xml:space="preserve"> </w:t>
      </w:r>
      <w:r>
        <w:rPr>
          <w:color w:val="231F20"/>
          <w:spacing w:val="-6"/>
          <w:lang w:eastAsia="zh-CN"/>
        </w:rPr>
        <w:t>实有效</w:t>
      </w:r>
    </w:p>
    <w:p w:rsidR="00401515" w:rsidRDefault="00D423C6">
      <w:pPr>
        <w:spacing w:before="63" w:line="204" w:lineRule="auto"/>
        <w:ind w:left="4784"/>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五、申请材料</w:t>
      </w:r>
    </w:p>
    <w:p w:rsidR="00401515" w:rsidRDefault="00D423C6">
      <w:pPr>
        <w:pStyle w:val="a3"/>
        <w:spacing w:before="63" w:line="233" w:lineRule="auto"/>
        <w:ind w:left="4802"/>
        <w:rPr>
          <w:lang w:eastAsia="zh-CN"/>
        </w:rPr>
      </w:pPr>
      <w:r>
        <w:rPr>
          <w:color w:val="231F20"/>
          <w:spacing w:val="-4"/>
          <w:lang w:eastAsia="zh-CN"/>
        </w:rPr>
        <w:t>1</w:t>
      </w:r>
      <w:r>
        <w:rPr>
          <w:color w:val="231F20"/>
          <w:spacing w:val="-4"/>
          <w:lang w:eastAsia="zh-CN"/>
        </w:rPr>
        <w:t>、治理申请表</w:t>
      </w:r>
    </w:p>
    <w:p w:rsidR="00401515" w:rsidRDefault="00D423C6">
      <w:pPr>
        <w:pStyle w:val="a3"/>
        <w:spacing w:before="67" w:line="232" w:lineRule="auto"/>
        <w:ind w:left="4786"/>
        <w:rPr>
          <w:lang w:eastAsia="zh-CN"/>
        </w:rPr>
      </w:pPr>
      <w:r>
        <w:rPr>
          <w:color w:val="231F20"/>
          <w:spacing w:val="-2"/>
          <w:lang w:eastAsia="zh-CN"/>
        </w:rPr>
        <w:t>2</w:t>
      </w:r>
      <w:r>
        <w:rPr>
          <w:color w:val="231F20"/>
          <w:spacing w:val="-2"/>
          <w:lang w:eastAsia="zh-CN"/>
        </w:rPr>
        <w:t>、治理所需的资金证明</w:t>
      </w:r>
    </w:p>
    <w:p w:rsidR="00401515" w:rsidRDefault="00D423C6">
      <w:pPr>
        <w:pStyle w:val="a3"/>
        <w:spacing w:before="69" w:line="257" w:lineRule="auto"/>
        <w:ind w:left="4356" w:right="601" w:firstLine="427"/>
        <w:rPr>
          <w:lang w:eastAsia="zh-CN"/>
        </w:rPr>
      </w:pPr>
      <w:r>
        <w:rPr>
          <w:color w:val="231F20"/>
          <w:spacing w:val="8"/>
          <w:lang w:eastAsia="zh-CN"/>
        </w:rPr>
        <w:t>3</w:t>
      </w:r>
      <w:r>
        <w:rPr>
          <w:color w:val="231F20"/>
          <w:spacing w:val="8"/>
          <w:lang w:eastAsia="zh-CN"/>
        </w:rPr>
        <w:t>、被治理土地权属的合法证明文件和</w:t>
      </w:r>
      <w:r>
        <w:rPr>
          <w:color w:val="231F20"/>
          <w:lang w:eastAsia="zh-CN"/>
        </w:rPr>
        <w:t xml:space="preserve"> </w:t>
      </w:r>
      <w:r>
        <w:rPr>
          <w:color w:val="231F20"/>
          <w:spacing w:val="-2"/>
          <w:lang w:eastAsia="zh-CN"/>
        </w:rPr>
        <w:t>治理协议符合防沙治沙规划的治理方案</w:t>
      </w:r>
    </w:p>
    <w:p w:rsidR="00401515" w:rsidRDefault="00D423C6">
      <w:pPr>
        <w:spacing w:before="68" w:line="203" w:lineRule="auto"/>
        <w:ind w:left="4785"/>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六、审批机关</w:t>
      </w:r>
    </w:p>
    <w:p w:rsidR="00401515" w:rsidRDefault="00D423C6">
      <w:pPr>
        <w:pStyle w:val="a3"/>
        <w:spacing w:before="63" w:line="231" w:lineRule="auto"/>
        <w:ind w:left="4784"/>
        <w:rPr>
          <w:lang w:eastAsia="zh-CN"/>
        </w:rPr>
      </w:pPr>
      <w:r>
        <w:rPr>
          <w:color w:val="231F20"/>
          <w:spacing w:val="-1"/>
          <w:lang w:eastAsia="zh-CN"/>
        </w:rPr>
        <w:t>唐山市曹妃甸区行政审批局</w:t>
      </w:r>
    </w:p>
    <w:p w:rsidR="00401515" w:rsidRDefault="00D423C6">
      <w:pPr>
        <w:spacing w:before="68" w:line="202" w:lineRule="auto"/>
        <w:ind w:left="4782"/>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七、事项办理流程图</w:t>
      </w:r>
    </w:p>
    <w:p w:rsidR="00401515" w:rsidRDefault="00401515">
      <w:pPr>
        <w:spacing w:line="202" w:lineRule="auto"/>
        <w:rPr>
          <w:rFonts w:ascii="微软雅黑" w:eastAsia="微软雅黑" w:hAnsi="微软雅黑" w:cs="微软雅黑"/>
          <w:sz w:val="22"/>
          <w:szCs w:val="22"/>
        </w:rPr>
        <w:sectPr w:rsidR="00401515">
          <w:headerReference w:type="default" r:id="rId8"/>
          <w:pgSz w:w="10772" w:h="11906"/>
          <w:pgMar w:top="400" w:right="2" w:bottom="0" w:left="1615" w:header="0" w:footer="0" w:gutter="0"/>
          <w:cols w:space="720"/>
        </w:sectPr>
      </w:pPr>
    </w:p>
    <w:p w:rsidR="00401515" w:rsidRDefault="00D423C6">
      <w:pPr>
        <w:spacing w:before="85"/>
      </w:pPr>
      <w:r>
        <w:lastRenderedPageBreak/>
        <w:pict>
          <v:rect id="_x0000_s1033" style="position:absolute;margin-left:95pt;margin-top:71.15pt;width:4.2pt;height:3.65pt;z-index:251669504;mso-position-horizontal-relative:page;mso-position-vertical-relative:page" o:allowincell="f" fillcolor="#231f20" stroked="f">
            <w10:wrap anchorx="page" anchory="page"/>
          </v:rect>
        </w:pict>
      </w:r>
      <w:r>
        <w:pict>
          <v:rect id="_x0000_s1032" style="position:absolute;margin-left:96.75pt;margin-top:74.15pt;width:.65pt;height:21.05pt;z-index:251668480;mso-position-horizontal-relative:page;mso-position-vertical-relative:page" o:allowincell="f" fillcolor="#231f20" stroked="f">
            <w10:wrap anchorx="page" anchory="page"/>
          </v:rect>
        </w:pict>
      </w:r>
      <w:r>
        <w:pict>
          <v:rect id="_x0000_s1031" style="position:absolute;margin-left:173.7pt;margin-top:106.05pt;width:39.15pt;height:.6pt;z-index:251666432;mso-position-horizontal-relative:page;mso-position-vertical-relative:page" o:allowincell="f" fillcolor="#231f20" stroked="f">
            <w10:wrap anchorx="page" anchory="page"/>
          </v:rect>
        </w:pict>
      </w:r>
      <w:r>
        <w:pict>
          <v:shape id="_x0000_s1030" style="position:absolute;margin-left:43.55pt;margin-top:54.25pt;width:21.05pt;height:.6pt;z-index:251670528;mso-position-horizontal-relative:page;mso-position-vertical-relative:page" coordsize="420,12" o:allowincell="f" path="m,5r420,e" filled="f" strokecolor="#231f20" strokeweight=".6pt">
            <v:stroke miterlimit="10" joinstyle="miter"/>
            <w10:wrap anchorx="page" anchory="page"/>
          </v:shape>
        </w:pict>
      </w:r>
      <w:r>
        <w:drawing>
          <wp:anchor distT="0" distB="0" distL="0" distR="0" simplePos="0" relativeHeight="251662336" behindDoc="0" locked="0" layoutInCell="0" allowOverlap="1">
            <wp:simplePos x="0" y="0"/>
            <wp:positionH relativeFrom="page">
              <wp:posOffset>530045</wp:posOffset>
            </wp:positionH>
            <wp:positionV relativeFrom="page">
              <wp:posOffset>692515</wp:posOffset>
            </wp:positionV>
            <wp:extent cx="53174" cy="463901"/>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1"/>
                    </a:xfrm>
                    <a:prstGeom prst="rect">
                      <a:avLst/>
                    </a:prstGeom>
                  </pic:spPr>
                </pic:pic>
              </a:graphicData>
            </a:graphic>
          </wp:anchor>
        </w:drawing>
      </w:r>
      <w:r>
        <w:pict>
          <v:shapetype id="_x0000_t202" coordsize="21600,21600" o:spt="202" path="m,l,21600r21600,l21600,xe">
            <v:stroke joinstyle="miter"/>
            <v:path gradientshapeok="t" o:connecttype="rect"/>
          </v:shapetype>
          <v:shape id="_x0000_s1029" type="#_x0000_t202" style="position:absolute;margin-left:27.1pt;margin-top:90.05pt;width:33.45pt;height:32.7pt;z-index:251661312;mso-position-horizontal-relative:page;mso-position-vertical-relative:page" o:allowincell="f" filled="f" stroked="f">
            <v:textbox inset="0,0,0,0">
              <w:txbxContent>
                <w:p w:rsidR="00401515" w:rsidRDefault="00401515">
                  <w:pPr>
                    <w:spacing w:line="20" w:lineRule="exact"/>
                  </w:pPr>
                </w:p>
                <w:tbl>
                  <w:tblPr>
                    <w:tblStyle w:val="TableNormal"/>
                    <w:tblW w:w="618"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618"/>
                  </w:tblGrid>
                  <w:tr w:rsidR="00401515">
                    <w:trPr>
                      <w:trHeight w:val="593"/>
                    </w:trPr>
                    <w:tc>
                      <w:tcPr>
                        <w:tcW w:w="618" w:type="dxa"/>
                      </w:tcPr>
                      <w:p w:rsidR="00401515" w:rsidRDefault="00D423C6">
                        <w:pPr>
                          <w:pStyle w:val="TableText"/>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rsidR="00401515" w:rsidRDefault="00401515"/>
              </w:txbxContent>
            </v:textbox>
            <w10:wrap anchorx="page" anchory="page"/>
          </v:shape>
        </w:pict>
      </w:r>
      <w:r>
        <w:pict>
          <v:shape id="_x0000_s1028" type="#_x0000_t202" style="position:absolute;margin-left:147.45pt;margin-top:93.75pt;width:27.6pt;height:25.3pt;z-index:-251657216;mso-position-horizontal-relative:page;mso-position-vertical-relative:page" o:allowincell="f" filled="f" stroked="f">
            <v:textbox inset="0,0,0,0">
              <w:txbxContent>
                <w:p w:rsidR="00401515" w:rsidRDefault="00401515">
                  <w:pPr>
                    <w:spacing w:line="20" w:lineRule="exact"/>
                  </w:pPr>
                </w:p>
                <w:tbl>
                  <w:tblPr>
                    <w:tblStyle w:val="TableNormal"/>
                    <w:tblW w:w="50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01"/>
                  </w:tblGrid>
                  <w:tr w:rsidR="00401515">
                    <w:trPr>
                      <w:trHeight w:val="445"/>
                    </w:trPr>
                    <w:tc>
                      <w:tcPr>
                        <w:tcW w:w="501" w:type="dxa"/>
                      </w:tcPr>
                      <w:p w:rsidR="00401515" w:rsidRDefault="00D423C6">
                        <w:pPr>
                          <w:pStyle w:val="TableText"/>
                          <w:spacing w:before="142" w:line="220" w:lineRule="auto"/>
                          <w:ind w:left="95"/>
                        </w:pPr>
                        <w:r>
                          <w:rPr>
                            <w:color w:val="231F20"/>
                            <w:spacing w:val="-3"/>
                          </w:rPr>
                          <w:t>审核</w:t>
                        </w:r>
                      </w:p>
                    </w:tc>
                  </w:tr>
                </w:tbl>
                <w:p w:rsidR="00401515" w:rsidRDefault="00401515"/>
              </w:txbxContent>
            </v:textbox>
            <w10:wrap anchorx="page" anchory="page"/>
          </v:shape>
        </w:pict>
      </w:r>
      <w:r>
        <w:pict>
          <v:shape id="_x0000_s1027" type="#_x0000_t202" style="position:absolute;margin-left:211.2pt;margin-top:93.75pt;width:31.1pt;height:25.3pt;z-index:251667456;mso-position-horizontal-relative:page;mso-position-vertical-relative:page" o:allowincell="f" filled="f" stroked="f">
            <v:textbox inset="0,0,0,0">
              <w:txbxContent>
                <w:p w:rsidR="00401515" w:rsidRDefault="00401515">
                  <w:pPr>
                    <w:spacing w:line="20" w:lineRule="exact"/>
                  </w:pPr>
                </w:p>
                <w:tbl>
                  <w:tblPr>
                    <w:tblStyle w:val="TableNormal"/>
                    <w:tblW w:w="57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71"/>
                  </w:tblGrid>
                  <w:tr w:rsidR="00401515">
                    <w:trPr>
                      <w:trHeight w:val="445"/>
                    </w:trPr>
                    <w:tc>
                      <w:tcPr>
                        <w:tcW w:w="571" w:type="dxa"/>
                      </w:tcPr>
                      <w:p w:rsidR="00401515" w:rsidRDefault="00D423C6">
                        <w:pPr>
                          <w:pStyle w:val="TableText"/>
                          <w:spacing w:before="143" w:line="219" w:lineRule="auto"/>
                        </w:pPr>
                        <w:r>
                          <w:rPr>
                            <w:color w:val="231F20"/>
                            <w:position w:val="1"/>
                          </w:rPr>
                          <w:drawing>
                            <wp:inline distT="0" distB="0" distL="0" distR="0">
                              <wp:extent cx="45115" cy="53200"/>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200"/>
                                      </a:xfrm>
                                      <a:prstGeom prst="rect">
                                        <a:avLst/>
                                      </a:prstGeom>
                                    </pic:spPr>
                                  </pic:pic>
                                </a:graphicData>
                              </a:graphic>
                            </wp:inline>
                          </w:drawing>
                        </w:r>
                        <w:r>
                          <w:rPr>
                            <w:color w:val="231F20"/>
                            <w:spacing w:val="20"/>
                          </w:rPr>
                          <w:t xml:space="preserve"> </w:t>
                        </w:r>
                        <w:r>
                          <w:rPr>
                            <w:color w:val="231F20"/>
                            <w:spacing w:val="-4"/>
                          </w:rPr>
                          <w:t>办结</w:t>
                        </w:r>
                      </w:p>
                    </w:tc>
                  </w:tr>
                </w:tbl>
                <w:p w:rsidR="00401515" w:rsidRDefault="00401515"/>
              </w:txbxContent>
            </v:textbox>
            <w10:wrap anchorx="page" anchory="page"/>
          </v:shape>
        </w:pict>
      </w:r>
      <w:r>
        <w:drawing>
          <wp:anchor distT="0" distB="0" distL="0" distR="0" simplePos="0" relativeHeight="251665408" behindDoc="0" locked="0" layoutInCell="0" allowOverlap="1">
            <wp:simplePos x="0" y="0"/>
            <wp:positionH relativeFrom="page">
              <wp:posOffset>1393438</wp:posOffset>
            </wp:positionH>
            <wp:positionV relativeFrom="page">
              <wp:posOffset>1324257</wp:posOffset>
            </wp:positionV>
            <wp:extent cx="495525" cy="5320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5" cy="53200"/>
                    </a:xfrm>
                    <a:prstGeom prst="rect">
                      <a:avLst/>
                    </a:prstGeom>
                  </pic:spPr>
                </pic:pic>
              </a:graphicData>
            </a:graphic>
          </wp:anchor>
        </w:drawing>
      </w:r>
      <w:r>
        <w:drawing>
          <wp:anchor distT="0" distB="0" distL="0" distR="0" simplePos="0" relativeHeight="251663360" behindDoc="0" locked="0" layoutInCell="0" allowOverlap="1">
            <wp:simplePos x="0" y="0"/>
            <wp:positionH relativeFrom="page">
              <wp:posOffset>752438</wp:posOffset>
            </wp:positionH>
            <wp:positionV relativeFrom="page">
              <wp:posOffset>1324257</wp:posOffset>
            </wp:positionV>
            <wp:extent cx="316607" cy="5320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200"/>
                    </a:xfrm>
                    <a:prstGeom prst="rect">
                      <a:avLst/>
                    </a:prstGeom>
                  </pic:spPr>
                </pic:pic>
              </a:graphicData>
            </a:graphic>
          </wp:anchor>
        </w:drawing>
      </w:r>
      <w:r>
        <w:pict>
          <v:shape id="_x0000_s1026" type="#_x0000_t202" style="position:absolute;margin-left:132.15pt;margin-top:138.25pt;width:58.4pt;height:25.3pt;z-index:251660288;mso-position-horizontal-relative:page;mso-position-vertical-relative:page" o:allowincell="f" filled="f" stroked="f">
            <v:textbox inset="0,0,0,0">
              <w:txbxContent>
                <w:p w:rsidR="00401515" w:rsidRDefault="00401515">
                  <w:pPr>
                    <w:spacing w:line="20" w:lineRule="exact"/>
                  </w:pPr>
                </w:p>
                <w:tbl>
                  <w:tblPr>
                    <w:tblStyle w:val="TableNormal"/>
                    <w:tblW w:w="1117"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117"/>
                  </w:tblGrid>
                  <w:tr w:rsidR="00401515">
                    <w:trPr>
                      <w:trHeight w:val="445"/>
                    </w:trPr>
                    <w:tc>
                      <w:tcPr>
                        <w:tcW w:w="1117" w:type="dxa"/>
                      </w:tcPr>
                      <w:p w:rsidR="00401515" w:rsidRDefault="00D423C6">
                        <w:pPr>
                          <w:pStyle w:val="TableText"/>
                          <w:spacing w:before="61" w:line="213" w:lineRule="auto"/>
                          <w:ind w:left="194" w:hanging="154"/>
                          <w:rPr>
                            <w:lang w:eastAsia="zh-CN"/>
                          </w:rPr>
                        </w:pPr>
                        <w:r>
                          <w:rPr>
                            <w:color w:val="231F20"/>
                            <w:spacing w:val="-8"/>
                            <w:lang w:eastAsia="zh-CN"/>
                          </w:rPr>
                          <w:t>不予许可决定，</w:t>
                        </w:r>
                        <w:r>
                          <w:rPr>
                            <w:color w:val="231F20"/>
                            <w:spacing w:val="1"/>
                            <w:lang w:eastAsia="zh-CN"/>
                          </w:rPr>
                          <w:t xml:space="preserve"> </w:t>
                        </w:r>
                        <w:r>
                          <w:rPr>
                            <w:color w:val="231F20"/>
                            <w:spacing w:val="-3"/>
                            <w:lang w:eastAsia="zh-CN"/>
                          </w:rPr>
                          <w:t>送达申请人</w:t>
                        </w:r>
                      </w:p>
                    </w:tc>
                  </w:tr>
                </w:tbl>
                <w:p w:rsidR="00401515" w:rsidRDefault="00401515">
                  <w:pPr>
                    <w:rPr>
                      <w:lang w:eastAsia="zh-CN"/>
                    </w:rPr>
                  </w:pPr>
                </w:p>
              </w:txbxContent>
            </v:textbox>
            <w10:wrap anchorx="page" anchory="page"/>
          </v:shape>
        </w:pict>
      </w:r>
      <w:r>
        <w:drawing>
          <wp:anchor distT="0" distB="0" distL="0" distR="0" simplePos="0" relativeHeight="251664384" behindDoc="0" locked="0" layoutInCell="0" allowOverlap="1">
            <wp:simplePos x="0" y="0"/>
            <wp:positionH relativeFrom="page">
              <wp:posOffset>1206196</wp:posOffset>
            </wp:positionH>
            <wp:positionV relativeFrom="page">
              <wp:posOffset>1496154</wp:posOffset>
            </wp:positionV>
            <wp:extent cx="53174" cy="269503"/>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3"/>
                    </a:xfrm>
                    <a:prstGeom prst="rect">
                      <a:avLst/>
                    </a:prstGeom>
                  </pic:spPr>
                </pic:pic>
              </a:graphicData>
            </a:graphic>
          </wp:anchor>
        </w:drawing>
      </w:r>
    </w:p>
    <w:p w:rsidR="00401515" w:rsidRDefault="00401515">
      <w:pPr>
        <w:sectPr w:rsidR="00401515">
          <w:headerReference w:type="default" r:id="rId14"/>
          <w:pgSz w:w="10772" w:h="11906"/>
          <w:pgMar w:top="400" w:right="579" w:bottom="0" w:left="556" w:header="0" w:footer="0" w:gutter="0"/>
          <w:cols w:space="720" w:equalWidth="0">
            <w:col w:w="9636" w:space="0"/>
          </w:cols>
        </w:sectPr>
      </w:pPr>
    </w:p>
    <w:p w:rsidR="00401515" w:rsidRDefault="00401515">
      <w:pPr>
        <w:spacing w:line="23" w:lineRule="exact"/>
      </w:pPr>
    </w:p>
    <w:tbl>
      <w:tblPr>
        <w:tblStyle w:val="TableNormal"/>
        <w:tblW w:w="1302" w:type="dxa"/>
        <w:tblInd w:w="733"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302"/>
      </w:tblGrid>
      <w:tr w:rsidR="00401515">
        <w:trPr>
          <w:trHeight w:val="658"/>
        </w:trPr>
        <w:tc>
          <w:tcPr>
            <w:tcW w:w="1302" w:type="dxa"/>
          </w:tcPr>
          <w:p w:rsidR="00401515" w:rsidRDefault="00D423C6">
            <w:pPr>
              <w:pStyle w:val="TableText"/>
              <w:spacing w:before="69" w:line="208" w:lineRule="auto"/>
              <w:ind w:left="34"/>
              <w:rPr>
                <w:lang w:eastAsia="zh-CN"/>
              </w:rPr>
            </w:pPr>
            <w:r>
              <w:rPr>
                <w:color w:val="231F20"/>
                <w:spacing w:val="-7"/>
                <w:lang w:eastAsia="zh-CN"/>
              </w:rPr>
              <w:t>申请材料不全的，</w:t>
            </w:r>
          </w:p>
          <w:p w:rsidR="00401515" w:rsidRDefault="00D423C6">
            <w:pPr>
              <w:pStyle w:val="TableText"/>
              <w:spacing w:line="213" w:lineRule="auto"/>
              <w:ind w:left="252" w:right="85" w:hanging="158"/>
              <w:rPr>
                <w:lang w:eastAsia="zh-CN"/>
              </w:rPr>
            </w:pPr>
            <w:r>
              <w:rPr>
                <w:color w:val="231F20"/>
                <w:spacing w:val="-2"/>
                <w:lang w:eastAsia="zh-CN"/>
              </w:rPr>
              <w:t>一次性告知当事</w:t>
            </w:r>
            <w:r>
              <w:rPr>
                <w:color w:val="231F20"/>
                <w:spacing w:val="4"/>
                <w:lang w:eastAsia="zh-CN"/>
              </w:rPr>
              <w:t xml:space="preserve"> </w:t>
            </w:r>
            <w:r>
              <w:rPr>
                <w:color w:val="231F20"/>
                <w:spacing w:val="-2"/>
                <w:lang w:eastAsia="zh-CN"/>
              </w:rPr>
              <w:t>人补齐补正</w:t>
            </w:r>
          </w:p>
        </w:tc>
      </w:tr>
    </w:tbl>
    <w:p w:rsidR="00401515" w:rsidRDefault="00401515">
      <w:pPr>
        <w:spacing w:before="221"/>
        <w:rPr>
          <w:lang w:eastAsia="zh-CN"/>
        </w:rPr>
      </w:pPr>
    </w:p>
    <w:tbl>
      <w:tblPr>
        <w:tblStyle w:val="TableNormal"/>
        <w:tblW w:w="501" w:type="dxa"/>
        <w:tblInd w:w="1133"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01"/>
      </w:tblGrid>
      <w:tr w:rsidR="00401515">
        <w:trPr>
          <w:trHeight w:val="444"/>
        </w:trPr>
        <w:tc>
          <w:tcPr>
            <w:tcW w:w="501" w:type="dxa"/>
          </w:tcPr>
          <w:p w:rsidR="00401515" w:rsidRDefault="00D423C6">
            <w:pPr>
              <w:pStyle w:val="TableText"/>
              <w:spacing w:before="143" w:line="221" w:lineRule="auto"/>
              <w:ind w:left="93"/>
            </w:pPr>
            <w:r>
              <w:rPr>
                <w:color w:val="231F20"/>
                <w:spacing w:val="-3"/>
              </w:rPr>
              <w:t>受理</w:t>
            </w:r>
          </w:p>
        </w:tc>
      </w:tr>
    </w:tbl>
    <w:p w:rsidR="00401515" w:rsidRDefault="00D423C6">
      <w:pPr>
        <w:spacing w:line="424" w:lineRule="exact"/>
        <w:ind w:firstLine="2626"/>
      </w:pPr>
      <w:r>
        <w:rPr>
          <w:position w:val="-8"/>
        </w:rPr>
        <w:drawing>
          <wp:inline distT="0" distB="0" distL="0" distR="0">
            <wp:extent cx="53174" cy="269147"/>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5"/>
                    <a:stretch>
                      <a:fillRect/>
                    </a:stretch>
                  </pic:blipFill>
                  <pic:spPr>
                    <a:xfrm>
                      <a:off x="0" y="0"/>
                      <a:ext cx="53174" cy="269147"/>
                    </a:xfrm>
                    <a:prstGeom prst="rect">
                      <a:avLst/>
                    </a:prstGeom>
                  </pic:spPr>
                </pic:pic>
              </a:graphicData>
            </a:graphic>
          </wp:inline>
        </w:drawing>
      </w:r>
    </w:p>
    <w:p w:rsidR="00401515" w:rsidRDefault="00401515">
      <w:pPr>
        <w:spacing w:line="134" w:lineRule="auto"/>
        <w:rPr>
          <w:sz w:val="2"/>
        </w:rPr>
      </w:pPr>
    </w:p>
    <w:tbl>
      <w:tblPr>
        <w:tblStyle w:val="TableNormal"/>
        <w:tblW w:w="819" w:type="dxa"/>
        <w:tblInd w:w="93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819"/>
      </w:tblGrid>
      <w:tr w:rsidR="00401515">
        <w:trPr>
          <w:trHeight w:val="445"/>
        </w:trPr>
        <w:tc>
          <w:tcPr>
            <w:tcW w:w="819" w:type="dxa"/>
          </w:tcPr>
          <w:p w:rsidR="00401515" w:rsidRDefault="00D423C6">
            <w:pPr>
              <w:pStyle w:val="TableText"/>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rsidR="00401515" w:rsidRDefault="00D423C6">
      <w:pPr>
        <w:spacing w:before="243" w:line="203" w:lineRule="auto"/>
        <w:ind w:left="456"/>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八、审批时限</w:t>
      </w:r>
    </w:p>
    <w:p w:rsidR="00401515" w:rsidRDefault="00D423C6">
      <w:pPr>
        <w:pStyle w:val="a3"/>
        <w:spacing w:before="34" w:line="233" w:lineRule="auto"/>
        <w:ind w:left="472"/>
      </w:pPr>
      <w:r>
        <w:rPr>
          <w:color w:val="231F20"/>
          <w:spacing w:val="-2"/>
        </w:rPr>
        <w:t>法定时限：</w:t>
      </w:r>
      <w:r>
        <w:rPr>
          <w:color w:val="231F20"/>
          <w:spacing w:val="-2"/>
        </w:rPr>
        <w:t>20</w:t>
      </w:r>
      <w:r>
        <w:rPr>
          <w:color w:val="231F20"/>
          <w:spacing w:val="-2"/>
        </w:rPr>
        <w:t>个工作日</w:t>
      </w:r>
    </w:p>
    <w:p w:rsidR="00401515" w:rsidRDefault="00D423C6">
      <w:pPr>
        <w:pStyle w:val="a3"/>
        <w:spacing w:before="37" w:line="232" w:lineRule="auto"/>
        <w:ind w:left="463"/>
      </w:pPr>
      <w:r>
        <w:rPr>
          <w:color w:val="231F20"/>
          <w:spacing w:val="-2"/>
        </w:rPr>
        <w:t>承诺时限：</w:t>
      </w:r>
      <w:r>
        <w:rPr>
          <w:color w:val="231F20"/>
          <w:spacing w:val="-2"/>
        </w:rPr>
        <w:t>3</w:t>
      </w:r>
      <w:r>
        <w:rPr>
          <w:color w:val="231F20"/>
          <w:spacing w:val="-2"/>
        </w:rPr>
        <w:t>个工作日</w:t>
      </w:r>
    </w:p>
    <w:p w:rsidR="00401515" w:rsidRDefault="00D423C6">
      <w:pPr>
        <w:spacing w:before="36" w:line="203" w:lineRule="auto"/>
        <w:ind w:left="459"/>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九、收费情况</w:t>
      </w:r>
    </w:p>
    <w:p w:rsidR="00401515" w:rsidRDefault="00D423C6">
      <w:pPr>
        <w:pStyle w:val="a3"/>
        <w:spacing w:before="34" w:line="233" w:lineRule="auto"/>
        <w:ind w:left="468"/>
      </w:pPr>
      <w:r>
        <w:rPr>
          <w:color w:val="231F20"/>
          <w:spacing w:val="-5"/>
        </w:rPr>
        <w:t>不收费</w:t>
      </w:r>
    </w:p>
    <w:p w:rsidR="00401515" w:rsidRDefault="00D423C6">
      <w:pPr>
        <w:spacing w:before="33" w:line="205" w:lineRule="auto"/>
        <w:ind w:left="463"/>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十、网办地址</w:t>
      </w:r>
    </w:p>
    <w:p w:rsidR="00401515" w:rsidRDefault="00D423C6">
      <w:pPr>
        <w:pStyle w:val="a3"/>
        <w:spacing w:before="32" w:line="219" w:lineRule="auto"/>
        <w:ind w:left="466"/>
      </w:pPr>
      <w:hyperlink r:id="rId16" w:history="1">
        <w:r>
          <w:rPr>
            <w:color w:val="231F20"/>
          </w:rPr>
          <w:t>http://tscfd.hbzwfw.gov.cn/</w:t>
        </w:r>
      </w:hyperlink>
      <w:r>
        <w:rPr>
          <w:color w:val="231F20"/>
        </w:rPr>
        <w:t>.</w:t>
      </w:r>
    </w:p>
    <w:p w:rsidR="008E3D9F" w:rsidRDefault="008E3D9F" w:rsidP="008E3D9F">
      <w:pPr>
        <w:spacing w:before="52" w:line="204" w:lineRule="auto"/>
        <w:ind w:left="463"/>
        <w:rPr>
          <w:rFonts w:ascii="微软雅黑" w:eastAsia="微软雅黑" w:hAnsi="微软雅黑" w:cs="微软雅黑"/>
          <w:noProof w:val="0"/>
          <w:sz w:val="22"/>
          <w:szCs w:val="22"/>
          <w:lang w:eastAsia="zh-CN"/>
        </w:rPr>
      </w:pPr>
      <w:r>
        <w:rPr>
          <w:rFonts w:ascii="微软雅黑" w:eastAsia="微软雅黑" w:hAnsi="微软雅黑" w:cs="微软雅黑" w:hint="eastAsia"/>
          <w:color w:val="231F20"/>
          <w:spacing w:val="-4"/>
          <w:sz w:val="22"/>
          <w:szCs w:val="22"/>
          <w:lang w:eastAsia="zh-CN"/>
        </w:rPr>
        <w:t>十一、办理地点</w:t>
      </w:r>
    </w:p>
    <w:p w:rsidR="008E3D9F" w:rsidRDefault="008E3D9F" w:rsidP="008E3D9F">
      <w:pPr>
        <w:pStyle w:val="a3"/>
        <w:spacing w:before="41" w:line="244" w:lineRule="auto"/>
        <w:ind w:left="51" w:right="2" w:firstLine="409"/>
        <w:rPr>
          <w:rFonts w:ascii="方正仿宋简体" w:eastAsia="方正仿宋简体" w:hAnsi="方正仿宋简体" w:cs="方正仿宋简体" w:hint="eastAsia"/>
          <w:color w:val="231F20"/>
          <w:spacing w:val="-3"/>
          <w:lang w:eastAsia="zh-CN"/>
        </w:rPr>
      </w:pPr>
      <w:r>
        <w:rPr>
          <w:rFonts w:hint="eastAsia"/>
          <w:color w:val="231F20"/>
          <w:spacing w:val="-3"/>
          <w:lang w:eastAsia="zh-CN"/>
        </w:rPr>
        <w:t xml:space="preserve">1. </w:t>
      </w:r>
      <w:r>
        <w:rPr>
          <w:rFonts w:ascii="宋体" w:eastAsia="宋体" w:hAnsi="宋体" w:cs="宋体" w:hint="eastAsia"/>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ascii="宋体" w:eastAsia="宋体" w:hAnsi="宋体" w:cs="宋体" w:hint="eastAsia"/>
          <w:color w:val="231F20"/>
          <w:spacing w:val="-3"/>
          <w:lang w:eastAsia="zh-CN"/>
        </w:rPr>
        <w:t>（曹妃甸工业区兴业道</w:t>
      </w:r>
      <w:r>
        <w:rPr>
          <w:rFonts w:hint="eastAsia"/>
          <w:color w:val="231F20"/>
          <w:spacing w:val="-3"/>
          <w:lang w:eastAsia="zh-CN"/>
        </w:rPr>
        <w:t xml:space="preserve"> 1 </w:t>
      </w:r>
      <w:r>
        <w:rPr>
          <w:rFonts w:ascii="宋体" w:eastAsia="宋体" w:hAnsi="宋体" w:cs="宋体" w:hint="eastAsia"/>
          <w:color w:val="231F20"/>
          <w:spacing w:val="-3"/>
          <w:lang w:eastAsia="zh-CN"/>
        </w:rPr>
        <w:t>号二层）。</w:t>
      </w:r>
    </w:p>
    <w:p w:rsidR="008E3D9F" w:rsidRDefault="008E3D9F" w:rsidP="008E3D9F">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ascii="宋体" w:eastAsia="宋体" w:hAnsi="宋体" w:cs="宋体" w:hint="eastAsia"/>
          <w:color w:val="231F20"/>
          <w:spacing w:val="-3"/>
          <w:lang w:eastAsia="zh-CN"/>
        </w:rPr>
        <w:t>唐山市曹妃甸区垦区政务服务中心综合受理窗口</w:t>
      </w:r>
      <w:r>
        <w:rPr>
          <w:rFonts w:hint="eastAsia"/>
          <w:color w:val="231F20"/>
          <w:spacing w:val="-3"/>
          <w:lang w:eastAsia="zh-CN"/>
        </w:rPr>
        <w:t>W1-W6</w:t>
      </w:r>
      <w:r>
        <w:rPr>
          <w:rFonts w:ascii="宋体" w:eastAsia="宋体" w:hAnsi="宋体" w:cs="宋体" w:hint="eastAsia"/>
          <w:color w:val="231F20"/>
          <w:spacing w:val="-3"/>
          <w:lang w:eastAsia="zh-CN"/>
        </w:rPr>
        <w:t>（曹妃甸区唐海镇新城大街</w:t>
      </w:r>
      <w:r>
        <w:rPr>
          <w:rFonts w:hint="eastAsia"/>
          <w:color w:val="231F20"/>
          <w:spacing w:val="-3"/>
          <w:lang w:eastAsia="zh-CN"/>
        </w:rPr>
        <w:t xml:space="preserve"> 259 </w:t>
      </w:r>
      <w:r>
        <w:rPr>
          <w:rFonts w:ascii="宋体" w:eastAsia="宋体" w:hAnsi="宋体" w:cs="宋体" w:hint="eastAsia"/>
          <w:color w:val="231F20"/>
          <w:spacing w:val="-3"/>
          <w:lang w:eastAsia="zh-CN"/>
        </w:rPr>
        <w:t>号二层）。</w:t>
      </w:r>
    </w:p>
    <w:p w:rsidR="008E3D9F" w:rsidRDefault="008E3D9F" w:rsidP="008E3D9F">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ascii="宋体" w:eastAsia="宋体" w:hAnsi="宋体" w:cs="宋体" w:hint="eastAsia"/>
          <w:color w:val="231F20"/>
          <w:spacing w:val="-3"/>
          <w:lang w:eastAsia="zh-CN"/>
        </w:rPr>
        <w:t>唐山市曹妃甸区曹妃甸新城政务服务中心综合受理窗口</w:t>
      </w:r>
      <w:r>
        <w:rPr>
          <w:rFonts w:hint="eastAsia"/>
          <w:color w:val="231F20"/>
          <w:spacing w:val="-3"/>
          <w:lang w:eastAsia="zh-CN"/>
        </w:rPr>
        <w:t>B02-B05</w:t>
      </w:r>
      <w:r>
        <w:rPr>
          <w:rFonts w:ascii="宋体" w:eastAsia="宋体" w:hAnsi="宋体" w:cs="宋体" w:hint="eastAsia"/>
          <w:color w:val="231F20"/>
          <w:spacing w:val="-3"/>
          <w:lang w:eastAsia="zh-CN"/>
        </w:rPr>
        <w:t>（曹妃甸区新城通海路）。</w:t>
      </w:r>
    </w:p>
    <w:p w:rsidR="008E3D9F" w:rsidRDefault="008E3D9F" w:rsidP="008E3D9F">
      <w:pPr>
        <w:pStyle w:val="a3"/>
        <w:spacing w:before="41" w:line="244" w:lineRule="auto"/>
        <w:ind w:left="51" w:right="2" w:firstLine="409"/>
        <w:rPr>
          <w:rFonts w:hint="eastAsia"/>
          <w:color w:val="231F20"/>
          <w:spacing w:val="-3"/>
          <w:lang w:eastAsia="zh-CN"/>
        </w:rPr>
      </w:pPr>
      <w:r>
        <w:rPr>
          <w:rFonts w:ascii="宋体" w:eastAsia="宋体" w:hAnsi="宋体" w:cs="宋体" w:hint="eastAsia"/>
          <w:color w:val="231F20"/>
          <w:spacing w:val="-3"/>
          <w:lang w:eastAsia="zh-CN"/>
        </w:rPr>
        <w:t>交通指引：</w:t>
      </w:r>
    </w:p>
    <w:p w:rsidR="008E3D9F" w:rsidRDefault="008E3D9F" w:rsidP="008E3D9F">
      <w:pPr>
        <w:pStyle w:val="a3"/>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ascii="宋体" w:eastAsia="宋体" w:hAnsi="宋体" w:cs="宋体" w:hint="eastAsia"/>
          <w:color w:val="231F20"/>
          <w:spacing w:val="-3"/>
          <w:lang w:eastAsia="zh-CN"/>
        </w:rPr>
        <w:t>临港中心：乘坐公交</w:t>
      </w:r>
      <w:r>
        <w:rPr>
          <w:rFonts w:hint="eastAsia"/>
          <w:color w:val="231F20"/>
          <w:spacing w:val="-3"/>
          <w:lang w:eastAsia="zh-CN"/>
        </w:rPr>
        <w:t>K1</w:t>
      </w:r>
      <w:r>
        <w:rPr>
          <w:rFonts w:ascii="宋体" w:eastAsia="宋体" w:hAnsi="宋体" w:cs="宋体" w:hint="eastAsia"/>
          <w:color w:val="231F20"/>
          <w:spacing w:val="-3"/>
          <w:lang w:eastAsia="zh-CN"/>
        </w:rPr>
        <w:t>支线</w:t>
      </w:r>
      <w:r>
        <w:rPr>
          <w:rFonts w:hint="eastAsia"/>
          <w:color w:val="231F20"/>
          <w:spacing w:val="-3"/>
          <w:lang w:eastAsia="zh-CN"/>
        </w:rPr>
        <w:t>/K1</w:t>
      </w:r>
      <w:r>
        <w:rPr>
          <w:rFonts w:ascii="宋体" w:eastAsia="宋体" w:hAnsi="宋体" w:cs="宋体" w:hint="eastAsia"/>
          <w:color w:val="231F20"/>
          <w:spacing w:val="-3"/>
          <w:lang w:eastAsia="zh-CN"/>
        </w:rPr>
        <w:t>专线，四大联检下车（曹妃甸工业区兴业道</w:t>
      </w:r>
      <w:r>
        <w:rPr>
          <w:rFonts w:hint="eastAsia"/>
          <w:color w:val="231F20"/>
          <w:spacing w:val="-3"/>
          <w:lang w:eastAsia="zh-CN"/>
        </w:rPr>
        <w:t>1</w:t>
      </w:r>
      <w:r>
        <w:rPr>
          <w:rFonts w:ascii="宋体" w:eastAsia="宋体" w:hAnsi="宋体" w:cs="宋体" w:hint="eastAsia"/>
          <w:color w:val="231F20"/>
          <w:spacing w:val="-3"/>
          <w:lang w:eastAsia="zh-CN"/>
        </w:rPr>
        <w:t>号）；</w:t>
      </w:r>
    </w:p>
    <w:p w:rsidR="008E3D9F" w:rsidRDefault="008E3D9F" w:rsidP="008E3D9F">
      <w:pPr>
        <w:pStyle w:val="a3"/>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ascii="宋体" w:eastAsia="宋体" w:hAnsi="宋体" w:cs="宋体" w:hint="eastAsia"/>
          <w:color w:val="231F20"/>
          <w:spacing w:val="-3"/>
          <w:lang w:eastAsia="zh-CN"/>
        </w:rPr>
        <w:t>垦区中心：乘坐公交</w:t>
      </w:r>
      <w:r>
        <w:rPr>
          <w:rFonts w:hint="eastAsia"/>
          <w:color w:val="231F20"/>
          <w:spacing w:val="-3"/>
          <w:lang w:eastAsia="zh-CN"/>
        </w:rPr>
        <w:t>101</w:t>
      </w:r>
      <w:r>
        <w:rPr>
          <w:rFonts w:ascii="宋体" w:eastAsia="宋体" w:hAnsi="宋体" w:cs="宋体" w:hint="eastAsia"/>
          <w:color w:val="231F20"/>
          <w:spacing w:val="-3"/>
          <w:lang w:eastAsia="zh-CN"/>
        </w:rPr>
        <w:t>路</w:t>
      </w:r>
      <w:r>
        <w:rPr>
          <w:rFonts w:hint="eastAsia"/>
          <w:color w:val="231F20"/>
          <w:spacing w:val="-3"/>
          <w:lang w:eastAsia="zh-CN"/>
        </w:rPr>
        <w:t>/102</w:t>
      </w:r>
      <w:r>
        <w:rPr>
          <w:rFonts w:ascii="宋体" w:eastAsia="宋体" w:hAnsi="宋体" w:cs="宋体" w:hint="eastAsia"/>
          <w:color w:val="231F20"/>
          <w:spacing w:val="-3"/>
          <w:lang w:eastAsia="zh-CN"/>
        </w:rPr>
        <w:t>路，行政审批大厅下车（曹妃甸新城大街与唐海路交叉口西行</w:t>
      </w:r>
      <w:r>
        <w:rPr>
          <w:rFonts w:hint="eastAsia"/>
          <w:color w:val="231F20"/>
          <w:spacing w:val="-3"/>
          <w:lang w:eastAsia="zh-CN"/>
        </w:rPr>
        <w:t>200</w:t>
      </w:r>
      <w:r>
        <w:rPr>
          <w:rFonts w:ascii="宋体" w:eastAsia="宋体" w:hAnsi="宋体" w:cs="宋体" w:hint="eastAsia"/>
          <w:color w:val="231F20"/>
          <w:spacing w:val="-3"/>
          <w:lang w:eastAsia="zh-CN"/>
        </w:rPr>
        <w:t>米）</w:t>
      </w:r>
    </w:p>
    <w:p w:rsidR="008E3D9F" w:rsidRDefault="008E3D9F" w:rsidP="008E3D9F">
      <w:pPr>
        <w:pStyle w:val="a3"/>
        <w:spacing w:before="41" w:line="244" w:lineRule="auto"/>
        <w:ind w:left="51" w:right="2" w:firstLine="409"/>
        <w:rPr>
          <w:rFonts w:hint="eastAsia"/>
          <w:lang w:eastAsia="zh-CN"/>
        </w:rPr>
      </w:pPr>
      <w:r>
        <w:rPr>
          <w:rFonts w:hint="eastAsia"/>
          <w:color w:val="231F20"/>
          <w:spacing w:val="-3"/>
          <w:lang w:eastAsia="zh-CN"/>
        </w:rPr>
        <w:t>3.</w:t>
      </w:r>
      <w:r>
        <w:rPr>
          <w:rFonts w:ascii="宋体" w:eastAsia="宋体" w:hAnsi="宋体" w:cs="宋体" w:hint="eastAsia"/>
          <w:color w:val="231F20"/>
          <w:spacing w:val="-3"/>
          <w:lang w:eastAsia="zh-CN"/>
        </w:rPr>
        <w:t>新城中心：乘坐公交</w:t>
      </w:r>
      <w:r>
        <w:rPr>
          <w:rFonts w:hint="eastAsia"/>
          <w:color w:val="231F20"/>
          <w:spacing w:val="-3"/>
          <w:lang w:eastAsia="zh-CN"/>
        </w:rPr>
        <w:t>K2</w:t>
      </w:r>
      <w:r>
        <w:rPr>
          <w:rFonts w:ascii="宋体" w:eastAsia="宋体" w:hAnsi="宋体" w:cs="宋体" w:hint="eastAsia"/>
          <w:color w:val="231F20"/>
          <w:spacing w:val="-3"/>
          <w:lang w:eastAsia="zh-CN"/>
        </w:rPr>
        <w:t>路，新城服务中心下车（曹妃甸新城未来大道</w:t>
      </w:r>
      <w:r>
        <w:rPr>
          <w:rFonts w:hint="eastAsia"/>
          <w:color w:val="231F20"/>
          <w:spacing w:val="-3"/>
          <w:lang w:eastAsia="zh-CN"/>
        </w:rPr>
        <w:t>1</w:t>
      </w:r>
      <w:r>
        <w:rPr>
          <w:rFonts w:ascii="宋体" w:eastAsia="宋体" w:hAnsi="宋体" w:cs="宋体" w:hint="eastAsia"/>
          <w:color w:val="231F20"/>
          <w:spacing w:val="-3"/>
          <w:lang w:eastAsia="zh-CN"/>
        </w:rPr>
        <w:t>号）；</w:t>
      </w:r>
    </w:p>
    <w:p w:rsidR="008E3D9F" w:rsidRDefault="008E3D9F" w:rsidP="008E3D9F">
      <w:pPr>
        <w:spacing w:before="37" w:line="204"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十二、办公时间</w:t>
      </w:r>
    </w:p>
    <w:p w:rsidR="008E3D9F" w:rsidRDefault="008E3D9F" w:rsidP="008E3D9F">
      <w:pPr>
        <w:spacing w:before="34" w:line="201" w:lineRule="auto"/>
        <w:ind w:left="463"/>
        <w:rPr>
          <w:rFonts w:ascii="方正仿宋简体" w:eastAsia="方正仿宋简体" w:hAnsi="方正仿宋简体" w:cs="方正仿宋简体" w:hint="eastAsia"/>
          <w:color w:val="231F20"/>
          <w:spacing w:val="-3"/>
          <w:sz w:val="22"/>
          <w:szCs w:val="22"/>
          <w:lang w:eastAsia="zh-CN"/>
        </w:rPr>
      </w:pPr>
      <w:r>
        <w:rPr>
          <w:rFonts w:ascii="方正仿宋简体" w:eastAsia="方正仿宋简体" w:hAnsi="方正仿宋简体" w:cs="方正仿宋简体" w:hint="eastAsia"/>
          <w:color w:val="231F20"/>
          <w:spacing w:val="-3"/>
          <w:sz w:val="22"/>
          <w:szCs w:val="22"/>
          <w:lang w:eastAsia="zh-CN"/>
        </w:rPr>
        <w:t>周一到周五：春秋冬季（9月1日至5月31日）上午8:30～12:00，下午13:30～17:30；夏季（6月1日</w:t>
      </w:r>
      <w:r>
        <w:rPr>
          <w:rFonts w:ascii="方正仿宋简体" w:eastAsia="方正仿宋简体" w:hAnsi="方正仿宋简体" w:cs="方正仿宋简体" w:hint="eastAsia"/>
          <w:color w:val="231F20"/>
          <w:spacing w:val="-3"/>
          <w:sz w:val="22"/>
          <w:szCs w:val="22"/>
          <w:lang w:eastAsia="zh-CN"/>
        </w:rPr>
        <w:t>至8月31日）上午8:30～12:00，下午14:30～17:30，法定节假日除外。</w:t>
      </w:r>
    </w:p>
    <w:p w:rsidR="008E3D9F" w:rsidRDefault="008E3D9F" w:rsidP="008E3D9F">
      <w:pPr>
        <w:spacing w:before="34" w:line="201"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十三、咨询电话</w:t>
      </w:r>
    </w:p>
    <w:p w:rsidR="008E3D9F" w:rsidRDefault="008E3D9F" w:rsidP="008E3D9F">
      <w:pPr>
        <w:pStyle w:val="a3"/>
        <w:spacing w:before="34" w:line="249" w:lineRule="auto"/>
        <w:ind w:left="21" w:right="21" w:firstLine="440"/>
        <w:rPr>
          <w:rFonts w:ascii="方正仿宋简体" w:eastAsia="方正仿宋简体" w:hAnsi="方正仿宋简体" w:cs="方正仿宋简体" w:hint="eastAsia"/>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ascii="宋体" w:eastAsia="宋体" w:hAnsi="宋体" w:cs="宋体" w:hint="eastAsia"/>
          <w:color w:val="231F20"/>
          <w:spacing w:val="5"/>
          <w:lang w:eastAsia="zh-CN"/>
        </w:rPr>
        <w:t>（临</w:t>
      </w:r>
      <w:r>
        <w:rPr>
          <w:rFonts w:hint="eastAsia"/>
          <w:color w:val="231F20"/>
          <w:spacing w:val="-34"/>
          <w:lang w:eastAsia="zh-CN"/>
        </w:rPr>
        <w:t xml:space="preserve"> </w:t>
      </w:r>
      <w:r>
        <w:rPr>
          <w:rFonts w:ascii="宋体" w:eastAsia="宋体" w:hAnsi="宋体" w:cs="宋体" w:hint="eastAsia"/>
          <w:color w:val="231F20"/>
          <w:spacing w:val="5"/>
          <w:lang w:eastAsia="zh-CN"/>
        </w:rPr>
        <w:t>港</w:t>
      </w:r>
      <w:r>
        <w:rPr>
          <w:rFonts w:hint="eastAsia"/>
          <w:color w:val="231F20"/>
          <w:spacing w:val="5"/>
          <w:lang w:eastAsia="zh-CN"/>
        </w:rPr>
        <w:t xml:space="preserve"> </w:t>
      </w:r>
      <w:r>
        <w:rPr>
          <w:rFonts w:ascii="宋体" w:eastAsia="宋体" w:hAnsi="宋体" w:cs="宋体" w:hint="eastAsia"/>
          <w:color w:val="231F20"/>
          <w:spacing w:val="5"/>
          <w:lang w:eastAsia="zh-CN"/>
        </w:rPr>
        <w:t>中心</w:t>
      </w:r>
      <w:r>
        <w:rPr>
          <w:rFonts w:hint="eastAsia"/>
          <w:color w:val="231F20"/>
          <w:spacing w:val="-52"/>
          <w:lang w:eastAsia="zh-CN"/>
        </w:rPr>
        <w:t xml:space="preserve"> </w:t>
      </w:r>
      <w:r>
        <w:rPr>
          <w:rFonts w:ascii="宋体" w:eastAsia="宋体" w:hAnsi="宋体" w:cs="宋体" w:hint="eastAsia"/>
          <w:color w:val="231F20"/>
          <w:spacing w:val="5"/>
          <w:lang w:eastAsia="zh-CN"/>
        </w:rPr>
        <w:t>）</w:t>
      </w:r>
      <w:r>
        <w:rPr>
          <w:rFonts w:hint="eastAsia"/>
          <w:color w:val="231F20"/>
          <w:spacing w:val="-51"/>
          <w:lang w:eastAsia="zh-CN"/>
        </w:rPr>
        <w:t xml:space="preserve"> </w:t>
      </w:r>
      <w:r>
        <w:rPr>
          <w:rFonts w:ascii="宋体" w:eastAsia="宋体" w:hAnsi="宋体" w:cs="宋体" w:hint="eastAsia"/>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ascii="宋体" w:eastAsia="宋体" w:hAnsi="宋体" w:cs="宋体" w:hint="eastAsia"/>
          <w:color w:val="231F20"/>
          <w:spacing w:val="-14"/>
          <w:lang w:eastAsia="zh-CN"/>
        </w:rPr>
        <w:t>（</w:t>
      </w:r>
      <w:r>
        <w:rPr>
          <w:rFonts w:hint="eastAsia"/>
          <w:color w:val="231F20"/>
          <w:spacing w:val="-14"/>
          <w:lang w:eastAsia="zh-CN"/>
        </w:rPr>
        <w:t xml:space="preserve"> </w:t>
      </w:r>
      <w:r>
        <w:rPr>
          <w:rFonts w:ascii="宋体" w:eastAsia="宋体" w:hAnsi="宋体" w:cs="宋体" w:hint="eastAsia"/>
          <w:color w:val="231F20"/>
          <w:spacing w:val="-14"/>
          <w:lang w:eastAsia="zh-CN"/>
        </w:rPr>
        <w:t>垦</w:t>
      </w:r>
      <w:r>
        <w:rPr>
          <w:rFonts w:hint="eastAsia"/>
          <w:color w:val="231F20"/>
          <w:spacing w:val="16"/>
          <w:lang w:eastAsia="zh-CN"/>
        </w:rPr>
        <w:t xml:space="preserve"> </w:t>
      </w:r>
      <w:r>
        <w:rPr>
          <w:rFonts w:ascii="宋体" w:eastAsia="宋体" w:hAnsi="宋体" w:cs="宋体" w:hint="eastAsia"/>
          <w:color w:val="231F20"/>
          <w:spacing w:val="-14"/>
          <w:lang w:eastAsia="zh-CN"/>
        </w:rPr>
        <w:t>区</w:t>
      </w:r>
      <w:r>
        <w:rPr>
          <w:rFonts w:hint="eastAsia"/>
          <w:color w:val="231F20"/>
          <w:spacing w:val="17"/>
          <w:lang w:eastAsia="zh-CN"/>
        </w:rPr>
        <w:t xml:space="preserve"> </w:t>
      </w:r>
      <w:r>
        <w:rPr>
          <w:rFonts w:ascii="宋体" w:eastAsia="宋体" w:hAnsi="宋体" w:cs="宋体" w:hint="eastAsia"/>
          <w:color w:val="231F20"/>
          <w:spacing w:val="-14"/>
          <w:lang w:eastAsia="zh-CN"/>
        </w:rPr>
        <w:t>中</w:t>
      </w:r>
      <w:r>
        <w:rPr>
          <w:rFonts w:hint="eastAsia"/>
          <w:color w:val="231F20"/>
          <w:spacing w:val="-15"/>
          <w:lang w:eastAsia="zh-CN"/>
        </w:rPr>
        <w:t xml:space="preserve"> </w:t>
      </w:r>
      <w:r>
        <w:rPr>
          <w:rFonts w:ascii="宋体" w:eastAsia="宋体" w:hAnsi="宋体" w:cs="宋体" w:hint="eastAsia"/>
          <w:color w:val="231F20"/>
          <w:spacing w:val="-15"/>
          <w:lang w:eastAsia="zh-CN"/>
        </w:rPr>
        <w:t>心</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ascii="宋体" w:eastAsia="宋体" w:hAnsi="宋体" w:cs="宋体" w:hint="eastAsia"/>
          <w:color w:val="231F20"/>
          <w:spacing w:val="-1"/>
          <w:lang w:eastAsia="zh-CN"/>
        </w:rPr>
        <w:t>（新城中心）</w:t>
      </w:r>
    </w:p>
    <w:p w:rsidR="008E3D9F" w:rsidRDefault="008E3D9F" w:rsidP="008E3D9F">
      <w:pPr>
        <w:spacing w:before="36" w:line="196"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十四、监督（投诉）电话</w:t>
      </w:r>
    </w:p>
    <w:p w:rsidR="008E3D9F" w:rsidRDefault="008E3D9F" w:rsidP="008E3D9F">
      <w:pPr>
        <w:pStyle w:val="a3"/>
        <w:spacing w:before="70" w:line="189" w:lineRule="auto"/>
        <w:ind w:left="461"/>
        <w:rPr>
          <w:rFonts w:ascii="方正仿宋简体" w:eastAsia="方正仿宋简体" w:hAnsi="方正仿宋简体" w:cs="方正仿宋简体" w:hint="eastAsia"/>
        </w:rPr>
      </w:pPr>
      <w:r>
        <w:rPr>
          <w:rFonts w:hint="eastAsia"/>
          <w:color w:val="231F20"/>
          <w:spacing w:val="-1"/>
        </w:rPr>
        <w:t>0315-8787068</w:t>
      </w:r>
    </w:p>
    <w:p w:rsidR="008E3D9F" w:rsidRDefault="008E3D9F" w:rsidP="008E3D9F">
      <w:pPr>
        <w:numPr>
          <w:ilvl w:val="0"/>
          <w:numId w:val="1"/>
        </w:numPr>
        <w:spacing w:before="63" w:line="201" w:lineRule="auto"/>
        <w:ind w:left="463"/>
        <w:textAlignment w:val="auto"/>
        <w:rPr>
          <w:rFonts w:ascii="微软雅黑" w:eastAsia="微软雅黑" w:hAnsi="微软雅黑" w:cs="微软雅黑" w:hint="eastAsia"/>
          <w:color w:val="231F20"/>
          <w:spacing w:val="-2"/>
          <w:sz w:val="22"/>
          <w:szCs w:val="22"/>
        </w:rPr>
      </w:pPr>
      <w:r>
        <w:rPr>
          <w:rFonts w:ascii="微软雅黑" w:eastAsia="微软雅黑" w:hAnsi="微软雅黑" w:cs="微软雅黑" w:hint="eastAsia"/>
          <w:color w:val="231F20"/>
          <w:spacing w:val="-2"/>
          <w:sz w:val="22"/>
          <w:szCs w:val="22"/>
        </w:rPr>
        <w:t>救济途径</w:t>
      </w:r>
    </w:p>
    <w:p w:rsidR="00401515" w:rsidRDefault="008E3D9F" w:rsidP="008E3D9F">
      <w:pPr>
        <w:spacing w:before="52" w:line="205" w:lineRule="auto"/>
        <w:ind w:left="463"/>
        <w:rPr>
          <w:lang w:eastAsia="zh-CN"/>
        </w:rPr>
      </w:pPr>
      <w:r>
        <w:rPr>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ascii="微软雅黑" w:eastAsia="微软雅黑" w:hAnsi="微软雅黑" w:cs="微软雅黑" w:hint="eastAsia"/>
          <w:color w:val="231F20"/>
          <w:spacing w:val="-3"/>
          <w:lang w:eastAsia="zh-CN"/>
        </w:rPr>
        <w:t>。</w:t>
      </w:r>
      <w:bookmarkStart w:id="0" w:name="_GoBack"/>
      <w:bookmarkEnd w:id="0"/>
    </w:p>
    <w:sectPr w:rsidR="00401515">
      <w:type w:val="continuous"/>
      <w:pgSz w:w="10772" w:h="11906"/>
      <w:pgMar w:top="400" w:right="579" w:bottom="0" w:left="556" w:header="0" w:footer="0" w:gutter="0"/>
      <w:cols w:num="2" w:space="720" w:equalWidth="0">
        <w:col w:w="5329" w:space="100"/>
        <w:col w:w="4208"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23C6" w:rsidRDefault="00D423C6">
      <w:r>
        <w:separator/>
      </w:r>
    </w:p>
  </w:endnote>
  <w:endnote w:type="continuationSeparator" w:id="0">
    <w:p w:rsidR="00D423C6" w:rsidRDefault="00D42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ZFangSong-Z02S">
    <w:altName w:val="Cambria"/>
    <w:panose1 w:val="00000000000000000000"/>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仿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23C6" w:rsidRDefault="00D423C6">
      <w:r>
        <w:separator/>
      </w:r>
    </w:p>
  </w:footnote>
  <w:footnote w:type="continuationSeparator" w:id="0">
    <w:p w:rsidR="00D423C6" w:rsidRDefault="00D423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1515" w:rsidRDefault="00401515">
    <w:pP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1515" w:rsidRDefault="00401515">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8AA1FB"/>
    <w:multiLevelType w:val="singleLevel"/>
    <w:tmpl w:val="848AA1FB"/>
    <w:lvl w:ilvl="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401515"/>
    <w:rsid w:val="00401515"/>
    <w:rsid w:val="008E3D9F"/>
    <w:rsid w:val="00D423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5:docId w15:val="{0CB35FB2-2E6F-4143-B916-3545CA0C9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ody Text"/>
    <w:basedOn w:val="a"/>
    <w:semiHidden/>
    <w:qFormat/>
    <w:rPr>
      <w:rFonts w:ascii="FZFangSong-Z02S" w:eastAsia="FZFangSong-Z02S" w:hAnsi="FZFangSong-Z02S" w:cs="FZFangSong-Z02S"/>
      <w:sz w:val="22"/>
      <w:szCs w:val="22"/>
    </w:rPr>
  </w:style>
  <w:style w:type="paragraph" w:customStyle="1" w:styleId="TableText">
    <w:name w:val="Table Text"/>
    <w:basedOn w:val="a"/>
    <w:semiHidden/>
    <w:qFormat/>
    <w:rPr>
      <w:rFonts w:ascii="宋体" w:eastAsia="宋体" w:hAnsi="宋体" w:cs="宋体"/>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88550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tscfd.hbzwfw.gov.c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166</Words>
  <Characters>947</Characters>
  <Application>Microsoft Office Word</Application>
  <DocSecurity>0</DocSecurity>
  <Lines>7</Lines>
  <Paragraphs>2</Paragraphs>
  <ScaleCrop>false</ScaleCrop>
  <Company/>
  <LinksUpToDate>false</LinksUpToDate>
  <CharactersWithSpaces>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520.从事营利性治沙活动许可</dc:title>
  <cp:lastModifiedBy>Admin</cp:lastModifiedBy>
  <cp:revision>2</cp:revision>
  <dcterms:created xsi:type="dcterms:W3CDTF">2022-10-21T11:09:00Z</dcterms:created>
  <dcterms:modified xsi:type="dcterms:W3CDTF">2023-08-01T08:59:00Z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2023-08-01T16:30:56Z</vt:filetime>
  </property>
</Properties>
</file>