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pPr>
    </w:p>
    <w:p>
      <w:pPr>
        <w:spacing w:line="325" w:lineRule="auto"/>
      </w:pPr>
    </w:p>
    <w:p>
      <w:pPr>
        <w:pStyle w:val="2"/>
        <w:spacing w:before="81" w:line="244" w:lineRule="auto"/>
        <w:ind w:right="482" w:firstLine="466"/>
        <w:rPr>
          <w:rFonts w:hint="eastAsia"/>
        </w:rPr>
      </w:pPr>
    </w:p>
    <w:p>
      <w:pPr>
        <w:spacing w:line="14" w:lineRule="auto"/>
        <w:rPr>
          <w:sz w:val="2"/>
          <w:lang w:eastAsia="zh-CN"/>
        </w:rPr>
      </w:pPr>
      <w:r>
        <w:rPr>
          <w:rFonts w:eastAsia="Arial"/>
          <w:sz w:val="2"/>
          <w:szCs w:val="2"/>
          <w:lang w:eastAsia="zh-CN"/>
        </w:rPr>
        <w:br w:type="column"/>
      </w:r>
    </w:p>
    <w:p>
      <w:pPr>
        <w:spacing w:line="263" w:lineRule="auto"/>
        <w:rPr>
          <w:lang w:eastAsia="zh-CN"/>
        </w:rPr>
      </w:pPr>
      <w:r>
        <w:drawing>
          <wp:anchor distT="0" distB="0" distL="0" distR="0" simplePos="0" relativeHeight="251659264" behindDoc="1" locked="0" layoutInCell="1" allowOverlap="1">
            <wp:simplePos x="0" y="0"/>
            <wp:positionH relativeFrom="column">
              <wp:posOffset>454025</wp:posOffset>
            </wp:positionH>
            <wp:positionV relativeFrom="paragraph">
              <wp:posOffset>118110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416807" cy="7555991"/>
                    </a:xfrm>
                    <a:prstGeom prst="rect">
                      <a:avLst/>
                    </a:prstGeom>
                  </pic:spPr>
                </pic:pic>
              </a:graphicData>
            </a:graphic>
          </wp:anchor>
        </w:drawing>
      </w:r>
    </w:p>
    <w:p>
      <w:pPr>
        <w:spacing w:line="263" w:lineRule="auto"/>
        <w:rPr>
          <w:lang w:eastAsia="zh-CN"/>
        </w:rPr>
      </w:pPr>
    </w:p>
    <w:p>
      <w:pPr>
        <w:spacing w:line="263" w:lineRule="auto"/>
        <w:rPr>
          <w:lang w:eastAsia="zh-CN"/>
        </w:rPr>
      </w:pPr>
    </w:p>
    <w:p>
      <w:pPr>
        <w:spacing w:line="263" w:lineRule="auto"/>
        <w:rPr>
          <w:lang w:eastAsia="zh-CN"/>
        </w:rPr>
      </w:pPr>
    </w:p>
    <w:p>
      <w:pPr>
        <w:spacing w:line="264" w:lineRule="auto"/>
        <w:rPr>
          <w:lang w:eastAsia="zh-CN"/>
        </w:rPr>
      </w:pPr>
    </w:p>
    <w:p>
      <w:pPr>
        <w:spacing w:line="264" w:lineRule="auto"/>
        <w:rPr>
          <w:lang w:eastAsia="zh-CN"/>
        </w:rPr>
      </w:pPr>
    </w:p>
    <w:p>
      <w:pPr>
        <w:spacing w:before="103" w:line="175" w:lineRule="auto"/>
        <w:ind w:left="2263" w:leftChars="511" w:hanging="1190" w:hangingChars="500"/>
        <w:rPr>
          <w:rFonts w:hint="eastAsia" w:ascii="微软雅黑" w:hAnsi="微软雅黑" w:eastAsia="微软雅黑" w:cs="微软雅黑"/>
          <w:color w:val="231F20"/>
          <w:spacing w:val="-1"/>
          <w:sz w:val="24"/>
          <w:szCs w:val="24"/>
          <w:lang w:eastAsia="zh-CN"/>
        </w:rPr>
      </w:pPr>
      <w:r>
        <w:rPr>
          <w:rFonts w:hint="eastAsia" w:ascii="微软雅黑" w:hAnsi="微软雅黑" w:eastAsia="微软雅黑" w:cs="微软雅黑"/>
          <w:color w:val="231F20"/>
          <w:spacing w:val="-1"/>
          <w:sz w:val="24"/>
          <w:szCs w:val="24"/>
          <w:lang w:eastAsia="zh-CN"/>
        </w:rPr>
        <w:t>道路旅客运输企业设立分公司备案</w:t>
      </w:r>
    </w:p>
    <w:p>
      <w:pPr>
        <w:spacing w:before="103" w:line="175" w:lineRule="auto"/>
        <w:ind w:left="2270" w:leftChars="1081" w:firstLine="1180" w:firstLineChars="500"/>
        <w:rPr>
          <w:rFonts w:ascii="微软雅黑" w:hAnsi="微软雅黑" w:eastAsia="微软雅黑" w:cs="微软雅黑"/>
          <w:sz w:val="24"/>
          <w:szCs w:val="24"/>
          <w:lang w:eastAsia="zh-CN"/>
        </w:rPr>
      </w:pPr>
      <w:r>
        <w:rPr>
          <w:rFonts w:ascii="微软雅黑" w:hAnsi="微软雅黑" w:eastAsia="微软雅黑" w:cs="微软雅黑"/>
          <w:color w:val="231F20"/>
          <w:spacing w:val="-2"/>
          <w:sz w:val="24"/>
          <w:szCs w:val="24"/>
          <w:lang w:eastAsia="zh-CN"/>
        </w:rPr>
        <w:t>服务指南</w:t>
      </w:r>
    </w:p>
    <w:p>
      <w:pPr>
        <w:spacing w:before="201" w:line="202" w:lineRule="auto"/>
        <w:ind w:left="1014"/>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一、事项名称</w:t>
      </w:r>
    </w:p>
    <w:p>
      <w:pPr>
        <w:spacing w:before="32" w:line="204" w:lineRule="auto"/>
        <w:ind w:left="1013"/>
        <w:rPr>
          <w:rFonts w:hint="eastAsia"/>
          <w:color w:val="231F20"/>
          <w:spacing w:val="-1"/>
          <w:lang w:eastAsia="zh-CN"/>
        </w:rPr>
      </w:pPr>
      <w:r>
        <w:rPr>
          <w:rFonts w:hint="eastAsia"/>
          <w:color w:val="231F20"/>
          <w:spacing w:val="-1"/>
          <w:lang w:eastAsia="zh-CN"/>
        </w:rPr>
        <w:t>道路旅客运输企业设立分公司备案</w:t>
      </w:r>
    </w:p>
    <w:p>
      <w:pPr>
        <w:spacing w:before="32" w:line="204" w:lineRule="auto"/>
        <w:ind w:left="1013"/>
        <w:rPr>
          <w:rFonts w:ascii="微软雅黑" w:hAnsi="微软雅黑" w:eastAsia="微软雅黑" w:cs="微软雅黑"/>
          <w:sz w:val="22"/>
          <w:szCs w:val="22"/>
          <w:lang w:eastAsia="zh-CN"/>
        </w:rPr>
      </w:pPr>
      <w:bookmarkStart w:id="0" w:name="_GoBack"/>
      <w:bookmarkEnd w:id="0"/>
      <w:r>
        <w:rPr>
          <w:rFonts w:ascii="微软雅黑" w:hAnsi="微软雅黑" w:eastAsia="微软雅黑" w:cs="微软雅黑"/>
          <w:color w:val="231F20"/>
          <w:spacing w:val="-2"/>
          <w:sz w:val="22"/>
          <w:szCs w:val="22"/>
          <w:lang w:eastAsia="zh-CN"/>
        </w:rPr>
        <w:t>二、办理依据</w:t>
      </w:r>
    </w:p>
    <w:p>
      <w:pPr>
        <w:pStyle w:val="2"/>
        <w:spacing w:before="34" w:line="253" w:lineRule="auto"/>
        <w:ind w:left="550" w:right="584" w:firstLine="460"/>
        <w:rPr>
          <w:lang w:eastAsia="zh-CN"/>
        </w:rPr>
      </w:pPr>
      <w:r>
        <w:rPr>
          <w:color w:val="231F20"/>
          <w:spacing w:val="1"/>
          <w:lang w:eastAsia="zh-CN"/>
        </w:rPr>
        <w:t>1.</w:t>
      </w:r>
      <w:r>
        <w:rPr>
          <w:rFonts w:hint="eastAsia"/>
          <w:color w:val="231F20"/>
          <w:spacing w:val="1"/>
          <w:lang w:eastAsia="zh-CN"/>
        </w:rPr>
        <w:t>《道路运输管理工作规范》</w:t>
      </w:r>
    </w:p>
    <w:p>
      <w:pPr>
        <w:spacing w:before="34" w:line="203" w:lineRule="auto"/>
        <w:ind w:left="1016"/>
        <w:rPr>
          <w:rFonts w:ascii="微软雅黑" w:hAnsi="微软雅黑" w:eastAsia="微软雅黑" w:cs="微软雅黑"/>
          <w:sz w:val="22"/>
          <w:szCs w:val="22"/>
          <w:lang w:eastAsia="zh-CN"/>
        </w:rPr>
      </w:pPr>
      <w:r>
        <w:rPr>
          <w:rFonts w:ascii="微软雅黑" w:hAnsi="微软雅黑" w:eastAsia="微软雅黑" w:cs="微软雅黑"/>
          <w:color w:val="231F20"/>
          <w:spacing w:val="-3"/>
          <w:sz w:val="22"/>
          <w:szCs w:val="22"/>
          <w:lang w:eastAsia="zh-CN"/>
        </w:rPr>
        <w:t>三、受理范围</w:t>
      </w:r>
    </w:p>
    <w:p>
      <w:pPr>
        <w:pStyle w:val="2"/>
        <w:spacing w:before="30" w:line="228" w:lineRule="auto"/>
        <w:ind w:left="1061"/>
        <w:rPr>
          <w:lang w:eastAsia="zh-CN"/>
        </w:rPr>
      </w:pPr>
      <w:r>
        <w:rPr>
          <w:color w:val="231F20"/>
          <w:spacing w:val="-14"/>
          <w:lang w:eastAsia="zh-CN"/>
        </w:rPr>
        <w:t>自然人</w:t>
      </w:r>
    </w:p>
    <w:p>
      <w:pPr>
        <w:spacing w:before="37" w:line="203" w:lineRule="auto"/>
        <w:ind w:left="1026"/>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四、受理条件</w:t>
      </w:r>
    </w:p>
    <w:p>
      <w:pPr>
        <w:pStyle w:val="2"/>
        <w:spacing w:before="30" w:line="246" w:lineRule="auto"/>
        <w:ind w:left="583"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pPr>
        <w:spacing w:line="246" w:lineRule="auto"/>
        <w:rPr>
          <w:lang w:eastAsia="zh-CN"/>
        </w:rPr>
        <w:sectPr>
          <w:headerReference r:id="rId3" w:type="default"/>
          <w:footerReference r:id="rId4" w:type="default"/>
          <w:pgSz w:w="10772" w:h="11906"/>
          <w:pgMar w:top="1" w:right="2" w:bottom="1" w:left="576" w:header="0" w:footer="0" w:gutter="0"/>
          <w:cols w:equalWidth="0" w:num="2">
            <w:col w:w="4712" w:space="100"/>
            <w:col w:w="5381"/>
          </w:cols>
        </w:sectPr>
      </w:pPr>
    </w:p>
    <w:p>
      <w:pPr>
        <w:spacing w:before="39"/>
        <w:rPr>
          <w:lang w:eastAsia="zh-CN"/>
        </w:rPr>
      </w:pPr>
      <w:r>
        <w:pict>
          <v:rect id="_x0000_s1033" o:spid="_x0000_s1033" o:spt="1" style="position:absolute;left:0pt;margin-left:363.3pt;margin-top:144.6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32" o:spid="_x0000_s1032" o:spt="1" style="position:absolute;left:0pt;margin-left:365.1pt;margin-top:147.7pt;height:21.05pt;width:0.6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31" o:spid="_x0000_s1031" o:spt="1" style="position:absolute;left:0pt;margin-left:442.05pt;margin-top:179.6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311.85pt;margin-top:127.7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3937000</wp:posOffset>
            </wp:positionH>
            <wp:positionV relativeFrom="page">
              <wp:posOffset>1626235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3200" cy="463896"/>
                    </a:xfrm>
                    <a:prstGeom prst="rect">
                      <a:avLst/>
                    </a:prstGeom>
                  </pic:spPr>
                </pic:pic>
              </a:graphicData>
            </a:graphic>
          </wp:anchor>
        </w:drawing>
      </w:r>
      <w:r>
        <w:pict>
          <v:shape id="_x0000_s1029" o:spid="_x0000_s1029" o:spt="202" type="#_x0000_t202" style="position:absolute;left:0pt;margin-left:295.45pt;margin-top:163.55pt;height:32.7pt;width:33.4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6"/>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tcPr>
                      <w:p>
                        <w:pPr>
                          <w:pStyle w:val="7"/>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txbxContent>
            </v:textbox>
          </v:shape>
        </w:pict>
      </w:r>
      <w:r>
        <w:pict>
          <v:shape id="_x0000_s1028" o:spid="_x0000_s1028" o:spt="202" type="#_x0000_t202" style="position:absolute;left:0pt;margin-left:415.75pt;margin-top:167.25pt;height:25.3pt;width:27.6pt;mso-position-horizontal-relative:page;mso-position-vertical-relative:page;z-index:25166233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6"/>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tcPr>
                      <w:p>
                        <w:pPr>
                          <w:pStyle w:val="7"/>
                          <w:spacing w:before="142" w:line="220" w:lineRule="auto"/>
                          <w:ind w:left="95"/>
                        </w:pPr>
                        <w:r>
                          <w:rPr>
                            <w:color w:val="231F20"/>
                            <w:spacing w:val="-3"/>
                          </w:rPr>
                          <w:t>审核</w:t>
                        </w:r>
                      </w:p>
                    </w:tc>
                  </w:tr>
                </w:tbl>
                <w:p/>
              </w:txbxContent>
            </v:textbox>
          </v:shape>
        </w:pict>
      </w:r>
      <w:r>
        <w:pict>
          <v:shape id="_x0000_s1027" o:spid="_x0000_s1027" o:spt="202" type="#_x0000_t202" style="position:absolute;left:0pt;margin-left:479.55pt;margin-top:167.25pt;height:25.3pt;width:31.1pt;mso-position-horizontal-relative:page;mso-position-vertical-relative:page;z-index:25166745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6"/>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tcPr>
                      <w:p>
                        <w:pPr>
                          <w:pStyle w:val="7"/>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txbxContent>
            </v:textbox>
          </v:shape>
        </w:pict>
      </w:r>
      <w:r>
        <w:drawing>
          <wp:anchor distT="0" distB="0" distL="0" distR="0" simplePos="0" relativeHeight="251669504" behindDoc="0" locked="0" layoutInCell="0" allowOverlap="1">
            <wp:simplePos x="0" y="0"/>
            <wp:positionH relativeFrom="page">
              <wp:posOffset>4800600</wp:posOffset>
            </wp:positionH>
            <wp:positionV relativeFrom="page">
              <wp:posOffset>2258060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4159885</wp:posOffset>
            </wp:positionH>
            <wp:positionV relativeFrom="page">
              <wp:posOffset>2258060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316607" cy="53187"/>
                    </a:xfrm>
                    <a:prstGeom prst="rect">
                      <a:avLst/>
                    </a:prstGeom>
                  </pic:spPr>
                </pic:pic>
              </a:graphicData>
            </a:graphic>
          </wp:anchor>
        </w:drawing>
      </w:r>
      <w:r>
        <w:pict>
          <v:shape id="_x0000_s1026" o:spid="_x0000_s1026" o:spt="202" type="#_x0000_t202" style="position:absolute;left:0pt;margin-left:400.45pt;margin-top:211.8pt;height:25.3pt;width:58.4pt;mso-position-horizontal-relative:page;mso-position-vertical-relative:page;z-index:251660288;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6"/>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tcPr>
                      <w:p>
                        <w:pPr>
                          <w:pStyle w:val="7"/>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pPr>
                    <w:rPr>
                      <w:lang w:eastAsia="zh-CN"/>
                    </w:rPr>
                  </w:pPr>
                </w:p>
              </w:txbxContent>
            </v:textbox>
          </v:shape>
        </w:pict>
      </w:r>
      <w:r>
        <w:drawing>
          <wp:anchor distT="0" distB="0" distL="0" distR="0" simplePos="0" relativeHeight="251665408" behindDoc="0" locked="0" layoutInCell="0" allowOverlap="1">
            <wp:simplePos x="0" y="0"/>
            <wp:positionH relativeFrom="page">
              <wp:posOffset>5427980</wp:posOffset>
            </wp:positionH>
            <wp:positionV relativeFrom="page">
              <wp:posOffset>2430780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53200" cy="269509"/>
                    </a:xfrm>
                    <a:prstGeom prst="rect">
                      <a:avLst/>
                    </a:prstGeom>
                  </pic:spPr>
                </pic:pic>
              </a:graphicData>
            </a:graphic>
          </wp:anchor>
        </w:drawing>
      </w:r>
    </w:p>
    <w:p>
      <w:pPr>
        <w:rPr>
          <w:lang w:eastAsia="zh-CN"/>
        </w:rPr>
        <w:sectPr>
          <w:pgSz w:w="10772" w:h="11906"/>
          <w:pgMar w:top="400" w:right="579" w:bottom="400" w:left="596" w:header="0" w:footer="0" w:gutter="0"/>
          <w:cols w:equalWidth="0" w:num="1">
            <w:col w:w="9596"/>
          </w:cols>
        </w:sectPr>
      </w:pPr>
    </w:p>
    <w:p>
      <w:pPr>
        <w:spacing w:before="49" w:line="204" w:lineRule="auto"/>
        <w:ind w:left="43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五、申请材料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（1）《道路运输企业设立分公司备案登记表》；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（2）总公司《企业法人营业执照》复印件；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（3）总公司《道路运输经营许可证》正本复印件；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（4）总公司《道路运输经营许可证》副本（原件）；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（5）总公司法定代表人身份证明及其复印件；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（6）分公司《企业法人营业执照》复印件；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（7）分公司负责人身份证明极其复印件；</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（8）备案登记经办人身份证明及其复印件和委托书；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方正仿宋简体" w:hAnsi="方正仿宋简体" w:eastAsia="方正仿宋简体" w:cs="方正仿宋简体"/>
          <w:sz w:val="24"/>
          <w:szCs w:val="24"/>
          <w:vertAlign w:val="baseline"/>
          <w:lang w:val="en-US" w:eastAsia="zh-CN"/>
        </w:rPr>
      </w:pPr>
      <w:r>
        <w:rPr>
          <w:rFonts w:hint="eastAsia" w:ascii="方正仿宋简体" w:hAnsi="方正仿宋简体" w:eastAsia="方正仿宋简体" w:cs="方正仿宋简体"/>
          <w:sz w:val="24"/>
          <w:szCs w:val="24"/>
          <w:vertAlign w:val="baseline"/>
          <w:lang w:val="en-US" w:eastAsia="zh-CN"/>
        </w:rPr>
        <w:t>（9）分公司安全生产等管理制度；</w:t>
      </w:r>
    </w:p>
    <w:p>
      <w:pPr>
        <w:keepNext w:val="0"/>
        <w:keepLines w:val="0"/>
        <w:pageBreakBefore w:val="0"/>
        <w:widowControl w:val="0"/>
        <w:kinsoku/>
        <w:wordWrap/>
        <w:overflowPunct/>
        <w:topLinePunct w:val="0"/>
        <w:autoSpaceDE/>
        <w:autoSpaceDN/>
        <w:bidi w:val="0"/>
        <w:adjustRightInd/>
        <w:snapToGrid/>
        <w:spacing w:line="400" w:lineRule="exact"/>
        <w:textAlignment w:val="auto"/>
        <w:rPr>
          <w:lang w:eastAsia="zh-CN"/>
        </w:rPr>
      </w:pPr>
      <w:r>
        <w:rPr>
          <w:rFonts w:hint="eastAsia" w:ascii="方正仿宋简体" w:hAnsi="方正仿宋简体" w:eastAsia="方正仿宋简体" w:cs="方正仿宋简体"/>
          <w:sz w:val="24"/>
          <w:szCs w:val="24"/>
          <w:vertAlign w:val="baseline"/>
          <w:lang w:val="en-US" w:eastAsia="zh-CN"/>
        </w:rPr>
        <w:t>（10）总公司与分公司不属同一道路运输管理机构的，还应提交总公司所在地出具的《关于同意XXXX设立分公司的函》</w:t>
      </w:r>
      <w:r>
        <w:rPr>
          <w:color w:val="231F20"/>
          <w:spacing w:val="-2"/>
          <w:lang w:eastAsia="zh-CN"/>
        </w:rPr>
        <w:t>。</w:t>
      </w:r>
    </w:p>
    <w:p>
      <w:pPr>
        <w:pStyle w:val="2"/>
        <w:spacing w:before="45" w:line="223" w:lineRule="auto"/>
        <w:ind w:left="1" w:right="1042" w:firstLine="415"/>
        <w:rPr>
          <w:lang w:eastAsia="zh-CN"/>
        </w:rPr>
      </w:pPr>
    </w:p>
    <w:p>
      <w:pPr>
        <w:spacing w:line="14" w:lineRule="auto"/>
        <w:rPr>
          <w:sz w:val="2"/>
          <w:lang w:eastAsia="zh-CN"/>
        </w:rPr>
      </w:pPr>
      <w:r>
        <w:rPr>
          <w:rFonts w:eastAsia="Arial"/>
          <w:sz w:val="2"/>
          <w:szCs w:val="2"/>
          <w:lang w:eastAsia="zh-CN"/>
        </w:rPr>
        <w:br w:type="column"/>
      </w:r>
    </w:p>
    <w:p>
      <w:pPr>
        <w:spacing w:line="203" w:lineRule="auto"/>
        <w:ind w:left="47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六、审批机关</w:t>
      </w:r>
    </w:p>
    <w:p>
      <w:pPr>
        <w:pStyle w:val="2"/>
        <w:spacing w:before="33" w:line="347" w:lineRule="exact"/>
        <w:ind w:left="475"/>
        <w:rPr>
          <w:lang w:eastAsia="zh-CN"/>
        </w:rPr>
      </w:pPr>
      <w:r>
        <w:rPr>
          <w:color w:val="231F20"/>
          <w:spacing w:val="-1"/>
          <w:position w:val="8"/>
          <w:lang w:eastAsia="zh-CN"/>
        </w:rPr>
        <w:t>唐山市曹妃甸区行政审批局</w:t>
      </w:r>
    </w:p>
    <w:p>
      <w:pPr>
        <w:spacing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2" w:lineRule="exact"/>
      </w:pPr>
    </w:p>
    <w:tbl>
      <w:tblPr>
        <w:tblStyle w:val="6"/>
        <w:tblW w:w="1301"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658" w:hRule="atLeast"/>
        </w:trPr>
        <w:tc>
          <w:tcPr>
            <w:tcW w:w="1301" w:type="dxa"/>
          </w:tcPr>
          <w:p>
            <w:pPr>
              <w:pStyle w:val="7"/>
              <w:spacing w:before="69" w:line="208" w:lineRule="auto"/>
              <w:ind w:left="34"/>
              <w:rPr>
                <w:lang w:eastAsia="zh-CN"/>
              </w:rPr>
            </w:pPr>
            <w:r>
              <w:rPr>
                <w:color w:val="231F20"/>
                <w:spacing w:val="-7"/>
                <w:lang w:eastAsia="zh-CN"/>
              </w:rPr>
              <w:t>申请材料不全的，</w:t>
            </w:r>
          </w:p>
          <w:p>
            <w:pPr>
              <w:pStyle w:val="7"/>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pPr>
        <w:spacing w:before="221"/>
        <w:rPr>
          <w:lang w:eastAsia="zh-CN"/>
        </w:rPr>
      </w:pPr>
    </w:p>
    <w:tbl>
      <w:tblPr>
        <w:tblStyle w:val="6"/>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tcPr>
          <w:p>
            <w:pPr>
              <w:pStyle w:val="7"/>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53200" cy="268720"/>
                    </a:xfrm>
                    <a:prstGeom prst="rect">
                      <a:avLst/>
                    </a:prstGeom>
                  </pic:spPr>
                </pic:pic>
              </a:graphicData>
            </a:graphic>
          </wp:inline>
        </w:drawing>
      </w:r>
    </w:p>
    <w:p>
      <w:pPr>
        <w:spacing w:line="14" w:lineRule="exact"/>
      </w:pPr>
    </w:p>
    <w:tbl>
      <w:tblPr>
        <w:tblStyle w:val="6"/>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tcPr>
          <w:p>
            <w:pPr>
              <w:pStyle w:val="7"/>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4"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33" w:lineRule="auto"/>
        <w:ind w:left="487"/>
      </w:pPr>
      <w:r>
        <w:rPr>
          <w:color w:val="231F20"/>
          <w:spacing w:val="-2"/>
        </w:rPr>
        <w:t>法定时限：120个工作日</w:t>
      </w:r>
    </w:p>
    <w:p>
      <w:pPr>
        <w:pStyle w:val="2"/>
        <w:spacing w:before="35" w:line="232" w:lineRule="auto"/>
        <w:ind w:left="478"/>
      </w:pPr>
      <w:r>
        <w:rPr>
          <w:color w:val="231F20"/>
          <w:spacing w:val="-2"/>
        </w:rPr>
        <w:t>承诺时限：3个工作日</w:t>
      </w:r>
    </w:p>
    <w:p>
      <w:pPr>
        <w:spacing w:before="34"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83"/>
      </w:pPr>
      <w:r>
        <w:rPr>
          <w:color w:val="231F20"/>
          <w:spacing w:val="-5"/>
        </w:rPr>
        <w:t>不收费</w:t>
      </w:r>
    </w:p>
    <w:p>
      <w:pPr>
        <w:spacing w:before="31" w:line="205" w:lineRule="auto"/>
        <w:ind w:left="47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81"/>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4" w:lineRule="auto"/>
        <w:ind w:left="463"/>
        <w:rPr>
          <w:rFonts w:ascii="微软雅黑" w:hAnsi="微软雅黑" w:eastAsia="微软雅黑" w:cs="微软雅黑"/>
          <w:sz w:val="22"/>
          <w:szCs w:val="22"/>
          <w:lang w:eastAsia="zh-CN"/>
        </w:rPr>
      </w:pPr>
      <w:r>
        <w:rPr>
          <w:rFonts w:hint="eastAsia" w:ascii="微软雅黑" w:hAnsi="微软雅黑" w:eastAsia="微软雅黑" w:cs="微软雅黑"/>
          <w:color w:val="231F20"/>
          <w:spacing w:val="-4"/>
          <w:sz w:val="22"/>
          <w:szCs w:val="22"/>
          <w:lang w:eastAsia="zh-CN"/>
        </w:rPr>
        <w:t>十一、办理地点</w:t>
      </w:r>
    </w:p>
    <w:p>
      <w:pPr>
        <w:pStyle w:val="2"/>
        <w:spacing w:before="41" w:line="244" w:lineRule="auto"/>
        <w:ind w:left="51" w:right="2" w:firstLine="409"/>
        <w:rPr>
          <w:rFonts w:hint="eastAsia" w:ascii="方正仿宋简体" w:hAnsi="方正仿宋简体" w:eastAsia="方正仿宋简体" w:cs="方正仿宋简体"/>
          <w:color w:val="231F20"/>
          <w:spacing w:val="-3"/>
          <w:lang w:eastAsia="zh-CN"/>
        </w:rPr>
      </w:pPr>
      <w:r>
        <w:rPr>
          <w:rFonts w:hint="eastAsia"/>
          <w:color w:val="231F20"/>
          <w:spacing w:val="-3"/>
          <w:lang w:eastAsia="zh-CN"/>
        </w:rPr>
        <w:t xml:space="preserve">1. </w:t>
      </w:r>
      <w:r>
        <w:rPr>
          <w:rFonts w:hint="eastAsia" w:ascii="宋体" w:hAnsi="宋体" w:eastAsia="宋体" w:cs="宋体"/>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hint="eastAsia" w:ascii="宋体" w:hAnsi="宋体" w:eastAsia="宋体" w:cs="宋体"/>
          <w:color w:val="231F20"/>
          <w:spacing w:val="-3"/>
          <w:lang w:eastAsia="zh-CN"/>
        </w:rPr>
        <w:t>（曹妃甸工业区兴业道</w:t>
      </w:r>
      <w:r>
        <w:rPr>
          <w:rFonts w:hint="eastAsia"/>
          <w:color w:val="231F20"/>
          <w:spacing w:val="-3"/>
          <w:lang w:eastAsia="zh-CN"/>
        </w:rPr>
        <w:t xml:space="preserve"> 1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hint="eastAsia" w:ascii="宋体" w:hAnsi="宋体" w:eastAsia="宋体" w:cs="宋体"/>
          <w:color w:val="231F20"/>
          <w:spacing w:val="-3"/>
          <w:lang w:eastAsia="zh-CN"/>
        </w:rPr>
        <w:t>唐山市曹妃甸区垦区政务服务中心综合受理窗口</w:t>
      </w:r>
      <w:r>
        <w:rPr>
          <w:rFonts w:hint="eastAsia"/>
          <w:color w:val="231F20"/>
          <w:spacing w:val="-3"/>
          <w:lang w:eastAsia="zh-CN"/>
        </w:rPr>
        <w:t>W1-W6</w:t>
      </w:r>
      <w:r>
        <w:rPr>
          <w:rFonts w:hint="eastAsia" w:ascii="宋体" w:hAnsi="宋体" w:eastAsia="宋体" w:cs="宋体"/>
          <w:color w:val="231F20"/>
          <w:spacing w:val="-3"/>
          <w:lang w:eastAsia="zh-CN"/>
        </w:rPr>
        <w:t>（曹妃甸区唐海镇新城大街</w:t>
      </w:r>
      <w:r>
        <w:rPr>
          <w:rFonts w:hint="eastAsia"/>
          <w:color w:val="231F20"/>
          <w:spacing w:val="-3"/>
          <w:lang w:eastAsia="zh-CN"/>
        </w:rPr>
        <w:t xml:space="preserve"> 259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hint="eastAsia" w:ascii="宋体" w:hAnsi="宋体" w:eastAsia="宋体" w:cs="宋体"/>
          <w:color w:val="231F20"/>
          <w:spacing w:val="-3"/>
          <w:lang w:eastAsia="zh-CN"/>
        </w:rPr>
        <w:t>唐山市曹妃甸区曹妃甸新城政务服务中心综合受理窗口</w:t>
      </w:r>
      <w:r>
        <w:rPr>
          <w:rFonts w:hint="eastAsia"/>
          <w:color w:val="231F20"/>
          <w:spacing w:val="-3"/>
          <w:lang w:eastAsia="zh-CN"/>
        </w:rPr>
        <w:t>B02-B05</w:t>
      </w:r>
      <w:r>
        <w:rPr>
          <w:rFonts w:hint="eastAsia" w:ascii="宋体" w:hAnsi="宋体" w:eastAsia="宋体" w:cs="宋体"/>
          <w:color w:val="231F20"/>
          <w:spacing w:val="-3"/>
          <w:lang w:eastAsia="zh-CN"/>
        </w:rPr>
        <w:t>（曹妃甸区新城通海路）。</w:t>
      </w:r>
    </w:p>
    <w:p>
      <w:pPr>
        <w:pStyle w:val="2"/>
        <w:spacing w:before="41" w:line="244" w:lineRule="auto"/>
        <w:ind w:left="51" w:right="2" w:firstLine="409"/>
        <w:rPr>
          <w:rFonts w:hint="eastAsia"/>
          <w:color w:val="231F20"/>
          <w:spacing w:val="-3"/>
          <w:lang w:eastAsia="zh-CN"/>
        </w:rPr>
      </w:pPr>
      <w:r>
        <w:rPr>
          <w:rFonts w:hint="eastAsia" w:ascii="宋体" w:hAnsi="宋体" w:eastAsia="宋体" w:cs="宋体"/>
          <w:color w:val="231F20"/>
          <w:spacing w:val="-3"/>
          <w:lang w:eastAsia="zh-CN"/>
        </w:rPr>
        <w:t>交通指引：</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hint="eastAsia" w:ascii="宋体" w:hAnsi="宋体" w:eastAsia="宋体" w:cs="宋体"/>
          <w:color w:val="231F20"/>
          <w:spacing w:val="-3"/>
          <w:lang w:eastAsia="zh-CN"/>
        </w:rPr>
        <w:t>临港中心：乘坐公交</w:t>
      </w:r>
      <w:r>
        <w:rPr>
          <w:rFonts w:hint="eastAsia"/>
          <w:color w:val="231F20"/>
          <w:spacing w:val="-3"/>
          <w:lang w:eastAsia="zh-CN"/>
        </w:rPr>
        <w:t>K1</w:t>
      </w:r>
      <w:r>
        <w:rPr>
          <w:rFonts w:hint="eastAsia" w:ascii="宋体" w:hAnsi="宋体" w:eastAsia="宋体" w:cs="宋体"/>
          <w:color w:val="231F20"/>
          <w:spacing w:val="-3"/>
          <w:lang w:eastAsia="zh-CN"/>
        </w:rPr>
        <w:t>支线</w:t>
      </w:r>
      <w:r>
        <w:rPr>
          <w:rFonts w:hint="eastAsia"/>
          <w:color w:val="231F20"/>
          <w:spacing w:val="-3"/>
          <w:lang w:eastAsia="zh-CN"/>
        </w:rPr>
        <w:t>/K1</w:t>
      </w:r>
      <w:r>
        <w:rPr>
          <w:rFonts w:hint="eastAsia" w:ascii="宋体" w:hAnsi="宋体" w:eastAsia="宋体" w:cs="宋体"/>
          <w:color w:val="231F20"/>
          <w:spacing w:val="-3"/>
          <w:lang w:eastAsia="zh-CN"/>
        </w:rPr>
        <w:t>专线，四大联检下车（曹妃甸工业区兴业道</w:t>
      </w:r>
      <w:r>
        <w:rPr>
          <w:rFonts w:hint="eastAsia"/>
          <w:color w:val="231F20"/>
          <w:spacing w:val="-3"/>
          <w:lang w:eastAsia="zh-CN"/>
        </w:rPr>
        <w:t>1</w:t>
      </w:r>
      <w:r>
        <w:rPr>
          <w:rFonts w:hint="eastAsia" w:ascii="宋体" w:hAnsi="宋体" w:eastAsia="宋体" w:cs="宋体"/>
          <w:color w:val="231F20"/>
          <w:spacing w:val="-3"/>
          <w:lang w:eastAsia="zh-CN"/>
        </w:rPr>
        <w:t>号）；</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hint="eastAsia" w:ascii="宋体" w:hAnsi="宋体" w:eastAsia="宋体" w:cs="宋体"/>
          <w:color w:val="231F20"/>
          <w:spacing w:val="-3"/>
          <w:lang w:eastAsia="zh-CN"/>
        </w:rPr>
        <w:t>垦区中心：乘坐公交</w:t>
      </w:r>
      <w:r>
        <w:rPr>
          <w:rFonts w:hint="eastAsia"/>
          <w:color w:val="231F20"/>
          <w:spacing w:val="-3"/>
          <w:lang w:eastAsia="zh-CN"/>
        </w:rPr>
        <w:t>101</w:t>
      </w:r>
      <w:r>
        <w:rPr>
          <w:rFonts w:hint="eastAsia" w:ascii="宋体" w:hAnsi="宋体" w:eastAsia="宋体" w:cs="宋体"/>
          <w:color w:val="231F20"/>
          <w:spacing w:val="-3"/>
          <w:lang w:eastAsia="zh-CN"/>
        </w:rPr>
        <w:t>路</w:t>
      </w:r>
      <w:r>
        <w:rPr>
          <w:rFonts w:hint="eastAsia"/>
          <w:color w:val="231F20"/>
          <w:spacing w:val="-3"/>
          <w:lang w:eastAsia="zh-CN"/>
        </w:rPr>
        <w:t>/102</w:t>
      </w:r>
      <w:r>
        <w:rPr>
          <w:rFonts w:hint="eastAsia" w:ascii="宋体" w:hAnsi="宋体" w:eastAsia="宋体" w:cs="宋体"/>
          <w:color w:val="231F20"/>
          <w:spacing w:val="-3"/>
          <w:lang w:eastAsia="zh-CN"/>
        </w:rPr>
        <w:t>路，行政审批大厅下车（曹妃甸新城大街与唐海路交叉口西行</w:t>
      </w:r>
      <w:r>
        <w:rPr>
          <w:rFonts w:hint="eastAsia"/>
          <w:color w:val="231F20"/>
          <w:spacing w:val="-3"/>
          <w:lang w:eastAsia="zh-CN"/>
        </w:rPr>
        <w:t>200</w:t>
      </w:r>
      <w:r>
        <w:rPr>
          <w:rFonts w:hint="eastAsia" w:ascii="宋体" w:hAnsi="宋体" w:eastAsia="宋体" w:cs="宋体"/>
          <w:color w:val="231F20"/>
          <w:spacing w:val="-3"/>
          <w:lang w:eastAsia="zh-CN"/>
        </w:rPr>
        <w:t>米）</w:t>
      </w:r>
    </w:p>
    <w:p>
      <w:pPr>
        <w:pStyle w:val="2"/>
        <w:spacing w:before="41" w:line="244" w:lineRule="auto"/>
        <w:ind w:left="51" w:right="2" w:firstLine="409"/>
        <w:rPr>
          <w:rFonts w:hint="eastAsia"/>
          <w:lang w:eastAsia="zh-CN"/>
        </w:rPr>
      </w:pPr>
      <w:r>
        <w:rPr>
          <w:rFonts w:hint="eastAsia"/>
          <w:color w:val="231F20"/>
          <w:spacing w:val="-3"/>
          <w:lang w:eastAsia="zh-CN"/>
        </w:rPr>
        <w:t>3.</w:t>
      </w:r>
      <w:r>
        <w:rPr>
          <w:rFonts w:hint="eastAsia" w:ascii="宋体" w:hAnsi="宋体" w:eastAsia="宋体" w:cs="宋体"/>
          <w:color w:val="231F20"/>
          <w:spacing w:val="-3"/>
          <w:lang w:eastAsia="zh-CN"/>
        </w:rPr>
        <w:t>新城中心：乘坐公交</w:t>
      </w:r>
      <w:r>
        <w:rPr>
          <w:rFonts w:hint="eastAsia"/>
          <w:color w:val="231F20"/>
          <w:spacing w:val="-3"/>
          <w:lang w:eastAsia="zh-CN"/>
        </w:rPr>
        <w:t>K2</w:t>
      </w:r>
      <w:r>
        <w:rPr>
          <w:rFonts w:hint="eastAsia" w:ascii="宋体" w:hAnsi="宋体" w:eastAsia="宋体" w:cs="宋体"/>
          <w:color w:val="231F20"/>
          <w:spacing w:val="-3"/>
          <w:lang w:eastAsia="zh-CN"/>
        </w:rPr>
        <w:t>路，新城服务中心下车（曹妃甸新城未来大道</w:t>
      </w:r>
      <w:r>
        <w:rPr>
          <w:rFonts w:hint="eastAsia"/>
          <w:color w:val="231F20"/>
          <w:spacing w:val="-3"/>
          <w:lang w:eastAsia="zh-CN"/>
        </w:rPr>
        <w:t>1</w:t>
      </w:r>
      <w:r>
        <w:rPr>
          <w:rFonts w:hint="eastAsia" w:ascii="宋体" w:hAnsi="宋体" w:eastAsia="宋体" w:cs="宋体"/>
          <w:color w:val="231F20"/>
          <w:spacing w:val="-3"/>
          <w:lang w:eastAsia="zh-CN"/>
        </w:rPr>
        <w:t>号）；</w:t>
      </w:r>
    </w:p>
    <w:p>
      <w:pPr>
        <w:spacing w:before="37" w:line="204"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十二、办公时间</w:t>
      </w:r>
    </w:p>
    <w:p>
      <w:pPr>
        <w:spacing w:before="34" w:line="201" w:lineRule="auto"/>
        <w:ind w:left="463"/>
        <w:rPr>
          <w:rFonts w:hint="eastAsia" w:ascii="方正仿宋简体" w:hAnsi="方正仿宋简体" w:eastAsia="方正仿宋简体" w:cs="方正仿宋简体"/>
          <w:color w:val="231F20"/>
          <w:spacing w:val="-3"/>
          <w:sz w:val="22"/>
          <w:szCs w:val="22"/>
          <w:lang w:eastAsia="zh-CN"/>
        </w:rPr>
      </w:pPr>
      <w:r>
        <w:rPr>
          <w:rFonts w:hint="eastAsia" w:ascii="方正仿宋简体" w:hAnsi="方正仿宋简体" w:eastAsia="方正仿宋简体" w:cs="方正仿宋简体"/>
          <w:color w:val="231F20"/>
          <w:spacing w:val="-3"/>
          <w:sz w:val="22"/>
          <w:szCs w:val="22"/>
          <w:lang w:eastAsia="zh-CN"/>
        </w:rPr>
        <w:t>周一到周五：春秋冬季（9月1日至5月31日）上午8:30～12:00，下午13:30～17:30；夏季（6月1日至8月31日）上午8:30～12:00，下午14:30～17:30，法定节假日除外。</w:t>
      </w:r>
    </w:p>
    <w:p>
      <w:pPr>
        <w:spacing w:before="34" w:line="201"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十三、咨询电话</w:t>
      </w:r>
    </w:p>
    <w:p>
      <w:pPr>
        <w:pStyle w:val="2"/>
        <w:spacing w:before="34" w:line="249" w:lineRule="auto"/>
        <w:ind w:left="21" w:right="21" w:firstLine="440"/>
        <w:rPr>
          <w:rFonts w:hint="eastAsia" w:ascii="方正仿宋简体" w:hAnsi="方正仿宋简体" w:eastAsia="方正仿宋简体" w:cs="方正仿宋简体"/>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hint="eastAsia" w:ascii="宋体" w:hAnsi="宋体" w:eastAsia="宋体" w:cs="宋体"/>
          <w:color w:val="231F20"/>
          <w:spacing w:val="5"/>
          <w:lang w:eastAsia="zh-CN"/>
        </w:rPr>
        <w:t>（临</w:t>
      </w:r>
      <w:r>
        <w:rPr>
          <w:rFonts w:hint="eastAsia"/>
          <w:color w:val="231F20"/>
          <w:spacing w:val="-34"/>
          <w:lang w:eastAsia="zh-CN"/>
        </w:rPr>
        <w:t xml:space="preserve"> </w:t>
      </w:r>
      <w:r>
        <w:rPr>
          <w:rFonts w:hint="eastAsia" w:ascii="宋体" w:hAnsi="宋体" w:eastAsia="宋体" w:cs="宋体"/>
          <w:color w:val="231F20"/>
          <w:spacing w:val="5"/>
          <w:lang w:eastAsia="zh-CN"/>
        </w:rPr>
        <w:t>港</w:t>
      </w:r>
      <w:r>
        <w:rPr>
          <w:rFonts w:hint="eastAsia"/>
          <w:color w:val="231F20"/>
          <w:spacing w:val="5"/>
          <w:lang w:eastAsia="zh-CN"/>
        </w:rPr>
        <w:t xml:space="preserve"> </w:t>
      </w:r>
      <w:r>
        <w:rPr>
          <w:rFonts w:hint="eastAsia" w:ascii="宋体" w:hAnsi="宋体" w:eastAsia="宋体" w:cs="宋体"/>
          <w:color w:val="231F20"/>
          <w:spacing w:val="5"/>
          <w:lang w:eastAsia="zh-CN"/>
        </w:rPr>
        <w:t>中心</w:t>
      </w:r>
      <w:r>
        <w:rPr>
          <w:rFonts w:hint="eastAsia"/>
          <w:color w:val="231F20"/>
          <w:spacing w:val="-52"/>
          <w:lang w:eastAsia="zh-CN"/>
        </w:rPr>
        <w:t xml:space="preserve"> </w:t>
      </w:r>
      <w:r>
        <w:rPr>
          <w:rFonts w:hint="eastAsia" w:ascii="宋体" w:hAnsi="宋体" w:eastAsia="宋体" w:cs="宋体"/>
          <w:color w:val="231F20"/>
          <w:spacing w:val="5"/>
          <w:lang w:eastAsia="zh-CN"/>
        </w:rPr>
        <w:t>）</w:t>
      </w:r>
      <w:r>
        <w:rPr>
          <w:rFonts w:hint="eastAsia"/>
          <w:color w:val="231F20"/>
          <w:spacing w:val="-51"/>
          <w:lang w:eastAsia="zh-CN"/>
        </w:rPr>
        <w:t xml:space="preserve"> </w:t>
      </w:r>
      <w:r>
        <w:rPr>
          <w:rFonts w:hint="eastAsia" w:ascii="宋体" w:hAnsi="宋体" w:eastAsia="宋体" w:cs="宋体"/>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hint="eastAsia" w:ascii="宋体" w:hAnsi="宋体" w:eastAsia="宋体" w:cs="宋体"/>
          <w:color w:val="231F20"/>
          <w:spacing w:val="-14"/>
          <w:lang w:eastAsia="zh-CN"/>
        </w:rPr>
        <w:t>（</w:t>
      </w:r>
      <w:r>
        <w:rPr>
          <w:rFonts w:hint="eastAsia"/>
          <w:color w:val="231F20"/>
          <w:spacing w:val="-14"/>
          <w:lang w:eastAsia="zh-CN"/>
        </w:rPr>
        <w:t xml:space="preserve"> </w:t>
      </w:r>
      <w:r>
        <w:rPr>
          <w:rFonts w:hint="eastAsia" w:ascii="宋体" w:hAnsi="宋体" w:eastAsia="宋体" w:cs="宋体"/>
          <w:color w:val="231F20"/>
          <w:spacing w:val="-14"/>
          <w:lang w:eastAsia="zh-CN"/>
        </w:rPr>
        <w:t>垦</w:t>
      </w:r>
      <w:r>
        <w:rPr>
          <w:rFonts w:hint="eastAsia"/>
          <w:color w:val="231F20"/>
          <w:spacing w:val="16"/>
          <w:lang w:eastAsia="zh-CN"/>
        </w:rPr>
        <w:t xml:space="preserve"> </w:t>
      </w:r>
      <w:r>
        <w:rPr>
          <w:rFonts w:hint="eastAsia" w:ascii="宋体" w:hAnsi="宋体" w:eastAsia="宋体" w:cs="宋体"/>
          <w:color w:val="231F20"/>
          <w:spacing w:val="-14"/>
          <w:lang w:eastAsia="zh-CN"/>
        </w:rPr>
        <w:t>区</w:t>
      </w:r>
      <w:r>
        <w:rPr>
          <w:rFonts w:hint="eastAsia"/>
          <w:color w:val="231F20"/>
          <w:spacing w:val="17"/>
          <w:lang w:eastAsia="zh-CN"/>
        </w:rPr>
        <w:t xml:space="preserve"> </w:t>
      </w:r>
      <w:r>
        <w:rPr>
          <w:rFonts w:hint="eastAsia" w:ascii="宋体" w:hAnsi="宋体" w:eastAsia="宋体" w:cs="宋体"/>
          <w:color w:val="231F20"/>
          <w:spacing w:val="-14"/>
          <w:lang w:eastAsia="zh-CN"/>
        </w:rPr>
        <w:t>中</w:t>
      </w:r>
      <w:r>
        <w:rPr>
          <w:rFonts w:hint="eastAsia"/>
          <w:color w:val="231F20"/>
          <w:spacing w:val="-15"/>
          <w:lang w:eastAsia="zh-CN"/>
        </w:rPr>
        <w:t xml:space="preserve"> </w:t>
      </w:r>
      <w:r>
        <w:rPr>
          <w:rFonts w:hint="eastAsia" w:ascii="宋体" w:hAnsi="宋体" w:eastAsia="宋体" w:cs="宋体"/>
          <w:color w:val="231F20"/>
          <w:spacing w:val="-15"/>
          <w:lang w:eastAsia="zh-CN"/>
        </w:rPr>
        <w:t>心</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hint="eastAsia" w:ascii="宋体" w:hAnsi="宋体" w:eastAsia="宋体" w:cs="宋体"/>
          <w:color w:val="231F20"/>
          <w:spacing w:val="-1"/>
          <w:lang w:eastAsia="zh-CN"/>
        </w:rPr>
        <w:t>（新城中心）</w:t>
      </w:r>
    </w:p>
    <w:p>
      <w:pPr>
        <w:spacing w:before="36" w:line="196"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十四、监督（投诉）电话</w:t>
      </w:r>
    </w:p>
    <w:p>
      <w:pPr>
        <w:pStyle w:val="2"/>
        <w:spacing w:before="70" w:line="189" w:lineRule="auto"/>
        <w:ind w:left="461"/>
        <w:rPr>
          <w:rFonts w:hint="eastAsia" w:ascii="方正仿宋简体" w:hAnsi="方正仿宋简体" w:eastAsia="方正仿宋简体" w:cs="方正仿宋简体"/>
        </w:rPr>
      </w:pPr>
      <w:r>
        <w:rPr>
          <w:rFonts w:hint="eastAsia"/>
          <w:color w:val="231F20"/>
          <w:spacing w:val="-1"/>
        </w:rPr>
        <w:t>0315-8787068</w:t>
      </w:r>
    </w:p>
    <w:p>
      <w:pPr>
        <w:numPr>
          <w:ilvl w:val="0"/>
          <w:numId w:val="1"/>
        </w:numPr>
        <w:spacing w:before="63" w:line="201" w:lineRule="auto"/>
        <w:ind w:left="463"/>
        <w:textAlignment w:val="auto"/>
        <w:rPr>
          <w:rFonts w:hint="eastAsia" w:ascii="微软雅黑" w:hAnsi="微软雅黑" w:eastAsia="微软雅黑" w:cs="微软雅黑"/>
          <w:color w:val="231F20"/>
          <w:spacing w:val="-2"/>
          <w:sz w:val="22"/>
          <w:szCs w:val="22"/>
        </w:rPr>
      </w:pPr>
      <w:r>
        <w:rPr>
          <w:rFonts w:hint="eastAsia" w:ascii="微软雅黑" w:hAnsi="微软雅黑" w:eastAsia="微软雅黑" w:cs="微软雅黑"/>
          <w:color w:val="231F20"/>
          <w:spacing w:val="-2"/>
          <w:sz w:val="22"/>
          <w:szCs w:val="22"/>
        </w:rPr>
        <w:t>救济途径</w:t>
      </w:r>
    </w:p>
    <w:p>
      <w:pPr>
        <w:spacing w:before="51" w:line="205" w:lineRule="auto"/>
        <w:ind w:left="478"/>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hint="eastAsia" w:ascii="微软雅黑" w:hAnsi="微软雅黑" w:eastAsia="微软雅黑" w:cs="微软雅黑"/>
          <w:color w:val="231F20"/>
          <w:spacing w:val="-3"/>
          <w:lang w:eastAsia="zh-CN"/>
        </w:rPr>
        <w:t>。</w:t>
      </w:r>
    </w:p>
    <w:sectPr>
      <w:type w:val="continuous"/>
      <w:pgSz w:w="10772" w:h="11906"/>
      <w:pgMar w:top="400" w:right="579" w:bottom="400" w:left="596" w:header="0" w:footer="0" w:gutter="0"/>
      <w:cols w:equalWidth="0" w:num="2">
        <w:col w:w="5232" w:space="100"/>
        <w:col w:w="42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B56568"/>
    <w:rsid w:val="001D44B8"/>
    <w:rsid w:val="008A767D"/>
    <w:rsid w:val="00B56568"/>
    <w:rsid w:val="054C67AA"/>
    <w:rsid w:val="19CF6AA4"/>
    <w:rsid w:val="6C177A3E"/>
    <w:rsid w:val="7A1C5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255</Words>
  <Characters>1458</Characters>
  <Lines>12</Lines>
  <Paragraphs>3</Paragraphs>
  <TotalTime>2</TotalTime>
  <ScaleCrop>false</ScaleCrop>
  <LinksUpToDate>false</LinksUpToDate>
  <CharactersWithSpaces>1710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2023-08-08T08:51:11Z</dcterms:modified>
  <dc:title>501.道路运输从业人员资格证核发服务指南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2023-08-01T16:30:44Z</vt:filetime>
  </property>
  <property fmtid="{D5CDD505-2E9C-101B-9397-08002B2CF9AE}" pid="4" name="KSOProductBuildVer">
    <vt:lpwstr>2052-12.1.0.15120</vt:lpwstr>
  </property>
  <property fmtid="{D5CDD505-2E9C-101B-9397-08002B2CF9AE}" pid="5" name="ICV">
    <vt:lpwstr>D8A151DB3FC649F4BF5847B337E52D0A_13</vt:lpwstr>
  </property>
</Properties>
</file>