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2089785</wp:posOffset>
            </wp:positionH>
            <wp:positionV relativeFrom="paragraph">
              <wp:posOffset>-323215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75" w:lineRule="auto"/>
        <w:ind w:firstLine="5040" w:firstLineChars="210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拆除环境卫生设施许可</w:t>
      </w:r>
    </w:p>
    <w:p>
      <w:pPr>
        <w:spacing w:before="103" w:line="175" w:lineRule="auto"/>
        <w:ind w:firstLine="5760" w:firstLineChars="2400"/>
        <w:jc w:val="both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服务指南</w:t>
      </w:r>
    </w:p>
    <w:p>
      <w:pPr>
        <w:spacing w:before="232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46" w:line="289" w:lineRule="exact"/>
        <w:ind w:left="4805"/>
        <w:rPr>
          <w:rFonts w:hint="eastAsia" w:ascii="方正仿宋简体" w:hAnsi="方正仿宋简体" w:eastAsia="方正仿宋简体" w:cs="方正仿宋简体"/>
          <w:color w:val="231F20"/>
          <w:spacing w:val="-2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拆除环境卫生设施许可</w:t>
      </w:r>
    </w:p>
    <w:p>
      <w:pPr>
        <w:spacing w:before="46" w:line="289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66" w:right="572" w:firstLine="40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中华人民共和国固体废物污染环境防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9"/>
          <w:sz w:val="22"/>
          <w:szCs w:val="22"/>
        </w:rPr>
        <w:t>治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法》(2015-04-24主席令第五十八号)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第四十四条；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《城市市容和环境卫生管理条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0"/>
          <w:sz w:val="22"/>
          <w:szCs w:val="22"/>
        </w:rPr>
        <w:t>例</w:t>
      </w:r>
      <w:r>
        <w:rPr>
          <w:rFonts w:ascii="方正仿宋简体" w:hAnsi="方正仿宋简体" w:eastAsia="方正仿宋简体" w:cs="方正仿宋简体"/>
          <w:color w:val="231F20"/>
          <w:spacing w:val="17"/>
          <w:sz w:val="22"/>
          <w:szCs w:val="22"/>
        </w:rPr>
        <w:t>》(2011-01-01国务院令第101号)第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7"/>
          <w:sz w:val="22"/>
          <w:szCs w:val="22"/>
        </w:rPr>
        <w:t>二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十二条。</w:t>
      </w:r>
    </w:p>
    <w:p>
      <w:pPr>
        <w:spacing w:line="292" w:lineRule="exact"/>
        <w:ind w:left="48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2" w:line="267" w:lineRule="auto"/>
        <w:ind w:left="4375" w:right="581" w:firstLine="478"/>
        <w:rPr>
          <w:rFonts w:hint="eastAsia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企业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法人、事业法人、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行政机关</w:t>
      </w:r>
    </w:p>
    <w:p>
      <w:pPr>
        <w:spacing w:line="291" w:lineRule="exact"/>
        <w:ind w:left="4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76" w:right="581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8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4" w:line="268" w:lineRule="auto"/>
        <w:ind w:left="4395" w:right="579" w:firstLine="42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、拟关闭、闲置或者拆除设施的现状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图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及拆除方案；</w:t>
      </w:r>
    </w:p>
    <w:p>
      <w:pPr>
        <w:spacing w:before="2" w:line="228" w:lineRule="auto"/>
        <w:ind w:left="480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2、防止环境污染的方案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；</w:t>
      </w:r>
    </w:p>
    <w:p>
      <w:pPr>
        <w:spacing w:before="53" w:line="229" w:lineRule="auto"/>
        <w:ind w:left="480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3、权属关系证明材料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；</w:t>
      </w:r>
    </w:p>
    <w:p>
      <w:pPr>
        <w:spacing w:before="53" w:line="229" w:lineRule="auto"/>
        <w:ind w:left="480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4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、行政许可申请书；</w:t>
      </w:r>
    </w:p>
    <w:p>
      <w:pPr>
        <w:spacing w:before="54" w:line="268" w:lineRule="auto"/>
        <w:ind w:left="4385" w:right="579" w:firstLine="42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、丧失使用功能或其使用功能可替代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的证明；</w:t>
      </w:r>
    </w:p>
    <w:p>
      <w:pPr>
        <w:spacing w:before="1" w:line="228" w:lineRule="auto"/>
        <w:ind w:left="480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6、拟新建设施设计图；</w:t>
      </w:r>
    </w:p>
    <w:p>
      <w:pPr>
        <w:spacing w:before="53" w:line="232" w:lineRule="auto"/>
        <w:ind w:left="480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7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、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因实施城市规划需要闲置、关闭或</w:t>
      </w:r>
    </w:p>
    <w:p>
      <w:pPr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108.15pt;margin-top:143.65pt;height:5.05pt;width:4.4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67.4pt;margin-top:145.85pt;height:0.6pt;width:5.3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1.8pt;margin-top:145.85pt;height:0.6pt;width:5.7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7.45pt;margin-top:146.15pt;height:36.15pt;width:0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6.95pt;margin-top:146.15pt;height:35.45pt;width:0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70.85pt;margin-top:159.7pt;height:21.7pt;width:0.65pt;mso-position-horizontal-relative:page;mso-position-vertical-relative:page;z-index:2516664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90.9pt;margin-top:201pt;height:0.6pt;width:8.4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223.6pt;margin-top:198.8pt;height:5.05pt;width:4.4pt;mso-position-horizontal-relative:page;mso-position-vertical-relative:page;z-index:2516654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4" o:spid="_x0000_s1034" style="position:absolute;left:0pt;margin-left:215.55pt;margin-top:186.05pt;height:30.4pt;width:0.65pt;mso-position-horizontal-relative:page;mso-position-vertical-relative:page;z-index:251663360;mso-width-relative:page;mso-height-relative:page;" filled="f" stroked="t" coordsize="12,607" o:allowincell="f" path="m6,0l6,607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215.85pt;margin-top:201pt;height:0.6pt;width:8.55pt;mso-position-horizontal-relative:page;mso-position-vertical-relative:page;z-index:251664384;mso-width-relative:page;mso-height-relative:page;" filled="f" stroked="t" coordsize="171,12" o:allowincell="f" path="m170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71.65pt;margin-top:132.75pt;height:24.65pt;width:37.8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0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706" w:type="dxa"/>
                        <w:vAlign w:val="top"/>
                      </w:tcPr>
                      <w:p>
                        <w:pPr>
                          <w:spacing w:before="37" w:line="224" w:lineRule="auto"/>
                          <w:ind w:left="40" w:right="24" w:firstLine="78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修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改后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再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次报送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53.05pt;margin-top:132.75pt;height:28.7pt;width:38.1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11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11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711" w:type="dxa"/>
                        <w:vAlign w:val="top"/>
                      </w:tcPr>
                      <w:p>
                        <w:pPr>
                          <w:spacing w:before="38" w:line="224" w:lineRule="auto"/>
                          <w:ind w:left="139" w:right="110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80"/>
                          </w:tabs>
                          <w:spacing w:before="9" w:line="77" w:lineRule="exact"/>
                          <w:ind w:left="281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5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8" o:spid="_x0000_s1038" o:spt="203" style="position:absolute;left:0pt;margin-left:150.5pt;margin-top:181.05pt;height:40.55pt;width:40.75pt;mso-position-horizontal-relative:page;mso-position-vertical-relative:page;z-index:251661312;mso-width-relative:page;mso-height-relative:page;" coordsize="815,810" o:allowincell="f">
            <o:lock v:ext="edit"/>
            <v:shape id="_x0000_s1039" o:spid="_x0000_s1039" style="position:absolute;left:0;top:0;height:810;width:815;" filled="f" stroked="t" coordsize="815,810" path="m415,5l5,405,415,804,808,405,415,5xe">
              <v:fill on="f" focussize="0,0"/>
              <v:stroke weight="0.6pt" color="#231F20" miterlimit="10" joinstyle="miter"/>
              <v:imagedata o:title=""/>
              <o:lock v:ext="edit"/>
            </v:shape>
            <v:shape id="_x0000_s1040" o:spid="_x0000_s1040" o:spt="202" type="#_x0000_t202" style="position:absolute;left:-20;top:-20;height:881;width:85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71" w:line="208" w:lineRule="auto"/>
                      <w:ind w:left="2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4"/>
                        <w:sz w:val="16"/>
                        <w:szCs w:val="16"/>
                      </w:rPr>
                      <w:t>审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批</w:t>
                    </w:r>
                  </w:p>
                  <w:p>
                    <w:pPr>
                      <w:spacing w:line="207" w:lineRule="auto"/>
                      <w:ind w:left="23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2个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工</w:t>
                    </w:r>
                  </w:p>
                  <w:p>
                    <w:pPr>
                      <w:spacing w:line="219" w:lineRule="auto"/>
                      <w:ind w:left="27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日</w:t>
                    </w:r>
                  </w:p>
                </w:txbxContent>
              </v:textbox>
            </v:shape>
          </v:group>
        </w:pict>
      </w:r>
      <w:r>
        <w:pict>
          <v:group id="_x0000_s1041" o:spid="_x0000_s1041" o:spt="203" style="position:absolute;left:0pt;margin-left:28.4pt;margin-top:181.6pt;height:35.55pt;width:53.25pt;mso-position-horizontal-relative:page;mso-position-vertical-relative:page;z-index:251674624;mso-width-relative:page;mso-height-relative:page;" coordsize="1065,710" o:allowincell="f">
            <o:lock v:ext="edit"/>
            <v:shape id="_x0000_s1042" o:spid="_x0000_s1042" o:spt="75" type="#_x0000_t75" style="position:absolute;left:0;top:0;height:710;width:106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43" o:spid="_x0000_s1043" o:spt="202" type="#_x0000_t202" style="position:absolute;left:532;top:121;height:589;width: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18" w:lineRule="auto"/>
                      <w:ind w:left="20" w:right="20" w:firstLine="2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1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9"/>
                        <w:sz w:val="16"/>
                        <w:szCs w:val="16"/>
                      </w:rPr>
                      <w:t>请人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提交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请材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料</w:t>
                    </w:r>
                  </w:p>
                </w:txbxContent>
              </v:textbox>
            </v:shape>
            <v:shape id="_x0000_s1044" o:spid="_x0000_s1044" o:spt="202" type="#_x0000_t202" style="position:absolute;left:2;top:155;height:460;width:2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20" w:line="208" w:lineRule="auto"/>
                      <w:ind w:left="2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开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始</w:t>
                    </w:r>
                  </w:p>
                </w:txbxContent>
              </v:textbox>
            </v:shape>
          </v:group>
        </w:pict>
      </w:r>
      <w:r>
        <w:pict>
          <v:group id="_x0000_s1045" o:spid="_x0000_s1045" o:spt="203" style="position:absolute;left:0pt;margin-left:198.55pt;margin-top:185.75pt;height:31pt;width:17.3pt;mso-position-horizontal-relative:page;mso-position-vertical-relative:page;z-index:251669504;mso-width-relative:page;mso-height-relative:page;" coordsize="345,620" o:allowincell="f">
            <o:lock v:ext="edit"/>
            <v:shape id="_x0000_s1046" o:spid="_x0000_s1046" o:spt="75" type="#_x0000_t75" style="position:absolute;left:0;top:0;height:620;width:345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7" o:spid="_x0000_s1047" o:spt="202" type="#_x0000_t202" style="position:absolute;left:-51;top:-20;height:660;width:41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63" w:line="204" w:lineRule="auto"/>
                      <w:ind w:left="112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结</w:t>
                    </w:r>
                  </w:p>
                </w:txbxContent>
              </v:textbox>
            </v:shape>
          </v:group>
        </w:pict>
      </w:r>
      <w:r>
        <w:pict>
          <v:shape id="_x0000_s1048" o:spid="_x0000_s1048" o:spt="202" type="#_x0000_t202" style="position:absolute;left:0pt;margin-left:80.35pt;margin-top:187.1pt;height:29.55pt;width:71.4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理</w:t>
                  </w:r>
                </w:p>
                <w:p>
                  <w:pPr>
                    <w:tabs>
                      <w:tab w:val="left" w:pos="173"/>
                    </w:tabs>
                    <w:spacing w:line="207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73" cy="638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2"/>
                      <w:sz w:val="16"/>
                      <w:szCs w:val="16"/>
                    </w:rPr>
                    <w:t xml:space="preserve">审核1个工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85" cy="638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19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作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日</w:t>
                  </w:r>
                </w:p>
              </w:txbxContent>
            </v:textbox>
          </v:shape>
        </w:pict>
      </w:r>
      <w:r>
        <w:pict>
          <v:shape id="_x0000_s1049" o:spid="_x0000_s1049" style="position:absolute;left:0pt;margin-left:93.45pt;margin-top:181.05pt;height:40.55pt;width:46.5pt;mso-position-horizontal-relative:page;mso-position-vertical-relative:page;z-index:251660288;mso-width-relative:page;mso-height-relative:page;" filled="f" stroked="t" coordsize="930,810" o:allowincell="f" path="m474,5l5,405,474,804,923,405,474,5x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0" w:lineRule="exact"/>
      </w:pPr>
    </w:p>
    <w:p>
      <w:pPr>
        <w:sectPr>
          <w:headerReference r:id="rId6" w:type="default"/>
          <w:pgSz w:w="10772" w:h="11906"/>
          <w:pgMar w:top="400" w:right="566" w:bottom="0" w:left="568" w:header="0" w:footer="0" w:gutter="0"/>
          <w:cols w:equalWidth="0" w:num="1">
            <w:col w:w="9638"/>
          </w:cols>
        </w:sectPr>
      </w:pPr>
    </w:p>
    <w:p>
      <w:pPr>
        <w:spacing w:before="58" w:line="360" w:lineRule="exact"/>
        <w:ind w:left="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position w:val="9"/>
          <w:sz w:val="22"/>
          <w:szCs w:val="22"/>
        </w:rPr>
        <w:t>者拆除的，还</w:t>
      </w:r>
      <w:r>
        <w:rPr>
          <w:rFonts w:ascii="方正仿宋简体" w:hAnsi="方正仿宋简体" w:eastAsia="方正仿宋简体" w:cs="方正仿宋简体"/>
          <w:color w:val="231F20"/>
          <w:spacing w:val="1"/>
          <w:position w:val="9"/>
          <w:sz w:val="22"/>
          <w:szCs w:val="22"/>
        </w:rPr>
        <w:t>应当提供规划、建设主管部门</w:t>
      </w:r>
    </w:p>
    <w:p>
      <w:pPr>
        <w:spacing w:before="1" w:line="230" w:lineRule="auto"/>
        <w:ind w:left="4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的批准文件。</w:t>
      </w:r>
    </w:p>
    <w:p>
      <w:pPr>
        <w:spacing w:before="47" w:line="289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/>
    <w:p/>
    <w:p/>
    <w:p/>
    <w:p/>
    <w:p>
      <w:pPr>
        <w:spacing w:line="51" w:lineRule="exact"/>
      </w:pPr>
    </w:p>
    <w:tbl>
      <w:tblPr>
        <w:tblStyle w:val="4"/>
        <w:tblW w:w="254" w:type="dxa"/>
        <w:tblInd w:w="399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54" w:type="dxa"/>
            <w:textDirection w:val="tbRlV"/>
            <w:vAlign w:val="top"/>
          </w:tcPr>
          <w:p>
            <w:pPr>
              <w:spacing w:before="44" w:line="207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7"/>
                <w:sz w:val="16"/>
                <w:szCs w:val="16"/>
              </w:rPr>
              <w:t>结</w:t>
            </w:r>
            <w:r>
              <w:rPr>
                <w:rFonts w:ascii="宋体" w:hAnsi="宋体" w:eastAsia="宋体" w:cs="宋体"/>
                <w:color w:val="231F20"/>
                <w:spacing w:val="6"/>
                <w:sz w:val="16"/>
                <w:szCs w:val="16"/>
              </w:rPr>
              <w:t xml:space="preserve"> 束</w:t>
            </w: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before="72" w:line="291" w:lineRule="exact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233" w:lineRule="auto"/>
        <w:ind w:left="4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7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5" w:line="290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3" w:line="233" w:lineRule="auto"/>
        <w:ind w:left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3" w:line="219" w:lineRule="auto"/>
        <w:ind w:left="471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54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10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10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</w:t>
      </w: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90" w:lineRule="exact"/>
        <w:ind w:left="468"/>
        <w:rPr>
          <w:rFonts w:hint="eastAsia" w:ascii="宋体" w:hAnsi="宋体" w:eastAsia="宋体" w:cs="宋体"/>
          <w:color w:val="231F20"/>
          <w:spacing w:val="-2"/>
          <w:position w:val="11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73" w:line="278" w:lineRule="auto"/>
        <w:ind w:firstLine="473"/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  <w:lang w:val="en-US" w:eastAsia="zh-CN"/>
        </w:rPr>
        <w:t xml:space="preserve">          </w:t>
      </w: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</w:rPr>
        <w:t>夏季（6月1日至8月31日）上午8:30-12:00，下午14:30-17:30. 法定节假日除外。</w:t>
      </w:r>
    </w:p>
    <w:p>
      <w:pPr>
        <w:spacing w:before="48" w:line="393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1"/>
          <w:sz w:val="22"/>
          <w:szCs w:val="22"/>
        </w:rPr>
        <w:t>话</w:t>
      </w:r>
    </w:p>
    <w:p>
      <w:pPr>
        <w:spacing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0315-88201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11</w:t>
      </w:r>
    </w:p>
    <w:p>
      <w:pPr>
        <w:spacing w:before="72" w:line="392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1"/>
          <w:sz w:val="22"/>
          <w:szCs w:val="22"/>
        </w:rPr>
        <w:t>四、监督(投诉)电话</w:t>
      </w:r>
    </w:p>
    <w:p>
      <w:pPr>
        <w:spacing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3" w:line="278" w:lineRule="auto"/>
        <w:ind w:firstLine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决定书之日起六十日内向唐山市曹妃甸区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人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民政府申请复议，也可以于六个月内依法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向唐山市曹妃甸区人民法院提起行政诉讼。</w:t>
      </w:r>
    </w:p>
    <w:sectPr>
      <w:type w:val="continuous"/>
      <w:pgSz w:w="10772" w:h="11906"/>
      <w:pgMar w:top="400" w:right="566" w:bottom="0" w:left="568" w:header="0" w:footer="0" w:gutter="0"/>
      <w:cols w:equalWidth="0" w:num="2">
        <w:col w:w="5297" w:space="100"/>
        <w:col w:w="42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BBB721F-AA78-46CB-83B9-699FFB40F91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390235D"/>
    <w:rsid w:val="485F138F"/>
    <w:rsid w:val="56D40DD1"/>
    <w:rsid w:val="5B6D53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5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684</Words>
  <Characters>847</Characters>
  <TotalTime>1</TotalTime>
  <ScaleCrop>false</ScaleCrop>
  <LinksUpToDate>false</LinksUpToDate>
  <CharactersWithSpaces>871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2022-10-21T10:43:00Z</dcterms:created>
  <dc:creator>HR</dc:creator>
  <cp:lastModifiedBy>寒夜霜风</cp:lastModifiedBy>
  <dcterms:modified xsi:type="dcterms:W3CDTF">2023-08-07T03:19:34Z</dcterms:modified>
  <dc:title>65.关闭、闲置、拆除城市环卫设施服务指南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2023-07-01T12:15:19Z</vt:filetime>
  </property>
  <property fmtid="{D5CDD505-2E9C-101B-9397-08002B2CF9AE}" pid="4" name="KSOProductBuildVer">
    <vt:lpwstr>2052-11.1.0.14309</vt:lpwstr>
  </property>
  <property fmtid="{D5CDD505-2E9C-101B-9397-08002B2CF9AE}" pid="5" name="ICV">
    <vt:lpwstr>BB8E279438804AEA859FC03F949F813F_12</vt:lpwstr>
  </property>
</Properties>
</file>