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91" w:lineRule="auto"/>
        <w:ind w:left="5988" w:right="1233" w:hanging="959"/>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z w:val="24"/>
          <w:szCs w:val="24"/>
        </w:rPr>
        <w:t>人力资源服务许可（延续）</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24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787"/>
      </w:pPr>
      <w:r>
        <w:rPr>
          <w:color w:val="231F20"/>
          <w:spacing w:val="-1"/>
        </w:rPr>
        <w:t>人力资源服务许可（延续）</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1" w:line="249" w:lineRule="auto"/>
        <w:ind w:left="4354" w:right="584" w:firstLine="408"/>
      </w:pPr>
      <w:r>
        <w:rPr>
          <w:color w:val="231F20"/>
          <w:spacing w:val="3"/>
        </w:rPr>
        <w:t>（一）《中华人民共和国就业促进法》</w:t>
      </w:r>
      <w:r>
        <w:rPr>
          <w:color w:val="231F20"/>
          <w:spacing w:val="13"/>
        </w:rPr>
        <w:t xml:space="preserve"> </w:t>
      </w:r>
      <w:r>
        <w:rPr>
          <w:color w:val="231F20"/>
          <w:spacing w:val="-10"/>
        </w:rPr>
        <w:t>第四十条；</w:t>
      </w:r>
    </w:p>
    <w:p>
      <w:pPr>
        <w:pStyle w:val="2"/>
        <w:spacing w:before="53" w:line="249" w:lineRule="auto"/>
        <w:ind w:left="4349" w:right="632" w:firstLine="414"/>
      </w:pPr>
      <w:r>
        <w:rPr>
          <w:color w:val="231F20"/>
          <w:spacing w:val="1"/>
        </w:rPr>
        <w:t>（二）《人力资源市场暂行条例》（国</w:t>
      </w:r>
      <w:r>
        <w:rPr>
          <w:color w:val="231F20"/>
        </w:rPr>
        <w:t xml:space="preserve"> </w:t>
      </w:r>
      <w:r>
        <w:rPr>
          <w:color w:val="231F20"/>
          <w:spacing w:val="-4"/>
        </w:rPr>
        <w:t>务院令第700号）第十八条；</w:t>
      </w:r>
    </w:p>
    <w:p>
      <w:pPr>
        <w:pStyle w:val="2"/>
        <w:spacing w:before="53" w:line="250" w:lineRule="auto"/>
        <w:ind w:left="4323" w:right="582" w:firstLine="440"/>
      </w:pPr>
      <w:r>
        <w:rPr>
          <w:color w:val="231F20"/>
          <w:spacing w:val="10"/>
        </w:rPr>
        <w:t>（三）《</w:t>
      </w:r>
      <w:r>
        <w:rPr>
          <w:color w:val="231F20"/>
          <w:spacing w:val="-27"/>
        </w:rPr>
        <w:t xml:space="preserve"> </w:t>
      </w:r>
      <w:r>
        <w:rPr>
          <w:color w:val="231F20"/>
          <w:spacing w:val="10"/>
        </w:rPr>
        <w:t>就业服务与就业管理规定</w:t>
      </w:r>
      <w:r>
        <w:rPr>
          <w:color w:val="231F20"/>
          <w:spacing w:val="-43"/>
        </w:rPr>
        <w:t xml:space="preserve"> </w:t>
      </w:r>
      <w:r>
        <w:rPr>
          <w:color w:val="231F20"/>
          <w:spacing w:val="10"/>
        </w:rPr>
        <w:t>》</w:t>
      </w:r>
      <w:r>
        <w:rPr>
          <w:color w:val="231F20"/>
        </w:rPr>
        <w:t xml:space="preserve"> </w:t>
      </w:r>
      <w:r>
        <w:rPr>
          <w:color w:val="231F20"/>
          <w:spacing w:val="-1"/>
        </w:rPr>
        <w:t>（劳动保障部令第28号）第四十七条。</w:t>
      </w:r>
    </w:p>
    <w:p>
      <w:pPr>
        <w:spacing w:before="46"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6"/>
        </w:rPr>
        <w:t>提交材料齐全，符合法定程序，</w:t>
      </w:r>
      <w:r>
        <w:rPr>
          <w:color w:val="231F20"/>
          <w:spacing w:val="30"/>
        </w:rPr>
        <w:t xml:space="preserve"> </w:t>
      </w:r>
      <w:r>
        <w:rPr>
          <w:color w:val="231F20"/>
          <w:spacing w:val="-6"/>
        </w:rPr>
        <w:t>内容真</w:t>
      </w:r>
      <w:r>
        <w:rPr>
          <w:color w:val="231F20"/>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33" w:lineRule="auto"/>
        <w:ind w:left="4802"/>
      </w:pPr>
      <w:r>
        <w:rPr>
          <w:color w:val="231F20"/>
          <w:spacing w:val="-5"/>
        </w:rPr>
        <w:t>1.申请报告</w:t>
      </w:r>
    </w:p>
    <w:p>
      <w:pPr>
        <w:pStyle w:val="2"/>
        <w:spacing w:before="48" w:line="232" w:lineRule="auto"/>
        <w:ind w:left="4786"/>
      </w:pPr>
      <w:r>
        <w:rPr>
          <w:color w:val="231F20"/>
          <w:spacing w:val="-1"/>
        </w:rPr>
        <w:t>2.工商营业执照（副本）</w:t>
      </w:r>
    </w:p>
    <w:p>
      <w:pPr>
        <w:pStyle w:val="2"/>
        <w:spacing w:before="50" w:line="249" w:lineRule="auto"/>
        <w:ind w:left="4350" w:right="614" w:firstLine="434"/>
      </w:pPr>
      <w:r>
        <w:rPr>
          <w:color w:val="231F20"/>
          <w:spacing w:val="3"/>
        </w:rPr>
        <w:t xml:space="preserve">3.《唐山市人力资源服务机构职业中介 </w:t>
      </w:r>
      <w:r>
        <w:rPr>
          <w:color w:val="231F20"/>
        </w:rPr>
        <w:t>事项变更申请表》</w:t>
      </w:r>
    </w:p>
    <w:p>
      <w:pPr>
        <w:pStyle w:val="2"/>
        <w:spacing w:before="52" w:line="232" w:lineRule="auto"/>
        <w:ind w:left="4785"/>
      </w:pPr>
      <w:r>
        <w:rPr>
          <w:color w:val="231F20"/>
          <w:spacing w:val="-1"/>
        </w:rPr>
        <w:t>4.人力资源服务许可证正本、副本</w:t>
      </w:r>
    </w:p>
    <w:p>
      <w:pPr>
        <w:pStyle w:val="2"/>
        <w:spacing w:before="48" w:line="233" w:lineRule="auto"/>
        <w:ind w:left="4788"/>
      </w:pPr>
      <w:r>
        <w:rPr>
          <w:color w:val="231F20"/>
          <w:spacing w:val="-2"/>
        </w:rPr>
        <w:t>5.</w:t>
      </w:r>
      <w:r>
        <w:rPr>
          <w:color w:val="231F20"/>
          <w:spacing w:val="18"/>
        </w:rPr>
        <w:t xml:space="preserve">  </w:t>
      </w:r>
      <w:r>
        <w:rPr>
          <w:color w:val="231F20"/>
          <w:spacing w:val="-2"/>
        </w:rPr>
        <w:t>授权委托书及身份证复印件</w:t>
      </w:r>
    </w:p>
    <w:p>
      <w:pPr>
        <w:spacing w:before="45"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84"/>
      </w:pPr>
      <w:r>
        <w:rPr>
          <w:color w:val="231F20"/>
          <w:spacing w:val="-1"/>
        </w:rPr>
        <w:t>唐山市曹妃甸区行政审批局</w:t>
      </w:r>
    </w:p>
    <w:p>
      <w:pPr>
        <w:spacing w:before="4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4"/>
      </w:pPr>
      <w:r>
        <w:pict>
          <v:rect id="_x0000_s1026" o:spid="_x0000_s1026" o:spt="1" style="position:absolute;left:0pt;margin-left:190.8pt;margin-top:104.8pt;height:0.6pt;width:8.4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45pt;margin-top:102.6pt;height:5.05pt;width:4.4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7.3pt;margin-top:49.65pt;height:0.6pt;width:5.35pt;mso-position-horizontal-relative:page;mso-position-vertical-relative:page;z-index:251672576;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85pt;margin-top:49.95pt;height:35.45pt;width:0.65pt;mso-position-horizontal-relative:page;mso-position-vertical-relative:page;z-index:251671552;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71.55pt;margin-top:36.55pt;height:24.65pt;width:37.8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06"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826770</wp:posOffset>
            </wp:positionH>
            <wp:positionV relativeFrom="page">
              <wp:posOffset>634365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70528" behindDoc="0" locked="0" layoutInCell="0" allowOverlap="1">
            <wp:simplePos x="0" y="0"/>
            <wp:positionH relativeFrom="page">
              <wp:posOffset>1372235</wp:posOffset>
            </wp:positionH>
            <wp:positionV relativeFrom="page">
              <wp:posOffset>601980</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2"/>
                    </a:xfrm>
                    <a:prstGeom prst="rect">
                      <a:avLst/>
                    </a:prstGeom>
                  </pic:spPr>
                </pic:pic>
              </a:graphicData>
            </a:graphic>
          </wp:anchor>
        </w:drawing>
      </w:r>
      <w:r>
        <w:pict>
          <v:shape id="_x0000_s1031" o:spid="_x0000_s1031" o:spt="202" type="#_x0000_t202" style="position:absolute;left:0pt;margin-left:51.85pt;margin-top:88.3pt;height:33.6pt;width:30.7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7.3pt;margin-top:88.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5pt;margin-top:88.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75pt;margin-top:88.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7pt;margin-top:95.85pt;height:20.55pt;width:1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509270</wp:posOffset>
            </wp:positionH>
            <wp:positionV relativeFrom="page">
              <wp:posOffset>1294130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1031875</wp:posOffset>
            </wp:positionH>
            <wp:positionV relativeFrom="page">
              <wp:posOffset>1303020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2740025</wp:posOffset>
            </wp:positionH>
            <wp:positionV relativeFrom="page">
              <wp:posOffset>1303020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9" w:bottom="0" w:left="566" w:header="0" w:footer="0" w:gutter="0"/>
          <w:cols w:equalWidth="0" w:num="1">
            <w:col w:w="9626"/>
          </w:cols>
        </w:sectPr>
      </w:pPr>
    </w:p>
    <w:p>
      <w:pPr>
        <w:spacing w:line="25" w:lineRule="exact"/>
      </w:pPr>
    </w:p>
    <w:tbl>
      <w:tblPr>
        <w:tblStyle w:val="5"/>
        <w:tblW w:w="711" w:type="dxa"/>
        <w:tblInd w:w="251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spacing w:line="499"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2"/>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2;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2;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0"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83"/>
      </w:pPr>
      <w:r>
        <w:rPr>
          <w:color w:val="231F20"/>
          <w:spacing w:val="-2"/>
        </w:rPr>
        <w:t>法定时限：20个工作日</w:t>
      </w:r>
    </w:p>
    <w:p>
      <w:pPr>
        <w:pStyle w:val="2"/>
        <w:spacing w:before="44" w:line="232" w:lineRule="auto"/>
        <w:ind w:left="475"/>
      </w:pPr>
      <w:r>
        <w:rPr>
          <w:color w:val="231F20"/>
          <w:spacing w:val="-2"/>
        </w:rPr>
        <w:t>承诺时限：3个工作日</w:t>
      </w:r>
    </w:p>
    <w:p>
      <w:pPr>
        <w:pStyle w:val="2"/>
        <w:spacing w:before="44" w:line="356" w:lineRule="exact"/>
        <w:ind w:left="483"/>
      </w:pPr>
      <w:r>
        <w:rPr>
          <w:color w:val="231F20"/>
          <w:position w:val="8"/>
        </w:rPr>
        <w:t>实行告知承诺制的，符合申请条件当场</w:t>
      </w:r>
    </w:p>
    <w:p>
      <w:pPr>
        <w:pStyle w:val="2"/>
        <w:spacing w:before="1" w:line="232" w:lineRule="auto"/>
        <w:ind w:left="33"/>
      </w:pPr>
      <w:r>
        <w:rPr>
          <w:color w:val="231F20"/>
          <w:spacing w:val="-1"/>
        </w:rPr>
        <w:t>作出行政审批决定（只有告知承诺事项写）</w:t>
      </w:r>
    </w:p>
    <w:p>
      <w:pPr>
        <w:spacing w:before="42"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79"/>
      </w:pPr>
      <w:r>
        <w:rPr>
          <w:color w:val="231F20"/>
          <w:spacing w:val="-5"/>
        </w:rPr>
        <w:t>不收费</w:t>
      </w:r>
    </w:p>
    <w:p>
      <w:pPr>
        <w:spacing w:before="38" w:line="205" w:lineRule="auto"/>
        <w:ind w:left="47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8" w:line="219" w:lineRule="auto"/>
        <w:ind w:left="477"/>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19" w:lineRule="auto"/>
        <w:ind w:left="466"/>
        <w:rPr>
          <w:rFonts w:hint="eastAsia" w:ascii="宋体" w:hAnsi="宋体" w:eastAsia="宋体" w:cs="宋体"/>
        </w:rPr>
      </w:pPr>
      <w:r>
        <w:rPr>
          <w:rFonts w:hint="eastAsia" w:ascii="宋体" w:hAnsi="宋体" w:eastAsia="宋体" w:cs="宋体"/>
        </w:rPr>
        <w:t>1. 中国（河北）自由贸易试验区曹妃甸片区政务服务中心、唐山市曹妃甸区临港政务服务中心综合受理窗口B01-B06（曹妃甸工业区兴业道 1 号二层）。</w:t>
      </w:r>
    </w:p>
    <w:p>
      <w:pPr>
        <w:pStyle w:val="2"/>
        <w:spacing w:before="41" w:line="219" w:lineRule="auto"/>
        <w:ind w:left="466"/>
        <w:rPr>
          <w:rFonts w:hint="eastAsia" w:ascii="宋体" w:hAnsi="宋体" w:eastAsia="宋体" w:cs="宋体"/>
        </w:rPr>
      </w:pPr>
      <w:r>
        <w:rPr>
          <w:rFonts w:hint="eastAsia" w:ascii="宋体" w:hAnsi="宋体" w:eastAsia="宋体" w:cs="宋体"/>
        </w:rPr>
        <w:t>2. 唐山市曹妃甸区垦区政务服务中心综合受理窗口W1-W6（曹妃甸区唐海镇新城大街 259 号二层）。</w:t>
      </w:r>
    </w:p>
    <w:p>
      <w:pPr>
        <w:pStyle w:val="2"/>
        <w:spacing w:before="41" w:line="219" w:lineRule="auto"/>
        <w:ind w:left="466"/>
        <w:rPr>
          <w:rFonts w:hint="eastAsia" w:ascii="宋体" w:hAnsi="宋体" w:eastAsia="宋体" w:cs="宋体"/>
        </w:rPr>
      </w:pPr>
      <w:r>
        <w:rPr>
          <w:rFonts w:hint="eastAsia" w:ascii="宋体" w:hAnsi="宋体" w:eastAsia="宋体" w:cs="宋体"/>
        </w:rPr>
        <w:t>3. 唐山市曹妃甸区曹妃甸新城政务服务中心综合受理窗口B02-B05（曹妃甸区新城通海路）。</w:t>
      </w:r>
    </w:p>
    <w:p>
      <w:pPr>
        <w:pStyle w:val="2"/>
        <w:spacing w:before="41" w:line="219" w:lineRule="auto"/>
        <w:ind w:left="466"/>
        <w:rPr>
          <w:rFonts w:hint="eastAsia" w:ascii="宋体" w:hAnsi="宋体" w:eastAsia="宋体" w:cs="宋体"/>
        </w:rPr>
      </w:pPr>
      <w:r>
        <w:rPr>
          <w:rFonts w:hint="eastAsia" w:ascii="宋体" w:hAnsi="宋体" w:eastAsia="宋体" w:cs="宋体"/>
        </w:rPr>
        <w:t>交通指引：</w:t>
      </w:r>
    </w:p>
    <w:p>
      <w:pPr>
        <w:pStyle w:val="2"/>
        <w:spacing w:before="41" w:line="219" w:lineRule="auto"/>
        <w:ind w:left="466"/>
        <w:rPr>
          <w:rFonts w:hint="eastAsia" w:ascii="宋体" w:hAnsi="宋体" w:eastAsia="宋体" w:cs="宋体"/>
        </w:rPr>
      </w:pPr>
      <w:r>
        <w:rPr>
          <w:rFonts w:hint="eastAsia" w:ascii="宋体" w:hAnsi="宋体" w:eastAsia="宋体" w:cs="宋体"/>
        </w:rPr>
        <w:t>1.临港中心：乘坐公交K1支线/K1专线，四大联检下车（曹妃甸工业区兴业道1号）；</w:t>
      </w:r>
    </w:p>
    <w:p>
      <w:pPr>
        <w:pStyle w:val="2"/>
        <w:spacing w:before="41" w:line="219" w:lineRule="auto"/>
        <w:ind w:left="466"/>
        <w:rPr>
          <w:rFonts w:hint="eastAsia" w:ascii="宋体" w:hAnsi="宋体" w:eastAsia="宋体" w:cs="宋体"/>
        </w:rPr>
      </w:pPr>
      <w:r>
        <w:rPr>
          <w:rFonts w:hint="eastAsia" w:ascii="宋体" w:hAnsi="宋体" w:eastAsia="宋体" w:cs="宋体"/>
        </w:rPr>
        <w:t>2.垦区中心：乘坐公交101路/102路，行政审批大厅下车（曹妃甸新城大街与唐海路交叉口西行200米）</w:t>
      </w:r>
    </w:p>
    <w:p>
      <w:pPr>
        <w:pStyle w:val="2"/>
        <w:spacing w:before="41" w:line="219" w:lineRule="auto"/>
        <w:ind w:left="466"/>
        <w:rPr>
          <w:rFonts w:hint="eastAsia" w:ascii="宋体" w:hAnsi="宋体" w:eastAsia="宋体" w:cs="宋体"/>
        </w:rPr>
      </w:pPr>
      <w:r>
        <w:rPr>
          <w:rFonts w:hint="eastAsia" w:ascii="宋体" w:hAnsi="宋体" w:eastAsia="宋体" w:cs="宋体"/>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宋体" w:hAnsi="宋体" w:eastAsia="宋体" w:cs="宋体"/>
          <w:snapToGrid w:val="0"/>
          <w:color w:val="231F20"/>
          <w:spacing w:val="-3"/>
          <w:kern w:val="0"/>
          <w:sz w:val="22"/>
          <w:szCs w:val="22"/>
          <w:lang w:val="en-US" w:eastAsia="en-US" w:bidi="ar-SA"/>
        </w:rPr>
      </w:pPr>
      <w:r>
        <w:rPr>
          <w:rFonts w:hint="eastAsia" w:ascii="宋体" w:hAnsi="宋体" w:eastAsia="宋体" w:cs="宋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rFonts w:hint="eastAsia" w:ascii="宋体" w:hAnsi="宋体" w:eastAsia="宋体" w:cs="宋体"/>
          <w:color w:val="231F20"/>
          <w:spacing w:val="5"/>
        </w:rPr>
        <w:t>03</w:t>
      </w:r>
      <w:r>
        <w:rPr>
          <w:rFonts w:hint="eastAsia" w:ascii="宋体" w:hAnsi="宋体" w:eastAsia="宋体" w:cs="宋体"/>
          <w:color w:val="231F20"/>
          <w:spacing w:val="-7"/>
        </w:rPr>
        <w:t xml:space="preserve"> </w:t>
      </w:r>
      <w:r>
        <w:rPr>
          <w:rFonts w:hint="eastAsia" w:ascii="宋体" w:hAnsi="宋体" w:eastAsia="宋体" w:cs="宋体"/>
          <w:color w:val="231F20"/>
          <w:spacing w:val="5"/>
        </w:rPr>
        <w:t>1</w:t>
      </w:r>
      <w:r>
        <w:rPr>
          <w:rFonts w:hint="eastAsia" w:ascii="宋体" w:hAnsi="宋体" w:eastAsia="宋体" w:cs="宋体"/>
          <w:color w:val="231F20"/>
          <w:spacing w:val="-37"/>
        </w:rPr>
        <w:t xml:space="preserve"> </w:t>
      </w:r>
      <w:r>
        <w:rPr>
          <w:rFonts w:hint="eastAsia" w:ascii="宋体" w:hAnsi="宋体" w:eastAsia="宋体" w:cs="宋体"/>
          <w:color w:val="231F20"/>
          <w:spacing w:val="5"/>
        </w:rPr>
        <w:t>5</w:t>
      </w:r>
      <w:r>
        <w:rPr>
          <w:rFonts w:hint="eastAsia" w:ascii="宋体" w:hAnsi="宋体" w:eastAsia="宋体" w:cs="宋体"/>
          <w:color w:val="231F20"/>
          <w:spacing w:val="-36"/>
        </w:rPr>
        <w:t xml:space="preserve"> </w:t>
      </w:r>
      <w:r>
        <w:rPr>
          <w:rFonts w:hint="eastAsia" w:ascii="宋体" w:hAnsi="宋体" w:eastAsia="宋体" w:cs="宋体"/>
          <w:color w:val="231F20"/>
          <w:spacing w:val="5"/>
        </w:rPr>
        <w:t>-</w:t>
      </w:r>
      <w:r>
        <w:rPr>
          <w:rFonts w:hint="eastAsia" w:ascii="宋体" w:hAnsi="宋体" w:eastAsia="宋体" w:cs="宋体"/>
          <w:color w:val="231F20"/>
          <w:spacing w:val="-41"/>
        </w:rPr>
        <w:t xml:space="preserve"> </w:t>
      </w:r>
      <w:r>
        <w:rPr>
          <w:rFonts w:hint="eastAsia" w:ascii="宋体" w:hAnsi="宋体" w:eastAsia="宋体" w:cs="宋体"/>
          <w:color w:val="231F20"/>
          <w:spacing w:val="5"/>
        </w:rPr>
        <w:t>8</w:t>
      </w:r>
      <w:r>
        <w:rPr>
          <w:rFonts w:hint="eastAsia" w:ascii="宋体" w:hAnsi="宋体" w:eastAsia="宋体" w:cs="宋体"/>
          <w:color w:val="231F20"/>
          <w:spacing w:val="-40"/>
        </w:rPr>
        <w:t xml:space="preserve"> </w:t>
      </w:r>
      <w:r>
        <w:rPr>
          <w:rFonts w:hint="eastAsia" w:ascii="宋体" w:hAnsi="宋体" w:eastAsia="宋体" w:cs="宋体"/>
          <w:color w:val="231F20"/>
          <w:spacing w:val="5"/>
        </w:rPr>
        <w:t>8</w:t>
      </w:r>
      <w:r>
        <w:rPr>
          <w:rFonts w:hint="eastAsia" w:ascii="宋体" w:hAnsi="宋体" w:eastAsia="宋体" w:cs="宋体"/>
          <w:color w:val="231F20"/>
          <w:spacing w:val="-36"/>
        </w:rPr>
        <w:t xml:space="preserve"> </w:t>
      </w:r>
      <w:r>
        <w:rPr>
          <w:rFonts w:hint="eastAsia" w:ascii="宋体" w:hAnsi="宋体" w:eastAsia="宋体" w:cs="宋体"/>
          <w:color w:val="231F20"/>
          <w:spacing w:val="5"/>
        </w:rPr>
        <w:t>51</w:t>
      </w:r>
      <w:r>
        <w:rPr>
          <w:rFonts w:hint="eastAsia" w:ascii="宋体" w:hAnsi="宋体" w:eastAsia="宋体" w:cs="宋体"/>
          <w:color w:val="231F20"/>
          <w:spacing w:val="-40"/>
        </w:rPr>
        <w:t xml:space="preserve"> </w:t>
      </w:r>
      <w:r>
        <w:rPr>
          <w:rFonts w:hint="eastAsia" w:ascii="宋体" w:hAnsi="宋体" w:eastAsia="宋体" w:cs="宋体"/>
          <w:color w:val="231F20"/>
          <w:spacing w:val="5"/>
        </w:rPr>
        <w:t>606（临</w:t>
      </w:r>
      <w:r>
        <w:rPr>
          <w:rFonts w:hint="eastAsia" w:ascii="宋体" w:hAnsi="宋体" w:eastAsia="宋体" w:cs="宋体"/>
          <w:color w:val="231F20"/>
          <w:spacing w:val="-34"/>
        </w:rPr>
        <w:t xml:space="preserve"> </w:t>
      </w:r>
      <w:r>
        <w:rPr>
          <w:rFonts w:hint="eastAsia" w:ascii="宋体" w:hAnsi="宋体" w:eastAsia="宋体" w:cs="宋体"/>
          <w:color w:val="231F20"/>
          <w:spacing w:val="5"/>
        </w:rPr>
        <w:t>港 中心</w:t>
      </w:r>
      <w:r>
        <w:rPr>
          <w:rFonts w:hint="eastAsia" w:ascii="宋体" w:hAnsi="宋体" w:eastAsia="宋体" w:cs="宋体"/>
          <w:color w:val="231F20"/>
          <w:spacing w:val="-52"/>
        </w:rPr>
        <w:t xml:space="preserve"> </w:t>
      </w:r>
      <w:r>
        <w:rPr>
          <w:rFonts w:hint="eastAsia" w:ascii="宋体" w:hAnsi="宋体" w:eastAsia="宋体" w:cs="宋体"/>
          <w:color w:val="231F20"/>
          <w:spacing w:val="5"/>
        </w:rPr>
        <w:t>）</w:t>
      </w:r>
      <w:r>
        <w:rPr>
          <w:rFonts w:hint="eastAsia" w:ascii="宋体" w:hAnsi="宋体" w:eastAsia="宋体" w:cs="宋体"/>
          <w:color w:val="231F20"/>
          <w:spacing w:val="-51"/>
        </w:rPr>
        <w:t xml:space="preserve"> </w:t>
      </w:r>
      <w:r>
        <w:rPr>
          <w:rFonts w:hint="eastAsia" w:ascii="宋体" w:hAnsi="宋体" w:eastAsia="宋体" w:cs="宋体"/>
          <w:color w:val="231F20"/>
          <w:spacing w:val="5"/>
        </w:rPr>
        <w:t>、</w:t>
      </w:r>
      <w:r>
        <w:rPr>
          <w:rFonts w:hint="eastAsia" w:ascii="宋体" w:hAnsi="宋体" w:eastAsia="宋体" w:cs="宋体"/>
          <w:color w:val="231F20"/>
        </w:rPr>
        <w:t xml:space="preserve"> </w:t>
      </w:r>
      <w:r>
        <w:rPr>
          <w:rFonts w:hint="eastAsia" w:ascii="宋体" w:hAnsi="宋体" w:eastAsia="宋体" w:cs="宋体"/>
          <w:color w:val="231F20"/>
          <w:spacing w:val="-14"/>
        </w:rPr>
        <w:t>0 3 1 5 - 8 7 8 7 0 5 0</w:t>
      </w:r>
      <w:r>
        <w:rPr>
          <w:rFonts w:hint="eastAsia" w:ascii="宋体" w:hAnsi="宋体" w:eastAsia="宋体" w:cs="宋体"/>
          <w:color w:val="231F20"/>
          <w:spacing w:val="-26"/>
        </w:rPr>
        <w:t xml:space="preserve"> </w:t>
      </w:r>
      <w:r>
        <w:rPr>
          <w:rFonts w:hint="eastAsia" w:ascii="宋体" w:hAnsi="宋体" w:eastAsia="宋体" w:cs="宋体"/>
          <w:color w:val="231F20"/>
          <w:spacing w:val="-14"/>
        </w:rPr>
        <w:t>（ 垦</w:t>
      </w:r>
      <w:r>
        <w:rPr>
          <w:rFonts w:hint="eastAsia" w:ascii="宋体" w:hAnsi="宋体" w:eastAsia="宋体" w:cs="宋体"/>
          <w:color w:val="231F20"/>
          <w:spacing w:val="16"/>
        </w:rPr>
        <w:t xml:space="preserve"> </w:t>
      </w:r>
      <w:r>
        <w:rPr>
          <w:rFonts w:hint="eastAsia" w:ascii="宋体" w:hAnsi="宋体" w:eastAsia="宋体" w:cs="宋体"/>
          <w:color w:val="231F20"/>
          <w:spacing w:val="-14"/>
        </w:rPr>
        <w:t>区</w:t>
      </w:r>
      <w:r>
        <w:rPr>
          <w:rFonts w:hint="eastAsia" w:ascii="宋体" w:hAnsi="宋体" w:eastAsia="宋体" w:cs="宋体"/>
          <w:color w:val="231F20"/>
          <w:spacing w:val="17"/>
        </w:rPr>
        <w:t xml:space="preserve"> </w:t>
      </w:r>
      <w:r>
        <w:rPr>
          <w:rFonts w:hint="eastAsia" w:ascii="宋体" w:hAnsi="宋体" w:eastAsia="宋体" w:cs="宋体"/>
          <w:color w:val="231F20"/>
          <w:spacing w:val="-14"/>
        </w:rPr>
        <w:t>中</w:t>
      </w:r>
      <w:r>
        <w:rPr>
          <w:rFonts w:hint="eastAsia" w:ascii="宋体" w:hAnsi="宋体" w:eastAsia="宋体" w:cs="宋体"/>
          <w:color w:val="231F20"/>
          <w:spacing w:val="-15"/>
        </w:rPr>
        <w:t xml:space="preserve"> 心</w:t>
      </w:r>
      <w:r>
        <w:rPr>
          <w:rFonts w:hint="eastAsia" w:ascii="宋体" w:hAnsi="宋体" w:eastAsia="宋体" w:cs="宋体"/>
          <w:color w:val="231F20"/>
          <w:spacing w:val="-26"/>
        </w:rPr>
        <w:t xml:space="preserve"> </w:t>
      </w:r>
      <w:r>
        <w:rPr>
          <w:rFonts w:hint="eastAsia" w:ascii="宋体" w:hAnsi="宋体" w:eastAsia="宋体" w:cs="宋体"/>
          <w:color w:val="231F20"/>
          <w:spacing w:val="-15"/>
        </w:rPr>
        <w:t>）</w:t>
      </w:r>
      <w:r>
        <w:rPr>
          <w:rFonts w:hint="eastAsia" w:ascii="宋体" w:hAnsi="宋体" w:eastAsia="宋体" w:cs="宋体"/>
          <w:color w:val="231F20"/>
          <w:spacing w:val="-26"/>
        </w:rPr>
        <w:t xml:space="preserve"> </w:t>
      </w:r>
      <w:r>
        <w:rPr>
          <w:rFonts w:hint="eastAsia" w:ascii="宋体" w:hAnsi="宋体" w:eastAsia="宋体" w:cs="宋体"/>
          <w:color w:val="231F20"/>
          <w:spacing w:val="-15"/>
        </w:rPr>
        <w:t>、</w:t>
      </w:r>
      <w:r>
        <w:rPr>
          <w:rFonts w:hint="eastAsia" w:ascii="宋体" w:hAnsi="宋体" w:eastAsia="宋体" w:cs="宋体"/>
          <w:color w:val="231F20"/>
        </w:rPr>
        <w:t xml:space="preserve"> </w:t>
      </w:r>
      <w:r>
        <w:rPr>
          <w:rFonts w:hint="eastAsia" w:ascii="宋体" w:hAnsi="宋体" w:eastAsia="宋体" w:cs="宋体"/>
          <w:color w:val="231F20"/>
          <w:spacing w:val="-1"/>
        </w:rPr>
        <w:t>0315-7721104（新城中心</w:t>
      </w:r>
      <w:r>
        <w:rPr>
          <w:color w:val="231F20"/>
          <w:spacing w:val="-1"/>
        </w:rPr>
        <w:t>）</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rPr>
          <w:rFonts w:hint="eastAsia" w:ascii="宋体" w:hAnsi="宋体" w:eastAsia="宋体" w:cs="宋体"/>
        </w:rPr>
      </w:pPr>
      <w:r>
        <w:rPr>
          <w:rFonts w:hint="eastAsia" w:ascii="宋体" w:hAnsi="宋体" w:eastAsia="宋体" w:cs="宋体"/>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39" w:line="257" w:lineRule="auto"/>
        <w:ind w:left="2" w:firstLine="473"/>
      </w:pPr>
      <w:r>
        <w:rPr>
          <w:rFonts w:hint="eastAsia" w:ascii="宋体" w:hAnsi="宋体" w:eastAsia="宋体" w:cs="宋体"/>
          <w:color w:val="231F20"/>
          <w:spacing w:val="-3"/>
        </w:rPr>
        <w:t>申请人如对行政许可决定不服，可于收到决定书之日起六十日内向唐山市曹妃甸区人民政府申请复议，也可以于六个月内依法向唐山市曹妃甸区人民</w:t>
      </w:r>
      <w:bookmarkStart w:id="0" w:name="_GoBack"/>
      <w:bookmarkEnd w:id="0"/>
      <w:r>
        <w:rPr>
          <w:rFonts w:hint="eastAsia" w:ascii="宋体" w:hAnsi="宋体" w:eastAsia="宋体" w:cs="宋体"/>
          <w:color w:val="231F20"/>
          <w:spacing w:val="-3"/>
        </w:rPr>
        <w:t>法院提起行政诉讼。</w:t>
      </w:r>
    </w:p>
    <w:sectPr>
      <w:type w:val="continuous"/>
      <w:pgSz w:w="10772" w:h="11906"/>
      <w:pgMar w:top="400" w:right="579" w:bottom="0" w:left="566" w:header="0" w:footer="0" w:gutter="0"/>
      <w:cols w:equalWidth="0" w:num="2">
        <w:col w:w="5319"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00264AF1"/>
    <w:rsid w:val="03AB62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837</Words>
  <Characters>964</Characters>
  <TotalTime>0</TotalTime>
  <ScaleCrop>false</ScaleCrop>
  <LinksUpToDate>false</LinksUpToDate>
  <CharactersWithSpaces>1015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2023-04-26T14:19:00Z</dcterms:created>
  <dc:creator>Admin</dc:creator>
  <cp:lastModifiedBy>An玙</cp:lastModifiedBy>
  <dcterms:modified xsi:type="dcterms:W3CDTF">2023-08-01T08:49:17Z</dcterms:modified>
  <dc:title>53.人力资源服务许可（延续）</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2023-08-01T16:07:15Z</vt:filetime>
  </property>
  <property fmtid="{D5CDD505-2E9C-101B-9397-08002B2CF9AE}" pid="4" name="KSOProductBuildVer">
    <vt:lpwstr>2052-11.1.0.14309</vt:lpwstr>
  </property>
  <property fmtid="{D5CDD505-2E9C-101B-9397-08002B2CF9AE}" pid="5" name="ICV">
    <vt:lpwstr>DD34A5307BA441998A056CE45E735C67_12</vt:lpwstr>
  </property>
</Properties>
</file>