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C18B8">
      <w:pPr>
        <w:adjustRightInd w:val="0"/>
        <w:snapToGrid w:val="0"/>
        <w:ind w:firstLine="840" w:firstLineChars="200"/>
        <w:jc w:val="left"/>
        <w:rPr>
          <w:rFonts w:eastAsia="方正小标宋简体"/>
          <w:spacing w:val="-10"/>
          <w:sz w:val="44"/>
          <w:szCs w:val="44"/>
        </w:rPr>
      </w:pPr>
    </w:p>
    <w:p w14:paraId="022BFD88">
      <w:pPr>
        <w:adjustRightInd w:val="0"/>
        <w:snapToGrid w:val="0"/>
        <w:spacing w:before="435" w:beforeLines="100" w:line="540" w:lineRule="exact"/>
        <w:ind w:firstLine="840" w:firstLineChars="200"/>
        <w:jc w:val="center"/>
        <w:rPr>
          <w:rFonts w:eastAsia="方正小标宋简体"/>
          <w:spacing w:val="-10"/>
          <w:sz w:val="44"/>
          <w:szCs w:val="44"/>
        </w:rPr>
      </w:pPr>
      <w:bookmarkStart w:id="0" w:name="_Hlk59000548"/>
      <w:r>
        <w:rPr>
          <w:rFonts w:hint="eastAsia" w:eastAsia="方正小标宋简体"/>
          <w:spacing w:val="-10"/>
          <w:sz w:val="44"/>
          <w:szCs w:val="44"/>
        </w:rPr>
        <w:t>林木种子采种林确定</w:t>
      </w:r>
      <w:bookmarkEnd w:id="0"/>
      <w:r>
        <w:rPr>
          <w:rFonts w:hint="eastAsia" w:eastAsia="方正小标宋简体"/>
          <w:spacing w:val="-10"/>
          <w:sz w:val="44"/>
          <w:szCs w:val="44"/>
        </w:rPr>
        <w:t>服务指南</w:t>
      </w:r>
    </w:p>
    <w:p w14:paraId="4748A8CF">
      <w:pPr>
        <w:pStyle w:val="23"/>
        <w:spacing w:line="400" w:lineRule="exact"/>
        <w:ind w:left="480" w:firstLine="480"/>
        <w:rPr>
          <w:rFonts w:ascii="黑体" w:hAnsi="黑体" w:eastAsia="黑体"/>
          <w:sz w:val="24"/>
          <w:szCs w:val="24"/>
        </w:rPr>
      </w:pPr>
    </w:p>
    <w:p w14:paraId="0249E664">
      <w:pPr>
        <w:pStyle w:val="23"/>
        <w:spacing w:line="400" w:lineRule="exact"/>
        <w:ind w:firstLine="480"/>
        <w:rPr>
          <w:rFonts w:ascii="黑体" w:hAnsi="黑体" w:eastAsia="黑体"/>
          <w:sz w:val="24"/>
          <w:szCs w:val="24"/>
        </w:rPr>
      </w:pPr>
      <w:r>
        <w:rPr>
          <w:rFonts w:hint="eastAsia" w:ascii="黑体" w:hAnsi="黑体" w:eastAsia="黑体"/>
          <w:sz w:val="24"/>
          <w:szCs w:val="24"/>
        </w:rPr>
        <w:t>一、事项名称</w:t>
      </w:r>
    </w:p>
    <w:p w14:paraId="25718CBF">
      <w:pPr>
        <w:spacing w:line="400" w:lineRule="exact"/>
        <w:ind w:firstLine="480" w:firstLineChars="200"/>
        <w:rPr>
          <w:rFonts w:eastAsia="方正仿宋简体"/>
          <w:sz w:val="24"/>
          <w:szCs w:val="24"/>
        </w:rPr>
      </w:pPr>
      <w:r>
        <w:rPr>
          <w:rFonts w:hint="eastAsia" w:eastAsia="方正仿宋简体"/>
          <w:sz w:val="24"/>
          <w:szCs w:val="24"/>
        </w:rPr>
        <w:t>林木种子采种林确定</w:t>
      </w:r>
    </w:p>
    <w:p w14:paraId="520EA1FF">
      <w:pPr>
        <w:spacing w:line="400" w:lineRule="exact"/>
        <w:ind w:firstLine="480" w:firstLineChars="200"/>
        <w:rPr>
          <w:rFonts w:ascii="黑体" w:hAnsi="黑体" w:eastAsia="黑体"/>
          <w:sz w:val="24"/>
          <w:szCs w:val="24"/>
        </w:rPr>
      </w:pPr>
      <w:r>
        <w:rPr>
          <w:rFonts w:hint="eastAsia" w:ascii="黑体" w:hAnsi="黑体" w:eastAsia="黑体"/>
          <w:sz w:val="24"/>
          <w:szCs w:val="24"/>
        </w:rPr>
        <w:t>二</w:t>
      </w:r>
      <w:r>
        <w:rPr>
          <w:rFonts w:ascii="黑体" w:hAnsi="黑体" w:eastAsia="黑体"/>
          <w:sz w:val="24"/>
          <w:szCs w:val="24"/>
        </w:rPr>
        <w:t>、</w:t>
      </w:r>
      <w:r>
        <w:rPr>
          <w:rFonts w:hint="eastAsia" w:ascii="黑体" w:hAnsi="黑体" w:eastAsia="黑体"/>
          <w:sz w:val="24"/>
          <w:szCs w:val="24"/>
        </w:rPr>
        <w:t>办理</w:t>
      </w:r>
      <w:r>
        <w:rPr>
          <w:rFonts w:ascii="黑体" w:hAnsi="黑体" w:eastAsia="黑体"/>
          <w:sz w:val="24"/>
          <w:szCs w:val="24"/>
        </w:rPr>
        <w:t>依据</w:t>
      </w:r>
    </w:p>
    <w:p w14:paraId="496C852D">
      <w:pPr>
        <w:spacing w:line="400" w:lineRule="exact"/>
        <w:ind w:firstLine="460" w:firstLineChars="200"/>
        <w:rPr>
          <w:rFonts w:ascii="微软雅黑" w:hAnsi="微软雅黑" w:eastAsia="微软雅黑"/>
          <w:color w:val="333333"/>
          <w:sz w:val="23"/>
          <w:szCs w:val="23"/>
          <w:shd w:val="clear" w:color="auto" w:fill="FFFFFF"/>
        </w:rPr>
      </w:pPr>
      <w:r>
        <w:rPr>
          <w:rFonts w:hint="eastAsia" w:ascii="微软雅黑" w:hAnsi="微软雅黑" w:eastAsia="微软雅黑"/>
          <w:color w:val="333333"/>
          <w:sz w:val="23"/>
          <w:szCs w:val="23"/>
          <w:shd w:val="clear" w:color="auto" w:fill="FFFFFF"/>
        </w:rPr>
        <w:t>1:法律法规名称:《林木种子采收管理规定》;依据文号:林场发〔2007〕142号;条款号:第四条、第五条;条款内容:四、采种林分包括种子园、母树林、一般采种林和临时采种林、群体和散生的优良母树。种子园是指用优树无性系或家系按设计要求营建的、实行集约经营的、以生产优质种子为目的的采种林分。母树林是指选择优良天然林或种源清楚的优良人工林，经去劣留优、疏伐改造、抚育管理，以生产优良种子为目的而营建的采种林分。一般采种林是指选择中等以上林分去劣疏伐，以生产质量合格的种子为目的的采种林分。临时采种林是选择即将采伐的林分，以生产质量合格的种子为目的的采种林分。五、林木种子的采集应当在确定的采种林分和采种期内进行。优先采集种子园、母树林、采种基地的种子。种子园、母树林由省级人民政府林业行政主管部门确定，一般采种林、临时采种林、群体和散生的优良母树由市、县人民政府林业行政主管部门确定，并向社会公告。县级以上人民政府林业行政主管部门确定的采种林分应当报上一级人民政府林业行政主管部门备案。;颁布机关:国家林业局;实施日期:2007-06-15;2:</w:t>
      </w:r>
      <w:bookmarkStart w:id="1" w:name="_GoBack"/>
      <w:r>
        <w:rPr>
          <w:rFonts w:hint="eastAsia" w:ascii="微软雅黑" w:hAnsi="微软雅黑" w:eastAsia="微软雅黑"/>
          <w:color w:val="333333"/>
          <w:sz w:val="23"/>
          <w:szCs w:val="23"/>
          <w:shd w:val="clear" w:color="auto" w:fill="FFFFFF"/>
        </w:rPr>
        <w:t>法律法规名称:《中华人民共和国种子法》;依据文号:2000年7月8日主席令第</w:t>
      </w:r>
      <w:bookmarkEnd w:id="1"/>
      <w:r>
        <w:rPr>
          <w:rFonts w:hint="eastAsia" w:ascii="微软雅黑" w:hAnsi="微软雅黑" w:eastAsia="微软雅黑"/>
          <w:color w:val="333333"/>
          <w:sz w:val="23"/>
          <w:szCs w:val="23"/>
          <w:shd w:val="clear" w:color="auto" w:fill="FFFFFF"/>
        </w:rPr>
        <w:t>三十四号，2015年11月4日修正;条款号:第三十二条第二款;条款内容:第三十二条 申请取得种子生产经营许可证的，应当具有与种子生产经营相适应的生产经营设施、设备及专业技术人员，以及法规和国务院农业、林业主管部门规定的其他条件。从事种子生产的，还应当同时具有繁殖种子的隔离和培育条件，具有无检疫性有害生物的种子生产地点或者县级以上人民政府林业主管部门确定的采种林。申请领取具有植物新品种权的种子生产经营许可证的，应当征得植物新品种权所有人的书面同意。;颁布机关:九届全国人民代表大会常务委员会;实施日期:2000-12-01;</w:t>
      </w:r>
    </w:p>
    <w:p w14:paraId="411538F9">
      <w:pPr>
        <w:spacing w:line="400" w:lineRule="exact"/>
        <w:ind w:firstLine="480" w:firstLineChars="200"/>
        <w:rPr>
          <w:rFonts w:ascii="黑体" w:hAnsi="黑体" w:eastAsia="黑体"/>
          <w:sz w:val="24"/>
          <w:szCs w:val="24"/>
        </w:rPr>
      </w:pPr>
      <w:r>
        <w:rPr>
          <w:rFonts w:hint="eastAsia" w:ascii="黑体" w:hAnsi="黑体" w:eastAsia="黑体"/>
          <w:sz w:val="24"/>
          <w:szCs w:val="24"/>
        </w:rPr>
        <w:t>三</w:t>
      </w:r>
      <w:r>
        <w:rPr>
          <w:rFonts w:ascii="黑体" w:hAnsi="黑体" w:eastAsia="黑体"/>
          <w:sz w:val="24"/>
          <w:szCs w:val="24"/>
        </w:rPr>
        <w:t>、申请</w:t>
      </w:r>
      <w:r>
        <w:rPr>
          <w:rFonts w:hint="eastAsia" w:ascii="黑体" w:hAnsi="黑体" w:eastAsia="黑体"/>
          <w:sz w:val="24"/>
          <w:szCs w:val="24"/>
        </w:rPr>
        <w:t>材料</w:t>
      </w:r>
    </w:p>
    <w:p w14:paraId="6EF5313B">
      <w:pPr>
        <w:spacing w:line="400" w:lineRule="exact"/>
        <w:ind w:firstLine="480" w:firstLineChars="200"/>
        <w:rPr>
          <w:rFonts w:eastAsia="方正仿宋简体"/>
          <w:sz w:val="24"/>
          <w:szCs w:val="24"/>
        </w:rPr>
      </w:pPr>
      <w:r>
        <w:rPr>
          <w:rFonts w:hint="eastAsia" w:eastAsia="方正仿宋简体"/>
          <w:sz w:val="24"/>
          <w:szCs w:val="24"/>
        </w:rPr>
        <w:t xml:space="preserve">1. </w:t>
      </w:r>
      <w:r>
        <w:rPr>
          <w:rFonts w:hint="eastAsia" w:eastAsia="方正仿宋简体"/>
          <w:sz w:val="24"/>
          <w:szCs w:val="24"/>
          <w:lang w:val="en-US" w:eastAsia="zh-CN"/>
        </w:rPr>
        <w:t>主要林木品种审定申请表（区域试验情况及证明材料）</w:t>
      </w:r>
      <w:r>
        <w:rPr>
          <w:rFonts w:hint="eastAsia" w:eastAsia="方正仿宋简体"/>
          <w:sz w:val="24"/>
          <w:szCs w:val="24"/>
        </w:rPr>
        <w:t>；</w:t>
      </w:r>
    </w:p>
    <w:p w14:paraId="14761143">
      <w:pPr>
        <w:spacing w:line="400" w:lineRule="exact"/>
        <w:ind w:firstLine="480" w:firstLineChars="200"/>
        <w:rPr>
          <w:rFonts w:eastAsia="方正仿宋简体"/>
          <w:sz w:val="24"/>
          <w:szCs w:val="24"/>
        </w:rPr>
      </w:pPr>
      <w:r>
        <w:rPr>
          <w:rFonts w:hint="eastAsia" w:eastAsia="方正仿宋简体"/>
          <w:sz w:val="24"/>
          <w:szCs w:val="24"/>
        </w:rPr>
        <w:t xml:space="preserve">2. </w:t>
      </w:r>
      <w:r>
        <w:rPr>
          <w:rFonts w:hint="eastAsia" w:eastAsia="方正仿宋简体"/>
          <w:sz w:val="24"/>
          <w:szCs w:val="24"/>
          <w:lang w:val="en-US" w:eastAsia="zh-CN"/>
        </w:rPr>
        <w:t>林木品种特征</w:t>
      </w:r>
      <w:r>
        <w:rPr>
          <w:rFonts w:hint="eastAsia" w:eastAsia="方正仿宋简体"/>
          <w:sz w:val="24"/>
          <w:szCs w:val="24"/>
        </w:rPr>
        <w:t>；</w:t>
      </w:r>
    </w:p>
    <w:p w14:paraId="18E77C7A">
      <w:pPr>
        <w:spacing w:line="400" w:lineRule="exact"/>
        <w:ind w:firstLine="480" w:firstLineChars="200"/>
        <w:rPr>
          <w:rFonts w:hint="default" w:eastAsia="方正仿宋简体"/>
          <w:sz w:val="24"/>
          <w:szCs w:val="24"/>
          <w:lang w:val="en-US" w:eastAsia="zh-CN"/>
        </w:rPr>
      </w:pPr>
      <w:r>
        <w:rPr>
          <w:rFonts w:hint="eastAsia" w:eastAsia="方正仿宋简体"/>
          <w:sz w:val="24"/>
          <w:szCs w:val="24"/>
        </w:rPr>
        <w:t xml:space="preserve">3. </w:t>
      </w:r>
      <w:r>
        <w:rPr>
          <w:rFonts w:hint="eastAsia" w:eastAsia="方正仿宋简体"/>
          <w:sz w:val="24"/>
          <w:szCs w:val="24"/>
          <w:lang w:val="en-US" w:eastAsia="zh-CN"/>
        </w:rPr>
        <w:t>主要林木品种选育报告</w:t>
      </w:r>
    </w:p>
    <w:p w14:paraId="7DC0739E">
      <w:pPr>
        <w:spacing w:line="400" w:lineRule="exact"/>
        <w:ind w:firstLine="480" w:firstLineChars="200"/>
        <w:rPr>
          <w:rFonts w:ascii="黑体" w:hAnsi="黑体" w:eastAsia="黑体"/>
          <w:sz w:val="24"/>
          <w:szCs w:val="24"/>
        </w:rPr>
      </w:pPr>
      <w:r>
        <w:rPr>
          <w:rFonts w:hint="eastAsia" w:ascii="黑体" w:hAnsi="黑体" w:eastAsia="黑体"/>
          <w:sz w:val="24"/>
          <w:szCs w:val="24"/>
        </w:rPr>
        <w:t>四</w:t>
      </w:r>
      <w:r>
        <w:rPr>
          <w:rFonts w:ascii="黑体" w:hAnsi="黑体" w:eastAsia="黑体"/>
          <w:sz w:val="24"/>
          <w:szCs w:val="24"/>
        </w:rPr>
        <w:t>、</w:t>
      </w:r>
      <w:r>
        <w:rPr>
          <w:rFonts w:hint="eastAsia" w:ascii="黑体" w:hAnsi="黑体" w:eastAsia="黑体"/>
          <w:sz w:val="24"/>
          <w:szCs w:val="24"/>
        </w:rPr>
        <w:t>审批</w:t>
      </w:r>
      <w:r>
        <w:rPr>
          <w:rFonts w:ascii="黑体" w:hAnsi="黑体" w:eastAsia="黑体"/>
          <w:sz w:val="24"/>
          <w:szCs w:val="24"/>
        </w:rPr>
        <w:t>时限</w:t>
      </w:r>
    </w:p>
    <w:p w14:paraId="6449C941">
      <w:pPr>
        <w:spacing w:line="400" w:lineRule="exact"/>
        <w:ind w:firstLine="480" w:firstLineChars="200"/>
        <w:rPr>
          <w:rFonts w:eastAsia="方正仿宋简体"/>
          <w:sz w:val="24"/>
          <w:szCs w:val="24"/>
        </w:rPr>
      </w:pPr>
      <w:r>
        <w:rPr>
          <w:rFonts w:hint="eastAsia" w:eastAsia="方正仿宋简体"/>
          <w:sz w:val="24"/>
          <w:szCs w:val="24"/>
        </w:rPr>
        <w:t>法定时限：</w:t>
      </w:r>
      <w:r>
        <w:rPr>
          <w:rFonts w:eastAsia="方正仿宋简体"/>
          <w:sz w:val="24"/>
          <w:szCs w:val="24"/>
        </w:rPr>
        <w:t>20</w:t>
      </w:r>
      <w:r>
        <w:rPr>
          <w:rFonts w:hint="eastAsia" w:eastAsia="方正仿宋简体"/>
          <w:sz w:val="24"/>
          <w:szCs w:val="24"/>
        </w:rPr>
        <w:t>个工作日</w:t>
      </w:r>
    </w:p>
    <w:p w14:paraId="6E5EA4F0">
      <w:pPr>
        <w:spacing w:line="400" w:lineRule="exact"/>
        <w:ind w:firstLine="480" w:firstLineChars="200"/>
        <w:rPr>
          <w:rFonts w:eastAsia="方正仿宋简体"/>
          <w:sz w:val="24"/>
          <w:szCs w:val="24"/>
        </w:rPr>
      </w:pPr>
      <w:r>
        <w:rPr>
          <w:rFonts w:hint="eastAsia" w:eastAsia="方正仿宋简体"/>
          <w:sz w:val="24"/>
          <w:szCs w:val="24"/>
        </w:rPr>
        <w:t>承诺时限：</w:t>
      </w:r>
      <w:r>
        <w:rPr>
          <w:rFonts w:eastAsia="方正仿宋简体"/>
          <w:sz w:val="24"/>
          <w:szCs w:val="24"/>
        </w:rPr>
        <w:t>15</w:t>
      </w:r>
      <w:r>
        <w:rPr>
          <w:rFonts w:hint="eastAsia" w:eastAsia="方正仿宋简体"/>
          <w:sz w:val="24"/>
          <w:szCs w:val="24"/>
        </w:rPr>
        <w:t>个工作日</w:t>
      </w:r>
    </w:p>
    <w:p w14:paraId="5DDD6D0B">
      <w:pPr>
        <w:spacing w:line="400" w:lineRule="exact"/>
        <w:ind w:firstLine="480" w:firstLineChars="200"/>
        <w:rPr>
          <w:rFonts w:ascii="黑体" w:hAnsi="黑体" w:eastAsia="黑体"/>
          <w:sz w:val="24"/>
          <w:szCs w:val="24"/>
        </w:rPr>
      </w:pPr>
      <w:r>
        <w:rPr>
          <w:rFonts w:hint="eastAsia" w:ascii="黑体" w:hAnsi="黑体" w:eastAsia="黑体"/>
          <w:sz w:val="24"/>
          <w:szCs w:val="24"/>
        </w:rPr>
        <w:t>五</w:t>
      </w:r>
      <w:r>
        <w:rPr>
          <w:rFonts w:ascii="黑体" w:hAnsi="黑体" w:eastAsia="黑体"/>
          <w:sz w:val="24"/>
          <w:szCs w:val="24"/>
        </w:rPr>
        <w:t>、收费</w:t>
      </w:r>
      <w:r>
        <w:rPr>
          <w:rFonts w:hint="eastAsia" w:ascii="黑体" w:hAnsi="黑体" w:eastAsia="黑体"/>
          <w:sz w:val="24"/>
          <w:szCs w:val="24"/>
        </w:rPr>
        <w:t>情况</w:t>
      </w:r>
    </w:p>
    <w:p w14:paraId="7F3A4DCC">
      <w:pPr>
        <w:spacing w:line="400" w:lineRule="exact"/>
        <w:ind w:firstLine="480" w:firstLineChars="200"/>
        <w:rPr>
          <w:rFonts w:eastAsia="方正仿宋简体"/>
          <w:sz w:val="24"/>
          <w:szCs w:val="24"/>
        </w:rPr>
      </w:pPr>
      <w:r>
        <w:rPr>
          <w:rFonts w:eastAsia="方正仿宋简体"/>
          <w:sz w:val="24"/>
          <w:szCs w:val="24"/>
        </w:rPr>
        <w:t>不收费</w:t>
      </w:r>
    </w:p>
    <w:p w14:paraId="487BE3B9">
      <w:pPr>
        <w:spacing w:line="400" w:lineRule="exact"/>
        <w:ind w:firstLine="480" w:firstLineChars="200"/>
        <w:rPr>
          <w:rFonts w:ascii="黑体" w:hAnsi="黑体" w:eastAsia="黑体"/>
          <w:sz w:val="24"/>
          <w:szCs w:val="24"/>
        </w:rPr>
      </w:pPr>
      <w:r>
        <w:rPr>
          <w:rFonts w:hint="eastAsia" w:ascii="黑体" w:hAnsi="黑体" w:eastAsia="黑体"/>
          <w:sz w:val="24"/>
          <w:szCs w:val="24"/>
        </w:rPr>
        <w:t>六、网办地址</w:t>
      </w:r>
    </w:p>
    <w:p w14:paraId="51899783">
      <w:pPr>
        <w:spacing w:line="400" w:lineRule="exact"/>
        <w:ind w:firstLine="480" w:firstLineChars="200"/>
        <w:rPr>
          <w:rFonts w:eastAsia="方正仿宋简体"/>
          <w:sz w:val="24"/>
          <w:szCs w:val="24"/>
        </w:rPr>
      </w:pPr>
      <w:r>
        <w:rPr>
          <w:rFonts w:eastAsia="方正仿宋简体"/>
          <w:sz w:val="24"/>
          <w:szCs w:val="24"/>
        </w:rPr>
        <w:t>http://tscfd.hbzwfw.gov.cn/</w:t>
      </w:r>
      <w:r>
        <w:rPr>
          <w:rFonts w:hint="eastAsia" w:eastAsia="方正仿宋简体"/>
          <w:sz w:val="24"/>
          <w:szCs w:val="24"/>
        </w:rPr>
        <w:t>.</w:t>
      </w:r>
    </w:p>
    <w:p w14:paraId="521C551C">
      <w:pPr>
        <w:spacing w:line="400" w:lineRule="exact"/>
        <w:ind w:firstLine="480" w:firstLineChars="200"/>
        <w:rPr>
          <w:rFonts w:ascii="黑体" w:hAnsi="黑体" w:eastAsia="黑体"/>
          <w:sz w:val="24"/>
          <w:szCs w:val="24"/>
        </w:rPr>
      </w:pPr>
      <w:r>
        <w:rPr>
          <w:rFonts w:hint="eastAsia" w:ascii="黑体" w:hAnsi="黑体" w:eastAsia="黑体"/>
          <w:sz w:val="24"/>
          <w:szCs w:val="24"/>
        </w:rPr>
        <w:t>七</w:t>
      </w:r>
      <w:r>
        <w:rPr>
          <w:rFonts w:ascii="黑体" w:hAnsi="黑体" w:eastAsia="黑体"/>
          <w:sz w:val="24"/>
          <w:szCs w:val="24"/>
        </w:rPr>
        <w:t>、</w:t>
      </w:r>
      <w:r>
        <w:rPr>
          <w:rFonts w:hint="eastAsia" w:ascii="黑体" w:hAnsi="黑体" w:eastAsia="黑体"/>
          <w:sz w:val="24"/>
          <w:szCs w:val="24"/>
        </w:rPr>
        <w:t>办理地点</w:t>
      </w:r>
    </w:p>
    <w:p w14:paraId="67FA3730">
      <w:pPr>
        <w:spacing w:line="400" w:lineRule="exact"/>
        <w:ind w:firstLine="480" w:firstLineChars="200"/>
        <w:rPr>
          <w:rFonts w:eastAsia="方正仿宋简体"/>
          <w:sz w:val="24"/>
          <w:szCs w:val="24"/>
        </w:rPr>
      </w:pPr>
      <w:r>
        <w:rPr>
          <w:rFonts w:hint="eastAsia" w:eastAsia="方正仿宋简体"/>
          <w:sz w:val="24"/>
          <w:szCs w:val="24"/>
        </w:rPr>
        <w:t>1.中国（河北）自由贸易试验区曹妃甸片区政务服务中心、唐山市曹妃甸区临港政务服务中心（曹妃甸工业区兴业道1号二层）</w:t>
      </w:r>
    </w:p>
    <w:p w14:paraId="2AE18D12">
      <w:pPr>
        <w:spacing w:line="400" w:lineRule="exact"/>
        <w:ind w:firstLine="480" w:firstLineChars="200"/>
        <w:rPr>
          <w:rFonts w:eastAsia="方正仿宋简体"/>
          <w:sz w:val="24"/>
          <w:szCs w:val="24"/>
        </w:rPr>
      </w:pPr>
      <w:r>
        <w:rPr>
          <w:rFonts w:hint="eastAsia" w:eastAsia="方正仿宋简体"/>
          <w:sz w:val="24"/>
          <w:szCs w:val="24"/>
        </w:rPr>
        <w:t>2.唐山市曹妃甸区垦区政务服务中心（曹妃甸区唐海镇新城大街259号二层）</w:t>
      </w:r>
    </w:p>
    <w:p w14:paraId="4C65E316">
      <w:pPr>
        <w:spacing w:line="400" w:lineRule="exact"/>
        <w:ind w:firstLine="480" w:firstLineChars="200"/>
        <w:rPr>
          <w:rFonts w:eastAsia="方正仿宋简体"/>
          <w:sz w:val="24"/>
          <w:szCs w:val="24"/>
        </w:rPr>
      </w:pPr>
      <w:r>
        <w:rPr>
          <w:rFonts w:hint="eastAsia" w:eastAsia="方正仿宋简体"/>
          <w:sz w:val="24"/>
          <w:szCs w:val="24"/>
        </w:rPr>
        <w:t>3.唐山市曹妃甸区曹妃甸新城政务服务中心（曹妃甸区新城通海路）</w:t>
      </w:r>
    </w:p>
    <w:p w14:paraId="20964653">
      <w:pPr>
        <w:spacing w:line="400" w:lineRule="exact"/>
        <w:ind w:firstLine="480" w:firstLineChars="200"/>
        <w:rPr>
          <w:rFonts w:ascii="黑体" w:hAnsi="黑体" w:eastAsia="黑体"/>
          <w:sz w:val="24"/>
          <w:szCs w:val="24"/>
        </w:rPr>
      </w:pPr>
      <w:r>
        <w:rPr>
          <w:rFonts w:hint="eastAsia" w:ascii="黑体" w:hAnsi="黑体" w:eastAsia="黑体"/>
          <w:sz w:val="24"/>
          <w:szCs w:val="24"/>
        </w:rPr>
        <w:t>八、办公时间</w:t>
      </w:r>
    </w:p>
    <w:p w14:paraId="285FE5D0">
      <w:pPr>
        <w:spacing w:line="400" w:lineRule="exact"/>
        <w:ind w:firstLine="480" w:firstLineChars="200"/>
        <w:rPr>
          <w:rFonts w:eastAsia="方正仿宋简体"/>
          <w:sz w:val="24"/>
          <w:szCs w:val="24"/>
        </w:rPr>
      </w:pPr>
      <w:r>
        <w:rPr>
          <w:rFonts w:hint="eastAsia" w:eastAsia="方正仿宋简体"/>
          <w:sz w:val="24"/>
          <w:szCs w:val="24"/>
        </w:rPr>
        <w:t>周一至周五（法定节假日除外）；上午8:30—12：00，下午13:30—17:30（9月1日至5月31日）；上午8:30—12：00，下午14:30—17:30（6月1日至8月31日）</w:t>
      </w:r>
    </w:p>
    <w:p w14:paraId="172790CB">
      <w:pPr>
        <w:spacing w:line="400" w:lineRule="exact"/>
        <w:ind w:firstLine="480" w:firstLineChars="200"/>
        <w:rPr>
          <w:rFonts w:ascii="黑体" w:hAnsi="黑体" w:eastAsia="黑体"/>
          <w:sz w:val="24"/>
          <w:szCs w:val="24"/>
        </w:rPr>
      </w:pPr>
      <w:r>
        <w:rPr>
          <w:rFonts w:hint="eastAsia" w:ascii="黑体" w:hAnsi="黑体" w:eastAsia="黑体"/>
          <w:sz w:val="24"/>
          <w:szCs w:val="24"/>
        </w:rPr>
        <w:t>九、</w:t>
      </w:r>
      <w:r>
        <w:rPr>
          <w:rFonts w:ascii="黑体" w:hAnsi="黑体" w:eastAsia="黑体"/>
          <w:sz w:val="24"/>
          <w:szCs w:val="24"/>
        </w:rPr>
        <w:t>咨询</w:t>
      </w:r>
      <w:r>
        <w:rPr>
          <w:rFonts w:hint="eastAsia" w:ascii="黑体" w:hAnsi="黑体" w:eastAsia="黑体"/>
          <w:sz w:val="24"/>
          <w:szCs w:val="24"/>
        </w:rPr>
        <w:t>电话</w:t>
      </w:r>
    </w:p>
    <w:p w14:paraId="22D1DF1C">
      <w:pPr>
        <w:widowControl/>
        <w:ind w:firstLine="480" w:firstLineChars="200"/>
        <w:jc w:val="left"/>
        <w:rPr>
          <w:rFonts w:eastAsia="方正仿宋简体"/>
          <w:sz w:val="24"/>
          <w:szCs w:val="24"/>
        </w:rPr>
      </w:pPr>
      <w:r>
        <w:rPr>
          <w:rFonts w:hint="eastAsia" w:eastAsia="方正仿宋简体"/>
          <w:sz w:val="24"/>
          <w:szCs w:val="24"/>
        </w:rPr>
        <w:t>0315-885160</w:t>
      </w:r>
      <w:r>
        <w:rPr>
          <w:rFonts w:eastAsia="方正仿宋简体"/>
          <w:sz w:val="24"/>
          <w:szCs w:val="24"/>
        </w:rPr>
        <w:t>5</w:t>
      </w:r>
    </w:p>
    <w:p w14:paraId="7866AC12">
      <w:pPr>
        <w:widowControl/>
        <w:ind w:firstLine="480" w:firstLineChars="200"/>
        <w:jc w:val="left"/>
        <w:rPr>
          <w:rFonts w:ascii="黑体" w:hAnsi="黑体" w:eastAsia="黑体"/>
          <w:sz w:val="24"/>
          <w:szCs w:val="24"/>
        </w:rPr>
      </w:pPr>
      <w:r>
        <w:rPr>
          <w:rFonts w:hint="eastAsia" w:ascii="黑体" w:hAnsi="黑体" w:eastAsia="黑体"/>
          <w:sz w:val="24"/>
          <w:szCs w:val="24"/>
        </w:rPr>
        <w:t>十、</w:t>
      </w:r>
      <w:r>
        <w:rPr>
          <w:rFonts w:ascii="黑体" w:hAnsi="黑体" w:eastAsia="黑体"/>
          <w:sz w:val="24"/>
          <w:szCs w:val="24"/>
        </w:rPr>
        <w:t>监督</w:t>
      </w:r>
      <w:r>
        <w:rPr>
          <w:rFonts w:hint="eastAsia" w:ascii="黑体" w:hAnsi="黑体" w:eastAsia="黑体"/>
          <w:sz w:val="24"/>
          <w:szCs w:val="24"/>
        </w:rPr>
        <w:t>（</w:t>
      </w:r>
      <w:r>
        <w:rPr>
          <w:rFonts w:ascii="黑体" w:hAnsi="黑体" w:eastAsia="黑体"/>
          <w:sz w:val="24"/>
          <w:szCs w:val="24"/>
        </w:rPr>
        <w:t>投诉</w:t>
      </w:r>
      <w:r>
        <w:rPr>
          <w:rFonts w:hint="eastAsia" w:ascii="黑体" w:hAnsi="黑体" w:eastAsia="黑体"/>
          <w:sz w:val="24"/>
          <w:szCs w:val="24"/>
        </w:rPr>
        <w:t>）电话</w:t>
      </w:r>
    </w:p>
    <w:p w14:paraId="1E5A0F04">
      <w:pPr>
        <w:widowControl/>
        <w:ind w:firstLine="480" w:firstLineChars="200"/>
        <w:jc w:val="left"/>
        <w:rPr>
          <w:rFonts w:eastAsia="方正仿宋简体"/>
          <w:sz w:val="24"/>
          <w:szCs w:val="24"/>
        </w:rPr>
      </w:pPr>
      <w:r>
        <w:rPr>
          <w:rFonts w:eastAsia="方正仿宋简体"/>
          <w:sz w:val="24"/>
          <w:szCs w:val="24"/>
        </w:rPr>
        <w:t>0315</w:t>
      </w:r>
      <w:r>
        <w:rPr>
          <w:rFonts w:hint="eastAsia" w:eastAsia="方正仿宋简体"/>
          <w:sz w:val="24"/>
          <w:szCs w:val="24"/>
        </w:rPr>
        <w:t>-</w:t>
      </w:r>
      <w:r>
        <w:rPr>
          <w:rFonts w:eastAsia="方正仿宋简体"/>
          <w:sz w:val="24"/>
          <w:szCs w:val="24"/>
        </w:rPr>
        <w:t>8787098</w:t>
      </w:r>
    </w:p>
    <w:p w14:paraId="54C65264">
      <w:pPr>
        <w:widowControl/>
        <w:ind w:firstLine="420" w:firstLineChars="200"/>
        <w:jc w:val="left"/>
        <w:rPr>
          <w:rFonts w:ascii="Calibri" w:hAnsi="Calibri" w:eastAsia="宋体"/>
          <w:sz w:val="21"/>
        </w:rPr>
      </w:pPr>
    </w:p>
    <w:sectPr>
      <w:pgSz w:w="11906" w:h="16838"/>
      <w:pgMar w:top="851" w:right="1797" w:bottom="567" w:left="1797" w:header="851" w:footer="992"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F2779"/>
    <w:multiLevelType w:val="multilevel"/>
    <w:tmpl w:val="0B8F2779"/>
    <w:lvl w:ilvl="0" w:tentative="0">
      <w:start w:val="1"/>
      <w:numFmt w:val="decimal"/>
      <w:pStyle w:val="2"/>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6CEA2025"/>
    <w:multiLevelType w:val="multilevel"/>
    <w:tmpl w:val="6CEA2025"/>
    <w:lvl w:ilvl="0" w:tentative="0">
      <w:start w:val="1"/>
      <w:numFmt w:val="none"/>
      <w:pStyle w:val="21"/>
      <w:suff w:val="nothing"/>
      <w:lvlText w:val="%1"/>
      <w:lvlJc w:val="left"/>
      <w:pPr>
        <w:ind w:left="0" w:firstLine="0"/>
      </w:pPr>
      <w:rPr>
        <w:rFonts w:hint="default" w:ascii="Times New Roman" w:hAnsi="Times New Roman"/>
        <w:b/>
        <w:i w:val="0"/>
        <w:sz w:val="21"/>
      </w:rPr>
    </w:lvl>
    <w:lvl w:ilvl="1" w:tentative="0">
      <w:start w:val="1"/>
      <w:numFmt w:val="decimal"/>
      <w:pStyle w:val="18"/>
      <w:suff w:val="nothing"/>
      <w:lvlText w:val="%1%2　"/>
      <w:lvlJc w:val="left"/>
      <w:pPr>
        <w:ind w:left="0" w:firstLine="0"/>
      </w:pPr>
      <w:rPr>
        <w:rFonts w:hint="eastAsia" w:ascii="宋体" w:hAnsi="宋体" w:eastAsia="宋体"/>
        <w:b/>
        <w:i w:val="0"/>
        <w:sz w:val="21"/>
      </w:rPr>
    </w:lvl>
    <w:lvl w:ilvl="2" w:tentative="0">
      <w:start w:val="1"/>
      <w:numFmt w:val="decimal"/>
      <w:pStyle w:val="17"/>
      <w:suff w:val="nothing"/>
      <w:lvlText w:val="%1%2.%3　"/>
      <w:lvlJc w:val="left"/>
      <w:pPr>
        <w:ind w:left="0" w:firstLine="0"/>
      </w:pPr>
      <w:rPr>
        <w:rFonts w:hint="eastAsia" w:ascii="宋体" w:hAnsi="宋体" w:eastAsia="宋体"/>
        <w:b/>
        <w:i w:val="0"/>
        <w:sz w:val="21"/>
      </w:rPr>
    </w:lvl>
    <w:lvl w:ilvl="3" w:tentative="0">
      <w:start w:val="1"/>
      <w:numFmt w:val="decimal"/>
      <w:pStyle w:val="16"/>
      <w:suff w:val="nothing"/>
      <w:lvlText w:val="%1%2.%3.%4　"/>
      <w:lvlJc w:val="left"/>
      <w:pPr>
        <w:ind w:left="420" w:firstLine="0"/>
      </w:pPr>
      <w:rPr>
        <w:rFonts w:hint="eastAsia" w:ascii="宋体" w:hAnsi="宋体" w:eastAsia="宋体"/>
        <w:b/>
        <w:i w:val="0"/>
        <w:sz w:val="21"/>
      </w:rPr>
    </w:lvl>
    <w:lvl w:ilvl="4" w:tentative="0">
      <w:start w:val="1"/>
      <w:numFmt w:val="decimal"/>
      <w:pStyle w:val="20"/>
      <w:suff w:val="nothing"/>
      <w:lvlText w:val="%1%2.%3.%4.%5　"/>
      <w:lvlJc w:val="left"/>
      <w:pPr>
        <w:ind w:left="142" w:firstLine="0"/>
      </w:pPr>
      <w:rPr>
        <w:rFonts w:hint="eastAsia" w:ascii="宋体" w:hAnsi="宋体" w:eastAsia="宋体"/>
        <w:b/>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pStyle w:val="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60"/>
  <w:drawingGridVerticalSpacing w:val="435"/>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zNjlhN2RiZTg0M2ZhNmRjZTg0NTNiZDVjYmI2ZTEifQ=="/>
  </w:docVars>
  <w:rsids>
    <w:rsidRoot w:val="00B676E7"/>
    <w:rsid w:val="00001B34"/>
    <w:rsid w:val="00016017"/>
    <w:rsid w:val="00031452"/>
    <w:rsid w:val="001E7BCF"/>
    <w:rsid w:val="00214A43"/>
    <w:rsid w:val="00247A67"/>
    <w:rsid w:val="002F3B1D"/>
    <w:rsid w:val="003262AF"/>
    <w:rsid w:val="00337AD1"/>
    <w:rsid w:val="003A189D"/>
    <w:rsid w:val="00402729"/>
    <w:rsid w:val="00521E73"/>
    <w:rsid w:val="0055743A"/>
    <w:rsid w:val="00562892"/>
    <w:rsid w:val="005B4CCC"/>
    <w:rsid w:val="006D4424"/>
    <w:rsid w:val="0071484A"/>
    <w:rsid w:val="0077134B"/>
    <w:rsid w:val="00781C8C"/>
    <w:rsid w:val="007A290B"/>
    <w:rsid w:val="007B286D"/>
    <w:rsid w:val="00901633"/>
    <w:rsid w:val="0098459E"/>
    <w:rsid w:val="00A05F3E"/>
    <w:rsid w:val="00A6787A"/>
    <w:rsid w:val="00AC7C4A"/>
    <w:rsid w:val="00B101B9"/>
    <w:rsid w:val="00B676E7"/>
    <w:rsid w:val="00B678AF"/>
    <w:rsid w:val="00B83336"/>
    <w:rsid w:val="00C555A0"/>
    <w:rsid w:val="00CA1955"/>
    <w:rsid w:val="00D778C3"/>
    <w:rsid w:val="00DB1EC7"/>
    <w:rsid w:val="00DE4589"/>
    <w:rsid w:val="00F6088D"/>
    <w:rsid w:val="00FB44AF"/>
    <w:rsid w:val="084C5021"/>
    <w:rsid w:val="0EE51D71"/>
    <w:rsid w:val="17F5518E"/>
    <w:rsid w:val="28F52D05"/>
    <w:rsid w:val="2D8A0440"/>
    <w:rsid w:val="2FEA525F"/>
    <w:rsid w:val="38517699"/>
    <w:rsid w:val="399D6DB9"/>
    <w:rsid w:val="3B73350E"/>
    <w:rsid w:val="45CD6B08"/>
    <w:rsid w:val="48CE3603"/>
    <w:rsid w:val="520249B4"/>
    <w:rsid w:val="591F77CF"/>
    <w:rsid w:val="67CA1C6F"/>
    <w:rsid w:val="69967F02"/>
    <w:rsid w:val="6A7155F2"/>
    <w:rsid w:val="6E6C06B6"/>
    <w:rsid w:val="74CE65C4"/>
    <w:rsid w:val="7B12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4"/>
    <w:qFormat/>
    <w:uiPriority w:val="9"/>
    <w:pPr>
      <w:keepNext/>
      <w:keepLines/>
      <w:widowControl/>
      <w:numPr>
        <w:ilvl w:val="0"/>
        <w:numId w:val="1"/>
      </w:numPr>
      <w:spacing w:line="360" w:lineRule="auto"/>
      <w:contextualSpacing/>
      <w:jc w:val="left"/>
      <w:outlineLvl w:val="0"/>
    </w:pPr>
    <w:rPr>
      <w:rFonts w:ascii="Cambria" w:hAnsi="Cambria" w:eastAsia="黑体"/>
      <w:bCs/>
      <w:kern w:val="0"/>
      <w:sz w:val="20"/>
      <w:szCs w:val="21"/>
      <w:lang w:val="zh-CN"/>
    </w:rPr>
  </w:style>
  <w:style w:type="character" w:default="1" w:styleId="10">
    <w:name w:val="Default Paragraph Font"/>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26"/>
    <w:semiHidden/>
    <w:unhideWhenUsed/>
    <w:qFormat/>
    <w:uiPriority w:val="99"/>
    <w:rPr>
      <w:rFonts w:asciiTheme="minorHAnsi" w:hAnsiTheme="minorHAnsi" w:eastAsiaTheme="minorEastAsia" w:cstheme="minorBidi"/>
      <w:sz w:val="18"/>
      <w:szCs w:val="18"/>
    </w:rPr>
  </w:style>
  <w:style w:type="paragraph" w:styleId="4">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2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28"/>
    <w:qFormat/>
    <w:uiPriority w:val="10"/>
    <w:pPr>
      <w:spacing w:before="240" w:after="60"/>
      <w:jc w:val="center"/>
      <w:outlineLvl w:val="0"/>
    </w:pPr>
    <w:rPr>
      <w:rFonts w:asciiTheme="majorHAnsi" w:hAnsiTheme="majorHAnsi" w:eastAsiaTheme="majorEastAsia" w:cstheme="majorBidi"/>
      <w:b/>
      <w:bCs/>
      <w:szCs w:val="32"/>
    </w:rPr>
  </w:style>
  <w:style w:type="table" w:styleId="9">
    <w:name w:val="Table Grid"/>
    <w:basedOn w:val="8"/>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FollowedHyperlink"/>
    <w:basedOn w:val="10"/>
    <w:semiHidden/>
    <w:unhideWhenUsed/>
    <w:qFormat/>
    <w:uiPriority w:val="99"/>
    <w:rPr>
      <w:rFonts w:ascii="微软雅黑" w:hAnsi="微软雅黑" w:eastAsia="微软雅黑" w:cs="微软雅黑"/>
      <w:color w:val="CC0000"/>
      <w:sz w:val="24"/>
      <w:szCs w:val="24"/>
      <w:u w:val="none"/>
    </w:rPr>
  </w:style>
  <w:style w:type="character" w:styleId="13">
    <w:name w:val="Hyperlink"/>
    <w:basedOn w:val="10"/>
    <w:unhideWhenUsed/>
    <w:qFormat/>
    <w:uiPriority w:val="99"/>
    <w:rPr>
      <w:rFonts w:hint="eastAsia" w:ascii="微软雅黑" w:hAnsi="微软雅黑" w:eastAsia="微软雅黑" w:cs="微软雅黑"/>
      <w:color w:val="CC0000"/>
      <w:sz w:val="24"/>
      <w:szCs w:val="24"/>
      <w:u w:val="none"/>
    </w:rPr>
  </w:style>
  <w:style w:type="character" w:customStyle="1" w:styleId="14">
    <w:name w:val="标题 1 字符"/>
    <w:basedOn w:val="10"/>
    <w:link w:val="2"/>
    <w:qFormat/>
    <w:uiPriority w:val="9"/>
    <w:rPr>
      <w:rFonts w:ascii="Cambria" w:hAnsi="Cambria" w:eastAsia="黑体" w:cs="Times New Roman"/>
      <w:bCs/>
      <w:kern w:val="0"/>
      <w:sz w:val="20"/>
      <w:szCs w:val="21"/>
      <w:lang w:val="zh-CN" w:eastAsia="zh-CN" w:bidi="ar-SA"/>
    </w:rPr>
  </w:style>
  <w:style w:type="character" w:customStyle="1" w:styleId="15">
    <w:name w:val="二级条标题 Char"/>
    <w:link w:val="16"/>
    <w:qFormat/>
    <w:uiPriority w:val="0"/>
    <w:rPr>
      <w:rFonts w:asciiTheme="minorHAnsi" w:hAnsiTheme="minorHAnsi" w:eastAsiaTheme="minorEastAsia" w:cstheme="minorBidi"/>
      <w:kern w:val="2"/>
      <w:sz w:val="21"/>
      <w:szCs w:val="22"/>
      <w:lang w:val="en-US" w:eastAsia="zh-CN" w:bidi="ar-SA"/>
    </w:rPr>
  </w:style>
  <w:style w:type="paragraph" w:customStyle="1" w:styleId="16">
    <w:name w:val="二级条标题"/>
    <w:basedOn w:val="17"/>
    <w:next w:val="1"/>
    <w:link w:val="15"/>
    <w:qFormat/>
    <w:uiPriority w:val="0"/>
    <w:pPr>
      <w:numPr>
        <w:ilvl w:val="3"/>
      </w:numPr>
      <w:outlineLvl w:val="3"/>
    </w:pPr>
    <w:rPr>
      <w:rFonts w:asciiTheme="minorHAnsi" w:hAnsiTheme="minorHAnsi" w:cstheme="minorBidi"/>
    </w:rPr>
  </w:style>
  <w:style w:type="paragraph" w:customStyle="1" w:styleId="17">
    <w:name w:val="一级条标题"/>
    <w:next w:val="1"/>
    <w:qFormat/>
    <w:uiPriority w:val="0"/>
    <w:pPr>
      <w:numPr>
        <w:ilvl w:val="2"/>
        <w:numId w:val="2"/>
      </w:numPr>
      <w:outlineLvl w:val="2"/>
    </w:pPr>
    <w:rPr>
      <w:rFonts w:ascii="黑体" w:hAnsi="Calibri" w:eastAsia="黑体" w:cs="Times New Roman"/>
      <w:kern w:val="2"/>
      <w:sz w:val="21"/>
      <w:szCs w:val="22"/>
      <w:lang w:val="en-US" w:eastAsia="zh-CN" w:bidi="ar-SA"/>
    </w:rPr>
  </w:style>
  <w:style w:type="paragraph" w:customStyle="1" w:styleId="18">
    <w:name w:val="章标题"/>
    <w:next w:val="1"/>
    <w:qFormat/>
    <w:uiPriority w:val="0"/>
    <w:pPr>
      <w:numPr>
        <w:ilvl w:val="1"/>
        <w:numId w:val="2"/>
      </w:numPr>
      <w:spacing w:beforeLines="50" w:afterLines="50"/>
      <w:jc w:val="both"/>
      <w:outlineLvl w:val="1"/>
    </w:pPr>
    <w:rPr>
      <w:rFonts w:ascii="黑体" w:hAnsi="Calibri" w:eastAsia="黑体" w:cs="Times New Roman"/>
      <w:kern w:val="2"/>
      <w:sz w:val="21"/>
      <w:szCs w:val="22"/>
      <w:lang w:val="en-US" w:eastAsia="zh-CN" w:bidi="ar-SA"/>
    </w:rPr>
  </w:style>
  <w:style w:type="paragraph" w:customStyle="1" w:styleId="19">
    <w:name w:val="四级条标题"/>
    <w:basedOn w:val="20"/>
    <w:next w:val="1"/>
    <w:qFormat/>
    <w:uiPriority w:val="0"/>
    <w:pPr>
      <w:numPr>
        <w:ilvl w:val="5"/>
      </w:numPr>
      <w:tabs>
        <w:tab w:val="left" w:pos="360"/>
      </w:tabs>
      <w:outlineLvl w:val="5"/>
    </w:pPr>
  </w:style>
  <w:style w:type="paragraph" w:customStyle="1" w:styleId="20">
    <w:name w:val="三级条标题"/>
    <w:basedOn w:val="16"/>
    <w:next w:val="1"/>
    <w:qFormat/>
    <w:uiPriority w:val="0"/>
    <w:pPr>
      <w:numPr>
        <w:ilvl w:val="4"/>
      </w:numPr>
      <w:tabs>
        <w:tab w:val="left" w:pos="360"/>
      </w:tabs>
      <w:ind w:left="0"/>
      <w:outlineLvl w:val="4"/>
    </w:pPr>
  </w:style>
  <w:style w:type="paragraph" w:customStyle="1" w:styleId="21">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2">
    <w:name w:val="五级条标题"/>
    <w:basedOn w:val="19"/>
    <w:next w:val="1"/>
    <w:qFormat/>
    <w:uiPriority w:val="0"/>
    <w:pPr>
      <w:numPr>
        <w:ilvl w:val="6"/>
      </w:numPr>
      <w:outlineLvl w:val="6"/>
    </w:pPr>
  </w:style>
  <w:style w:type="paragraph" w:styleId="23">
    <w:name w:val="List Paragraph"/>
    <w:basedOn w:val="1"/>
    <w:qFormat/>
    <w:uiPriority w:val="34"/>
    <w:pPr>
      <w:spacing w:line="360" w:lineRule="auto"/>
      <w:ind w:firstLine="420" w:firstLineChars="200"/>
    </w:pPr>
    <w:rPr>
      <w:rFonts w:ascii="Calibri" w:hAnsi="Calibri" w:eastAsia="宋体" w:cs="黑体"/>
      <w:sz w:val="21"/>
    </w:rPr>
  </w:style>
  <w:style w:type="character" w:customStyle="1" w:styleId="24">
    <w:name w:val="页眉 字符"/>
    <w:basedOn w:val="10"/>
    <w:link w:val="5"/>
    <w:qFormat/>
    <w:uiPriority w:val="99"/>
    <w:rPr>
      <w:rFonts w:asciiTheme="minorHAnsi" w:hAnsiTheme="minorHAnsi" w:eastAsiaTheme="minorEastAsia" w:cstheme="minorBidi"/>
      <w:kern w:val="2"/>
      <w:sz w:val="18"/>
      <w:szCs w:val="18"/>
      <w:lang w:val="en-US" w:eastAsia="zh-CN" w:bidi="ar-SA"/>
    </w:rPr>
  </w:style>
  <w:style w:type="character" w:customStyle="1" w:styleId="25">
    <w:name w:val="页脚 字符"/>
    <w:basedOn w:val="10"/>
    <w:link w:val="4"/>
    <w:qFormat/>
    <w:uiPriority w:val="99"/>
    <w:rPr>
      <w:rFonts w:asciiTheme="minorHAnsi" w:hAnsiTheme="minorHAnsi" w:eastAsiaTheme="minorEastAsia" w:cstheme="minorBidi"/>
      <w:kern w:val="2"/>
      <w:sz w:val="18"/>
      <w:szCs w:val="18"/>
      <w:lang w:val="en-US" w:eastAsia="zh-CN" w:bidi="ar-SA"/>
    </w:rPr>
  </w:style>
  <w:style w:type="character" w:customStyle="1" w:styleId="26">
    <w:name w:val="批注框文本 字符"/>
    <w:basedOn w:val="10"/>
    <w:link w:val="3"/>
    <w:semiHidden/>
    <w:qFormat/>
    <w:uiPriority w:val="99"/>
    <w:rPr>
      <w:rFonts w:asciiTheme="minorHAnsi" w:hAnsiTheme="minorHAnsi" w:eastAsiaTheme="minorEastAsia" w:cstheme="minorBidi"/>
      <w:kern w:val="2"/>
      <w:sz w:val="18"/>
      <w:szCs w:val="18"/>
      <w:lang w:val="en-US" w:eastAsia="zh-CN" w:bidi="ar-SA"/>
    </w:rPr>
  </w:style>
  <w:style w:type="character" w:customStyle="1" w:styleId="27">
    <w:name w:val="未处理的提及1"/>
    <w:basedOn w:val="10"/>
    <w:semiHidden/>
    <w:unhideWhenUsed/>
    <w:qFormat/>
    <w:uiPriority w:val="99"/>
    <w:rPr>
      <w:color w:val="605E5C"/>
      <w:shd w:val="clear" w:color="auto" w:fill="E1DFDD"/>
    </w:rPr>
  </w:style>
  <w:style w:type="character" w:customStyle="1" w:styleId="28">
    <w:name w:val="标题 字符"/>
    <w:basedOn w:val="10"/>
    <w:link w:val="7"/>
    <w:qFormat/>
    <w:uiPriority w:val="10"/>
    <w:rPr>
      <w:rFonts w:asciiTheme="majorHAnsi" w:hAnsiTheme="majorHAnsi" w:eastAsiaTheme="majorEastAsia" w:cstheme="majorBidi"/>
      <w:b/>
      <w:bCs/>
      <w:kern w:val="2"/>
      <w:sz w:val="32"/>
      <w:szCs w:val="32"/>
    </w:rPr>
  </w:style>
  <w:style w:type="character" w:customStyle="1" w:styleId="29">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D0A5B-2B60-4F63-A582-60B60D63A478}">
  <ds:schemaRefs/>
</ds:datastoreItem>
</file>

<file path=docProps/app.xml><?xml version="1.0" encoding="utf-8"?>
<Properties xmlns="http://schemas.openxmlformats.org/officeDocument/2006/extended-properties" xmlns:vt="http://schemas.openxmlformats.org/officeDocument/2006/docPropsVTypes">
  <Template>Normal</Template>
  <Pages>2</Pages>
  <Words>1156</Words>
  <Characters>1282</Characters>
  <Lines>9</Lines>
  <Paragraphs>2</Paragraphs>
  <TotalTime>48</TotalTime>
  <ScaleCrop>false</ScaleCrop>
  <LinksUpToDate>false</LinksUpToDate>
  <CharactersWithSpaces>1287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2020-12-16T00:45:00Z</dcterms:created>
  <dc:creator>spj</dc:creator>
  <cp:lastModifiedBy>WPS_1471342065</cp:lastModifiedBy>
  <cp:lastPrinted>2020-06-04T03:13:00Z</cp:lastPrinted>
  <dcterms:modified xsi:type="dcterms:W3CDTF">2024-11-18T12:09:18Z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E91C1A43E4F448A3B55F44816412FDAA_13</vt:lpwstr>
  </property>
</Properties>
</file>