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医疗机构变更床位(牙椅）</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医疗机构变更床位(牙椅）</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lang w:val="en-US" w:eastAsia="zh-CN"/>
        </w:rPr>
        <w:t>从业</w:t>
      </w:r>
      <w:r>
        <w:rPr>
          <w:rFonts w:hint="eastAsia" w:ascii="仿宋" w:hAnsi="仿宋" w:eastAsia="仿宋"/>
          <w:sz w:val="32"/>
          <w:szCs w:val="32"/>
        </w:rPr>
        <w:t>人员的执业证书、专业技术资格证书</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医疗机构建筑设计平面图</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床位增加前后各科室床位分布表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关于增加床位的批准文件</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6.授权他人办理的，提交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4.6pt;margin-top:24.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44B0EF1"/>
    <w:rsid w:val="05974F9A"/>
    <w:rsid w:val="06C74737"/>
    <w:rsid w:val="06E6300A"/>
    <w:rsid w:val="09F71F65"/>
    <w:rsid w:val="10067E60"/>
    <w:rsid w:val="150E4CFB"/>
    <w:rsid w:val="16C94336"/>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687</Words>
  <Characters>805</Characters>
  <Lines>5</Lines>
  <Paragraphs>1</Paragraphs>
  <TotalTime>0</TotalTime>
  <ScaleCrop>false</ScaleCrop>
  <LinksUpToDate>false</LinksUpToDate>
  <CharactersWithSpaces>807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2023-08-02T00:40:09Z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