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pPr>
      <w:r>
        <w:pict>
          <v:rect id="_x0000_s1026" o:spid="_x0000_s1026" o:spt="1" style="position:absolute;left:0pt;margin-left:107.5pt;margin-top:73pt;height:3.65pt;width:4.2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6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95pt;height:0.6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95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6.1pt;height:0.6pt;width:27.05pt;mso-position-horizontal-relative:page;mso-position-vertical-relative:page;z-index:251663360;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2336" behindDoc="0" locked="0" layoutInCell="0" allowOverlap="1">
            <wp:simplePos x="0" y="0"/>
            <wp:positionH relativeFrom="page">
              <wp:posOffset>612775</wp:posOffset>
            </wp:positionH>
            <wp:positionV relativeFrom="page">
              <wp:posOffset>716280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26"/>
                    </a:xfrm>
                    <a:prstGeom prst="rect">
                      <a:avLst/>
                    </a:prstGeom>
                  </pic:spPr>
                </pic:pic>
              </a:graphicData>
            </a:graphic>
          </wp:anchor>
        </w:drawing>
      </w:r>
      <w:r>
        <w:pict>
          <v:shape id="_x0000_s1031" o:spid="_x0000_s1031" o:spt="202" type="#_x0000_t202" style="position:absolute;left:0pt;margin-left:87.05pt;margin-top:95.55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5.6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5.6pt;height:25.3pt;width:39.8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1598930</wp:posOffset>
            </wp:positionH>
            <wp:positionV relativeFrom="page">
              <wp:posOffset>1346835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87"/>
                    </a:xfrm>
                    <a:prstGeom prst="rect">
                      <a:avLst/>
                    </a:prstGeom>
                  </pic:spPr>
                </pic:pic>
              </a:graphicData>
            </a:graphic>
          </wp:anchor>
        </w:drawing>
      </w:r>
      <w:r>
        <w:pict>
          <v:shape id="_x0000_s1034" o:spid="_x0000_s1034" o:spt="202" type="#_x0000_t202" style="position:absolute;left:0pt;margin-left:140.65pt;margin-top:140.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1365250</wp:posOffset>
            </wp:positionH>
            <wp:positionV relativeFrom="page">
              <wp:posOffset>1519555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9"/>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33"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8"/>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7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94"/>
      </w:pPr>
      <w:r>
        <w:rPr>
          <w:color w:val="231F20"/>
          <w:spacing w:val="-2"/>
        </w:rPr>
        <w:t>法定时限：20个工作日</w:t>
      </w:r>
    </w:p>
    <w:p>
      <w:pPr>
        <w:pStyle w:val="2"/>
        <w:spacing w:before="43" w:line="249"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41"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90"/>
      </w:pPr>
      <w:r>
        <w:rPr>
          <w:color w:val="231F20"/>
          <w:spacing w:val="-5"/>
        </w:rPr>
        <w:t>不收费</w:t>
      </w:r>
    </w:p>
    <w:p>
      <w:pPr>
        <w:spacing w:before="39"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7"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8"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36" w:line="258" w:lineRule="auto"/>
        <w:ind w:left="47" w:right="1032" w:firstLine="452"/>
      </w:pPr>
      <w:r>
        <w:rPr>
          <w:color w:val="231F20"/>
          <w:spacing w:val="1"/>
        </w:rPr>
        <w:t>1.中国（河北）自由贸易试验区曹妃甸</w:t>
      </w:r>
      <w:r>
        <w:rPr>
          <w:color w:val="231F20"/>
          <w:spacing w:val="4"/>
        </w:rPr>
        <w:t xml:space="preserve"> </w:t>
      </w:r>
      <w:r>
        <w:rPr>
          <w:color w:val="231F20"/>
          <w:spacing w:val="1"/>
        </w:rPr>
        <w:t>片区政务服务中心、唐山市曹妃甸区临港政</w:t>
      </w:r>
      <w:r>
        <w:rPr>
          <w:color w:val="231F20"/>
          <w:spacing w:val="3"/>
        </w:rPr>
        <w:t xml:space="preserve"> </w:t>
      </w:r>
      <w:r>
        <w:rPr>
          <w:color w:val="231F20"/>
          <w:spacing w:val="17"/>
        </w:rPr>
        <w:t>务服务中心（曹妃甸工业区兴业道1号二</w:t>
      </w:r>
      <w:r>
        <w:rPr>
          <w:color w:val="231F20"/>
          <w:spacing w:val="13"/>
        </w:rPr>
        <w:t xml:space="preserve"> </w:t>
      </w:r>
      <w:r>
        <w:rPr>
          <w:color w:val="231F20"/>
          <w:spacing w:val="-2"/>
        </w:rPr>
        <w:t>层）</w:t>
      </w:r>
    </w:p>
    <w:p>
      <w:pPr>
        <w:pStyle w:val="2"/>
        <w:spacing w:before="43" w:line="248" w:lineRule="auto"/>
        <w:ind w:left="21" w:right="1032" w:firstLine="463"/>
      </w:pPr>
      <w:r>
        <w:rPr>
          <w:color w:val="231F20"/>
          <w:spacing w:val="17"/>
        </w:rPr>
        <w:t>2.唐山市曹妃甸区垦区政务服务中心</w:t>
      </w:r>
      <w:r>
        <w:rPr>
          <w:color w:val="231F20"/>
          <w:spacing w:val="2"/>
        </w:rPr>
        <w:t xml:space="preserve"> </w:t>
      </w:r>
      <w:r>
        <w:rPr>
          <w:color w:val="231F20"/>
        </w:rPr>
        <w:t>（曹妃甸区唐海镇新城大街259号二层）</w:t>
      </w:r>
    </w:p>
    <w:p>
      <w:pPr>
        <w:pStyle w:val="2"/>
        <w:spacing w:before="45" w:line="249" w:lineRule="auto"/>
        <w:ind w:left="73" w:right="1033" w:firstLine="409"/>
      </w:pPr>
      <w:r>
        <w:rPr>
          <w:color w:val="231F20"/>
          <w:spacing w:val="3"/>
        </w:rPr>
        <w:t>3.唐山市曹妃甸区曹妃甸新城政务服务</w:t>
      </w:r>
      <w:r>
        <w:rPr>
          <w:color w:val="231F20"/>
          <w:spacing w:val="16"/>
        </w:rPr>
        <w:t xml:space="preserve"> </w:t>
      </w:r>
      <w:r>
        <w:rPr>
          <w:color w:val="231F20"/>
          <w:spacing w:val="-3"/>
        </w:rPr>
        <w:t>中心（曹妃甸区新城通海路）</w:t>
      </w:r>
    </w:p>
    <w:p>
      <w:pPr>
        <w:spacing w:before="43" w:line="204" w:lineRule="auto"/>
        <w:ind w:left="4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pStyle w:val="2"/>
        <w:spacing w:before="39" w:line="245" w:lineRule="auto"/>
        <w:ind w:left="42" w:right="1031" w:firstLine="440"/>
      </w:pPr>
      <w:r>
        <w:rPr>
          <w:color w:val="231F20"/>
          <w:spacing w:val="1"/>
        </w:rPr>
        <w:t>周一至周五（法定节假日除外</w:t>
      </w:r>
      <w:r>
        <w:rPr>
          <w:color w:val="231F20"/>
          <w:spacing w:val="5"/>
        </w:rPr>
        <w:t>）；</w:t>
      </w:r>
      <w:r>
        <w:rPr>
          <w:color w:val="231F20"/>
          <w:spacing w:val="1"/>
        </w:rPr>
        <w:t>上午</w:t>
      </w:r>
      <w:r>
        <w:rPr>
          <w:color w:val="231F20"/>
        </w:rPr>
        <w:t xml:space="preserve"> </w:t>
      </w:r>
      <w:r>
        <w:rPr>
          <w:color w:val="231F20"/>
          <w:spacing w:val="2"/>
        </w:rPr>
        <w:t>8:30—12：00，下午13:30—1</w:t>
      </w:r>
      <w:r>
        <w:rPr>
          <w:color w:val="231F20"/>
          <w:spacing w:val="1"/>
        </w:rPr>
        <w:t>7:30（9月1日</w:t>
      </w:r>
      <w:r>
        <w:rPr>
          <w:color w:val="231F20"/>
        </w:rPr>
        <w:t xml:space="preserve"> </w:t>
      </w:r>
      <w:r>
        <w:rPr>
          <w:color w:val="231F20"/>
          <w:spacing w:val="3"/>
        </w:rPr>
        <w:t>至5月31日</w:t>
      </w:r>
      <w:r>
        <w:rPr>
          <w:color w:val="231F20"/>
          <w:spacing w:val="41"/>
        </w:rPr>
        <w:t>）；</w:t>
      </w:r>
      <w:r>
        <w:rPr>
          <w:color w:val="231F20"/>
          <w:spacing w:val="3"/>
        </w:rPr>
        <w:t>上午8:30—12： 00， 下午</w:t>
      </w:r>
      <w:r>
        <w:rPr>
          <w:color w:val="231F20"/>
          <w:spacing w:val="1"/>
        </w:rPr>
        <w:t xml:space="preserve"> </w:t>
      </w:r>
      <w:r>
        <w:rPr>
          <w:color w:val="231F20"/>
        </w:rPr>
        <w:t>14:30—17:30（6月1日至8月3</w:t>
      </w:r>
      <w:r>
        <w:rPr>
          <w:color w:val="231F20"/>
          <w:spacing w:val="-1"/>
        </w:rPr>
        <w:t>1日）</w:t>
      </w:r>
    </w:p>
    <w:p>
      <w:pPr>
        <w:spacing w:line="14" w:lineRule="auto"/>
        <w:rPr>
          <w:rFonts w:ascii="Arial"/>
          <w:sz w:val="2"/>
        </w:rPr>
      </w:pPr>
      <w:r>
        <w:rPr>
          <w:rFonts w:ascii="Arial" w:hAnsi="Arial" w:eastAsia="Arial" w:cs="Arial"/>
          <w:sz w:val="2"/>
          <w:szCs w:val="2"/>
        </w:rPr>
        <w:br w:type="column"/>
      </w:r>
    </w:p>
    <w:p>
      <w:pPr>
        <w:spacing w:line="202" w:lineRule="auto"/>
        <w:ind w:left="44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43" w:line="256" w:lineRule="auto"/>
        <w:ind w:right="20" w:firstLine="440"/>
      </w:pPr>
      <w:r>
        <w:rPr>
          <w:color w:val="231F20"/>
          <w:spacing w:val="3"/>
        </w:rPr>
        <w:t>03</w:t>
      </w:r>
      <w:r>
        <w:rPr>
          <w:color w:val="231F20"/>
          <w:spacing w:val="-6"/>
        </w:rPr>
        <w:t xml:space="preserve"> </w:t>
      </w:r>
      <w:r>
        <w:rPr>
          <w:color w:val="231F20"/>
          <w:spacing w:val="3"/>
        </w:rPr>
        <w:t>1</w:t>
      </w:r>
      <w:r>
        <w:rPr>
          <w:color w:val="231F20"/>
          <w:spacing w:val="-33"/>
        </w:rPr>
        <w:t xml:space="preserve"> </w:t>
      </w:r>
      <w:r>
        <w:rPr>
          <w:color w:val="231F20"/>
          <w:spacing w:val="3"/>
        </w:rPr>
        <w:t>5</w:t>
      </w:r>
      <w:r>
        <w:rPr>
          <w:color w:val="231F20"/>
          <w:spacing w:val="-34"/>
        </w:rPr>
        <w:t xml:space="preserve"> </w:t>
      </w:r>
      <w:r>
        <w:rPr>
          <w:color w:val="231F20"/>
          <w:spacing w:val="3"/>
        </w:rPr>
        <w:t>-</w:t>
      </w:r>
      <w:r>
        <w:rPr>
          <w:color w:val="231F20"/>
          <w:spacing w:val="-37"/>
        </w:rPr>
        <w:t xml:space="preserve"> </w:t>
      </w:r>
      <w:r>
        <w:rPr>
          <w:color w:val="231F20"/>
          <w:spacing w:val="3"/>
        </w:rPr>
        <w:t>8</w:t>
      </w:r>
      <w:r>
        <w:rPr>
          <w:color w:val="231F20"/>
          <w:spacing w:val="-37"/>
        </w:rPr>
        <w:t xml:space="preserve"> </w:t>
      </w:r>
      <w:r>
        <w:rPr>
          <w:color w:val="231F20"/>
          <w:spacing w:val="3"/>
        </w:rPr>
        <w:t>8</w:t>
      </w:r>
      <w:r>
        <w:rPr>
          <w:color w:val="231F20"/>
          <w:spacing w:val="-33"/>
        </w:rPr>
        <w:t xml:space="preserve"> </w:t>
      </w:r>
      <w:r>
        <w:rPr>
          <w:color w:val="231F20"/>
          <w:spacing w:val="3"/>
        </w:rPr>
        <w:t>51</w:t>
      </w:r>
      <w:r>
        <w:rPr>
          <w:color w:val="231F20"/>
          <w:spacing w:val="-36"/>
        </w:rPr>
        <w:t xml:space="preserve"> </w:t>
      </w:r>
      <w:r>
        <w:rPr>
          <w:color w:val="231F20"/>
          <w:spacing w:val="3"/>
        </w:rPr>
        <w:t>606（临</w:t>
      </w:r>
      <w:r>
        <w:rPr>
          <w:color w:val="231F20"/>
          <w:spacing w:val="-31"/>
        </w:rPr>
        <w:t xml:space="preserve"> </w:t>
      </w:r>
      <w:r>
        <w:rPr>
          <w:color w:val="231F20"/>
          <w:spacing w:val="3"/>
        </w:rPr>
        <w:t>港 中</w:t>
      </w:r>
      <w:r>
        <w:rPr>
          <w:color w:val="231F20"/>
          <w:spacing w:val="-30"/>
        </w:rPr>
        <w:t xml:space="preserve"> </w:t>
      </w:r>
      <w:r>
        <w:rPr>
          <w:color w:val="231F20"/>
          <w:spacing w:val="3"/>
        </w:rPr>
        <w:t>心</w:t>
      </w:r>
      <w:r>
        <w:rPr>
          <w:color w:val="231F20"/>
          <w:spacing w:val="-48"/>
        </w:rPr>
        <w:t xml:space="preserve"> </w:t>
      </w:r>
      <w:r>
        <w:rPr>
          <w:color w:val="231F20"/>
          <w:spacing w:val="3"/>
        </w:rPr>
        <w:t>）</w:t>
      </w:r>
      <w:r>
        <w:rPr>
          <w:color w:val="231F20"/>
          <w:spacing w:val="-48"/>
        </w:rPr>
        <w:t xml:space="preserve"> </w:t>
      </w:r>
      <w:r>
        <w:rPr>
          <w:color w:val="231F20"/>
          <w:spacing w:val="3"/>
        </w:rPr>
        <w:t>、</w:t>
      </w:r>
      <w:r>
        <w:rPr>
          <w:color w:val="231F20"/>
        </w:rPr>
        <w:t xml:space="preserve"> </w:t>
      </w:r>
      <w:r>
        <w:rPr>
          <w:color w:val="231F20"/>
          <w:spacing w:val="-16"/>
        </w:rPr>
        <w:t>0 3 1 5 - 8</w:t>
      </w:r>
      <w:r>
        <w:rPr>
          <w:color w:val="231F20"/>
          <w:spacing w:val="10"/>
        </w:rPr>
        <w:t xml:space="preserve"> </w:t>
      </w:r>
      <w:r>
        <w:rPr>
          <w:color w:val="231F20"/>
          <w:spacing w:val="-16"/>
        </w:rPr>
        <w:t>7 8 7 0</w:t>
      </w:r>
      <w:r>
        <w:rPr>
          <w:color w:val="231F20"/>
          <w:spacing w:val="-6"/>
        </w:rPr>
        <w:t xml:space="preserve"> </w:t>
      </w:r>
      <w:r>
        <w:rPr>
          <w:color w:val="231F20"/>
          <w:spacing w:val="-16"/>
        </w:rPr>
        <w:t>5</w:t>
      </w:r>
      <w:r>
        <w:rPr>
          <w:color w:val="231F20"/>
          <w:spacing w:val="-10"/>
        </w:rPr>
        <w:t xml:space="preserve"> </w:t>
      </w:r>
      <w:r>
        <w:rPr>
          <w:color w:val="231F20"/>
          <w:spacing w:val="-16"/>
        </w:rPr>
        <w:t>0</w:t>
      </w:r>
      <w:r>
        <w:rPr>
          <w:color w:val="231F20"/>
          <w:spacing w:val="78"/>
        </w:rPr>
        <w:t xml:space="preserve"> </w:t>
      </w:r>
      <w:r>
        <w:rPr>
          <w:color w:val="231F20"/>
          <w:spacing w:val="-16"/>
        </w:rPr>
        <w:t>（垦</w:t>
      </w:r>
      <w:r>
        <w:rPr>
          <w:color w:val="231F20"/>
          <w:spacing w:val="37"/>
        </w:rPr>
        <w:t xml:space="preserve"> </w:t>
      </w:r>
      <w:r>
        <w:rPr>
          <w:color w:val="231F20"/>
          <w:spacing w:val="-16"/>
        </w:rPr>
        <w:t>区</w:t>
      </w:r>
      <w:r>
        <w:rPr>
          <w:color w:val="231F20"/>
          <w:spacing w:val="19"/>
        </w:rPr>
        <w:t xml:space="preserve"> </w:t>
      </w:r>
      <w:r>
        <w:rPr>
          <w:color w:val="231F20"/>
          <w:spacing w:val="-16"/>
        </w:rPr>
        <w:t>中</w:t>
      </w:r>
      <w:r>
        <w:rPr>
          <w:color w:val="231F20"/>
          <w:spacing w:val="-4"/>
        </w:rPr>
        <w:t xml:space="preserve"> </w:t>
      </w:r>
      <w:r>
        <w:rPr>
          <w:color w:val="231F20"/>
          <w:spacing w:val="-16"/>
        </w:rPr>
        <w:t>心 ） 、</w:t>
      </w:r>
      <w:r>
        <w:rPr>
          <w:color w:val="231F20"/>
        </w:rPr>
        <w:t xml:space="preserve"> </w:t>
      </w:r>
      <w:r>
        <w:rPr>
          <w:color w:val="231F20"/>
          <w:spacing w:val="-1"/>
        </w:rPr>
        <w:t>0315-7721104（新城中心）</w:t>
      </w:r>
    </w:p>
    <w:p>
      <w:pPr>
        <w:spacing w:before="45" w:line="199" w:lineRule="auto"/>
        <w:ind w:left="44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81" w:line="190" w:lineRule="auto"/>
        <w:ind w:left="440"/>
      </w:pPr>
      <w:r>
        <w:rPr>
          <w:color w:val="231F20"/>
          <w:spacing w:val="-1"/>
        </w:rPr>
        <w:t>0315-8787068</w:t>
      </w:r>
    </w:p>
    <w:p>
      <w:pPr>
        <w:spacing w:before="72" w:line="203" w:lineRule="auto"/>
        <w:ind w:left="44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十五、救济途径</w:t>
      </w:r>
    </w:p>
    <w:p>
      <w:pPr>
        <w:pStyle w:val="2"/>
        <w:spacing w:before="41" w:line="246" w:lineRule="auto"/>
        <w:ind w:left="51" w:right="2" w:firstLine="409"/>
        <w:rPr>
          <w:rFonts w:hint="eastAsia"/>
          <w:color w:val="231F20"/>
          <w:spacing w:val="-3"/>
        </w:rPr>
      </w:pPr>
      <w:r>
        <w:rPr>
          <w:color w:val="231F20"/>
          <w:spacing w:val="2"/>
        </w:rPr>
        <w:t>申请人如对行政许可决定不服，可于收</w:t>
      </w:r>
      <w:r>
        <w:rPr>
          <w:color w:val="231F20"/>
          <w:spacing w:val="15"/>
        </w:rPr>
        <w:t xml:space="preserve"> </w:t>
      </w:r>
      <w:r>
        <w:rPr>
          <w:color w:val="231F20"/>
          <w:spacing w:val="4"/>
        </w:rPr>
        <w:t>到决定书之日起六十日内向唐山市曹妃甸区</w:t>
      </w:r>
      <w:r>
        <w:rPr>
          <w:color w:val="231F20"/>
          <w:spacing w:val="7"/>
        </w:rPr>
        <w:t xml:space="preserve"> </w:t>
      </w:r>
      <w:r>
        <w:rPr>
          <w:color w:val="231F20"/>
          <w:spacing w:val="4"/>
        </w:rPr>
        <w:t>人民政府申请复议，也可以于六个月内依法</w:t>
      </w:r>
      <w:r>
        <w:rPr>
          <w:color w:val="231F20"/>
          <w:spacing w:val="7"/>
        </w:rPr>
        <w:t xml:space="preserve"> </w:t>
      </w:r>
      <w:r>
        <w:rPr>
          <w:color w:val="231F20"/>
          <w:spacing w:val="-2"/>
        </w:rPr>
        <w:t>向唐山市曹妃甸区人民法院提起行政诉讼。</w:t>
      </w: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550"/>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兽药经营企业变更单位名称服务指南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94" w:line="231" w:lineRule="auto"/>
        <w:ind w:left="4789"/>
      </w:pPr>
      <w:r>
        <w:rPr>
          <w:color w:val="231F20"/>
          <w:spacing w:val="-2"/>
        </w:rPr>
        <w:t>兽药经营企业变更单位名称</w:t>
      </w:r>
    </w:p>
    <w:p>
      <w:pPr>
        <w:spacing w:before="9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92" w:line="230" w:lineRule="auto"/>
        <w:ind w:left="4802"/>
      </w:pPr>
      <w:r>
        <w:rPr>
          <w:color w:val="231F20"/>
          <w:spacing w:val="-3"/>
        </w:rPr>
        <w:t>1.《兽药管理条例》第二十二条</w:t>
      </w:r>
    </w:p>
    <w:p>
      <w:pPr>
        <w:pStyle w:val="2"/>
        <w:spacing w:before="102" w:line="230" w:lineRule="auto"/>
        <w:ind w:left="4786"/>
      </w:pPr>
      <w:r>
        <w:rPr>
          <w:color w:val="231F20"/>
        </w:rPr>
        <w:t>2.《兽药经营质量管理规范》</w:t>
      </w:r>
    </w:p>
    <w:p>
      <w:pPr>
        <w:pStyle w:val="2"/>
        <w:spacing w:before="102" w:line="410" w:lineRule="exact"/>
        <w:ind w:left="4784"/>
      </w:pPr>
      <w:r>
        <w:rPr>
          <w:color w:val="231F20"/>
          <w:spacing w:val="2"/>
          <w:position w:val="13"/>
        </w:rPr>
        <w:t>3.《河北省兽药经营质量管理规范实施</w:t>
      </w:r>
    </w:p>
    <w:p>
      <w:pPr>
        <w:pStyle w:val="2"/>
        <w:spacing w:line="230" w:lineRule="auto"/>
        <w:ind w:left="4350"/>
      </w:pPr>
      <w:r>
        <w:rPr>
          <w:color w:val="231F20"/>
        </w:rPr>
        <w:t>细则》</w:t>
      </w:r>
    </w:p>
    <w:p>
      <w:pPr>
        <w:spacing w:before="9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94" w:line="228" w:lineRule="auto"/>
        <w:ind w:left="4833"/>
      </w:pPr>
      <w:r>
        <w:rPr>
          <w:color w:val="231F20"/>
          <w:spacing w:val="-4"/>
        </w:rPr>
        <w:t>自然人、企业法人、社会组织法人</w:t>
      </w:r>
    </w:p>
    <w:p>
      <w:pPr>
        <w:spacing w:before="10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93" w:line="410" w:lineRule="exact"/>
        <w:ind w:left="4784"/>
      </w:pPr>
      <w:r>
        <w:rPr>
          <w:color w:val="231F20"/>
          <w:spacing w:val="1"/>
          <w:position w:val="13"/>
        </w:rPr>
        <w:t>提交材料齐全，符合法定程序，内容真</w:t>
      </w:r>
    </w:p>
    <w:p>
      <w:pPr>
        <w:pStyle w:val="2"/>
        <w:spacing w:before="1" w:line="234" w:lineRule="auto"/>
        <w:ind w:left="4356"/>
      </w:pPr>
      <w:r>
        <w:rPr>
          <w:color w:val="231F20"/>
          <w:spacing w:val="-9"/>
        </w:rPr>
        <w:t>实有效。</w:t>
      </w:r>
    </w:p>
    <w:p>
      <w:pPr>
        <w:spacing w:before="9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92" w:line="229" w:lineRule="auto"/>
        <w:ind w:left="4802"/>
      </w:pPr>
      <w:r>
        <w:rPr>
          <w:color w:val="231F20"/>
          <w:spacing w:val="-3"/>
        </w:rPr>
        <w:t>1.行政许可申请书；</w:t>
      </w:r>
    </w:p>
    <w:p>
      <w:pPr>
        <w:pStyle w:val="2"/>
        <w:spacing w:before="103" w:line="229" w:lineRule="auto"/>
        <w:ind w:left="4786"/>
      </w:pPr>
      <w:r>
        <w:rPr>
          <w:color w:val="231F20"/>
          <w:spacing w:val="-5"/>
        </w:rPr>
        <w:t>2.变更后的营业执照；</w:t>
      </w:r>
    </w:p>
    <w:p>
      <w:pPr>
        <w:pStyle w:val="2"/>
        <w:spacing w:before="104" w:line="230" w:lineRule="auto"/>
        <w:ind w:left="4784"/>
      </w:pPr>
      <w:r>
        <w:rPr>
          <w:color w:val="231F20"/>
        </w:rPr>
        <w:t>3.原《兽药经营许可证》</w:t>
      </w:r>
    </w:p>
    <w:p>
      <w:pPr>
        <w:pStyle w:val="2"/>
        <w:spacing w:before="101" w:line="232" w:lineRule="auto"/>
        <w:ind w:left="4763"/>
      </w:pPr>
      <w:r>
        <w:rPr>
          <w:color w:val="231F20"/>
          <w:spacing w:val="1"/>
        </w:rPr>
        <w:t>（2、3项可以用告知承诺书代替）</w:t>
      </w:r>
    </w:p>
    <w:p>
      <w:pPr>
        <w:pStyle w:val="2"/>
        <w:spacing w:before="99" w:line="232" w:lineRule="auto"/>
        <w:ind w:left="4785"/>
      </w:pPr>
      <w:r>
        <w:rPr>
          <w:color w:val="231F20"/>
          <w:spacing w:val="-2"/>
        </w:rPr>
        <w:t>4.告知承诺书</w:t>
      </w:r>
    </w:p>
    <w:p>
      <w:pPr>
        <w:spacing w:before="97"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93" w:line="231" w:lineRule="auto"/>
        <w:ind w:left="4784"/>
      </w:pPr>
      <w:r>
        <w:rPr>
          <w:color w:val="231F20"/>
          <w:spacing w:val="-1"/>
        </w:rPr>
        <w:t>唐山市曹妃甸区行政审批局</w:t>
      </w:r>
    </w:p>
    <w:p>
      <w:pPr>
        <w:spacing w:before="9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520B4E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2023-03-30T14:42:00Z</dcterms:created>
  <dc:creator>Admin</dc:creator>
  <cp:lastModifiedBy>白筱羽</cp:lastModifiedBy>
  <dcterms:modified xsi:type="dcterms:W3CDTF">2023-08-01T09:00:37Z</dcterms:modified>
  <dc:title>227.兽药经营企业变更单位名称服务指南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2023-08-01T16:16:36Z</vt:filetime>
  </property>
  <property fmtid="{D5CDD505-2E9C-101B-9397-08002B2CF9AE}" pid="4" name="KSOProductBuildVer">
    <vt:lpwstr>2052-12.1.0.15120</vt:lpwstr>
  </property>
  <property fmtid="{D5CDD505-2E9C-101B-9397-08002B2CF9AE}" pid="5" name="ICV">
    <vt:lpwstr>14A014059B514AD9BC2CC8C6D706C82D_12</vt:lpwstr>
  </property>
</Properties>
</file>