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0" w:line="203" w:lineRule="auto"/>
        <w:ind w:left="484"/>
        <w:rPr>
          <w:rFonts w:ascii="微软雅黑" w:hAnsi="微软雅黑" w:eastAsia="微软雅黑" w:cs="微软雅黑"/>
          <w:sz w:val="22"/>
          <w:szCs w:val="22"/>
        </w:rPr>
      </w:pPr>
      <w:r>
        <w:pict>
          <v:rect id="_x0000_s1026" o:spid="_x0000_s1026" o:spt="1" style="position:absolute;left:0pt;margin-left:107.5pt;margin-top:129pt;height:3.65pt;width:4.2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132pt;height:21.05pt;width:0.65pt;mso-position-horizontal-relative:page;mso-position-vertical-relative:page;z-index:251664384;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163.95pt;height:0.6pt;width:16.7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163.95pt;height:0.6pt;width:14.7pt;mso-position-horizontal-relative:page;mso-position-vertical-relative:page;z-index:251662336;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112.1pt;height:0.6pt;width:27.05pt;mso-position-horizontal-relative:page;mso-position-vertical-relative:page;z-index:251666432;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1312" behindDoc="0" locked="0" layoutInCell="0" allowOverlap="1">
            <wp:simplePos x="0" y="0"/>
            <wp:positionH relativeFrom="page">
              <wp:posOffset>612775</wp:posOffset>
            </wp:positionH>
            <wp:positionV relativeFrom="page">
              <wp:posOffset>1427480</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53187" cy="513532"/>
                    </a:xfrm>
                    <a:prstGeom prst="rect">
                      <a:avLst/>
                    </a:prstGeom>
                  </pic:spPr>
                </pic:pic>
              </a:graphicData>
            </a:graphic>
          </wp:anchor>
        </w:drawing>
      </w:r>
      <w:r>
        <w:pict>
          <v:shape id="_x0000_s1031" o:spid="_x0000_s1031" o:spt="202" type="#_x0000_t202" style="position:absolute;left:0pt;margin-left:87.05pt;margin-top:151.55pt;height:25.3pt;width:40.1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45282" cy="53200"/>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26.9pt;margin-top:151.6pt;height:25.3pt;width:48.15pt;mso-position-horizontal-relative:page;mso-position-vertical-relative:page;z-index:25165926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91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rPr>
                      <w:rFonts w:ascii="Arial"/>
                      <w:sz w:val="21"/>
                    </w:rPr>
                  </w:pPr>
                </w:p>
              </w:txbxContent>
            </v:textbox>
          </v:shape>
        </w:pict>
      </w:r>
      <w:r>
        <w:pict>
          <v:shape id="_x0000_s1033" o:spid="_x0000_s1033" o:spt="202" type="#_x0000_t202" style="position:absolute;left:0pt;margin-left:201.7pt;margin-top:151.6pt;height:25.3pt;width:39.8pt;mso-position-horizontal-relative:page;mso-position-vertical-relative:page;z-index:25166950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
                                      <a:stretch>
                                        <a:fillRect/>
                                      </a:stretch>
                                    </pic:blipFill>
                                    <pic:spPr>
                                      <a:xfrm>
                                        <a:off x="0" y="0"/>
                                        <a:ext cx="45276" cy="53200"/>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1598930</wp:posOffset>
            </wp:positionH>
            <wp:positionV relativeFrom="page">
              <wp:posOffset>2058035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0"/>
                    <a:stretch>
                      <a:fillRect/>
                    </a:stretch>
                  </pic:blipFill>
                  <pic:spPr>
                    <a:xfrm>
                      <a:off x="0" y="0"/>
                      <a:ext cx="341556" cy="53200"/>
                    </a:xfrm>
                    <a:prstGeom prst="rect">
                      <a:avLst/>
                    </a:prstGeom>
                  </pic:spPr>
                </pic:pic>
              </a:graphicData>
            </a:graphic>
          </wp:anchor>
        </w:drawing>
      </w:r>
      <w:r>
        <w:pict>
          <v:shape id="_x0000_s1034" o:spid="_x0000_s1034" o:spt="202" type="#_x0000_t202" style="position:absolute;left:0pt;margin-left:87.85pt;margin-top:195.6pt;height:25.3pt;width:43.5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819"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1365250</wp:posOffset>
            </wp:positionH>
            <wp:positionV relativeFrom="page">
              <wp:posOffset>2230755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1"/>
                    <a:stretch>
                      <a:fillRect/>
                    </a:stretch>
                  </pic:blipFill>
                  <pic:spPr>
                    <a:xfrm>
                      <a:off x="0" y="0"/>
                      <a:ext cx="53187" cy="269503"/>
                    </a:xfrm>
                    <a:prstGeom prst="rect">
                      <a:avLst/>
                    </a:prstGeom>
                  </pic:spPr>
                </pic:pic>
              </a:graphicData>
            </a:graphic>
          </wp:anchor>
        </w:drawing>
      </w:r>
      <w:r>
        <w:rPr>
          <w:rFonts w:ascii="微软雅黑" w:hAnsi="微软雅黑" w:eastAsia="微软雅黑" w:cs="微软雅黑"/>
          <w:color w:val="231F20"/>
          <w:spacing w:val="-2"/>
          <w:sz w:val="22"/>
          <w:szCs w:val="22"/>
        </w:rPr>
        <w:t>六、审批机关</w:t>
      </w:r>
    </w:p>
    <w:p>
      <w:pPr>
        <w:pStyle w:val="2"/>
        <w:spacing w:before="43" w:line="356" w:lineRule="exact"/>
        <w:ind w:left="482"/>
      </w:pPr>
      <w:r>
        <w:rPr>
          <w:color w:val="231F20"/>
          <w:spacing w:val="-1"/>
          <w:position w:val="9"/>
        </w:rPr>
        <w:t>唐山市曹妃甸区行政审批局</w:t>
      </w:r>
    </w:p>
    <w:p>
      <w:pPr>
        <w:spacing w:line="202" w:lineRule="auto"/>
        <w:ind w:left="48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14"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678" w:type="dxa"/>
        <w:tblInd w:w="2496"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678" w:type="dxa"/>
            <w:vAlign w:val="top"/>
          </w:tcPr>
          <w:p>
            <w:pPr>
              <w:pStyle w:val="6"/>
              <w:spacing w:before="142" w:line="220" w:lineRule="auto"/>
              <w:ind w:left="165"/>
            </w:pPr>
            <w:r>
              <w:rPr>
                <w:color w:val="231F20"/>
                <w:spacing w:val="-3"/>
              </w:rPr>
              <w:t>审核</w:t>
            </w:r>
          </w:p>
        </w:tc>
      </w:tr>
    </w:tbl>
    <w:p>
      <w:pPr>
        <w:spacing w:line="423" w:lineRule="exact"/>
        <w:ind w:firstLine="2774"/>
      </w:pPr>
      <w:r>
        <w:rPr>
          <w:position w:val="-8"/>
        </w:rPr>
        <w:drawing>
          <wp:inline distT="0" distB="0" distL="0" distR="0">
            <wp:extent cx="52705" cy="26860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2"/>
                    <a:stretch>
                      <a:fillRect/>
                    </a:stretch>
                  </pic:blipFill>
                  <pic:spPr>
                    <a:xfrm>
                      <a:off x="0" y="0"/>
                      <a:ext cx="53187" cy="268712"/>
                    </a:xfrm>
                    <a:prstGeom prst="rect">
                      <a:avLst/>
                    </a:prstGeom>
                  </pic:spPr>
                </pic:pic>
              </a:graphicData>
            </a:graphic>
          </wp:inline>
        </w:drawing>
      </w:r>
    </w:p>
    <w:p>
      <w:pPr>
        <w:spacing w:line="39" w:lineRule="auto"/>
        <w:rPr>
          <w:rFonts w:ascii="Arial"/>
          <w:sz w:val="2"/>
        </w:rPr>
      </w:pPr>
    </w:p>
    <w:tbl>
      <w:tblPr>
        <w:tblStyle w:val="5"/>
        <w:tblW w:w="1117" w:type="dxa"/>
        <w:tblInd w:w="227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spacing w:before="208"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55" w:line="233" w:lineRule="auto"/>
        <w:ind w:left="494"/>
      </w:pPr>
      <w:r>
        <w:rPr>
          <w:color w:val="231F20"/>
          <w:spacing w:val="-2"/>
        </w:rPr>
        <w:t>法定时限：20个工作日</w:t>
      </w:r>
    </w:p>
    <w:p>
      <w:pPr>
        <w:pStyle w:val="2"/>
        <w:spacing w:before="58" w:line="254" w:lineRule="auto"/>
        <w:ind w:left="44" w:right="1032"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55"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54" w:line="233" w:lineRule="auto"/>
        <w:ind w:left="490"/>
      </w:pPr>
      <w:r>
        <w:rPr>
          <w:color w:val="231F20"/>
          <w:spacing w:val="-5"/>
        </w:rPr>
        <w:t>不收费</w:t>
      </w:r>
    </w:p>
    <w:p>
      <w:pPr>
        <w:spacing w:before="53"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51"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spacing w:before="73"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color w:val="231F20"/>
          <w:spacing w:val="1"/>
        </w:rPr>
        <w:t>1.中国（河北）自由贸易试验区曹妃</w:t>
      </w: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3" w:right="1" w:firstLine="473"/>
      </w:pPr>
      <w:bookmarkStart w:id="0" w:name="_GoBack"/>
      <w:bookmarkEnd w:id="0"/>
    </w:p>
    <w:p>
      <w:pPr>
        <w:spacing w:line="259" w:lineRule="auto"/>
        <w:sectPr>
          <w:pgSz w:w="10772" w:h="11906"/>
          <w:pgMar w:top="706" w:right="561" w:bottom="0" w:left="558" w:header="0" w:footer="0" w:gutter="0"/>
          <w:cols w:equalWidth="0" w:num="2">
            <w:col w:w="5283" w:space="100"/>
            <w:col w:w="4270"/>
          </w:cols>
        </w:sect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4668"/>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3"/>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道路旅客运输站经营许可服务指南</w:t>
      </w:r>
    </w:p>
    <w:p>
      <w:pPr>
        <w:spacing w:line="200" w:lineRule="auto"/>
        <w:ind w:left="512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（实行告知承诺制事项）</w:t>
      </w:r>
    </w:p>
    <w:p>
      <w:pPr>
        <w:spacing w:before="22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18" w:line="233" w:lineRule="auto"/>
        <w:ind w:left="4785"/>
      </w:pPr>
      <w:r>
        <w:rPr>
          <w:color w:val="231F20"/>
          <w:spacing w:val="-2"/>
        </w:rPr>
        <w:t>道路旅客运输站经营许可</w:t>
      </w:r>
    </w:p>
    <w:p>
      <w:pPr>
        <w:spacing w:before="18"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17" w:line="241" w:lineRule="auto"/>
        <w:ind w:left="4357" w:right="623" w:firstLine="444"/>
      </w:pPr>
      <w:r>
        <w:rPr>
          <w:color w:val="231F20"/>
        </w:rPr>
        <w:t xml:space="preserve">1.《中华人民共和国道路运输条例》第 </w:t>
      </w:r>
      <w:r>
        <w:rPr>
          <w:color w:val="231F20"/>
          <w:spacing w:val="-5"/>
        </w:rPr>
        <w:t>三十九条</w:t>
      </w:r>
    </w:p>
    <w:p>
      <w:pPr>
        <w:pStyle w:val="2"/>
        <w:spacing w:before="22" w:line="241" w:lineRule="auto"/>
        <w:ind w:left="4354" w:right="583" w:firstLine="432"/>
      </w:pPr>
      <w:r>
        <w:rPr>
          <w:color w:val="231F20"/>
          <w:spacing w:val="4"/>
        </w:rPr>
        <w:t>2.《道路旅客运输及客运站管理规定》</w:t>
      </w:r>
      <w:r>
        <w:rPr>
          <w:color w:val="231F20"/>
          <w:spacing w:val="16"/>
        </w:rPr>
        <w:t xml:space="preserve"> </w:t>
      </w:r>
      <w:r>
        <w:rPr>
          <w:color w:val="231F20"/>
          <w:spacing w:val="-5"/>
        </w:rPr>
        <w:t>第十六条</w:t>
      </w:r>
    </w:p>
    <w:p>
      <w:pPr>
        <w:spacing w:before="1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18" w:line="228" w:lineRule="auto"/>
        <w:ind w:left="4833"/>
      </w:pPr>
      <w:r>
        <w:rPr>
          <w:color w:val="231F20"/>
          <w:spacing w:val="-4"/>
        </w:rPr>
        <w:t>自然人、企业法人、社会组织法人</w:t>
      </w:r>
    </w:p>
    <w:p>
      <w:pPr>
        <w:spacing w:before="25"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16" w:line="242" w:lineRule="auto"/>
        <w:ind w:left="4356" w:right="601" w:firstLine="428"/>
      </w:pPr>
      <w:r>
        <w:rPr>
          <w:color w:val="231F20"/>
          <w:spacing w:val="1"/>
        </w:rPr>
        <w:t>提交材料齐全，符合法定程序，内容真</w:t>
      </w:r>
      <w:r>
        <w:rPr>
          <w:color w:val="231F20"/>
          <w:spacing w:val="9"/>
        </w:rPr>
        <w:t xml:space="preserve"> </w:t>
      </w:r>
      <w:r>
        <w:rPr>
          <w:color w:val="231F20"/>
          <w:spacing w:val="-9"/>
        </w:rPr>
        <w:t>实有效。</w:t>
      </w:r>
    </w:p>
    <w:p>
      <w:pPr>
        <w:spacing w:before="17"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16" w:line="229" w:lineRule="auto"/>
        <w:ind w:left="4802"/>
      </w:pPr>
      <w:r>
        <w:rPr>
          <w:color w:val="231F20"/>
          <w:spacing w:val="-4"/>
        </w:rPr>
        <w:t>1.道路旅客运输站经营申请表；</w:t>
      </w:r>
    </w:p>
    <w:p>
      <w:pPr>
        <w:pStyle w:val="2"/>
        <w:spacing w:before="27" w:line="239" w:lineRule="auto"/>
        <w:ind w:left="4346" w:right="600" w:firstLine="440"/>
      </w:pPr>
      <w:r>
        <w:rPr>
          <w:color w:val="231F20"/>
          <w:spacing w:val="4"/>
        </w:rPr>
        <w:t>2.企业法定代表人或者个体经营者身份</w:t>
      </w:r>
      <w:r>
        <w:rPr>
          <w:color w:val="231F20"/>
        </w:rPr>
        <w:t xml:space="preserve"> </w:t>
      </w:r>
      <w:r>
        <w:rPr>
          <w:color w:val="231F20"/>
          <w:spacing w:val="-3"/>
        </w:rPr>
        <w:t>证明，授权委托书及被委托人身份证明；</w:t>
      </w:r>
    </w:p>
    <w:p>
      <w:pPr>
        <w:pStyle w:val="2"/>
        <w:spacing w:before="31" w:line="247" w:lineRule="auto"/>
        <w:ind w:left="4344" w:right="592" w:firstLine="440"/>
      </w:pPr>
      <w:r>
        <w:rPr>
          <w:color w:val="231F20"/>
          <w:spacing w:val="4"/>
        </w:rPr>
        <w:t>3.承诺书。承诺已具备以下条件（一）</w:t>
      </w:r>
      <w:r>
        <w:rPr>
          <w:color w:val="231F20"/>
          <w:spacing w:val="7"/>
        </w:rPr>
        <w:t xml:space="preserve"> </w:t>
      </w:r>
      <w:r>
        <w:rPr>
          <w:color w:val="231F20"/>
          <w:spacing w:val="1"/>
        </w:rPr>
        <w:t>客运站经验收合格</w:t>
      </w:r>
      <w:r>
        <w:rPr>
          <w:color w:val="231F20"/>
          <w:spacing w:val="5"/>
        </w:rPr>
        <w:t>；（</w:t>
      </w:r>
      <w:r>
        <w:rPr>
          <w:color w:val="231F20"/>
          <w:spacing w:val="1"/>
        </w:rPr>
        <w:t>二）有与业务量相适</w:t>
      </w:r>
      <w:r>
        <w:rPr>
          <w:color w:val="231F20"/>
        </w:rPr>
        <w:t xml:space="preserve"> </w:t>
      </w:r>
      <w:r>
        <w:rPr>
          <w:color w:val="231F20"/>
          <w:spacing w:val="1"/>
        </w:rPr>
        <w:t>应的专业人员和管理人员</w:t>
      </w:r>
      <w:r>
        <w:rPr>
          <w:color w:val="231F20"/>
          <w:spacing w:val="5"/>
        </w:rPr>
        <w:t>；（</w:t>
      </w:r>
      <w:r>
        <w:rPr>
          <w:color w:val="231F20"/>
          <w:spacing w:val="1"/>
        </w:rPr>
        <w:t>三）有相应的</w:t>
      </w:r>
      <w:r>
        <w:rPr>
          <w:color w:val="231F20"/>
        </w:rPr>
        <w:t xml:space="preserve"> </w:t>
      </w:r>
      <w:r>
        <w:rPr>
          <w:color w:val="231F20"/>
          <w:spacing w:val="1"/>
        </w:rPr>
        <w:t>设备、设施</w:t>
      </w:r>
      <w:r>
        <w:rPr>
          <w:color w:val="231F20"/>
          <w:spacing w:val="5"/>
        </w:rPr>
        <w:t>；（</w:t>
      </w:r>
      <w:r>
        <w:rPr>
          <w:color w:val="231F20"/>
          <w:spacing w:val="1"/>
        </w:rPr>
        <w:t>四）有健全的业务操作规程</w:t>
      </w:r>
      <w:r>
        <w:rPr>
          <w:color w:val="231F20"/>
        </w:rPr>
        <w:t xml:space="preserve"> </w:t>
      </w:r>
      <w:r>
        <w:rPr>
          <w:color w:val="231F20"/>
          <w:spacing w:val="1"/>
        </w:rPr>
        <w:t>和安全管理制度，包括服务规范、安全生产</w:t>
      </w:r>
      <w:r>
        <w:rPr>
          <w:color w:val="231F20"/>
          <w:spacing w:val="8"/>
        </w:rPr>
        <w:t xml:space="preserve"> </w:t>
      </w:r>
      <w:r>
        <w:rPr>
          <w:color w:val="231F20"/>
          <w:spacing w:val="1"/>
        </w:rPr>
        <w:t>操作规程、车辆发车前例检、安全生产责任</w:t>
      </w:r>
      <w:r>
        <w:rPr>
          <w:color w:val="231F20"/>
          <w:spacing w:val="8"/>
        </w:rPr>
        <w:t xml:space="preserve"> </w:t>
      </w:r>
      <w:r>
        <w:rPr>
          <w:color w:val="231F20"/>
          <w:spacing w:val="1"/>
        </w:rPr>
        <w:t>制，以及国家规定的危险物品及其他禁止携</w:t>
      </w:r>
      <w:r>
        <w:rPr>
          <w:color w:val="231F20"/>
          <w:spacing w:val="8"/>
        </w:rPr>
        <w:t xml:space="preserve"> </w:t>
      </w:r>
      <w:r>
        <w:rPr>
          <w:color w:val="231F20"/>
          <w:spacing w:val="1"/>
        </w:rPr>
        <w:t>带的物品（以下统称违禁物品）查堵、人员</w:t>
      </w:r>
      <w:r>
        <w:rPr>
          <w:color w:val="231F20"/>
          <w:spacing w:val="8"/>
        </w:rPr>
        <w:t xml:space="preserve"> </w:t>
      </w:r>
      <w:r>
        <w:rPr>
          <w:color w:val="231F20"/>
          <w:spacing w:val="1"/>
        </w:rPr>
        <w:t>和车辆进出站安全管理等安全生产监督检查</w:t>
      </w:r>
      <w:r>
        <w:rPr>
          <w:color w:val="231F20"/>
          <w:spacing w:val="8"/>
        </w:rPr>
        <w:t xml:space="preserve"> </w:t>
      </w:r>
      <w:r>
        <w:rPr>
          <w:color w:val="231F20"/>
          <w:spacing w:val="-1"/>
        </w:rPr>
        <w:t>的制度。(承诺免于实质审查)</w:t>
      </w:r>
    </w:p>
    <w:sectPr>
      <w:headerReference r:id="rId5"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44B27E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2023-03-30T14:28:00Z</dcterms:created>
  <dc:creator>Admin</dc:creator>
  <cp:lastModifiedBy>白筱羽</cp:lastModifiedBy>
  <dcterms:modified xsi:type="dcterms:W3CDTF">2023-08-01T09:12:56Z</dcterms:modified>
  <dc:title>193.道路旅客运输站经营许可服务指南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2023-08-01T16:09:40Z</vt:filetime>
  </property>
  <property fmtid="{D5CDD505-2E9C-101B-9397-08002B2CF9AE}" pid="4" name="KSOProductBuildVer">
    <vt:lpwstr>2052-12.1.0.15120</vt:lpwstr>
  </property>
  <property fmtid="{D5CDD505-2E9C-101B-9397-08002B2CF9AE}" pid="5" name="ICV">
    <vt:lpwstr>42DF1B54BDEC436ABB0089FE5178069B_12</vt:lpwstr>
  </property>
</Properties>
</file>