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before="103" w:line="190" w:lineRule="auto"/>
        <w:ind w:left="5987" w:right="1730" w:hanging="48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4824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48320"/>
                    </a:xfrm>
                    <a:prstGeom prst="rect">
                      <a:avLst/>
                    </a:prstGeom>
                  </pic:spPr>
                </pic:pic>
              </a:graphicData>
            </a:graphic>
          </wp:anchor>
        </w:drawing>
      </w:r>
      <w:r>
        <w:rPr>
          <w:rFonts w:ascii="微软雅黑" w:hAnsi="微软雅黑" w:eastAsia="微软雅黑" w:cs="微软雅黑"/>
          <w:color w:val="231F20"/>
          <w:spacing w:val="-1"/>
          <w:sz w:val="24"/>
          <w:szCs w:val="24"/>
        </w:rPr>
        <w:t>公路超限运输许可</w:t>
      </w:r>
      <w:r>
        <w:rPr>
          <w:rFonts w:ascii="微软雅黑" w:hAnsi="微软雅黑" w:eastAsia="微软雅黑" w:cs="微软雅黑"/>
          <w:color w:val="231F20"/>
          <w:spacing w:val="2"/>
          <w:sz w:val="24"/>
          <w:szCs w:val="24"/>
        </w:rPr>
        <w:t xml:space="preserve"> </w:t>
      </w:r>
      <w:r>
        <w:rPr>
          <w:rFonts w:ascii="微软雅黑" w:hAnsi="微软雅黑" w:eastAsia="微软雅黑" w:cs="微软雅黑"/>
          <w:color w:val="231F20"/>
          <w:spacing w:val="-2"/>
          <w:sz w:val="24"/>
          <w:szCs w:val="24"/>
        </w:rPr>
        <w:t>服务指南</w:t>
      </w:r>
    </w:p>
    <w:p>
      <w:pPr>
        <w:spacing w:before="236"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3" w:lineRule="auto"/>
        <w:ind w:left="4785"/>
      </w:pPr>
      <w:r>
        <w:rPr>
          <w:color w:val="231F20"/>
          <w:spacing w:val="-2"/>
        </w:rPr>
        <w:t>公路超限运输许可</w:t>
      </w:r>
    </w:p>
    <w:p>
      <w:pPr>
        <w:spacing w:before="44"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6" w:lineRule="auto"/>
        <w:ind w:left="4369" w:right="599" w:firstLine="433"/>
      </w:pPr>
      <w:r>
        <w:rPr>
          <w:color w:val="231F20"/>
        </w:rPr>
        <w:t>1.《中华人民共和国公路法》（中华人</w:t>
      </w:r>
      <w:r>
        <w:rPr>
          <w:color w:val="231F20"/>
          <w:spacing w:val="9"/>
        </w:rPr>
        <w:t xml:space="preserve"> </w:t>
      </w:r>
      <w:r>
        <w:rPr>
          <w:color w:val="231F20"/>
        </w:rPr>
        <w:t>民共和国主席令第八十一号，2017年11月4</w:t>
      </w:r>
      <w:r>
        <w:rPr>
          <w:color w:val="231F20"/>
          <w:spacing w:val="13"/>
        </w:rPr>
        <w:t xml:space="preserve"> </w:t>
      </w:r>
      <w:r>
        <w:rPr>
          <w:color w:val="231F20"/>
          <w:spacing w:val="-4"/>
        </w:rPr>
        <w:t>日修正）第五十条</w:t>
      </w:r>
    </w:p>
    <w:p>
      <w:pPr>
        <w:pStyle w:val="2"/>
        <w:spacing w:before="49" w:line="251" w:lineRule="auto"/>
        <w:ind w:left="4395" w:right="611" w:firstLine="391"/>
      </w:pPr>
      <w:r>
        <w:rPr>
          <w:color w:val="231F20"/>
        </w:rPr>
        <w:t xml:space="preserve">2.《公路安全保护条例》（2011年3月7 </w:t>
      </w:r>
      <w:r>
        <w:rPr>
          <w:color w:val="231F20"/>
          <w:spacing w:val="-4"/>
        </w:rPr>
        <w:t>日国务院令第593号）第三十六条</w:t>
      </w:r>
    </w:p>
    <w:p>
      <w:pPr>
        <w:pStyle w:val="2"/>
        <w:spacing w:before="46" w:line="251" w:lineRule="auto"/>
        <w:ind w:left="4395" w:right="613" w:firstLine="388"/>
      </w:pPr>
      <w:r>
        <w:rPr>
          <w:color w:val="231F20"/>
          <w:spacing w:val="-1"/>
        </w:rPr>
        <w:t>3.《公路安全保护条例》（2011年3月7</w:t>
      </w:r>
      <w:r>
        <w:rPr>
          <w:color w:val="231F20"/>
          <w:spacing w:val="18"/>
        </w:rPr>
        <w:t xml:space="preserve"> </w:t>
      </w:r>
      <w:r>
        <w:rPr>
          <w:color w:val="231F20"/>
          <w:spacing w:val="-4"/>
        </w:rPr>
        <w:t>日国务院令第593号）第三十五条</w:t>
      </w:r>
    </w:p>
    <w:p>
      <w:pPr>
        <w:spacing w:before="4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59" w:line="201" w:lineRule="auto"/>
        <w:ind w:left="4787"/>
      </w:pPr>
      <w:r>
        <w:rPr>
          <w:color w:val="231F20"/>
          <w:spacing w:val="-3"/>
        </w:rPr>
        <w:t>企业法人</w:t>
      </w:r>
    </w:p>
    <w:p>
      <w:pPr>
        <w:spacing w:before="72"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81" w:right="600" w:firstLine="421"/>
      </w:pPr>
      <w:r>
        <w:rPr>
          <w:color w:val="231F20"/>
          <w:spacing w:val="1"/>
        </w:rPr>
        <w:t>1.承运人有效身份证明材料（由代理人</w:t>
      </w:r>
      <w:r>
        <w:rPr>
          <w:color w:val="231F20"/>
          <w:spacing w:val="4"/>
        </w:rPr>
        <w:t xml:space="preserve"> </w:t>
      </w:r>
      <w:r>
        <w:rPr>
          <w:color w:val="231F20"/>
          <w:spacing w:val="-6"/>
        </w:rPr>
        <w:t>申请的，提供承运人授权委托书</w:t>
      </w:r>
      <w:r>
        <w:rPr>
          <w:color w:val="231F20"/>
          <w:spacing w:val="2"/>
        </w:rPr>
        <w:t>）；</w:t>
      </w:r>
    </w:p>
    <w:p>
      <w:pPr>
        <w:pStyle w:val="2"/>
        <w:spacing w:before="53" w:line="248" w:lineRule="auto"/>
        <w:ind w:left="4362" w:right="600" w:firstLine="424"/>
      </w:pPr>
      <w:r>
        <w:rPr>
          <w:color w:val="231F20"/>
          <w:spacing w:val="4"/>
        </w:rPr>
        <w:t>2.货物名称、重量、外廓尺寸及必要的</w:t>
      </w:r>
      <w:r>
        <w:rPr>
          <w:color w:val="231F20"/>
        </w:rPr>
        <w:t xml:space="preserve"> </w:t>
      </w:r>
      <w:r>
        <w:rPr>
          <w:color w:val="231F20"/>
          <w:spacing w:val="-10"/>
        </w:rPr>
        <w:t>总体轮廓图；</w:t>
      </w:r>
    </w:p>
    <w:p>
      <w:pPr>
        <w:pStyle w:val="2"/>
        <w:spacing w:before="56" w:line="253" w:lineRule="auto"/>
        <w:ind w:left="4351" w:right="600" w:firstLine="433"/>
      </w:pPr>
      <w:r>
        <w:rPr>
          <w:color w:val="231F20"/>
          <w:spacing w:val="3"/>
        </w:rPr>
        <w:t>3.运输车辆的厂牌型号、自载质量、轴</w:t>
      </w:r>
      <w:r>
        <w:rPr>
          <w:color w:val="231F20"/>
          <w:spacing w:val="16"/>
        </w:rPr>
        <w:t xml:space="preserve"> </w:t>
      </w:r>
      <w:r>
        <w:rPr>
          <w:color w:val="231F20"/>
          <w:spacing w:val="1"/>
        </w:rPr>
        <w:t xml:space="preserve">载质量、轴距、轮数、轮胎单位压力、载货 </w:t>
      </w:r>
      <w:r>
        <w:rPr>
          <w:color w:val="231F20"/>
          <w:spacing w:val="-4"/>
        </w:rPr>
        <w:t>时总的外廓尺寸等有关资料；</w:t>
      </w:r>
    </w:p>
    <w:p>
      <w:pPr>
        <w:pStyle w:val="2"/>
        <w:spacing w:before="61" w:line="230" w:lineRule="auto"/>
        <w:ind w:left="4785"/>
      </w:pPr>
      <w:r>
        <w:rPr>
          <w:color w:val="231F20"/>
          <w:spacing w:val="-3"/>
        </w:rPr>
        <w:t>4.车辆行驶证及复印件。</w:t>
      </w:r>
    </w:p>
    <w:p>
      <w:pPr>
        <w:spacing w:line="230" w:lineRule="auto"/>
        <w:sectPr>
          <w:headerReference r:id="rId5" w:type="default"/>
          <w:pgSz w:w="10772" w:h="11906"/>
          <w:pgMar w:top="400" w:right="2" w:bottom="0" w:left="1615" w:header="0" w:footer="0" w:gutter="0"/>
          <w:cols w:space="720" w:num="1"/>
        </w:sectPr>
      </w:pPr>
    </w:p>
    <w:p>
      <w:pPr>
        <w:spacing w:before="17"/>
      </w:pPr>
      <w:r>
        <w:pict>
          <v:rect id="_x0000_s1026" o:spid="_x0000_s1026" o:spt="1" style="position:absolute;left:0pt;margin-left:110.15pt;margin-top:200.1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11.95pt;margin-top:203.1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9.25pt;margin-top:235.05pt;height:0.6pt;width:16.75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6.65pt;margin-top:235.05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2.7pt;margin-top:183.2pt;height:0.6pt;width:27.05pt;mso-position-horizontal-relative:page;mso-position-vertical-relative:page;z-index:251671552;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70528" behindDoc="0" locked="0" layoutInCell="0" allowOverlap="1">
            <wp:simplePos x="0" y="0"/>
            <wp:positionH relativeFrom="page">
              <wp:posOffset>646430</wp:posOffset>
            </wp:positionH>
            <wp:positionV relativeFrom="page">
              <wp:posOffset>2330450</wp:posOffset>
            </wp:positionV>
            <wp:extent cx="53340" cy="51371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87" cy="513534"/>
                    </a:xfrm>
                    <a:prstGeom prst="rect">
                      <a:avLst/>
                    </a:prstGeom>
                  </pic:spPr>
                </pic:pic>
              </a:graphicData>
            </a:graphic>
          </wp:anchor>
        </w:drawing>
      </w:r>
      <w:r>
        <w:pict>
          <v:shape id="_x0000_s1031" o:spid="_x0000_s1031" o:spt="202" type="#_x0000_t202" style="position:absolute;left:0pt;margin-left:89.7pt;margin-top:222.65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4.15pt;margin-top:222.7pt;height:25.3pt;width:36.45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4.4pt;margin-top:222.7pt;height:25.3pt;width:39.8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1632585</wp:posOffset>
            </wp:positionH>
            <wp:positionV relativeFrom="page">
              <wp:posOffset>2961005</wp:posOffset>
            </wp:positionV>
            <wp:extent cx="34163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41588" cy="53200"/>
                    </a:xfrm>
                    <a:prstGeom prst="rect">
                      <a:avLst/>
                    </a:prstGeom>
                  </pic:spPr>
                </pic:pic>
              </a:graphicData>
            </a:graphic>
          </wp:anchor>
        </w:drawing>
      </w:r>
      <w:r>
        <w:pict>
          <v:shape id="_x0000_s1034" o:spid="_x0000_s1034" o:spt="202" type="#_x0000_t202" style="position:absolute;left:0pt;margin-left:143.3pt;margin-top:267.2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1398905</wp:posOffset>
            </wp:positionH>
            <wp:positionV relativeFrom="page">
              <wp:posOffset>3133725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9516"/>
                    </a:xfrm>
                    <a:prstGeom prst="rect">
                      <a:avLst/>
                    </a:prstGeom>
                  </pic:spPr>
                </pic:pic>
              </a:graphicData>
            </a:graphic>
          </wp:anchor>
        </w:drawing>
      </w:r>
    </w:p>
    <w:p>
      <w:pPr>
        <w:sectPr>
          <w:headerReference r:id="rId6" w:type="default"/>
          <w:pgSz w:w="10772" w:h="11906"/>
          <w:pgMar w:top="400" w:right="539" w:bottom="0" w:left="598" w:header="0" w:footer="0" w:gutter="0"/>
          <w:cols w:equalWidth="0" w:num="1">
            <w:col w:w="9634"/>
          </w:cols>
        </w:sectPr>
      </w:pPr>
    </w:p>
    <w:p>
      <w:pPr>
        <w:pStyle w:val="2"/>
        <w:spacing w:before="49" w:line="360" w:lineRule="exact"/>
        <w:ind w:left="464"/>
      </w:pPr>
      <w:r>
        <w:rPr>
          <w:color w:val="231F20"/>
          <w:spacing w:val="1"/>
          <w:position w:val="9"/>
        </w:rPr>
        <w:t>注：办理本项审批，申请单位或个人应</w:t>
      </w:r>
    </w:p>
    <w:p>
      <w:pPr>
        <w:pStyle w:val="2"/>
        <w:spacing w:line="230" w:lineRule="auto"/>
        <w:ind w:left="20"/>
      </w:pPr>
      <w:r>
        <w:rPr>
          <w:color w:val="231F20"/>
          <w:spacing w:val="1"/>
        </w:rPr>
        <w:t>提交书面申请，公路超限运输影响交通安全</w:t>
      </w:r>
    </w:p>
    <w:p>
      <w:pPr>
        <w:pStyle w:val="2"/>
        <w:spacing w:before="51" w:line="230" w:lineRule="auto"/>
        <w:ind w:left="42"/>
      </w:pPr>
      <w:r>
        <w:rPr>
          <w:color w:val="231F20"/>
          <w:spacing w:val="-2"/>
        </w:rPr>
        <w:t>的，公路管理机构在审批超限运输申请时，</w:t>
      </w:r>
    </w:p>
    <w:p>
      <w:pPr>
        <w:pStyle w:val="2"/>
        <w:spacing w:before="50" w:line="232" w:lineRule="auto"/>
        <w:ind w:left="27"/>
      </w:pPr>
      <w:r>
        <w:rPr>
          <w:color w:val="231F20"/>
          <w:spacing w:val="-3"/>
        </w:rPr>
        <w:t>应当征求公安机关交通管理部门意见。</w:t>
      </w:r>
    </w:p>
    <w:p>
      <w:pPr>
        <w:spacing w:before="47"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0"/>
      </w:pPr>
      <w:r>
        <w:rPr>
          <w:color w:val="231F20"/>
          <w:spacing w:val="-1"/>
        </w:rPr>
        <w:t>唐山市曹妃甸区行政审批局</w:t>
      </w:r>
    </w:p>
    <w:p>
      <w:pPr>
        <w:spacing w:before="48" w:line="202" w:lineRule="auto"/>
        <w:ind w:left="45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8" w:lineRule="exact"/>
      </w:pPr>
    </w:p>
    <w:tbl>
      <w:tblPr>
        <w:tblStyle w:val="5"/>
        <w:tblW w:w="1302" w:type="dxa"/>
        <w:tblInd w:w="99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1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13" w:lineRule="auto"/>
              <w:ind w:left="147" w:right="63" w:hanging="80"/>
            </w:pPr>
            <w:r>
              <w:rPr>
                <w:color w:val="231F20"/>
                <w:spacing w:val="-6"/>
              </w:rPr>
              <w:t>申请人提交</w:t>
            </w:r>
            <w:r>
              <w:rPr>
                <w:color w:val="231F20"/>
              </w:rPr>
              <w:t xml:space="preserve"> </w:t>
            </w:r>
            <w:r>
              <w:rPr>
                <w:color w:val="231F20"/>
                <w:spacing w:val="-6"/>
              </w:rPr>
              <w:t>申请材料</w:t>
            </w:r>
          </w:p>
        </w:tc>
      </w:tr>
    </w:tbl>
    <w:p>
      <w:pPr>
        <w:spacing w:line="419" w:lineRule="exact"/>
        <w:ind w:firstLine="2787"/>
      </w:pPr>
      <w:r>
        <w:rPr>
          <w:position w:val="-8"/>
        </w:rPr>
        <w:drawing>
          <wp:inline distT="0" distB="0" distL="0" distR="0">
            <wp:extent cx="52705" cy="2660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87" cy="266387"/>
                    </a:xfrm>
                    <a:prstGeom prst="rect">
                      <a:avLst/>
                    </a:prstGeom>
                  </pic:spPr>
                </pic:pic>
              </a:graphicData>
            </a:graphic>
          </wp:inline>
        </w:drawing>
      </w:r>
    </w:p>
    <w:tbl>
      <w:tblPr>
        <w:tblStyle w:val="5"/>
        <w:tblW w:w="819" w:type="dxa"/>
        <w:tblInd w:w="123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86"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法定时限：15个工作日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7" w:line="261" w:lineRule="auto"/>
        <w:ind w:left="25" w:right="1" w:firstLine="471"/>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39" w:bottom="0" w:left="598" w:header="0" w:footer="0" w:gutter="0"/>
      <w:cols w:equalWidth="0" w:num="2">
        <w:col w:w="5304"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4AC428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810</Words>
  <Characters>928</Characters>
  <TotalTime>0</TotalTime>
  <ScaleCrop>false</ScaleCrop>
  <LinksUpToDate>false</LinksUpToDate>
  <CharactersWithSpaces>980</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2022-11-04T14:09:00Z</dcterms:created>
  <dc:creator>Admin</dc:creator>
  <cp:lastModifiedBy>An玙</cp:lastModifiedBy>
  <dcterms:modified xsi:type="dcterms:W3CDTF">2023-08-01T09:01:20Z</dcterms:modified>
  <dc:title>公路超限运输许可</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2023-08-01T16:08:44Z</vt:filetime>
  </property>
  <property fmtid="{D5CDD505-2E9C-101B-9397-08002B2CF9AE}" pid="4" name="KSOProductBuildVer">
    <vt:lpwstr>2052-11.1.0.14309</vt:lpwstr>
  </property>
  <property fmtid="{D5CDD505-2E9C-101B-9397-08002B2CF9AE}" pid="5" name="ICV">
    <vt:lpwstr>15C3DD913AB94EBD8EA03F43962E9FAB_12</vt:lpwstr>
  </property>
</Properties>
</file>