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7E5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Segoe UI" w:hAnsi="Segoe UI" w:eastAsia="宋体" w:cs="Segoe UI"/>
          <w:b/>
          <w:bCs/>
          <w:color w:val="auto"/>
          <w:u w:val="none"/>
          <w:lang w:val="en-US" w:eastAsia="zh-CN"/>
        </w:rPr>
      </w:pPr>
      <w:r>
        <w:rPr>
          <w:rFonts w:hint="default" w:ascii="Segoe UI" w:hAnsi="Segoe UI" w:eastAsia="Segoe UI" w:cs="Segoe UI"/>
          <w:b/>
          <w:bCs/>
          <w:color w:val="auto"/>
          <w:u w:val="none"/>
        </w:rPr>
        <w:t>民爆行业违法行为行政处罚</w:t>
      </w:r>
      <w:r>
        <w:rPr>
          <w:rFonts w:hint="eastAsia" w:ascii="Segoe UI" w:hAnsi="Segoe UI" w:cs="Segoe UI"/>
          <w:b/>
          <w:bCs/>
          <w:color w:val="auto"/>
          <w:u w:val="none"/>
          <w:lang w:val="en-US" w:eastAsia="zh-CN"/>
        </w:rPr>
        <w:t>程序</w:t>
      </w:r>
    </w:p>
    <w:p w14:paraId="12AF1CE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646464"/>
          <w:spacing w:val="0"/>
          <w:sz w:val="28"/>
          <w:szCs w:val="28"/>
          <w:u w:val="none"/>
          <w:shd w:val="clear" w:fill="FFFFFF"/>
        </w:rPr>
      </w:pPr>
    </w:p>
    <w:p w14:paraId="391892F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u w:val="none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一、立案</w:t>
      </w:r>
    </w:p>
    <w:p w14:paraId="2094E3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曹妃甸区数据科技和工业信息化局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通过监督检查或者收到投诉、申诉、举报、其他机关移送、上级机关交办材料发现民爆行业违法行为的，符合立案条件的立案，填写《立案审批表》。</w:t>
      </w:r>
    </w:p>
    <w:p w14:paraId="742AA58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二、调查取证</w:t>
      </w:r>
    </w:p>
    <w:p w14:paraId="568800F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u w:val="none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对立案的案件，指定专人负责，执法人员符合回避情形的应当回避。调查时执法人员不得少于2人，应出示执法证件，告知当事人有陈述、申辩的权利，同时应当保守当事人的相关秘密。</w:t>
      </w:r>
    </w:p>
    <w:p w14:paraId="7D84D3D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三、审查</w:t>
      </w:r>
    </w:p>
    <w:p w14:paraId="640C7D0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u w:val="none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对案件的违法事实、证据、调查取证程序、法律适用、处罚种类和幅度、当事人陈述申辩理由等方面进行审查，提出处理意见并审批。</w:t>
      </w:r>
    </w:p>
    <w:p w14:paraId="7F159F4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四、告知</w:t>
      </w:r>
    </w:p>
    <w:p w14:paraId="1CC99F1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u w:val="none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曹妃甸区数据科技和工业信息化局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在做出行政处罚决定前，应书面告知当事人违法事实及其享有的陈述、申辩、要求听证等权利。</w:t>
      </w:r>
    </w:p>
    <w:p w14:paraId="6BA9816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五、行政处罚决定</w:t>
      </w:r>
    </w:p>
    <w:p w14:paraId="574FFC3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根据案件调查审理情况，决定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是否给予行政处罚，对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重大行政处罚报厅政策法规处进行法制审核后，经厅领导集体讨论决定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。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依法应当处罚的，制作送达《行政处罚决定书》。</w:t>
      </w:r>
    </w:p>
    <w:p w14:paraId="188BF3A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六、送达</w:t>
      </w:r>
    </w:p>
    <w:p w14:paraId="53FB28F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u w:val="none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行政处罚决定书应当在宣告后当场交付当事人；当事人不在场的，行政机关应当在七日内依照民事诉讼法的有关规定，将行政处罚决定书送达当事人。邮寄送达的，以回执上注明的收件日期为送达日期，公告送达的，自发出公告之日起，经过六十日，即视为送达。</w:t>
      </w:r>
    </w:p>
    <w:p w14:paraId="472C1E0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七、执行</w:t>
      </w:r>
    </w:p>
    <w:p w14:paraId="57890DD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根据生效的行政处罚决定责令限期改正，予以罚款，逾期不改正的，责令停产停业整顿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，甚至吊销营业执照，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申请法院强制执行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。</w:t>
      </w:r>
    </w:p>
    <w:p w14:paraId="218E945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397D1C1E-09FC-44FC-89C8-53AE4D5381BF}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6CFBD30-41A9-4861-BCE8-57A02AE895EB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  <w:embedRegular r:id="rId3" w:fontKey="{F6C60B09-66C7-4944-AAC5-702432D1A2E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E7B9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-210185</wp:posOffset>
              </wp:positionV>
              <wp:extent cx="484505" cy="3562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50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169C0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6.55pt;height:28.05pt;width:38.15pt;mso-position-horizontal:center;mso-position-horizontal-relative:margin;z-index:251659264;mso-width-relative:page;mso-height-relative:page;" filled="f" stroked="f" coordsize="21600,21600" o:gfxdata="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M7swNYAAAAGAQAADwAAAAAAAAABACAAAAAiAAAAZHJzL2Rvd25y&#10;ZXYueG1sUEsBAhQAFAAAAAgAh07iQNmQ/1Q5AgAAYQQAAA4AAAAAAAAAAQAgAAAAJQ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E169C0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ZTFlZmQ5MmM4ZWI1Yjk1ZWMxNWI0Y2VkZjMxMWEifQ=="/>
  </w:docVars>
  <w:rsids>
    <w:rsidRoot w:val="21323988"/>
    <w:rsid w:val="003C468C"/>
    <w:rsid w:val="029A1B3E"/>
    <w:rsid w:val="039379C0"/>
    <w:rsid w:val="0E364A1A"/>
    <w:rsid w:val="10914580"/>
    <w:rsid w:val="13DB3D64"/>
    <w:rsid w:val="15673B02"/>
    <w:rsid w:val="174A5489"/>
    <w:rsid w:val="18D95724"/>
    <w:rsid w:val="19041339"/>
    <w:rsid w:val="21323988"/>
    <w:rsid w:val="229B303C"/>
    <w:rsid w:val="29FD45DD"/>
    <w:rsid w:val="2CB901DF"/>
    <w:rsid w:val="2D346567"/>
    <w:rsid w:val="2F326AD7"/>
    <w:rsid w:val="31107871"/>
    <w:rsid w:val="32877139"/>
    <w:rsid w:val="332826CA"/>
    <w:rsid w:val="33DC0BD5"/>
    <w:rsid w:val="35577297"/>
    <w:rsid w:val="3FE77469"/>
    <w:rsid w:val="41E719A3"/>
    <w:rsid w:val="47282841"/>
    <w:rsid w:val="4FE45773"/>
    <w:rsid w:val="51C23F1D"/>
    <w:rsid w:val="54D762B5"/>
    <w:rsid w:val="560B3A5A"/>
    <w:rsid w:val="5A67147B"/>
    <w:rsid w:val="5AAF770D"/>
    <w:rsid w:val="63AC5E7E"/>
    <w:rsid w:val="643A7D6E"/>
    <w:rsid w:val="65A672FB"/>
    <w:rsid w:val="6938470E"/>
    <w:rsid w:val="6B7439F8"/>
    <w:rsid w:val="71356938"/>
    <w:rsid w:val="73440153"/>
    <w:rsid w:val="73AB1F81"/>
    <w:rsid w:val="76C515AB"/>
    <w:rsid w:val="7F48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Hyperlink"/>
    <w:basedOn w:val="7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569</Characters>
  <Lines>0</Lines>
  <Paragraphs>0</Paragraphs>
  <TotalTime>0</TotalTime>
  <ScaleCrop>false</ScaleCrop>
  <LinksUpToDate>false</LinksUpToDate>
  <CharactersWithSpaces>569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2022-05-07T03:05:00Z</dcterms:created>
  <dc:creator>Administrator</dc:creator>
  <cp:lastModifiedBy>aurora</cp:lastModifiedBy>
  <cp:lastPrinted>2022-05-07T06:12:00Z</cp:lastPrinted>
  <dcterms:modified xsi:type="dcterms:W3CDTF">2024-08-02T03:26:50Z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34048EE1B8E1422CA6D9EC63978F634E</vt:lpwstr>
  </property>
</Properties>
</file>