
<file path=[Content_Types].xml><?xml version="1.0" encoding="utf-8"?>
<Types xmlns="http://schemas.openxmlformats.org/package/2006/content-types">
  <Default Extension="xml" ContentType="application/xml"/>
  <Default Extension="bin" ContentType="application/vnd.openxmlformats-officedocument.oleObject"/>
  <Default Extension="wmf" ContentType="image/x-wmf"/>
  <Default Extension="png" ContentType="image/png"/>
  <Default Extension="jpeg" ContentType="image/jpeg"/>
  <Default Extension="JPG" ContentType="image/.jp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02237A0">
      <w:pPr>
        <w:rPr>
          <w:rFonts w:hint="eastAsia" w:ascii="仿宋_GB2312" w:hAnsi="仿宋_GB2312" w:eastAsia="仿宋_GB2312" w:cs="仿宋_GB2312"/>
          <w:sz w:val="36"/>
          <w:szCs w:val="36"/>
          <w:highlight w:val="none"/>
          <w:lang w:val="en-US" w:eastAsia="zh-CN"/>
        </w:rPr>
      </w:pPr>
    </w:p>
    <w:p w14:paraId="6415A8C5">
      <w:pPr>
        <w:rPr>
          <w:rFonts w:ascii="仿宋_GB2312" w:hAnsi="仿宋_GB2312" w:eastAsia="仿宋_GB2312" w:cs="仿宋_GB2312"/>
          <w:sz w:val="36"/>
          <w:szCs w:val="36"/>
          <w:highlight w:val="none"/>
        </w:rPr>
      </w:pPr>
    </w:p>
    <w:p w14:paraId="50ADE20B">
      <w:pPr>
        <w:rPr>
          <w:rFonts w:ascii="仿宋_GB2312" w:hAnsi="仿宋_GB2312" w:eastAsia="仿宋_GB2312" w:cs="仿宋_GB2312"/>
          <w:sz w:val="36"/>
          <w:szCs w:val="36"/>
          <w:highlight w:val="none"/>
        </w:rPr>
      </w:pPr>
    </w:p>
    <w:p w14:paraId="566A687B">
      <w:pPr>
        <w:rPr>
          <w:rFonts w:ascii="仿宋_GB2312" w:hAnsi="仿宋_GB2312" w:eastAsia="仿宋_GB2312" w:cs="仿宋_GB2312"/>
          <w:sz w:val="36"/>
          <w:szCs w:val="36"/>
          <w:highlight w:val="none"/>
        </w:rPr>
      </w:pPr>
    </w:p>
    <w:p w14:paraId="6E8D9122">
      <w:pPr>
        <w:rPr>
          <w:rFonts w:hint="eastAsia" w:ascii="仿宋_GB2312" w:hAnsi="仿宋_GB2312" w:eastAsia="仿宋_GB2312" w:cs="仿宋_GB2312"/>
          <w:sz w:val="36"/>
          <w:szCs w:val="36"/>
          <w:highlight w:val="none"/>
        </w:rPr>
      </w:pPr>
    </w:p>
    <w:p w14:paraId="4BDEAF20">
      <w:pPr>
        <w:adjustRightInd w:val="0"/>
        <w:snapToGrid w:val="0"/>
        <w:jc w:val="center"/>
        <w:outlineLvl w:val="0"/>
        <w:rPr>
          <w:rFonts w:hint="eastAsia" w:ascii="方正小标宋_GBK" w:eastAsia="方正小标宋_GBK"/>
          <w:bCs/>
          <w:sz w:val="72"/>
          <w:szCs w:val="72"/>
          <w:highlight w:val="none"/>
        </w:rPr>
      </w:pPr>
      <w:bookmarkStart w:id="0" w:name="_Toc31710"/>
      <w:r>
        <w:rPr>
          <w:rFonts w:hint="eastAsia" w:ascii="方正小标宋_GBK" w:eastAsia="方正小标宋_GBK"/>
          <w:bCs/>
          <w:sz w:val="72"/>
          <w:szCs w:val="72"/>
          <w:highlight w:val="none"/>
        </w:rPr>
        <w:t>建设项目环境影响报告表</w:t>
      </w:r>
      <w:bookmarkEnd w:id="0"/>
    </w:p>
    <w:p w14:paraId="28785FBA">
      <w:pPr>
        <w:adjustRightInd w:val="0"/>
        <w:snapToGrid w:val="0"/>
        <w:spacing w:before="192" w:beforeLines="80"/>
        <w:jc w:val="center"/>
        <w:rPr>
          <w:rFonts w:hint="eastAsia" w:ascii="楷体_GB2312" w:eastAsia="楷体_GB2312"/>
          <w:bCs/>
          <w:sz w:val="48"/>
          <w:szCs w:val="48"/>
          <w:highlight w:val="none"/>
        </w:rPr>
      </w:pPr>
      <w:r>
        <w:rPr>
          <w:rFonts w:hint="eastAsia" w:ascii="楷体_GB2312" w:eastAsia="楷体_GB2312"/>
          <w:bCs/>
          <w:sz w:val="48"/>
          <w:szCs w:val="48"/>
          <w:highlight w:val="none"/>
        </w:rPr>
        <w:t>（污染影响类）</w:t>
      </w:r>
    </w:p>
    <w:p w14:paraId="41B14910">
      <w:pPr>
        <w:bidi w:val="0"/>
      </w:pPr>
    </w:p>
    <w:p w14:paraId="67143DC8">
      <w:pPr>
        <w:jc w:val="center"/>
        <w:rPr>
          <w:rFonts w:eastAsia="仿宋"/>
          <w:sz w:val="52"/>
          <w:szCs w:val="52"/>
          <w:highlight w:val="none"/>
        </w:rPr>
      </w:pPr>
    </w:p>
    <w:p w14:paraId="25D8CFCE">
      <w:pPr>
        <w:ind w:firstLine="1040"/>
        <w:rPr>
          <w:rFonts w:eastAsia="仿宋"/>
          <w:sz w:val="44"/>
          <w:szCs w:val="44"/>
          <w:highlight w:val="none"/>
        </w:rPr>
      </w:pPr>
    </w:p>
    <w:p w14:paraId="2800397E">
      <w:pPr>
        <w:ind w:firstLine="1040"/>
        <w:rPr>
          <w:rFonts w:eastAsia="仿宋"/>
          <w:sz w:val="44"/>
          <w:szCs w:val="44"/>
          <w:highlight w:val="none"/>
        </w:rPr>
      </w:pPr>
    </w:p>
    <w:p w14:paraId="5796EBC2">
      <w:pPr>
        <w:ind w:firstLine="1040"/>
        <w:rPr>
          <w:rFonts w:eastAsia="仿宋"/>
          <w:sz w:val="44"/>
          <w:szCs w:val="44"/>
          <w:highlight w:val="none"/>
        </w:rPr>
      </w:pPr>
    </w:p>
    <w:p w14:paraId="5AD74A11">
      <w:pPr>
        <w:ind w:firstLine="1040"/>
        <w:rPr>
          <w:rFonts w:eastAsia="仿宋"/>
          <w:sz w:val="44"/>
          <w:szCs w:val="44"/>
          <w:highlight w:val="none"/>
        </w:rPr>
      </w:pPr>
    </w:p>
    <w:p w14:paraId="22145B21">
      <w:pPr>
        <w:adjustRightInd w:val="0"/>
        <w:snapToGrid w:val="0"/>
        <w:spacing w:line="288" w:lineRule="auto"/>
        <w:ind w:firstLine="1040"/>
        <w:rPr>
          <w:rFonts w:hint="default" w:ascii="仿宋_GB2312" w:eastAsia="仿宋_GB2312"/>
          <w:sz w:val="36"/>
          <w:szCs w:val="36"/>
          <w:highlight w:val="none"/>
          <w:u w:val="single"/>
          <w:lang w:val="en-US" w:eastAsia="zh-CN"/>
        </w:rPr>
      </w:pPr>
      <w:r>
        <w:rPr>
          <w:rFonts w:hint="eastAsia" w:ascii="仿宋_GB2312" w:eastAsia="仿宋_GB2312"/>
          <w:sz w:val="36"/>
          <w:szCs w:val="36"/>
          <w:highlight w:val="none"/>
        </w:rPr>
        <w:t>项目名称：</w:t>
      </w:r>
      <w:r>
        <w:rPr>
          <w:rFonts w:hint="eastAsia" w:ascii="仿宋_GB2312" w:eastAsia="仿宋_GB2312"/>
          <w:sz w:val="36"/>
          <w:szCs w:val="36"/>
          <w:highlight w:val="none"/>
          <w:u w:val="single"/>
          <w:lang w:val="en-US" w:eastAsia="zh-CN"/>
        </w:rPr>
        <w:t>粤蒙盛现代物流项目</w:t>
      </w:r>
    </w:p>
    <w:p w14:paraId="604D5C88">
      <w:pPr>
        <w:adjustRightInd w:val="0"/>
        <w:snapToGrid w:val="0"/>
        <w:spacing w:line="288" w:lineRule="auto"/>
        <w:ind w:firstLine="1040"/>
        <w:rPr>
          <w:rFonts w:ascii="仿宋_GB2312" w:eastAsia="仿宋_GB2312"/>
          <w:sz w:val="36"/>
          <w:szCs w:val="36"/>
          <w:highlight w:val="none"/>
          <w:u w:val="single"/>
        </w:rPr>
      </w:pPr>
      <w:r>
        <w:rPr>
          <w:rFonts w:hint="eastAsia" w:ascii="仿宋_GB2312" w:eastAsia="仿宋_GB2312"/>
          <w:sz w:val="36"/>
          <w:szCs w:val="36"/>
          <w:highlight w:val="none"/>
        </w:rPr>
        <w:t>建设单位（盖章）：</w:t>
      </w:r>
      <w:r>
        <w:rPr>
          <w:rFonts w:hint="eastAsia" w:ascii="仿宋_GB2312" w:eastAsia="仿宋_GB2312"/>
          <w:sz w:val="36"/>
          <w:szCs w:val="36"/>
          <w:highlight w:val="none"/>
          <w:u w:val="single"/>
          <w:lang w:val="en-US" w:eastAsia="zh-CN"/>
        </w:rPr>
        <w:t>唐山曹妃甸区粤蒙盛物流有限公司</w:t>
      </w:r>
    </w:p>
    <w:p w14:paraId="25CFE3C1">
      <w:pPr>
        <w:adjustRightInd w:val="0"/>
        <w:snapToGrid w:val="0"/>
        <w:spacing w:line="288" w:lineRule="auto"/>
        <w:ind w:firstLine="1040"/>
        <w:rPr>
          <w:rFonts w:hint="default" w:ascii="仿宋_GB2312" w:eastAsia="仿宋_GB2312"/>
          <w:sz w:val="36"/>
          <w:szCs w:val="36"/>
          <w:highlight w:val="none"/>
          <w:u w:val="single"/>
          <w:lang w:val="en-US" w:eastAsia="zh-CN"/>
        </w:rPr>
      </w:pPr>
      <w:r>
        <w:rPr>
          <w:rFonts w:hint="eastAsia" w:ascii="仿宋_GB2312" w:eastAsia="仿宋_GB2312"/>
          <w:sz w:val="36"/>
          <w:szCs w:val="36"/>
          <w:highlight w:val="none"/>
        </w:rPr>
        <w:t>编制日期：</w:t>
      </w:r>
      <w:r>
        <w:rPr>
          <w:rFonts w:hint="eastAsia" w:ascii="仿宋_GB2312" w:eastAsia="仿宋_GB2312"/>
          <w:sz w:val="36"/>
          <w:szCs w:val="36"/>
          <w:highlight w:val="none"/>
          <w:u w:val="single"/>
          <w:lang w:val="en-US" w:eastAsia="zh-CN"/>
        </w:rPr>
        <w:t xml:space="preserve">         2024年8月           </w:t>
      </w:r>
    </w:p>
    <w:p w14:paraId="3488CB7B">
      <w:pPr>
        <w:adjustRightInd w:val="0"/>
        <w:snapToGrid w:val="0"/>
        <w:spacing w:line="288" w:lineRule="auto"/>
        <w:ind w:firstLine="1040"/>
        <w:rPr>
          <w:rFonts w:ascii="仿宋_GB2312" w:eastAsia="仿宋_GB2312"/>
          <w:sz w:val="36"/>
          <w:szCs w:val="36"/>
          <w:highlight w:val="none"/>
          <w:u w:val="single"/>
        </w:rPr>
      </w:pPr>
      <w:bookmarkStart w:id="1" w:name="_Hlk57884087"/>
    </w:p>
    <w:p w14:paraId="50E90122">
      <w:pPr>
        <w:adjustRightInd w:val="0"/>
        <w:snapToGrid w:val="0"/>
        <w:spacing w:line="288" w:lineRule="auto"/>
        <w:ind w:firstLine="1040"/>
        <w:rPr>
          <w:rFonts w:ascii="仿宋_GB2312" w:eastAsia="仿宋_GB2312"/>
          <w:sz w:val="36"/>
          <w:szCs w:val="36"/>
          <w:highlight w:val="none"/>
        </w:rPr>
      </w:pPr>
    </w:p>
    <w:p w14:paraId="0B59E35C">
      <w:pPr>
        <w:adjustRightInd w:val="0"/>
        <w:snapToGrid w:val="0"/>
        <w:spacing w:line="288" w:lineRule="auto"/>
        <w:ind w:firstLine="1040"/>
        <w:rPr>
          <w:rFonts w:hint="eastAsia" w:ascii="仿宋_GB2312" w:eastAsia="仿宋_GB2312"/>
          <w:sz w:val="36"/>
          <w:szCs w:val="36"/>
          <w:highlight w:val="none"/>
        </w:rPr>
      </w:pPr>
    </w:p>
    <w:p w14:paraId="6E2E28CD">
      <w:pPr>
        <w:adjustRightInd w:val="0"/>
        <w:snapToGrid w:val="0"/>
        <w:spacing w:line="288" w:lineRule="auto"/>
        <w:ind w:firstLine="1040"/>
        <w:rPr>
          <w:rFonts w:hint="eastAsia" w:ascii="仿宋_GB2312" w:eastAsia="仿宋_GB2312"/>
          <w:sz w:val="36"/>
          <w:szCs w:val="36"/>
          <w:highlight w:val="none"/>
        </w:rPr>
      </w:pPr>
    </w:p>
    <w:bookmarkEnd w:id="1"/>
    <w:p w14:paraId="26B8C07C">
      <w:pPr>
        <w:adjustRightInd w:val="0"/>
        <w:snapToGrid w:val="0"/>
        <w:spacing w:line="288" w:lineRule="auto"/>
        <w:jc w:val="center"/>
        <w:rPr>
          <w:rFonts w:hint="eastAsia" w:ascii="楷体_GB2312" w:eastAsia="楷体_GB2312"/>
          <w:sz w:val="36"/>
          <w:szCs w:val="36"/>
          <w:highlight w:val="none"/>
        </w:rPr>
      </w:pPr>
      <w:r>
        <w:rPr>
          <w:rFonts w:hint="eastAsia" w:ascii="楷体_GB2312" w:eastAsia="楷体_GB2312"/>
          <w:sz w:val="36"/>
          <w:szCs w:val="36"/>
          <w:highlight w:val="none"/>
        </w:rPr>
        <w:t>中华人民共和国生态环境部制</w:t>
      </w:r>
    </w:p>
    <w:p w14:paraId="621A3554">
      <w:pPr>
        <w:pStyle w:val="63"/>
        <w:keepNext w:val="0"/>
        <w:keepLines w:val="0"/>
        <w:pageBreakBefore w:val="0"/>
        <w:tabs>
          <w:tab w:val="right" w:leader="dot" w:pos="8844"/>
        </w:tabs>
        <w:kinsoku/>
        <w:wordWrap/>
        <w:overflowPunct/>
        <w:topLinePunct w:val="0"/>
        <w:autoSpaceDE/>
        <w:autoSpaceDN/>
        <w:bidi w:val="0"/>
        <w:adjustRightInd/>
        <w:snapToGrid/>
        <w:spacing w:line="360" w:lineRule="auto"/>
        <w:ind w:firstLine="0"/>
        <w:jc w:val="center"/>
        <w:textAlignment w:val="auto"/>
        <w:rPr>
          <w:rFonts w:ascii="Times New Roman" w:hAnsi="Times New Roman" w:eastAsia="宋体" w:cs="Times New Roman"/>
          <w:b/>
          <w:bCs/>
          <w:i w:val="0"/>
          <w:iCs w:val="0"/>
          <w:color w:val="auto"/>
          <w:sz w:val="32"/>
          <w:szCs w:val="21"/>
          <w:highlight w:val="none"/>
        </w:rPr>
      </w:pPr>
    </w:p>
    <w:p w14:paraId="12665AC7">
      <w:pPr>
        <w:pStyle w:val="63"/>
        <w:keepNext w:val="0"/>
        <w:keepLines w:val="0"/>
        <w:pageBreakBefore w:val="0"/>
        <w:tabs>
          <w:tab w:val="right" w:leader="dot" w:pos="8844"/>
        </w:tabs>
        <w:kinsoku/>
        <w:wordWrap/>
        <w:overflowPunct/>
        <w:topLinePunct w:val="0"/>
        <w:autoSpaceDE/>
        <w:autoSpaceDN/>
        <w:bidi w:val="0"/>
        <w:adjustRightInd/>
        <w:snapToGrid/>
        <w:spacing w:line="360" w:lineRule="auto"/>
        <w:ind w:firstLine="0"/>
        <w:jc w:val="center"/>
        <w:textAlignment w:val="auto"/>
        <w:rPr>
          <w:rFonts w:ascii="Times New Roman" w:hAnsi="Times New Roman" w:eastAsia="宋体" w:cs="Times New Roman"/>
          <w:b/>
          <w:bCs/>
          <w:i w:val="0"/>
          <w:iCs w:val="0"/>
          <w:color w:val="auto"/>
          <w:sz w:val="32"/>
          <w:szCs w:val="21"/>
          <w:highlight w:val="none"/>
        </w:rPr>
      </w:pPr>
    </w:p>
    <w:p w14:paraId="56C1FC6A">
      <w:pPr>
        <w:pStyle w:val="63"/>
        <w:keepNext w:val="0"/>
        <w:keepLines w:val="0"/>
        <w:pageBreakBefore w:val="0"/>
        <w:tabs>
          <w:tab w:val="right" w:leader="dot" w:pos="8844"/>
        </w:tabs>
        <w:kinsoku/>
        <w:wordWrap/>
        <w:overflowPunct/>
        <w:topLinePunct w:val="0"/>
        <w:autoSpaceDE/>
        <w:autoSpaceDN/>
        <w:bidi w:val="0"/>
        <w:adjustRightInd/>
        <w:snapToGrid/>
        <w:spacing w:line="360" w:lineRule="auto"/>
        <w:ind w:firstLine="0"/>
        <w:jc w:val="center"/>
        <w:textAlignment w:val="auto"/>
        <w:rPr>
          <w:rFonts w:ascii="Times New Roman" w:hAnsi="Times New Roman" w:eastAsia="宋体" w:cs="Times New Roman"/>
          <w:b/>
          <w:bCs/>
          <w:i w:val="0"/>
          <w:iCs w:val="0"/>
          <w:color w:val="auto"/>
          <w:sz w:val="32"/>
          <w:szCs w:val="21"/>
          <w:highlight w:val="none"/>
        </w:rPr>
      </w:pPr>
      <w:r>
        <w:rPr>
          <w:rFonts w:ascii="Times New Roman" w:hAnsi="Times New Roman" w:eastAsia="宋体" w:cs="Times New Roman"/>
          <w:b/>
          <w:bCs/>
          <w:i w:val="0"/>
          <w:iCs w:val="0"/>
          <w:color w:val="auto"/>
          <w:sz w:val="32"/>
          <w:szCs w:val="21"/>
          <w:highlight w:val="none"/>
        </w:rPr>
        <w:t>目录</w:t>
      </w:r>
    </w:p>
    <w:p w14:paraId="62ECEB6D">
      <w:pPr>
        <w:pStyle w:val="6"/>
        <w:keepNext w:val="0"/>
        <w:keepLines w:val="0"/>
        <w:pageBreakBefore w:val="0"/>
        <w:widowControl w:val="0"/>
        <w:tabs>
          <w:tab w:val="right" w:leader="dot" w:pos="8844"/>
        </w:tabs>
        <w:kinsoku/>
        <w:wordWrap/>
        <w:overflowPunct/>
        <w:topLinePunct w:val="0"/>
        <w:autoSpaceDE/>
        <w:autoSpaceDN/>
        <w:bidi w:val="0"/>
        <w:adjustRightInd w:val="0"/>
        <w:snapToGrid w:val="0"/>
        <w:spacing w:line="240" w:lineRule="auto"/>
        <w:textAlignment w:val="auto"/>
        <w:rPr>
          <w:rFonts w:hint="eastAsia" w:ascii="宋体" w:hAnsi="宋体" w:eastAsia="宋体" w:cs="宋体"/>
          <w:sz w:val="24"/>
          <w:szCs w:val="24"/>
        </w:rPr>
      </w:pPr>
      <w:r>
        <w:rPr>
          <w:rFonts w:hint="eastAsia" w:ascii="宋体" w:hAnsi="宋体" w:eastAsia="宋体" w:cs="宋体"/>
          <w:b/>
          <w:bCs/>
          <w:i w:val="0"/>
          <w:iCs w:val="0"/>
          <w:color w:val="auto"/>
          <w:sz w:val="24"/>
          <w:szCs w:val="24"/>
          <w:highlight w:val="none"/>
          <w:lang w:val="en-US" w:eastAsia="zh-CN"/>
        </w:rPr>
        <w:fldChar w:fldCharType="begin"/>
      </w:r>
      <w:r>
        <w:rPr>
          <w:rFonts w:hint="eastAsia" w:ascii="宋体" w:hAnsi="宋体" w:eastAsia="宋体" w:cs="宋体"/>
          <w:b/>
          <w:bCs/>
          <w:i w:val="0"/>
          <w:iCs w:val="0"/>
          <w:color w:val="auto"/>
          <w:sz w:val="24"/>
          <w:szCs w:val="24"/>
          <w:highlight w:val="none"/>
          <w:lang w:val="en-US" w:eastAsia="zh-CN"/>
        </w:rPr>
        <w:instrText xml:space="preserve">TOC \o "1-1" \h \u </w:instrText>
      </w:r>
      <w:r>
        <w:rPr>
          <w:rFonts w:hint="eastAsia" w:ascii="宋体" w:hAnsi="宋体" w:eastAsia="宋体" w:cs="宋体"/>
          <w:b/>
          <w:bCs/>
          <w:i w:val="0"/>
          <w:iCs w:val="0"/>
          <w:color w:val="auto"/>
          <w:sz w:val="24"/>
          <w:szCs w:val="24"/>
          <w:highlight w:val="none"/>
          <w:lang w:val="en-US" w:eastAsia="zh-CN"/>
        </w:rPr>
        <w:fldChar w:fldCharType="separate"/>
      </w:r>
      <w:r>
        <w:rPr>
          <w:rFonts w:hint="eastAsia" w:ascii="宋体" w:hAnsi="宋体" w:eastAsia="宋体" w:cs="宋体"/>
          <w:bCs/>
          <w:i w:val="0"/>
          <w:iCs w:val="0"/>
          <w:color w:val="auto"/>
          <w:sz w:val="24"/>
          <w:szCs w:val="24"/>
          <w:highlight w:val="none"/>
          <w:lang w:val="en-US" w:eastAsia="zh-CN"/>
        </w:rPr>
        <w:fldChar w:fldCharType="begin"/>
      </w:r>
      <w:r>
        <w:rPr>
          <w:rFonts w:hint="eastAsia" w:ascii="宋体" w:hAnsi="宋体" w:eastAsia="宋体" w:cs="宋体"/>
          <w:bCs/>
          <w:i w:val="0"/>
          <w:iCs w:val="0"/>
          <w:sz w:val="24"/>
          <w:szCs w:val="24"/>
          <w:highlight w:val="none"/>
          <w:lang w:val="en-US" w:eastAsia="zh-CN"/>
        </w:rPr>
        <w:instrText xml:space="preserve"> HYPERLINK \l _Toc10599 </w:instrText>
      </w:r>
      <w:r>
        <w:rPr>
          <w:rFonts w:hint="eastAsia" w:ascii="宋体" w:hAnsi="宋体" w:eastAsia="宋体" w:cs="宋体"/>
          <w:bCs/>
          <w:i w:val="0"/>
          <w:iCs w:val="0"/>
          <w:sz w:val="24"/>
          <w:szCs w:val="24"/>
          <w:highlight w:val="none"/>
          <w:lang w:val="en-US" w:eastAsia="zh-CN"/>
        </w:rPr>
        <w:fldChar w:fldCharType="separate"/>
      </w:r>
      <w:r>
        <w:rPr>
          <w:rFonts w:hint="eastAsia" w:ascii="宋体" w:hAnsi="宋体" w:eastAsia="宋体" w:cs="宋体"/>
          <w:snapToGrid w:val="0"/>
          <w:sz w:val="24"/>
          <w:szCs w:val="24"/>
          <w:highlight w:val="none"/>
        </w:rPr>
        <w:t>一、建设项目基本情况</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_Toc10599 \h </w:instrText>
      </w:r>
      <w:r>
        <w:rPr>
          <w:rFonts w:hint="eastAsia" w:ascii="宋体" w:hAnsi="宋体" w:eastAsia="宋体" w:cs="宋体"/>
          <w:sz w:val="24"/>
          <w:szCs w:val="24"/>
        </w:rPr>
        <w:fldChar w:fldCharType="separate"/>
      </w:r>
      <w:r>
        <w:rPr>
          <w:rFonts w:hint="eastAsia" w:ascii="宋体" w:hAnsi="宋体" w:eastAsia="宋体" w:cs="宋体"/>
          <w:sz w:val="24"/>
          <w:szCs w:val="24"/>
        </w:rPr>
        <w:t>1</w:t>
      </w:r>
      <w:r>
        <w:rPr>
          <w:rFonts w:hint="eastAsia" w:ascii="宋体" w:hAnsi="宋体" w:eastAsia="宋体" w:cs="宋体"/>
          <w:sz w:val="24"/>
          <w:szCs w:val="24"/>
        </w:rPr>
        <w:fldChar w:fldCharType="end"/>
      </w:r>
      <w:r>
        <w:rPr>
          <w:rFonts w:hint="eastAsia" w:ascii="宋体" w:hAnsi="宋体" w:eastAsia="宋体" w:cs="宋体"/>
          <w:bCs/>
          <w:i w:val="0"/>
          <w:iCs w:val="0"/>
          <w:color w:val="auto"/>
          <w:sz w:val="24"/>
          <w:szCs w:val="24"/>
          <w:highlight w:val="none"/>
          <w:lang w:val="en-US" w:eastAsia="zh-CN"/>
        </w:rPr>
        <w:fldChar w:fldCharType="end"/>
      </w:r>
    </w:p>
    <w:p w14:paraId="661F31F4">
      <w:pPr>
        <w:pStyle w:val="6"/>
        <w:keepNext w:val="0"/>
        <w:keepLines w:val="0"/>
        <w:pageBreakBefore w:val="0"/>
        <w:widowControl w:val="0"/>
        <w:tabs>
          <w:tab w:val="right" w:leader="dot" w:pos="8844"/>
        </w:tabs>
        <w:kinsoku/>
        <w:wordWrap/>
        <w:overflowPunct/>
        <w:topLinePunct w:val="0"/>
        <w:autoSpaceDE/>
        <w:autoSpaceDN/>
        <w:bidi w:val="0"/>
        <w:adjustRightInd w:val="0"/>
        <w:snapToGrid w:val="0"/>
        <w:spacing w:line="240" w:lineRule="auto"/>
        <w:textAlignment w:val="auto"/>
        <w:rPr>
          <w:rFonts w:hint="default" w:ascii="宋体" w:hAnsi="宋体" w:eastAsia="宋体" w:cs="宋体"/>
          <w:sz w:val="24"/>
          <w:szCs w:val="24"/>
          <w:lang w:val="en-US"/>
        </w:rPr>
      </w:pPr>
      <w:r>
        <w:rPr>
          <w:rFonts w:hint="eastAsia" w:ascii="宋体" w:hAnsi="宋体" w:eastAsia="宋体" w:cs="宋体"/>
          <w:bCs/>
          <w:i w:val="0"/>
          <w:iCs w:val="0"/>
          <w:color w:val="auto"/>
          <w:sz w:val="24"/>
          <w:szCs w:val="24"/>
          <w:highlight w:val="none"/>
          <w:lang w:val="en-US" w:eastAsia="zh-CN"/>
        </w:rPr>
        <w:fldChar w:fldCharType="begin"/>
      </w:r>
      <w:r>
        <w:rPr>
          <w:rFonts w:hint="eastAsia" w:ascii="宋体" w:hAnsi="宋体" w:eastAsia="宋体" w:cs="宋体"/>
          <w:bCs/>
          <w:i w:val="0"/>
          <w:iCs w:val="0"/>
          <w:sz w:val="24"/>
          <w:szCs w:val="24"/>
          <w:highlight w:val="none"/>
          <w:lang w:val="en-US" w:eastAsia="zh-CN"/>
        </w:rPr>
        <w:instrText xml:space="preserve"> HYPERLINK \l _Toc29359 </w:instrText>
      </w:r>
      <w:r>
        <w:rPr>
          <w:rFonts w:hint="eastAsia" w:ascii="宋体" w:hAnsi="宋体" w:eastAsia="宋体" w:cs="宋体"/>
          <w:bCs/>
          <w:i w:val="0"/>
          <w:iCs w:val="0"/>
          <w:sz w:val="24"/>
          <w:szCs w:val="24"/>
          <w:highlight w:val="none"/>
          <w:lang w:val="en-US" w:eastAsia="zh-CN"/>
        </w:rPr>
        <w:fldChar w:fldCharType="separate"/>
      </w:r>
      <w:r>
        <w:rPr>
          <w:rFonts w:hint="eastAsia" w:ascii="宋体" w:hAnsi="宋体" w:eastAsia="宋体" w:cs="宋体"/>
          <w:snapToGrid w:val="0"/>
          <w:sz w:val="24"/>
          <w:szCs w:val="24"/>
          <w:highlight w:val="none"/>
        </w:rPr>
        <w:t>二、建设项目工程分析</w:t>
      </w:r>
      <w:r>
        <w:rPr>
          <w:rFonts w:hint="eastAsia" w:ascii="宋体" w:hAnsi="宋体" w:eastAsia="宋体" w:cs="宋体"/>
          <w:sz w:val="24"/>
          <w:szCs w:val="24"/>
        </w:rPr>
        <w:tab/>
      </w:r>
      <w:r>
        <w:rPr>
          <w:rFonts w:hint="eastAsia" w:ascii="宋体" w:hAnsi="宋体" w:cs="宋体"/>
          <w:sz w:val="24"/>
          <w:szCs w:val="24"/>
          <w:lang w:val="en-US" w:eastAsia="zh-CN"/>
        </w:rPr>
        <w:t>2</w:t>
      </w:r>
      <w:r>
        <w:rPr>
          <w:rFonts w:hint="eastAsia" w:ascii="宋体" w:hAnsi="宋体" w:eastAsia="宋体" w:cs="宋体"/>
          <w:bCs/>
          <w:i w:val="0"/>
          <w:iCs w:val="0"/>
          <w:color w:val="auto"/>
          <w:sz w:val="24"/>
          <w:szCs w:val="24"/>
          <w:highlight w:val="none"/>
          <w:lang w:val="en-US" w:eastAsia="zh-CN"/>
        </w:rPr>
        <w:fldChar w:fldCharType="end"/>
      </w:r>
      <w:r>
        <w:rPr>
          <w:rFonts w:hint="eastAsia" w:ascii="宋体" w:hAnsi="宋体" w:cs="宋体"/>
          <w:bCs/>
          <w:i w:val="0"/>
          <w:iCs w:val="0"/>
          <w:color w:val="auto"/>
          <w:sz w:val="24"/>
          <w:szCs w:val="24"/>
          <w:highlight w:val="none"/>
          <w:lang w:val="en-US" w:eastAsia="zh-CN"/>
        </w:rPr>
        <w:t>0</w:t>
      </w:r>
    </w:p>
    <w:p w14:paraId="7D8D5BA9">
      <w:pPr>
        <w:pStyle w:val="6"/>
        <w:keepNext w:val="0"/>
        <w:keepLines w:val="0"/>
        <w:pageBreakBefore w:val="0"/>
        <w:widowControl w:val="0"/>
        <w:tabs>
          <w:tab w:val="right" w:leader="dot" w:pos="8844"/>
        </w:tabs>
        <w:kinsoku/>
        <w:wordWrap/>
        <w:overflowPunct/>
        <w:topLinePunct w:val="0"/>
        <w:autoSpaceDE/>
        <w:autoSpaceDN/>
        <w:bidi w:val="0"/>
        <w:adjustRightInd w:val="0"/>
        <w:snapToGrid w:val="0"/>
        <w:spacing w:line="240" w:lineRule="auto"/>
        <w:textAlignment w:val="auto"/>
        <w:rPr>
          <w:rFonts w:hint="eastAsia" w:ascii="宋体" w:hAnsi="宋体" w:eastAsia="宋体" w:cs="宋体"/>
          <w:sz w:val="24"/>
          <w:szCs w:val="24"/>
        </w:rPr>
      </w:pPr>
      <w:r>
        <w:rPr>
          <w:rFonts w:hint="eastAsia" w:ascii="宋体" w:hAnsi="宋体" w:eastAsia="宋体" w:cs="宋体"/>
          <w:bCs/>
          <w:i w:val="0"/>
          <w:iCs w:val="0"/>
          <w:color w:val="auto"/>
          <w:sz w:val="24"/>
          <w:szCs w:val="24"/>
          <w:highlight w:val="none"/>
          <w:lang w:val="en-US" w:eastAsia="zh-CN"/>
        </w:rPr>
        <w:fldChar w:fldCharType="begin"/>
      </w:r>
      <w:r>
        <w:rPr>
          <w:rFonts w:hint="eastAsia" w:ascii="宋体" w:hAnsi="宋体" w:eastAsia="宋体" w:cs="宋体"/>
          <w:bCs/>
          <w:i w:val="0"/>
          <w:iCs w:val="0"/>
          <w:sz w:val="24"/>
          <w:szCs w:val="24"/>
          <w:highlight w:val="none"/>
          <w:lang w:val="en-US" w:eastAsia="zh-CN"/>
        </w:rPr>
        <w:instrText xml:space="preserve"> HYPERLINK \l _Toc28636 </w:instrText>
      </w:r>
      <w:r>
        <w:rPr>
          <w:rFonts w:hint="eastAsia" w:ascii="宋体" w:hAnsi="宋体" w:eastAsia="宋体" w:cs="宋体"/>
          <w:bCs/>
          <w:i w:val="0"/>
          <w:iCs w:val="0"/>
          <w:sz w:val="24"/>
          <w:szCs w:val="24"/>
          <w:highlight w:val="none"/>
          <w:lang w:val="en-US" w:eastAsia="zh-CN"/>
        </w:rPr>
        <w:fldChar w:fldCharType="separate"/>
      </w:r>
      <w:r>
        <w:rPr>
          <w:rFonts w:hint="eastAsia" w:ascii="宋体" w:hAnsi="宋体" w:eastAsia="宋体" w:cs="宋体"/>
          <w:snapToGrid w:val="0"/>
          <w:sz w:val="24"/>
          <w:szCs w:val="24"/>
          <w:highlight w:val="none"/>
        </w:rPr>
        <w:t>三、区域环境质量现状、环境保护目标及评价标准</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_Toc28636 \h </w:instrText>
      </w:r>
      <w:r>
        <w:rPr>
          <w:rFonts w:hint="eastAsia" w:ascii="宋体" w:hAnsi="宋体" w:eastAsia="宋体" w:cs="宋体"/>
          <w:sz w:val="24"/>
          <w:szCs w:val="24"/>
        </w:rPr>
        <w:fldChar w:fldCharType="separate"/>
      </w:r>
      <w:r>
        <w:rPr>
          <w:rFonts w:hint="eastAsia" w:ascii="宋体" w:hAnsi="宋体" w:eastAsia="宋体" w:cs="宋体"/>
          <w:sz w:val="24"/>
          <w:szCs w:val="24"/>
        </w:rPr>
        <w:t>43</w:t>
      </w:r>
      <w:r>
        <w:rPr>
          <w:rFonts w:hint="eastAsia" w:ascii="宋体" w:hAnsi="宋体" w:eastAsia="宋体" w:cs="宋体"/>
          <w:sz w:val="24"/>
          <w:szCs w:val="24"/>
        </w:rPr>
        <w:fldChar w:fldCharType="end"/>
      </w:r>
      <w:r>
        <w:rPr>
          <w:rFonts w:hint="eastAsia" w:ascii="宋体" w:hAnsi="宋体" w:eastAsia="宋体" w:cs="宋体"/>
          <w:bCs/>
          <w:i w:val="0"/>
          <w:iCs w:val="0"/>
          <w:color w:val="auto"/>
          <w:sz w:val="24"/>
          <w:szCs w:val="24"/>
          <w:highlight w:val="none"/>
          <w:lang w:val="en-US" w:eastAsia="zh-CN"/>
        </w:rPr>
        <w:fldChar w:fldCharType="end"/>
      </w:r>
    </w:p>
    <w:p w14:paraId="7D94B8B8">
      <w:pPr>
        <w:pStyle w:val="6"/>
        <w:keepNext w:val="0"/>
        <w:keepLines w:val="0"/>
        <w:pageBreakBefore w:val="0"/>
        <w:widowControl w:val="0"/>
        <w:tabs>
          <w:tab w:val="right" w:leader="dot" w:pos="8844"/>
        </w:tabs>
        <w:kinsoku/>
        <w:wordWrap/>
        <w:overflowPunct/>
        <w:topLinePunct w:val="0"/>
        <w:autoSpaceDE/>
        <w:autoSpaceDN/>
        <w:bidi w:val="0"/>
        <w:adjustRightInd w:val="0"/>
        <w:snapToGrid w:val="0"/>
        <w:spacing w:line="240" w:lineRule="auto"/>
        <w:textAlignment w:val="auto"/>
        <w:rPr>
          <w:rFonts w:hint="eastAsia" w:ascii="宋体" w:hAnsi="宋体" w:eastAsia="宋体" w:cs="宋体"/>
          <w:sz w:val="24"/>
          <w:szCs w:val="24"/>
        </w:rPr>
      </w:pPr>
      <w:r>
        <w:rPr>
          <w:rFonts w:hint="eastAsia" w:ascii="宋体" w:hAnsi="宋体" w:eastAsia="宋体" w:cs="宋体"/>
          <w:bCs/>
          <w:i w:val="0"/>
          <w:iCs w:val="0"/>
          <w:color w:val="auto"/>
          <w:sz w:val="24"/>
          <w:szCs w:val="24"/>
          <w:highlight w:val="none"/>
          <w:lang w:val="en-US" w:eastAsia="zh-CN"/>
        </w:rPr>
        <w:fldChar w:fldCharType="begin"/>
      </w:r>
      <w:r>
        <w:rPr>
          <w:rFonts w:hint="eastAsia" w:ascii="宋体" w:hAnsi="宋体" w:eastAsia="宋体" w:cs="宋体"/>
          <w:bCs/>
          <w:i w:val="0"/>
          <w:iCs w:val="0"/>
          <w:sz w:val="24"/>
          <w:szCs w:val="24"/>
          <w:highlight w:val="none"/>
          <w:lang w:val="en-US" w:eastAsia="zh-CN"/>
        </w:rPr>
        <w:instrText xml:space="preserve"> HYPERLINK \l _Toc16695 </w:instrText>
      </w:r>
      <w:r>
        <w:rPr>
          <w:rFonts w:hint="eastAsia" w:ascii="宋体" w:hAnsi="宋体" w:eastAsia="宋体" w:cs="宋体"/>
          <w:bCs/>
          <w:i w:val="0"/>
          <w:iCs w:val="0"/>
          <w:sz w:val="24"/>
          <w:szCs w:val="24"/>
          <w:highlight w:val="none"/>
          <w:lang w:val="en-US" w:eastAsia="zh-CN"/>
        </w:rPr>
        <w:fldChar w:fldCharType="separate"/>
      </w:r>
      <w:r>
        <w:rPr>
          <w:rFonts w:hint="eastAsia" w:ascii="宋体" w:hAnsi="宋体" w:eastAsia="宋体" w:cs="宋体"/>
          <w:snapToGrid w:val="0"/>
          <w:sz w:val="24"/>
          <w:szCs w:val="24"/>
          <w:highlight w:val="none"/>
        </w:rPr>
        <w:t>四、主要环境影响和保护措施</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_Toc16695 \h </w:instrText>
      </w:r>
      <w:r>
        <w:rPr>
          <w:rFonts w:hint="eastAsia" w:ascii="宋体" w:hAnsi="宋体" w:eastAsia="宋体" w:cs="宋体"/>
          <w:sz w:val="24"/>
          <w:szCs w:val="24"/>
        </w:rPr>
        <w:fldChar w:fldCharType="separate"/>
      </w:r>
      <w:r>
        <w:rPr>
          <w:rFonts w:hint="eastAsia" w:ascii="宋体" w:hAnsi="宋体" w:eastAsia="宋体" w:cs="宋体"/>
          <w:sz w:val="24"/>
          <w:szCs w:val="24"/>
        </w:rPr>
        <w:t>51</w:t>
      </w:r>
      <w:r>
        <w:rPr>
          <w:rFonts w:hint="eastAsia" w:ascii="宋体" w:hAnsi="宋体" w:eastAsia="宋体" w:cs="宋体"/>
          <w:sz w:val="24"/>
          <w:szCs w:val="24"/>
        </w:rPr>
        <w:fldChar w:fldCharType="end"/>
      </w:r>
      <w:r>
        <w:rPr>
          <w:rFonts w:hint="eastAsia" w:ascii="宋体" w:hAnsi="宋体" w:eastAsia="宋体" w:cs="宋体"/>
          <w:bCs/>
          <w:i w:val="0"/>
          <w:iCs w:val="0"/>
          <w:color w:val="auto"/>
          <w:sz w:val="24"/>
          <w:szCs w:val="24"/>
          <w:highlight w:val="none"/>
          <w:lang w:val="en-US" w:eastAsia="zh-CN"/>
        </w:rPr>
        <w:fldChar w:fldCharType="end"/>
      </w:r>
    </w:p>
    <w:p w14:paraId="5D892FE0">
      <w:pPr>
        <w:pStyle w:val="6"/>
        <w:keepNext w:val="0"/>
        <w:keepLines w:val="0"/>
        <w:pageBreakBefore w:val="0"/>
        <w:widowControl w:val="0"/>
        <w:tabs>
          <w:tab w:val="right" w:leader="dot" w:pos="8844"/>
        </w:tabs>
        <w:kinsoku/>
        <w:wordWrap/>
        <w:overflowPunct/>
        <w:topLinePunct w:val="0"/>
        <w:autoSpaceDE/>
        <w:autoSpaceDN/>
        <w:bidi w:val="0"/>
        <w:adjustRightInd w:val="0"/>
        <w:snapToGrid w:val="0"/>
        <w:spacing w:line="240" w:lineRule="auto"/>
        <w:textAlignment w:val="auto"/>
        <w:rPr>
          <w:rFonts w:hint="eastAsia" w:ascii="宋体" w:hAnsi="宋体" w:eastAsia="宋体" w:cs="宋体"/>
          <w:sz w:val="24"/>
          <w:szCs w:val="24"/>
        </w:rPr>
      </w:pPr>
      <w:r>
        <w:rPr>
          <w:rFonts w:hint="eastAsia" w:ascii="宋体" w:hAnsi="宋体" w:eastAsia="宋体" w:cs="宋体"/>
          <w:bCs/>
          <w:i w:val="0"/>
          <w:iCs w:val="0"/>
          <w:color w:val="auto"/>
          <w:sz w:val="24"/>
          <w:szCs w:val="24"/>
          <w:highlight w:val="none"/>
          <w:lang w:val="en-US" w:eastAsia="zh-CN"/>
        </w:rPr>
        <w:fldChar w:fldCharType="begin"/>
      </w:r>
      <w:r>
        <w:rPr>
          <w:rFonts w:hint="eastAsia" w:ascii="宋体" w:hAnsi="宋体" w:eastAsia="宋体" w:cs="宋体"/>
          <w:bCs/>
          <w:i w:val="0"/>
          <w:iCs w:val="0"/>
          <w:sz w:val="24"/>
          <w:szCs w:val="24"/>
          <w:highlight w:val="none"/>
          <w:lang w:val="en-US" w:eastAsia="zh-CN"/>
        </w:rPr>
        <w:instrText xml:space="preserve"> HYPERLINK \l _Toc13996 </w:instrText>
      </w:r>
      <w:r>
        <w:rPr>
          <w:rFonts w:hint="eastAsia" w:ascii="宋体" w:hAnsi="宋体" w:eastAsia="宋体" w:cs="宋体"/>
          <w:bCs/>
          <w:i w:val="0"/>
          <w:iCs w:val="0"/>
          <w:sz w:val="24"/>
          <w:szCs w:val="24"/>
          <w:highlight w:val="none"/>
          <w:lang w:val="en-US" w:eastAsia="zh-CN"/>
        </w:rPr>
        <w:fldChar w:fldCharType="separate"/>
      </w:r>
      <w:r>
        <w:rPr>
          <w:rFonts w:hint="eastAsia" w:ascii="宋体" w:hAnsi="宋体" w:eastAsia="宋体" w:cs="宋体"/>
          <w:snapToGrid w:val="0"/>
          <w:sz w:val="24"/>
          <w:szCs w:val="24"/>
          <w:highlight w:val="none"/>
        </w:rPr>
        <w:t>五、环境保护措施监督检查清单</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_Toc13996 \h </w:instrText>
      </w:r>
      <w:r>
        <w:rPr>
          <w:rFonts w:hint="eastAsia" w:ascii="宋体" w:hAnsi="宋体" w:eastAsia="宋体" w:cs="宋体"/>
          <w:sz w:val="24"/>
          <w:szCs w:val="24"/>
        </w:rPr>
        <w:fldChar w:fldCharType="separate"/>
      </w:r>
      <w:r>
        <w:rPr>
          <w:rFonts w:hint="eastAsia" w:ascii="宋体" w:hAnsi="宋体" w:eastAsia="宋体" w:cs="宋体"/>
          <w:sz w:val="24"/>
          <w:szCs w:val="24"/>
        </w:rPr>
        <w:t>82</w:t>
      </w:r>
      <w:r>
        <w:rPr>
          <w:rFonts w:hint="eastAsia" w:ascii="宋体" w:hAnsi="宋体" w:eastAsia="宋体" w:cs="宋体"/>
          <w:sz w:val="24"/>
          <w:szCs w:val="24"/>
        </w:rPr>
        <w:fldChar w:fldCharType="end"/>
      </w:r>
      <w:r>
        <w:rPr>
          <w:rFonts w:hint="eastAsia" w:ascii="宋体" w:hAnsi="宋体" w:eastAsia="宋体" w:cs="宋体"/>
          <w:bCs/>
          <w:i w:val="0"/>
          <w:iCs w:val="0"/>
          <w:color w:val="auto"/>
          <w:sz w:val="24"/>
          <w:szCs w:val="24"/>
          <w:highlight w:val="none"/>
          <w:lang w:val="en-US" w:eastAsia="zh-CN"/>
        </w:rPr>
        <w:fldChar w:fldCharType="end"/>
      </w:r>
    </w:p>
    <w:p w14:paraId="3857929F">
      <w:pPr>
        <w:pStyle w:val="6"/>
        <w:keepNext w:val="0"/>
        <w:keepLines w:val="0"/>
        <w:pageBreakBefore w:val="0"/>
        <w:widowControl w:val="0"/>
        <w:tabs>
          <w:tab w:val="right" w:leader="dot" w:pos="8844"/>
        </w:tabs>
        <w:kinsoku/>
        <w:wordWrap/>
        <w:overflowPunct/>
        <w:topLinePunct w:val="0"/>
        <w:autoSpaceDE/>
        <w:autoSpaceDN/>
        <w:bidi w:val="0"/>
        <w:adjustRightInd w:val="0"/>
        <w:snapToGrid w:val="0"/>
        <w:spacing w:line="240" w:lineRule="auto"/>
        <w:textAlignment w:val="auto"/>
        <w:rPr>
          <w:rFonts w:hint="eastAsia" w:ascii="宋体" w:hAnsi="宋体" w:eastAsia="宋体" w:cs="宋体"/>
          <w:sz w:val="24"/>
          <w:szCs w:val="24"/>
        </w:rPr>
      </w:pPr>
      <w:r>
        <w:rPr>
          <w:rFonts w:hint="eastAsia" w:ascii="宋体" w:hAnsi="宋体" w:eastAsia="宋体" w:cs="宋体"/>
          <w:bCs/>
          <w:i w:val="0"/>
          <w:iCs w:val="0"/>
          <w:color w:val="auto"/>
          <w:sz w:val="24"/>
          <w:szCs w:val="24"/>
          <w:highlight w:val="none"/>
          <w:lang w:val="en-US" w:eastAsia="zh-CN"/>
        </w:rPr>
        <w:fldChar w:fldCharType="begin"/>
      </w:r>
      <w:r>
        <w:rPr>
          <w:rFonts w:hint="eastAsia" w:ascii="宋体" w:hAnsi="宋体" w:eastAsia="宋体" w:cs="宋体"/>
          <w:bCs/>
          <w:i w:val="0"/>
          <w:iCs w:val="0"/>
          <w:sz w:val="24"/>
          <w:szCs w:val="24"/>
          <w:highlight w:val="none"/>
          <w:lang w:val="en-US" w:eastAsia="zh-CN"/>
        </w:rPr>
        <w:instrText xml:space="preserve"> HYPERLINK \l _Toc3371 </w:instrText>
      </w:r>
      <w:r>
        <w:rPr>
          <w:rFonts w:hint="eastAsia" w:ascii="宋体" w:hAnsi="宋体" w:eastAsia="宋体" w:cs="宋体"/>
          <w:bCs/>
          <w:i w:val="0"/>
          <w:iCs w:val="0"/>
          <w:sz w:val="24"/>
          <w:szCs w:val="24"/>
          <w:highlight w:val="none"/>
          <w:lang w:val="en-US" w:eastAsia="zh-CN"/>
        </w:rPr>
        <w:fldChar w:fldCharType="separate"/>
      </w:r>
      <w:r>
        <w:rPr>
          <w:rFonts w:hint="eastAsia" w:ascii="宋体" w:hAnsi="宋体" w:eastAsia="宋体" w:cs="宋体"/>
          <w:snapToGrid w:val="0"/>
          <w:sz w:val="24"/>
          <w:szCs w:val="24"/>
          <w:highlight w:val="none"/>
        </w:rPr>
        <w:t>六、结论</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_Toc3371 \h </w:instrText>
      </w:r>
      <w:r>
        <w:rPr>
          <w:rFonts w:hint="eastAsia" w:ascii="宋体" w:hAnsi="宋体" w:eastAsia="宋体" w:cs="宋体"/>
          <w:sz w:val="24"/>
          <w:szCs w:val="24"/>
        </w:rPr>
        <w:fldChar w:fldCharType="separate"/>
      </w:r>
      <w:r>
        <w:rPr>
          <w:rFonts w:hint="eastAsia" w:ascii="宋体" w:hAnsi="宋体" w:eastAsia="宋体" w:cs="宋体"/>
          <w:sz w:val="24"/>
          <w:szCs w:val="24"/>
        </w:rPr>
        <w:t>88</w:t>
      </w:r>
      <w:r>
        <w:rPr>
          <w:rFonts w:hint="eastAsia" w:ascii="宋体" w:hAnsi="宋体" w:eastAsia="宋体" w:cs="宋体"/>
          <w:sz w:val="24"/>
          <w:szCs w:val="24"/>
        </w:rPr>
        <w:fldChar w:fldCharType="end"/>
      </w:r>
      <w:r>
        <w:rPr>
          <w:rFonts w:hint="eastAsia" w:ascii="宋体" w:hAnsi="宋体" w:eastAsia="宋体" w:cs="宋体"/>
          <w:bCs/>
          <w:i w:val="0"/>
          <w:iCs w:val="0"/>
          <w:color w:val="auto"/>
          <w:sz w:val="24"/>
          <w:szCs w:val="24"/>
          <w:highlight w:val="none"/>
          <w:lang w:val="en-US" w:eastAsia="zh-CN"/>
        </w:rPr>
        <w:fldChar w:fldCharType="end"/>
      </w:r>
    </w:p>
    <w:p w14:paraId="41C0AE00">
      <w:pPr>
        <w:pStyle w:val="6"/>
        <w:keepNext w:val="0"/>
        <w:keepLines w:val="0"/>
        <w:pageBreakBefore w:val="0"/>
        <w:widowControl w:val="0"/>
        <w:tabs>
          <w:tab w:val="right" w:leader="dot" w:pos="8844"/>
        </w:tabs>
        <w:kinsoku/>
        <w:wordWrap/>
        <w:overflowPunct/>
        <w:topLinePunct w:val="0"/>
        <w:autoSpaceDE/>
        <w:autoSpaceDN/>
        <w:bidi w:val="0"/>
        <w:adjustRightInd w:val="0"/>
        <w:snapToGrid w:val="0"/>
        <w:spacing w:line="240" w:lineRule="auto"/>
        <w:textAlignment w:val="auto"/>
        <w:rPr>
          <w:rFonts w:hint="eastAsia" w:ascii="宋体" w:hAnsi="宋体" w:eastAsia="宋体" w:cs="宋体"/>
          <w:sz w:val="24"/>
          <w:szCs w:val="24"/>
        </w:rPr>
      </w:pPr>
      <w:r>
        <w:rPr>
          <w:rFonts w:hint="eastAsia" w:ascii="宋体" w:hAnsi="宋体" w:eastAsia="宋体" w:cs="宋体"/>
          <w:bCs/>
          <w:i w:val="0"/>
          <w:iCs w:val="0"/>
          <w:color w:val="auto"/>
          <w:sz w:val="24"/>
          <w:szCs w:val="24"/>
          <w:highlight w:val="none"/>
          <w:lang w:val="en-US" w:eastAsia="zh-CN"/>
        </w:rPr>
        <w:fldChar w:fldCharType="begin"/>
      </w:r>
      <w:r>
        <w:rPr>
          <w:rFonts w:hint="eastAsia" w:ascii="宋体" w:hAnsi="宋体" w:eastAsia="宋体" w:cs="宋体"/>
          <w:bCs/>
          <w:i w:val="0"/>
          <w:iCs w:val="0"/>
          <w:sz w:val="24"/>
          <w:szCs w:val="24"/>
          <w:highlight w:val="none"/>
          <w:lang w:val="en-US" w:eastAsia="zh-CN"/>
        </w:rPr>
        <w:instrText xml:space="preserve"> HYPERLINK \l _Toc19141 </w:instrText>
      </w:r>
      <w:r>
        <w:rPr>
          <w:rFonts w:hint="eastAsia" w:ascii="宋体" w:hAnsi="宋体" w:eastAsia="宋体" w:cs="宋体"/>
          <w:bCs/>
          <w:i w:val="0"/>
          <w:iCs w:val="0"/>
          <w:sz w:val="24"/>
          <w:szCs w:val="24"/>
          <w:highlight w:val="none"/>
          <w:lang w:val="en-US" w:eastAsia="zh-CN"/>
        </w:rPr>
        <w:fldChar w:fldCharType="separate"/>
      </w:r>
      <w:r>
        <w:rPr>
          <w:rFonts w:hint="eastAsia" w:ascii="宋体" w:hAnsi="宋体" w:eastAsia="宋体" w:cs="宋体"/>
          <w:snapToGrid w:val="0"/>
          <w:sz w:val="24"/>
          <w:szCs w:val="24"/>
          <w:highlight w:val="none"/>
        </w:rPr>
        <w:t>附表</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_Toc19141 \h </w:instrText>
      </w:r>
      <w:r>
        <w:rPr>
          <w:rFonts w:hint="eastAsia" w:ascii="宋体" w:hAnsi="宋体" w:eastAsia="宋体" w:cs="宋体"/>
          <w:sz w:val="24"/>
          <w:szCs w:val="24"/>
        </w:rPr>
        <w:fldChar w:fldCharType="separate"/>
      </w:r>
      <w:r>
        <w:rPr>
          <w:rFonts w:hint="eastAsia" w:ascii="宋体" w:hAnsi="宋体" w:eastAsia="宋体" w:cs="宋体"/>
          <w:sz w:val="24"/>
          <w:szCs w:val="24"/>
        </w:rPr>
        <w:t>89</w:t>
      </w:r>
      <w:r>
        <w:rPr>
          <w:rFonts w:hint="eastAsia" w:ascii="宋体" w:hAnsi="宋体" w:eastAsia="宋体" w:cs="宋体"/>
          <w:sz w:val="24"/>
          <w:szCs w:val="24"/>
        </w:rPr>
        <w:fldChar w:fldCharType="end"/>
      </w:r>
      <w:r>
        <w:rPr>
          <w:rFonts w:hint="eastAsia" w:ascii="宋体" w:hAnsi="宋体" w:eastAsia="宋体" w:cs="宋体"/>
          <w:bCs/>
          <w:i w:val="0"/>
          <w:iCs w:val="0"/>
          <w:color w:val="auto"/>
          <w:sz w:val="24"/>
          <w:szCs w:val="24"/>
          <w:highlight w:val="none"/>
          <w:lang w:val="en-US" w:eastAsia="zh-CN"/>
        </w:rPr>
        <w:fldChar w:fldCharType="end"/>
      </w:r>
    </w:p>
    <w:p w14:paraId="6643972A">
      <w:pPr>
        <w:pStyle w:val="6"/>
        <w:keepNext w:val="0"/>
        <w:keepLines w:val="0"/>
        <w:pageBreakBefore w:val="0"/>
        <w:widowControl w:val="0"/>
        <w:tabs>
          <w:tab w:val="right" w:leader="dot" w:pos="8844"/>
        </w:tabs>
        <w:kinsoku/>
        <w:wordWrap/>
        <w:overflowPunct/>
        <w:topLinePunct w:val="0"/>
        <w:autoSpaceDE/>
        <w:autoSpaceDN/>
        <w:bidi w:val="0"/>
        <w:adjustRightInd w:val="0"/>
        <w:snapToGrid w:val="0"/>
        <w:spacing w:line="240" w:lineRule="auto"/>
        <w:textAlignment w:val="auto"/>
        <w:rPr>
          <w:rFonts w:hint="eastAsia" w:ascii="宋体" w:hAnsi="宋体" w:eastAsia="宋体" w:cs="宋体"/>
          <w:sz w:val="24"/>
          <w:szCs w:val="24"/>
        </w:rPr>
      </w:pPr>
      <w:r>
        <w:rPr>
          <w:rFonts w:hint="eastAsia" w:ascii="宋体" w:hAnsi="宋体" w:eastAsia="宋体" w:cs="宋体"/>
          <w:bCs/>
          <w:i w:val="0"/>
          <w:iCs w:val="0"/>
          <w:color w:val="auto"/>
          <w:sz w:val="24"/>
          <w:szCs w:val="24"/>
          <w:highlight w:val="none"/>
          <w:lang w:val="en-US" w:eastAsia="zh-CN"/>
        </w:rPr>
        <w:fldChar w:fldCharType="begin"/>
      </w:r>
      <w:r>
        <w:rPr>
          <w:rFonts w:hint="eastAsia" w:ascii="宋体" w:hAnsi="宋体" w:eastAsia="宋体" w:cs="宋体"/>
          <w:bCs/>
          <w:i w:val="0"/>
          <w:iCs w:val="0"/>
          <w:sz w:val="24"/>
          <w:szCs w:val="24"/>
          <w:highlight w:val="none"/>
          <w:lang w:val="en-US" w:eastAsia="zh-CN"/>
        </w:rPr>
        <w:instrText xml:space="preserve"> HYPERLINK \l _Toc23970 </w:instrText>
      </w:r>
      <w:r>
        <w:rPr>
          <w:rFonts w:hint="eastAsia" w:ascii="宋体" w:hAnsi="宋体" w:eastAsia="宋体" w:cs="宋体"/>
          <w:bCs/>
          <w:i w:val="0"/>
          <w:iCs w:val="0"/>
          <w:sz w:val="24"/>
          <w:szCs w:val="24"/>
          <w:highlight w:val="none"/>
          <w:lang w:val="en-US" w:eastAsia="zh-CN"/>
        </w:rPr>
        <w:fldChar w:fldCharType="separate"/>
      </w:r>
      <w:r>
        <w:rPr>
          <w:rFonts w:hint="eastAsia" w:ascii="宋体" w:hAnsi="宋体" w:eastAsia="宋体" w:cs="宋体"/>
          <w:snapToGrid w:val="0"/>
          <w:sz w:val="24"/>
          <w:szCs w:val="24"/>
          <w:highlight w:val="none"/>
        </w:rPr>
        <w:t>建设项目污染物排放量汇总表</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_Toc23970 \h </w:instrText>
      </w:r>
      <w:r>
        <w:rPr>
          <w:rFonts w:hint="eastAsia" w:ascii="宋体" w:hAnsi="宋体" w:eastAsia="宋体" w:cs="宋体"/>
          <w:sz w:val="24"/>
          <w:szCs w:val="24"/>
        </w:rPr>
        <w:fldChar w:fldCharType="separate"/>
      </w:r>
      <w:r>
        <w:rPr>
          <w:rFonts w:hint="eastAsia" w:ascii="宋体" w:hAnsi="宋体" w:eastAsia="宋体" w:cs="宋体"/>
          <w:sz w:val="24"/>
          <w:szCs w:val="24"/>
        </w:rPr>
        <w:t>89</w:t>
      </w:r>
      <w:r>
        <w:rPr>
          <w:rFonts w:hint="eastAsia" w:ascii="宋体" w:hAnsi="宋体" w:eastAsia="宋体" w:cs="宋体"/>
          <w:sz w:val="24"/>
          <w:szCs w:val="24"/>
        </w:rPr>
        <w:fldChar w:fldCharType="end"/>
      </w:r>
      <w:r>
        <w:rPr>
          <w:rFonts w:hint="eastAsia" w:ascii="宋体" w:hAnsi="宋体" w:eastAsia="宋体" w:cs="宋体"/>
          <w:bCs/>
          <w:i w:val="0"/>
          <w:iCs w:val="0"/>
          <w:color w:val="auto"/>
          <w:sz w:val="24"/>
          <w:szCs w:val="24"/>
          <w:highlight w:val="none"/>
          <w:lang w:val="en-US" w:eastAsia="zh-CN"/>
        </w:rPr>
        <w:fldChar w:fldCharType="end"/>
      </w:r>
    </w:p>
    <w:p w14:paraId="41E89A46">
      <w:pPr>
        <w:keepNext w:val="0"/>
        <w:keepLines w:val="0"/>
        <w:pageBreakBefore w:val="0"/>
        <w:widowControl w:val="0"/>
        <w:kinsoku/>
        <w:wordWrap/>
        <w:overflowPunct/>
        <w:topLinePunct w:val="0"/>
        <w:autoSpaceDE/>
        <w:autoSpaceDN/>
        <w:bidi w:val="0"/>
        <w:adjustRightInd w:val="0"/>
        <w:snapToGrid w:val="0"/>
        <w:spacing w:line="240" w:lineRule="auto"/>
        <w:ind w:firstLine="1040"/>
        <w:textAlignment w:val="auto"/>
        <w:rPr>
          <w:rFonts w:ascii="仿宋_GB2312" w:eastAsia="仿宋_GB2312"/>
          <w:sz w:val="36"/>
          <w:szCs w:val="36"/>
          <w:highlight w:val="none"/>
        </w:rPr>
        <w:sectPr>
          <w:footerReference r:id="rId3" w:type="default"/>
          <w:footerReference r:id="rId4" w:type="even"/>
          <w:pgSz w:w="11906" w:h="16838"/>
          <w:pgMar w:top="1701" w:right="1531" w:bottom="1701" w:left="1531" w:header="851" w:footer="1077" w:gutter="0"/>
          <w:pgBorders>
            <w:top w:val="none" w:sz="0" w:space="0"/>
            <w:left w:val="none" w:sz="0" w:space="0"/>
            <w:bottom w:val="none" w:sz="0" w:space="0"/>
            <w:right w:val="none" w:sz="0" w:space="0"/>
          </w:pgBorders>
          <w:pgNumType w:fmt="decimal" w:start="3"/>
          <w:cols w:space="720" w:num="1"/>
          <w:docGrid w:linePitch="312" w:charSpace="0"/>
        </w:sectPr>
      </w:pPr>
      <w:r>
        <w:rPr>
          <w:rFonts w:hint="eastAsia" w:ascii="宋体" w:hAnsi="宋体" w:eastAsia="宋体" w:cs="宋体"/>
          <w:bCs/>
          <w:i w:val="0"/>
          <w:iCs w:val="0"/>
          <w:color w:val="auto"/>
          <w:sz w:val="24"/>
          <w:szCs w:val="24"/>
          <w:highlight w:val="none"/>
          <w:lang w:val="en-US" w:eastAsia="zh-CN"/>
        </w:rPr>
        <w:fldChar w:fldCharType="end"/>
      </w:r>
      <w:bookmarkStart w:id="2" w:name="_Toc10599"/>
      <w:bookmarkStart w:id="13" w:name="_GoBack"/>
      <w:bookmarkEnd w:id="13"/>
    </w:p>
    <w:p w14:paraId="694CD563">
      <w:pPr>
        <w:pStyle w:val="22"/>
        <w:keepNext w:val="0"/>
        <w:keepLines w:val="0"/>
        <w:pageBreakBefore w:val="0"/>
        <w:widowControl/>
        <w:kinsoku/>
        <w:wordWrap/>
        <w:overflowPunct/>
        <w:topLinePunct w:val="0"/>
        <w:autoSpaceDE/>
        <w:autoSpaceDN/>
        <w:bidi w:val="0"/>
        <w:adjustRightInd/>
        <w:snapToGrid/>
        <w:spacing w:before="0" w:beforeAutospacing="0" w:after="0" w:afterAutospacing="0"/>
        <w:jc w:val="center"/>
        <w:textAlignment w:val="auto"/>
        <w:outlineLvl w:val="0"/>
        <w:rPr>
          <w:rFonts w:hint="eastAsia" w:ascii="黑体" w:hAnsi="黑体" w:eastAsia="黑体"/>
          <w:snapToGrid w:val="0"/>
          <w:sz w:val="30"/>
          <w:szCs w:val="30"/>
          <w:highlight w:val="none"/>
        </w:rPr>
      </w:pPr>
      <w:r>
        <w:rPr>
          <w:rFonts w:hint="eastAsia" w:ascii="黑体" w:hAnsi="黑体" w:eastAsia="黑体"/>
          <w:snapToGrid w:val="0"/>
          <w:sz w:val="30"/>
          <w:szCs w:val="30"/>
          <w:highlight w:val="none"/>
        </w:rPr>
        <w:t>一、建设项目基本情况</w:t>
      </w:r>
      <w:bookmarkEnd w:id="2"/>
    </w:p>
    <w:tbl>
      <w:tblPr>
        <w:tblStyle w:val="25"/>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1083"/>
        <w:gridCol w:w="2309"/>
        <w:gridCol w:w="2336"/>
        <w:gridCol w:w="3142"/>
      </w:tblGrid>
      <w:tr w14:paraId="0503C3E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1083" w:type="dxa"/>
            <w:noWrap w:val="0"/>
            <w:tcMar>
              <w:top w:w="16" w:type="dxa"/>
              <w:left w:w="16" w:type="dxa"/>
              <w:right w:w="16" w:type="dxa"/>
            </w:tcMar>
            <w:vAlign w:val="center"/>
          </w:tcPr>
          <w:p w14:paraId="2C6612FD">
            <w:pPr>
              <w:adjustRightInd w:val="0"/>
              <w:snapToGrid w:val="0"/>
              <w:jc w:val="center"/>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t>建设项目名称</w:t>
            </w:r>
          </w:p>
        </w:tc>
        <w:tc>
          <w:tcPr>
            <w:tcW w:w="7787" w:type="dxa"/>
            <w:gridSpan w:val="3"/>
            <w:noWrap w:val="0"/>
            <w:vAlign w:val="center"/>
          </w:tcPr>
          <w:p w14:paraId="2A090BF7">
            <w:pPr>
              <w:adjustRightInd w:val="0"/>
              <w:snapToGrid w:val="0"/>
              <w:jc w:val="center"/>
              <w:rPr>
                <w:rFonts w:hint="default" w:ascii="Times New Roman" w:hAnsi="Times New Roman" w:eastAsia="宋体" w:cs="Times New Roman"/>
                <w:sz w:val="24"/>
                <w:szCs w:val="24"/>
                <w:highlight w:val="none"/>
                <w:lang w:val="en-US" w:eastAsia="zh-CN"/>
              </w:rPr>
            </w:pPr>
            <w:r>
              <w:rPr>
                <w:rFonts w:hint="eastAsia" w:cs="Times New Roman"/>
                <w:sz w:val="24"/>
                <w:szCs w:val="24"/>
                <w:highlight w:val="none"/>
                <w:lang w:val="en-US" w:eastAsia="zh-CN"/>
              </w:rPr>
              <w:t>粤蒙盛现代物流项目</w:t>
            </w:r>
          </w:p>
        </w:tc>
      </w:tr>
      <w:tr w14:paraId="276395F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1083" w:type="dxa"/>
            <w:noWrap w:val="0"/>
            <w:tcMar>
              <w:top w:w="16" w:type="dxa"/>
              <w:left w:w="16" w:type="dxa"/>
              <w:right w:w="16" w:type="dxa"/>
            </w:tcMar>
            <w:vAlign w:val="center"/>
          </w:tcPr>
          <w:p w14:paraId="411AA3D3">
            <w:pPr>
              <w:adjustRightInd w:val="0"/>
              <w:snapToGrid w:val="0"/>
              <w:jc w:val="center"/>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t>项目代码</w:t>
            </w:r>
          </w:p>
        </w:tc>
        <w:tc>
          <w:tcPr>
            <w:tcW w:w="7787" w:type="dxa"/>
            <w:gridSpan w:val="3"/>
            <w:noWrap w:val="0"/>
            <w:vAlign w:val="center"/>
          </w:tcPr>
          <w:p w14:paraId="07245EA3">
            <w:pPr>
              <w:adjustRightInd w:val="0"/>
              <w:snapToGrid w:val="0"/>
              <w:jc w:val="center"/>
              <w:rPr>
                <w:rFonts w:hint="default" w:ascii="Times New Roman" w:hAnsi="Times New Roman" w:eastAsia="宋体" w:cs="Times New Roman"/>
                <w:sz w:val="24"/>
                <w:szCs w:val="24"/>
                <w:highlight w:val="none"/>
                <w:lang w:val="en-US" w:eastAsia="zh-CN"/>
              </w:rPr>
            </w:pPr>
            <w:r>
              <w:rPr>
                <w:rFonts w:hint="default" w:ascii="Times New Roman" w:hAnsi="Times New Roman" w:cs="Times New Roman"/>
                <w:sz w:val="24"/>
                <w:szCs w:val="24"/>
                <w:highlight w:val="none"/>
                <w:lang w:val="en-US" w:eastAsia="zh-CN"/>
              </w:rPr>
              <w:t>2301-130209-89-01-940845</w:t>
            </w:r>
          </w:p>
        </w:tc>
      </w:tr>
      <w:tr w14:paraId="3C7833B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1083" w:type="dxa"/>
            <w:noWrap w:val="0"/>
            <w:tcMar>
              <w:top w:w="16" w:type="dxa"/>
              <w:left w:w="16" w:type="dxa"/>
              <w:right w:w="16" w:type="dxa"/>
            </w:tcMar>
            <w:vAlign w:val="center"/>
          </w:tcPr>
          <w:p w14:paraId="7DA34B85">
            <w:pPr>
              <w:adjustRightInd w:val="0"/>
              <w:snapToGrid w:val="0"/>
              <w:jc w:val="center"/>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t>建设单位联系人</w:t>
            </w:r>
          </w:p>
        </w:tc>
        <w:tc>
          <w:tcPr>
            <w:tcW w:w="2309" w:type="dxa"/>
            <w:noWrap w:val="0"/>
            <w:vAlign w:val="center"/>
          </w:tcPr>
          <w:p w14:paraId="47DA3915">
            <w:pPr>
              <w:adjustRightInd w:val="0"/>
              <w:snapToGrid w:val="0"/>
              <w:jc w:val="center"/>
              <w:rPr>
                <w:rFonts w:hint="default" w:ascii="Times New Roman" w:hAnsi="Times New Roman" w:eastAsia="宋体" w:cs="Times New Roman"/>
                <w:sz w:val="24"/>
                <w:szCs w:val="24"/>
                <w:highlight w:val="none"/>
                <w:lang w:val="en-US" w:eastAsia="zh-CN"/>
              </w:rPr>
            </w:pPr>
            <w:r>
              <w:rPr>
                <w:rFonts w:hint="eastAsia" w:cs="Times New Roman"/>
                <w:sz w:val="24"/>
                <w:szCs w:val="24"/>
                <w:highlight w:val="none"/>
                <w:lang w:val="en-US" w:eastAsia="zh-CN"/>
              </w:rPr>
              <w:t>江安民</w:t>
            </w:r>
          </w:p>
        </w:tc>
        <w:tc>
          <w:tcPr>
            <w:tcW w:w="2336" w:type="dxa"/>
            <w:noWrap w:val="0"/>
            <w:vAlign w:val="center"/>
          </w:tcPr>
          <w:p w14:paraId="485889B4">
            <w:pPr>
              <w:adjustRightInd w:val="0"/>
              <w:snapToGrid w:val="0"/>
              <w:jc w:val="center"/>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t>联系方式</w:t>
            </w:r>
          </w:p>
        </w:tc>
        <w:tc>
          <w:tcPr>
            <w:tcW w:w="3142" w:type="dxa"/>
            <w:noWrap w:val="0"/>
            <w:vAlign w:val="center"/>
          </w:tcPr>
          <w:p w14:paraId="35A6FBBE">
            <w:pPr>
              <w:adjustRightInd w:val="0"/>
              <w:snapToGrid w:val="0"/>
              <w:jc w:val="center"/>
              <w:rPr>
                <w:rFonts w:hint="default" w:ascii="Times New Roman" w:hAnsi="Times New Roman" w:eastAsia="宋体" w:cs="Times New Roman"/>
                <w:sz w:val="24"/>
                <w:szCs w:val="24"/>
                <w:highlight w:val="none"/>
                <w:lang w:val="en-US" w:eastAsia="zh-CN"/>
              </w:rPr>
            </w:pPr>
            <w:r>
              <w:rPr>
                <w:rFonts w:hint="eastAsia" w:cs="Times New Roman"/>
                <w:sz w:val="24"/>
                <w:szCs w:val="24"/>
                <w:highlight w:val="none"/>
                <w:lang w:val="en-US" w:eastAsia="zh-CN"/>
              </w:rPr>
              <w:t>13389981333</w:t>
            </w:r>
          </w:p>
        </w:tc>
      </w:tr>
      <w:tr w14:paraId="0D84DB4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1083" w:type="dxa"/>
            <w:noWrap w:val="0"/>
            <w:tcMar>
              <w:top w:w="16" w:type="dxa"/>
              <w:left w:w="16" w:type="dxa"/>
              <w:right w:w="16" w:type="dxa"/>
            </w:tcMar>
            <w:vAlign w:val="center"/>
          </w:tcPr>
          <w:p w14:paraId="60705929">
            <w:pPr>
              <w:adjustRightInd w:val="0"/>
              <w:snapToGrid w:val="0"/>
              <w:jc w:val="center"/>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t>建设地点</w:t>
            </w:r>
          </w:p>
        </w:tc>
        <w:tc>
          <w:tcPr>
            <w:tcW w:w="7787" w:type="dxa"/>
            <w:gridSpan w:val="3"/>
            <w:noWrap w:val="0"/>
            <w:vAlign w:val="center"/>
          </w:tcPr>
          <w:p w14:paraId="62D29873">
            <w:pPr>
              <w:adjustRightInd w:val="0"/>
              <w:snapToGrid w:val="0"/>
              <w:jc w:val="center"/>
              <w:rPr>
                <w:rFonts w:hint="default" w:cs="Times New Roman"/>
                <w:sz w:val="24"/>
                <w:szCs w:val="24"/>
                <w:highlight w:val="none"/>
                <w:lang w:val="en-US" w:eastAsia="zh-CN"/>
              </w:rPr>
            </w:pPr>
            <w:r>
              <w:rPr>
                <w:rFonts w:hint="eastAsia" w:cs="Times New Roman"/>
                <w:sz w:val="24"/>
                <w:szCs w:val="24"/>
                <w:highlight w:val="none"/>
                <w:lang w:val="en-US" w:eastAsia="zh-CN"/>
              </w:rPr>
              <w:t>唐山市曹妃甸港口物流园区</w:t>
            </w:r>
          </w:p>
        </w:tc>
      </w:tr>
      <w:tr w14:paraId="4283094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1083" w:type="dxa"/>
            <w:noWrap w:val="0"/>
            <w:tcMar>
              <w:top w:w="16" w:type="dxa"/>
              <w:left w:w="16" w:type="dxa"/>
              <w:right w:w="16" w:type="dxa"/>
            </w:tcMar>
            <w:vAlign w:val="center"/>
          </w:tcPr>
          <w:p w14:paraId="574C0B57">
            <w:pPr>
              <w:adjustRightInd w:val="0"/>
              <w:snapToGrid w:val="0"/>
              <w:jc w:val="center"/>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t>地理坐标</w:t>
            </w:r>
          </w:p>
        </w:tc>
        <w:tc>
          <w:tcPr>
            <w:tcW w:w="7787" w:type="dxa"/>
            <w:gridSpan w:val="3"/>
            <w:noWrap w:val="0"/>
            <w:vAlign w:val="center"/>
          </w:tcPr>
          <w:p w14:paraId="183E3E9A">
            <w:pPr>
              <w:adjustRightInd w:val="0"/>
              <w:snapToGrid w:val="0"/>
              <w:jc w:val="center"/>
              <w:rPr>
                <w:rFonts w:hint="default" w:cs="Times New Roman"/>
                <w:sz w:val="24"/>
                <w:szCs w:val="24"/>
                <w:highlight w:val="none"/>
                <w:lang w:val="en-US" w:eastAsia="zh-CN"/>
              </w:rPr>
            </w:pPr>
            <w:r>
              <w:rPr>
                <w:rFonts w:hint="default" w:cs="Times New Roman"/>
                <w:sz w:val="24"/>
                <w:szCs w:val="24"/>
                <w:highlight w:val="none"/>
                <w:lang w:val="en-US" w:eastAsia="zh-CN"/>
              </w:rPr>
              <w:t>E118°</w:t>
            </w:r>
            <w:r>
              <w:rPr>
                <w:rFonts w:hint="eastAsia" w:cs="Times New Roman"/>
                <w:sz w:val="24"/>
                <w:szCs w:val="24"/>
                <w:highlight w:val="none"/>
                <w:lang w:val="en-US" w:eastAsia="zh-CN"/>
              </w:rPr>
              <w:t>23</w:t>
            </w:r>
            <w:r>
              <w:rPr>
                <w:rFonts w:hint="default" w:cs="Times New Roman"/>
                <w:sz w:val="24"/>
                <w:szCs w:val="24"/>
                <w:highlight w:val="none"/>
                <w:lang w:val="en-US" w:eastAsia="zh-CN"/>
              </w:rPr>
              <w:t>′</w:t>
            </w:r>
            <w:r>
              <w:rPr>
                <w:rFonts w:hint="eastAsia" w:cs="Times New Roman"/>
                <w:sz w:val="24"/>
                <w:szCs w:val="24"/>
                <w:highlight w:val="none"/>
                <w:lang w:val="en-US" w:eastAsia="zh-CN"/>
              </w:rPr>
              <w:t>25.886</w:t>
            </w:r>
            <w:r>
              <w:rPr>
                <w:rFonts w:hint="default" w:cs="Times New Roman"/>
                <w:sz w:val="24"/>
                <w:szCs w:val="24"/>
                <w:highlight w:val="none"/>
                <w:lang w:val="en-US" w:eastAsia="zh-CN"/>
              </w:rPr>
              <w:t>″</w:t>
            </w:r>
            <w:r>
              <w:rPr>
                <w:rFonts w:hint="eastAsia" w:cs="Times New Roman"/>
                <w:sz w:val="24"/>
                <w:szCs w:val="24"/>
                <w:highlight w:val="none"/>
                <w:lang w:val="en-US" w:eastAsia="zh-CN"/>
              </w:rPr>
              <w:t>，</w:t>
            </w:r>
            <w:r>
              <w:rPr>
                <w:rFonts w:hint="default" w:cs="Times New Roman"/>
                <w:sz w:val="24"/>
                <w:szCs w:val="24"/>
                <w:highlight w:val="none"/>
                <w:lang w:val="en-US" w:eastAsia="zh-CN"/>
              </w:rPr>
              <w:t>N3</w:t>
            </w:r>
            <w:r>
              <w:rPr>
                <w:rFonts w:hint="eastAsia" w:cs="Times New Roman"/>
                <w:sz w:val="24"/>
                <w:szCs w:val="24"/>
                <w:highlight w:val="none"/>
                <w:lang w:val="en-US" w:eastAsia="zh-CN"/>
              </w:rPr>
              <w:t>8</w:t>
            </w:r>
            <w:r>
              <w:rPr>
                <w:rFonts w:hint="default" w:cs="Times New Roman"/>
                <w:sz w:val="24"/>
                <w:szCs w:val="24"/>
                <w:highlight w:val="none"/>
                <w:lang w:val="en-US" w:eastAsia="zh-CN"/>
              </w:rPr>
              <w:t>°5</w:t>
            </w:r>
            <w:r>
              <w:rPr>
                <w:rFonts w:hint="eastAsia" w:cs="Times New Roman"/>
                <w:sz w:val="24"/>
                <w:szCs w:val="24"/>
                <w:highlight w:val="none"/>
                <w:lang w:val="en-US" w:eastAsia="zh-CN"/>
              </w:rPr>
              <w:t>8</w:t>
            </w:r>
            <w:r>
              <w:rPr>
                <w:rFonts w:hint="default" w:cs="Times New Roman"/>
                <w:sz w:val="24"/>
                <w:szCs w:val="24"/>
                <w:highlight w:val="none"/>
                <w:lang w:val="en-US" w:eastAsia="zh-CN"/>
              </w:rPr>
              <w:t>′</w:t>
            </w:r>
            <w:r>
              <w:rPr>
                <w:rFonts w:hint="eastAsia" w:cs="Times New Roman"/>
                <w:sz w:val="24"/>
                <w:szCs w:val="24"/>
                <w:highlight w:val="none"/>
                <w:lang w:val="en-US" w:eastAsia="zh-CN"/>
              </w:rPr>
              <w:t>54.926</w:t>
            </w:r>
            <w:r>
              <w:rPr>
                <w:rFonts w:hint="default" w:cs="Times New Roman"/>
                <w:sz w:val="24"/>
                <w:szCs w:val="24"/>
                <w:highlight w:val="none"/>
                <w:lang w:val="en-US" w:eastAsia="zh-CN"/>
              </w:rPr>
              <w:t>″</w:t>
            </w:r>
          </w:p>
        </w:tc>
      </w:tr>
      <w:tr w14:paraId="71EA6EA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1" w:hRule="atLeast"/>
          <w:jc w:val="center"/>
        </w:trPr>
        <w:tc>
          <w:tcPr>
            <w:tcW w:w="1083" w:type="dxa"/>
            <w:noWrap w:val="0"/>
            <w:tcMar>
              <w:top w:w="16" w:type="dxa"/>
              <w:left w:w="16" w:type="dxa"/>
              <w:right w:w="16" w:type="dxa"/>
            </w:tcMar>
            <w:vAlign w:val="center"/>
          </w:tcPr>
          <w:p w14:paraId="3A49F212">
            <w:pPr>
              <w:adjustRightInd w:val="0"/>
              <w:snapToGrid w:val="0"/>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国民经济</w:t>
            </w:r>
          </w:p>
          <w:p w14:paraId="54CB177E">
            <w:pPr>
              <w:adjustRightInd w:val="0"/>
              <w:snapToGrid w:val="0"/>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行业类别</w:t>
            </w:r>
          </w:p>
        </w:tc>
        <w:tc>
          <w:tcPr>
            <w:tcW w:w="2309" w:type="dxa"/>
            <w:noWrap w:val="0"/>
            <w:vAlign w:val="center"/>
          </w:tcPr>
          <w:p w14:paraId="25353E57">
            <w:pPr>
              <w:adjustRightInd w:val="0"/>
              <w:snapToGrid w:val="0"/>
              <w:jc w:val="center"/>
              <w:rPr>
                <w:rFonts w:hint="default" w:ascii="Times New Roman" w:hAnsi="Times New Roman" w:eastAsia="宋体" w:cs="Times New Roman"/>
                <w:sz w:val="24"/>
                <w:szCs w:val="24"/>
                <w:highlight w:val="none"/>
                <w:lang w:val="en-US" w:eastAsia="zh-CN"/>
              </w:rPr>
            </w:pPr>
            <w:r>
              <w:rPr>
                <w:rFonts w:hint="eastAsia" w:ascii="Times New Roman" w:hAnsi="Times New Roman" w:eastAsia="宋体" w:cs="Times New Roman"/>
                <w:sz w:val="24"/>
                <w:szCs w:val="24"/>
                <w:highlight w:val="none"/>
                <w:lang w:val="en-US" w:eastAsia="zh-CN"/>
              </w:rPr>
              <w:t>B0610</w:t>
            </w:r>
            <w:r>
              <w:rPr>
                <w:rFonts w:hint="default" w:ascii="Times New Roman" w:hAnsi="Times New Roman" w:eastAsia="宋体" w:cs="Times New Roman"/>
                <w:sz w:val="24"/>
                <w:szCs w:val="24"/>
                <w:highlight w:val="none"/>
                <w:lang w:val="en-US" w:eastAsia="zh-CN"/>
              </w:rPr>
              <w:t>烟煤和无烟煤开采洗选</w:t>
            </w:r>
          </w:p>
          <w:p w14:paraId="5AD334AE">
            <w:pPr>
              <w:adjustRightInd w:val="0"/>
              <w:snapToGrid w:val="0"/>
              <w:jc w:val="center"/>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G5920</w:t>
            </w:r>
            <w:r>
              <w:rPr>
                <w:rFonts w:hint="eastAsia" w:ascii="Times New Roman" w:hAnsi="Times New Roman" w:eastAsia="宋体" w:cs="Times New Roman"/>
                <w:sz w:val="24"/>
                <w:szCs w:val="24"/>
                <w:highlight w:val="none"/>
                <w:lang w:val="en-US" w:eastAsia="zh-CN"/>
              </w:rPr>
              <w:t>通用仓储</w:t>
            </w:r>
          </w:p>
        </w:tc>
        <w:tc>
          <w:tcPr>
            <w:tcW w:w="2336" w:type="dxa"/>
            <w:noWrap w:val="0"/>
            <w:vAlign w:val="center"/>
          </w:tcPr>
          <w:p w14:paraId="029D3C4D">
            <w:pPr>
              <w:adjustRightInd w:val="0"/>
              <w:snapToGrid w:val="0"/>
              <w:jc w:val="center"/>
              <w:rPr>
                <w:rFonts w:hint="default" w:ascii="Times New Roman" w:hAnsi="Times New Roman" w:eastAsia="宋体" w:cs="Times New Roman"/>
                <w:sz w:val="24"/>
                <w:szCs w:val="24"/>
                <w:highlight w:val="none"/>
                <w:lang w:val="en-US" w:eastAsia="zh-CN"/>
              </w:rPr>
            </w:pPr>
            <w:bookmarkStart w:id="3" w:name="_Hlk49843745"/>
            <w:r>
              <w:rPr>
                <w:rFonts w:hint="default" w:ascii="Times New Roman" w:hAnsi="Times New Roman" w:eastAsia="宋体" w:cs="Times New Roman"/>
                <w:sz w:val="24"/>
                <w:szCs w:val="24"/>
                <w:highlight w:val="none"/>
                <w:lang w:val="en-US" w:eastAsia="zh-CN"/>
              </w:rPr>
              <w:t>建设项目</w:t>
            </w:r>
          </w:p>
          <w:p w14:paraId="0408A8DF">
            <w:pPr>
              <w:adjustRightInd w:val="0"/>
              <w:snapToGrid w:val="0"/>
              <w:jc w:val="center"/>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行业类别</w:t>
            </w:r>
            <w:bookmarkEnd w:id="3"/>
          </w:p>
        </w:tc>
        <w:tc>
          <w:tcPr>
            <w:tcW w:w="3142" w:type="dxa"/>
            <w:noWrap w:val="0"/>
            <w:vAlign w:val="center"/>
          </w:tcPr>
          <w:p w14:paraId="0AA54F35">
            <w:pPr>
              <w:adjustRightInd w:val="0"/>
              <w:snapToGrid w:val="0"/>
              <w:jc w:val="center"/>
              <w:rPr>
                <w:rFonts w:hint="default" w:ascii="Times New Roman" w:hAnsi="Times New Roman" w:eastAsia="宋体" w:cs="Times New Roman"/>
                <w:sz w:val="24"/>
                <w:szCs w:val="24"/>
                <w:highlight w:val="none"/>
                <w:lang w:val="en-US" w:eastAsia="zh-CN"/>
              </w:rPr>
            </w:pPr>
            <w:r>
              <w:rPr>
                <w:rFonts w:hint="eastAsia" w:ascii="Times New Roman" w:hAnsi="Times New Roman" w:eastAsia="宋体" w:cs="Times New Roman"/>
                <w:sz w:val="24"/>
                <w:szCs w:val="24"/>
                <w:highlight w:val="none"/>
                <w:lang w:val="en-US" w:eastAsia="zh-CN"/>
              </w:rPr>
              <w:t xml:space="preserve">四、煤炭开采和洗选业 </w:t>
            </w:r>
            <w:r>
              <w:rPr>
                <w:rFonts w:hint="default" w:ascii="Times New Roman" w:hAnsi="Times New Roman" w:eastAsia="宋体" w:cs="Times New Roman"/>
                <w:sz w:val="24"/>
                <w:szCs w:val="24"/>
                <w:highlight w:val="none"/>
                <w:lang w:val="en-US" w:eastAsia="zh-CN"/>
              </w:rPr>
              <w:t xml:space="preserve">06 </w:t>
            </w:r>
          </w:p>
          <w:p w14:paraId="58DD4F61">
            <w:pPr>
              <w:adjustRightInd w:val="0"/>
              <w:snapToGrid w:val="0"/>
              <w:jc w:val="center"/>
              <w:rPr>
                <w:rFonts w:hint="default" w:ascii="Times New Roman" w:hAnsi="Times New Roman" w:eastAsia="宋体" w:cs="Times New Roman"/>
                <w:sz w:val="24"/>
                <w:szCs w:val="24"/>
                <w:highlight w:val="none"/>
                <w:lang w:val="en-US" w:eastAsia="zh-CN"/>
              </w:rPr>
            </w:pPr>
            <w:r>
              <w:rPr>
                <w:rFonts w:hint="eastAsia" w:ascii="Times New Roman" w:hAnsi="Times New Roman" w:eastAsia="宋体" w:cs="Times New Roman"/>
                <w:sz w:val="24"/>
                <w:szCs w:val="24"/>
                <w:highlight w:val="none"/>
                <w:lang w:val="en-US" w:eastAsia="zh-CN"/>
              </w:rPr>
              <w:t xml:space="preserve">烟煤和无烟煤开采洗选 </w:t>
            </w:r>
            <w:r>
              <w:rPr>
                <w:rFonts w:hint="default" w:ascii="Times New Roman" w:hAnsi="Times New Roman" w:eastAsia="宋体" w:cs="Times New Roman"/>
                <w:sz w:val="24"/>
                <w:szCs w:val="24"/>
                <w:highlight w:val="none"/>
                <w:lang w:val="en-US" w:eastAsia="zh-CN"/>
              </w:rPr>
              <w:t xml:space="preserve">061 </w:t>
            </w:r>
          </w:p>
          <w:p w14:paraId="0044D092">
            <w:pPr>
              <w:adjustRightInd w:val="0"/>
              <w:snapToGrid w:val="0"/>
              <w:jc w:val="center"/>
              <w:rPr>
                <w:rFonts w:hint="default" w:ascii="Times New Roman" w:hAnsi="Times New Roman" w:eastAsia="宋体" w:cs="Times New Roman"/>
                <w:sz w:val="24"/>
                <w:szCs w:val="24"/>
                <w:highlight w:val="none"/>
                <w:lang w:val="en-US" w:eastAsia="zh-CN"/>
              </w:rPr>
            </w:pPr>
            <w:r>
              <w:rPr>
                <w:rFonts w:hint="eastAsia" w:ascii="Times New Roman" w:hAnsi="Times New Roman" w:eastAsia="宋体" w:cs="Times New Roman"/>
                <w:sz w:val="24"/>
                <w:szCs w:val="24"/>
                <w:highlight w:val="none"/>
                <w:lang w:val="en-US" w:eastAsia="zh-CN"/>
              </w:rPr>
              <w:t xml:space="preserve">“煤炭洗选、配煤；煤炭储存、 </w:t>
            </w:r>
          </w:p>
          <w:p w14:paraId="222D46B7">
            <w:pPr>
              <w:adjustRightInd w:val="0"/>
              <w:snapToGrid w:val="0"/>
              <w:jc w:val="center"/>
              <w:rPr>
                <w:rFonts w:hint="eastAsia" w:ascii="Times New Roman" w:hAnsi="Times New Roman" w:eastAsia="宋体" w:cs="Times New Roman"/>
                <w:sz w:val="24"/>
                <w:szCs w:val="24"/>
                <w:highlight w:val="none"/>
                <w:lang w:val="en-US" w:eastAsia="zh-CN"/>
              </w:rPr>
            </w:pPr>
            <w:r>
              <w:rPr>
                <w:rFonts w:hint="eastAsia" w:ascii="Times New Roman" w:hAnsi="Times New Roman" w:eastAsia="宋体" w:cs="Times New Roman"/>
                <w:sz w:val="24"/>
                <w:szCs w:val="24"/>
                <w:highlight w:val="none"/>
                <w:lang w:val="en-US" w:eastAsia="zh-CN"/>
              </w:rPr>
              <w:t>集运”</w:t>
            </w:r>
          </w:p>
        </w:tc>
      </w:tr>
      <w:tr w14:paraId="48B43B4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1219" w:hRule="atLeast"/>
          <w:jc w:val="center"/>
        </w:trPr>
        <w:tc>
          <w:tcPr>
            <w:tcW w:w="1083" w:type="dxa"/>
            <w:noWrap w:val="0"/>
            <w:tcMar>
              <w:top w:w="16" w:type="dxa"/>
              <w:left w:w="16" w:type="dxa"/>
              <w:right w:w="16" w:type="dxa"/>
            </w:tcMar>
            <w:vAlign w:val="center"/>
          </w:tcPr>
          <w:p w14:paraId="4AAD1D38">
            <w:pPr>
              <w:adjustRightInd w:val="0"/>
              <w:snapToGrid w:val="0"/>
              <w:jc w:val="center"/>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t>建设性质</w:t>
            </w:r>
          </w:p>
        </w:tc>
        <w:tc>
          <w:tcPr>
            <w:tcW w:w="2309" w:type="dxa"/>
            <w:noWrap w:val="0"/>
            <w:vAlign w:val="center"/>
          </w:tcPr>
          <w:p w14:paraId="2B2A8AF3">
            <w:pPr>
              <w:jc w:val="left"/>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sym w:font="Wingdings 2" w:char="0052"/>
            </w:r>
            <w:r>
              <w:rPr>
                <w:rFonts w:hint="default" w:ascii="Times New Roman" w:hAnsi="Times New Roman" w:cs="Times New Roman"/>
                <w:sz w:val="24"/>
                <w:szCs w:val="24"/>
                <w:highlight w:val="none"/>
              </w:rPr>
              <w:t>新建（迁建）</w:t>
            </w:r>
          </w:p>
          <w:p w14:paraId="2B8CC3E2">
            <w:pPr>
              <w:jc w:val="left"/>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sym w:font="Wingdings 2" w:char="00A3"/>
            </w:r>
            <w:r>
              <w:rPr>
                <w:rFonts w:hint="default" w:ascii="Times New Roman" w:hAnsi="Times New Roman" w:cs="Times New Roman"/>
                <w:sz w:val="24"/>
                <w:szCs w:val="24"/>
                <w:highlight w:val="none"/>
              </w:rPr>
              <w:t>改建</w:t>
            </w:r>
          </w:p>
          <w:p w14:paraId="14CA84BB">
            <w:pPr>
              <w:jc w:val="left"/>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sym w:font="Wingdings 2" w:char="00A3"/>
            </w:r>
            <w:r>
              <w:rPr>
                <w:rFonts w:hint="default" w:ascii="Times New Roman" w:hAnsi="Times New Roman" w:cs="Times New Roman"/>
                <w:sz w:val="24"/>
                <w:szCs w:val="24"/>
                <w:highlight w:val="none"/>
              </w:rPr>
              <w:t>扩建</w:t>
            </w:r>
          </w:p>
          <w:p w14:paraId="0C20381D">
            <w:pPr>
              <w:jc w:val="left"/>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sym w:font="Wingdings 2" w:char="00A3"/>
            </w:r>
            <w:r>
              <w:rPr>
                <w:rFonts w:hint="default" w:ascii="Times New Roman" w:hAnsi="Times New Roman" w:cs="Times New Roman"/>
                <w:sz w:val="24"/>
                <w:szCs w:val="24"/>
                <w:highlight w:val="none"/>
              </w:rPr>
              <w:t>技术改造</w:t>
            </w:r>
          </w:p>
        </w:tc>
        <w:tc>
          <w:tcPr>
            <w:tcW w:w="2336" w:type="dxa"/>
            <w:noWrap w:val="0"/>
            <w:vAlign w:val="center"/>
          </w:tcPr>
          <w:p w14:paraId="541ADEF3">
            <w:pPr>
              <w:adjustRightInd w:val="0"/>
              <w:snapToGrid w:val="0"/>
              <w:jc w:val="center"/>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t>建设项目</w:t>
            </w:r>
          </w:p>
          <w:p w14:paraId="0AAF3C22">
            <w:pPr>
              <w:adjustRightInd w:val="0"/>
              <w:snapToGrid w:val="0"/>
              <w:jc w:val="center"/>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t>申报情形</w:t>
            </w:r>
          </w:p>
        </w:tc>
        <w:tc>
          <w:tcPr>
            <w:tcW w:w="3142" w:type="dxa"/>
            <w:noWrap w:val="0"/>
            <w:vAlign w:val="center"/>
          </w:tcPr>
          <w:p w14:paraId="109C7CF5">
            <w:pPr>
              <w:jc w:val="left"/>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sym w:font="Wingdings 2" w:char="0052"/>
            </w:r>
            <w:r>
              <w:rPr>
                <w:rFonts w:hint="default" w:ascii="Times New Roman" w:hAnsi="Times New Roman" w:cs="Times New Roman"/>
                <w:sz w:val="24"/>
                <w:szCs w:val="24"/>
                <w:highlight w:val="none"/>
              </w:rPr>
              <w:t>首次申报项目</w:t>
            </w:r>
          </w:p>
          <w:p w14:paraId="1AEBE46A">
            <w:pPr>
              <w:jc w:val="left"/>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sym w:font="Wingdings 2" w:char="00A3"/>
            </w:r>
            <w:r>
              <w:rPr>
                <w:rFonts w:hint="default" w:ascii="Times New Roman" w:hAnsi="Times New Roman" w:cs="Times New Roman"/>
                <w:sz w:val="24"/>
                <w:szCs w:val="24"/>
                <w:highlight w:val="none"/>
              </w:rPr>
              <w:t>不予批准后再次申报项目</w:t>
            </w:r>
          </w:p>
          <w:p w14:paraId="3839C3AA">
            <w:pPr>
              <w:jc w:val="left"/>
              <w:rPr>
                <w:rFonts w:hint="eastAsia" w:ascii="Times New Roman" w:hAnsi="Times New Roman" w:eastAsia="宋体" w:cs="Times New Roman"/>
                <w:sz w:val="24"/>
                <w:szCs w:val="24"/>
                <w:highlight w:val="none"/>
                <w:lang w:eastAsia="zh-CN"/>
              </w:rPr>
            </w:pPr>
            <w:r>
              <w:rPr>
                <w:rFonts w:hint="default" w:ascii="Times New Roman" w:hAnsi="Times New Roman" w:cs="Times New Roman"/>
                <w:sz w:val="24"/>
                <w:szCs w:val="24"/>
                <w:highlight w:val="none"/>
              </w:rPr>
              <w:sym w:font="Wingdings 2" w:char="00A3"/>
            </w:r>
            <w:r>
              <w:rPr>
                <w:rFonts w:hint="default" w:ascii="Times New Roman" w:hAnsi="Times New Roman" w:cs="Times New Roman"/>
                <w:sz w:val="24"/>
                <w:szCs w:val="24"/>
                <w:highlight w:val="none"/>
              </w:rPr>
              <w:t>超五年重新审核项目</w:t>
            </w:r>
          </w:p>
          <w:p w14:paraId="46565018">
            <w:pPr>
              <w:jc w:val="left"/>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sym w:font="Wingdings 2" w:char="00A3"/>
            </w:r>
            <w:r>
              <w:rPr>
                <w:rFonts w:hint="default" w:ascii="Times New Roman" w:hAnsi="Times New Roman" w:cs="Times New Roman"/>
                <w:sz w:val="24"/>
                <w:szCs w:val="24"/>
                <w:highlight w:val="none"/>
              </w:rPr>
              <w:t>重大变动重新报批项目</w:t>
            </w:r>
          </w:p>
        </w:tc>
      </w:tr>
      <w:tr w14:paraId="143EE79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851" w:hRule="atLeast"/>
          <w:jc w:val="center"/>
        </w:trPr>
        <w:tc>
          <w:tcPr>
            <w:tcW w:w="1083" w:type="dxa"/>
            <w:noWrap w:val="0"/>
            <w:tcMar>
              <w:top w:w="16" w:type="dxa"/>
              <w:left w:w="16" w:type="dxa"/>
              <w:right w:w="16" w:type="dxa"/>
            </w:tcMar>
            <w:vAlign w:val="center"/>
          </w:tcPr>
          <w:p w14:paraId="71FC38B1">
            <w:pPr>
              <w:adjustRightInd w:val="0"/>
              <w:snapToGrid w:val="0"/>
              <w:jc w:val="center"/>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t>项目审批（核准/</w:t>
            </w:r>
          </w:p>
          <w:p w14:paraId="7D84B2C9">
            <w:pPr>
              <w:adjustRightInd w:val="0"/>
              <w:snapToGrid w:val="0"/>
              <w:jc w:val="center"/>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t>备案）部门（选填）</w:t>
            </w:r>
          </w:p>
        </w:tc>
        <w:tc>
          <w:tcPr>
            <w:tcW w:w="2309" w:type="dxa"/>
            <w:noWrap w:val="0"/>
            <w:vAlign w:val="center"/>
          </w:tcPr>
          <w:p w14:paraId="33601434">
            <w:pPr>
              <w:adjustRightInd w:val="0"/>
              <w:snapToGrid w:val="0"/>
              <w:jc w:val="center"/>
              <w:rPr>
                <w:rFonts w:hint="default" w:ascii="Times New Roman" w:hAnsi="Times New Roman" w:eastAsia="宋体" w:cs="Times New Roman"/>
                <w:sz w:val="24"/>
                <w:szCs w:val="24"/>
                <w:highlight w:val="none"/>
                <w:lang w:val="en-US" w:eastAsia="zh-CN"/>
              </w:rPr>
            </w:pPr>
            <w:r>
              <w:rPr>
                <w:rFonts w:hint="eastAsia" w:ascii="Times New Roman" w:hAnsi="Times New Roman" w:cs="Times New Roman"/>
                <w:sz w:val="24"/>
                <w:szCs w:val="24"/>
                <w:highlight w:val="none"/>
                <w:lang w:val="en-US" w:eastAsia="zh-CN"/>
              </w:rPr>
              <w:t>唐山市</w:t>
            </w:r>
            <w:r>
              <w:rPr>
                <w:rFonts w:hint="eastAsia" w:cs="Times New Roman"/>
                <w:sz w:val="24"/>
                <w:szCs w:val="24"/>
                <w:highlight w:val="none"/>
                <w:lang w:val="en-US" w:eastAsia="zh-CN"/>
              </w:rPr>
              <w:t>曹妃甸区</w:t>
            </w:r>
            <w:r>
              <w:rPr>
                <w:rFonts w:hint="eastAsia" w:ascii="Times New Roman" w:hAnsi="Times New Roman" w:cs="Times New Roman"/>
                <w:sz w:val="24"/>
                <w:szCs w:val="24"/>
                <w:highlight w:val="none"/>
                <w:lang w:val="en-US" w:eastAsia="zh-CN"/>
              </w:rPr>
              <w:t>行政审批局</w:t>
            </w:r>
          </w:p>
        </w:tc>
        <w:tc>
          <w:tcPr>
            <w:tcW w:w="2336" w:type="dxa"/>
            <w:noWrap w:val="0"/>
            <w:vAlign w:val="center"/>
          </w:tcPr>
          <w:p w14:paraId="5BF649D1">
            <w:pPr>
              <w:adjustRightInd w:val="0"/>
              <w:snapToGrid w:val="0"/>
              <w:jc w:val="center"/>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t>项目审批（核准/</w:t>
            </w:r>
          </w:p>
          <w:p w14:paraId="2114D33E">
            <w:pPr>
              <w:adjustRightInd w:val="0"/>
              <w:snapToGrid w:val="0"/>
              <w:jc w:val="center"/>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t>备案）文号（选填）</w:t>
            </w:r>
          </w:p>
        </w:tc>
        <w:tc>
          <w:tcPr>
            <w:tcW w:w="3142" w:type="dxa"/>
            <w:noWrap w:val="0"/>
            <w:vAlign w:val="center"/>
          </w:tcPr>
          <w:p w14:paraId="6593128E">
            <w:pPr>
              <w:adjustRightInd w:val="0"/>
              <w:snapToGrid w:val="0"/>
              <w:jc w:val="center"/>
              <w:rPr>
                <w:rFonts w:hint="default" w:ascii="Times New Roman" w:hAnsi="Times New Roman" w:eastAsia="宋体" w:cs="Times New Roman"/>
                <w:sz w:val="24"/>
                <w:szCs w:val="24"/>
                <w:highlight w:val="none"/>
                <w:lang w:val="en-US" w:eastAsia="zh-CN"/>
              </w:rPr>
            </w:pPr>
            <w:r>
              <w:rPr>
                <w:rFonts w:hint="eastAsia" w:cs="Times New Roman"/>
                <w:sz w:val="24"/>
                <w:szCs w:val="24"/>
                <w:highlight w:val="none"/>
                <w:lang w:val="en-US" w:eastAsia="zh-CN"/>
              </w:rPr>
              <w:t>唐曹</w:t>
            </w:r>
            <w:r>
              <w:rPr>
                <w:rFonts w:hint="default" w:ascii="Times New Roman" w:hAnsi="Times New Roman" w:cs="Times New Roman"/>
                <w:sz w:val="24"/>
                <w:szCs w:val="24"/>
                <w:highlight w:val="none"/>
                <w:lang w:val="en-US" w:eastAsia="zh-CN"/>
              </w:rPr>
              <w:t>审批</w:t>
            </w:r>
            <w:r>
              <w:rPr>
                <w:rFonts w:hint="eastAsia" w:cs="Times New Roman"/>
                <w:sz w:val="24"/>
                <w:szCs w:val="24"/>
                <w:highlight w:val="none"/>
                <w:lang w:val="en-US" w:eastAsia="zh-CN"/>
              </w:rPr>
              <w:t>投资备</w:t>
            </w:r>
            <w:r>
              <w:rPr>
                <w:rFonts w:hint="default" w:ascii="Times New Roman" w:hAnsi="Times New Roman" w:eastAsia="宋体" w:cs="Times New Roman"/>
                <w:sz w:val="24"/>
                <w:szCs w:val="24"/>
                <w:highlight w:val="none"/>
                <w:lang w:val="en-US" w:eastAsia="zh-CN"/>
              </w:rPr>
              <w:t>〔</w:t>
            </w:r>
            <w:r>
              <w:rPr>
                <w:rFonts w:hint="default" w:ascii="Times New Roman" w:hAnsi="Times New Roman" w:cs="Times New Roman"/>
                <w:sz w:val="24"/>
                <w:szCs w:val="24"/>
                <w:highlight w:val="none"/>
                <w:lang w:val="en-US" w:eastAsia="zh-CN"/>
              </w:rPr>
              <w:t>2024</w:t>
            </w:r>
            <w:r>
              <w:rPr>
                <w:rFonts w:hint="default" w:ascii="Times New Roman" w:hAnsi="Times New Roman" w:eastAsia="宋体" w:cs="Times New Roman"/>
                <w:sz w:val="24"/>
                <w:szCs w:val="24"/>
                <w:highlight w:val="none"/>
                <w:lang w:val="en-US" w:eastAsia="zh-CN"/>
              </w:rPr>
              <w:t>〕</w:t>
            </w:r>
            <w:r>
              <w:rPr>
                <w:rFonts w:hint="eastAsia" w:cs="Times New Roman"/>
                <w:sz w:val="24"/>
                <w:szCs w:val="24"/>
                <w:highlight w:val="none"/>
                <w:lang w:val="en-US" w:eastAsia="zh-CN"/>
              </w:rPr>
              <w:t>105</w:t>
            </w:r>
            <w:r>
              <w:rPr>
                <w:rFonts w:hint="default" w:ascii="Times New Roman" w:hAnsi="Times New Roman" w:cs="Times New Roman"/>
                <w:sz w:val="24"/>
                <w:szCs w:val="24"/>
                <w:highlight w:val="none"/>
                <w:lang w:val="en-US" w:eastAsia="zh-CN"/>
              </w:rPr>
              <w:t>号</w:t>
            </w:r>
          </w:p>
        </w:tc>
      </w:tr>
      <w:tr w14:paraId="45942A3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1083" w:type="dxa"/>
            <w:noWrap w:val="0"/>
            <w:tcMar>
              <w:top w:w="16" w:type="dxa"/>
              <w:left w:w="16" w:type="dxa"/>
              <w:right w:w="16" w:type="dxa"/>
            </w:tcMar>
            <w:vAlign w:val="center"/>
          </w:tcPr>
          <w:p w14:paraId="303266A6">
            <w:pPr>
              <w:adjustRightInd w:val="0"/>
              <w:snapToGrid w:val="0"/>
              <w:jc w:val="center"/>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t>总投资（万元）</w:t>
            </w:r>
          </w:p>
        </w:tc>
        <w:tc>
          <w:tcPr>
            <w:tcW w:w="2309" w:type="dxa"/>
            <w:noWrap w:val="0"/>
            <w:vAlign w:val="center"/>
          </w:tcPr>
          <w:p w14:paraId="6B2289E4">
            <w:pPr>
              <w:adjustRightInd w:val="0"/>
              <w:snapToGrid w:val="0"/>
              <w:jc w:val="center"/>
              <w:rPr>
                <w:rFonts w:hint="default" w:cs="Times New Roman"/>
                <w:sz w:val="24"/>
                <w:szCs w:val="24"/>
                <w:highlight w:val="none"/>
                <w:lang w:val="en-US" w:eastAsia="zh-CN"/>
              </w:rPr>
            </w:pPr>
            <w:r>
              <w:rPr>
                <w:rFonts w:hint="eastAsia" w:cs="Times New Roman"/>
                <w:sz w:val="24"/>
                <w:szCs w:val="24"/>
                <w:highlight w:val="none"/>
                <w:lang w:val="en-US" w:eastAsia="zh-CN"/>
              </w:rPr>
              <w:t>117108</w:t>
            </w:r>
          </w:p>
        </w:tc>
        <w:tc>
          <w:tcPr>
            <w:tcW w:w="2336" w:type="dxa"/>
            <w:noWrap w:val="0"/>
            <w:tcMar>
              <w:top w:w="16" w:type="dxa"/>
              <w:left w:w="16" w:type="dxa"/>
              <w:right w:w="16" w:type="dxa"/>
            </w:tcMar>
            <w:vAlign w:val="center"/>
          </w:tcPr>
          <w:p w14:paraId="5624C5CE">
            <w:pPr>
              <w:adjustRightInd w:val="0"/>
              <w:snapToGrid w:val="0"/>
              <w:jc w:val="center"/>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t>环保投资（万元）</w:t>
            </w:r>
          </w:p>
        </w:tc>
        <w:tc>
          <w:tcPr>
            <w:tcW w:w="3142" w:type="dxa"/>
            <w:noWrap w:val="0"/>
            <w:vAlign w:val="center"/>
          </w:tcPr>
          <w:p w14:paraId="08ABB6DF">
            <w:pPr>
              <w:adjustRightInd w:val="0"/>
              <w:snapToGrid w:val="0"/>
              <w:jc w:val="center"/>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2342.16</w:t>
            </w:r>
          </w:p>
        </w:tc>
      </w:tr>
      <w:tr w14:paraId="7CC3B68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1083" w:type="dxa"/>
            <w:noWrap w:val="0"/>
            <w:tcMar>
              <w:top w:w="16" w:type="dxa"/>
              <w:left w:w="16" w:type="dxa"/>
              <w:right w:w="16" w:type="dxa"/>
            </w:tcMar>
            <w:vAlign w:val="center"/>
          </w:tcPr>
          <w:p w14:paraId="4F62887E">
            <w:pPr>
              <w:adjustRightInd w:val="0"/>
              <w:snapToGrid w:val="0"/>
              <w:jc w:val="center"/>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t>环保投资占比（%）</w:t>
            </w:r>
          </w:p>
        </w:tc>
        <w:tc>
          <w:tcPr>
            <w:tcW w:w="2309" w:type="dxa"/>
            <w:noWrap w:val="0"/>
            <w:vAlign w:val="center"/>
          </w:tcPr>
          <w:p w14:paraId="65D8B62A">
            <w:pPr>
              <w:adjustRightInd w:val="0"/>
              <w:snapToGrid w:val="0"/>
              <w:jc w:val="center"/>
              <w:rPr>
                <w:rFonts w:hint="default" w:ascii="Times New Roman" w:hAnsi="Times New Roman" w:eastAsia="宋体" w:cs="Times New Roman"/>
                <w:sz w:val="24"/>
                <w:szCs w:val="24"/>
                <w:highlight w:val="none"/>
                <w:lang w:val="en-US" w:eastAsia="zh-CN"/>
              </w:rPr>
            </w:pPr>
            <w:r>
              <w:rPr>
                <w:rFonts w:hint="eastAsia" w:cs="Times New Roman"/>
                <w:sz w:val="24"/>
                <w:szCs w:val="24"/>
                <w:highlight w:val="none"/>
                <w:lang w:val="en-US" w:eastAsia="zh-CN"/>
              </w:rPr>
              <w:t>2%</w:t>
            </w:r>
          </w:p>
        </w:tc>
        <w:tc>
          <w:tcPr>
            <w:tcW w:w="2336" w:type="dxa"/>
            <w:noWrap w:val="0"/>
            <w:tcMar>
              <w:top w:w="16" w:type="dxa"/>
              <w:left w:w="16" w:type="dxa"/>
              <w:right w:w="16" w:type="dxa"/>
            </w:tcMar>
            <w:vAlign w:val="center"/>
          </w:tcPr>
          <w:p w14:paraId="6DCD9B0F">
            <w:pPr>
              <w:adjustRightInd w:val="0"/>
              <w:snapToGrid w:val="0"/>
              <w:jc w:val="center"/>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t>施工工期</w:t>
            </w:r>
          </w:p>
        </w:tc>
        <w:tc>
          <w:tcPr>
            <w:tcW w:w="3142" w:type="dxa"/>
            <w:noWrap w:val="0"/>
            <w:vAlign w:val="center"/>
          </w:tcPr>
          <w:p w14:paraId="43035D09">
            <w:pPr>
              <w:adjustRightInd w:val="0"/>
              <w:snapToGrid w:val="0"/>
              <w:jc w:val="center"/>
              <w:rPr>
                <w:rFonts w:hint="default" w:ascii="Times New Roman" w:hAnsi="Times New Roman" w:eastAsia="宋体" w:cs="Times New Roman"/>
                <w:sz w:val="24"/>
                <w:szCs w:val="24"/>
                <w:highlight w:val="none"/>
                <w:lang w:val="en-US" w:eastAsia="zh-CN"/>
              </w:rPr>
            </w:pPr>
            <w:r>
              <w:rPr>
                <w:rFonts w:hint="eastAsia" w:cs="Times New Roman"/>
                <w:sz w:val="24"/>
                <w:szCs w:val="24"/>
                <w:highlight w:val="none"/>
                <w:lang w:val="en-US" w:eastAsia="zh-CN"/>
              </w:rPr>
              <w:t>12</w:t>
            </w:r>
            <w:r>
              <w:rPr>
                <w:rFonts w:hint="eastAsia" w:ascii="Times New Roman" w:hAnsi="Times New Roman" w:eastAsia="宋体" w:cs="Times New Roman"/>
                <w:sz w:val="24"/>
                <w:szCs w:val="24"/>
                <w:highlight w:val="none"/>
                <w:lang w:val="en-US" w:eastAsia="zh-CN"/>
              </w:rPr>
              <w:t>个月</w:t>
            </w:r>
          </w:p>
        </w:tc>
      </w:tr>
      <w:tr w14:paraId="2AE0A52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1083" w:type="dxa"/>
            <w:noWrap w:val="0"/>
            <w:tcMar>
              <w:top w:w="16" w:type="dxa"/>
              <w:left w:w="16" w:type="dxa"/>
              <w:right w:w="16" w:type="dxa"/>
            </w:tcMar>
            <w:vAlign w:val="center"/>
          </w:tcPr>
          <w:p w14:paraId="26663302">
            <w:pPr>
              <w:adjustRightInd w:val="0"/>
              <w:snapToGrid w:val="0"/>
              <w:jc w:val="center"/>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t>是否开工建设</w:t>
            </w:r>
          </w:p>
        </w:tc>
        <w:tc>
          <w:tcPr>
            <w:tcW w:w="2309" w:type="dxa"/>
            <w:noWrap w:val="0"/>
            <w:vAlign w:val="center"/>
          </w:tcPr>
          <w:p w14:paraId="10FC6A54">
            <w:pPr>
              <w:adjustRightInd w:val="0"/>
              <w:snapToGrid w:val="0"/>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sym w:font="Wingdings 2" w:char="0052"/>
            </w:r>
            <w:r>
              <w:rPr>
                <w:rFonts w:hint="default" w:ascii="Times New Roman" w:hAnsi="Times New Roman" w:cs="Times New Roman"/>
                <w:sz w:val="24"/>
                <w:szCs w:val="24"/>
                <w:highlight w:val="none"/>
              </w:rPr>
              <w:t>否</w:t>
            </w:r>
          </w:p>
          <w:p w14:paraId="45FCA184">
            <w:pPr>
              <w:adjustRightInd w:val="0"/>
              <w:snapToGrid w:val="0"/>
              <w:rPr>
                <w:rFonts w:hint="eastAsia" w:ascii="Times New Roman" w:hAnsi="Times New Roman" w:eastAsia="宋体" w:cs="Times New Roman"/>
                <w:sz w:val="24"/>
                <w:szCs w:val="24"/>
                <w:highlight w:val="none"/>
                <w:lang w:eastAsia="zh-CN"/>
              </w:rPr>
            </w:pPr>
            <w:r>
              <w:rPr>
                <w:rFonts w:hint="default" w:ascii="Times New Roman" w:hAnsi="Times New Roman" w:cs="Times New Roman"/>
                <w:sz w:val="24"/>
                <w:szCs w:val="24"/>
                <w:highlight w:val="none"/>
              </w:rPr>
              <w:sym w:font="Wingdings 2" w:char="00A3"/>
            </w:r>
            <w:r>
              <w:rPr>
                <w:rFonts w:hint="default" w:ascii="Times New Roman" w:hAnsi="Times New Roman" w:cs="Times New Roman"/>
                <w:sz w:val="24"/>
                <w:szCs w:val="24"/>
                <w:highlight w:val="none"/>
              </w:rPr>
              <w:t>是：</w:t>
            </w:r>
          </w:p>
        </w:tc>
        <w:tc>
          <w:tcPr>
            <w:tcW w:w="2336" w:type="dxa"/>
            <w:noWrap w:val="0"/>
            <w:tcMar>
              <w:top w:w="16" w:type="dxa"/>
              <w:left w:w="16" w:type="dxa"/>
              <w:right w:w="16" w:type="dxa"/>
            </w:tcMar>
            <w:vAlign w:val="center"/>
          </w:tcPr>
          <w:p w14:paraId="2FF8D331">
            <w:pPr>
              <w:adjustRightInd w:val="0"/>
              <w:snapToGrid w:val="0"/>
              <w:jc w:val="center"/>
              <w:rPr>
                <w:rFonts w:hint="default" w:ascii="Times New Roman" w:hAnsi="Times New Roman" w:cs="Times New Roman"/>
                <w:spacing w:val="-6"/>
                <w:sz w:val="24"/>
                <w:szCs w:val="24"/>
                <w:highlight w:val="none"/>
              </w:rPr>
            </w:pPr>
            <w:r>
              <w:rPr>
                <w:rFonts w:hint="default" w:ascii="Times New Roman" w:hAnsi="Times New Roman" w:cs="Times New Roman"/>
                <w:spacing w:val="-6"/>
                <w:sz w:val="24"/>
                <w:szCs w:val="24"/>
                <w:highlight w:val="none"/>
              </w:rPr>
              <w:t>用地（用海）</w:t>
            </w:r>
          </w:p>
          <w:p w14:paraId="5FC9018E">
            <w:pPr>
              <w:adjustRightInd w:val="0"/>
              <w:snapToGrid w:val="0"/>
              <w:jc w:val="center"/>
              <w:rPr>
                <w:rFonts w:hint="default" w:ascii="Times New Roman" w:hAnsi="Times New Roman" w:cs="Times New Roman"/>
                <w:sz w:val="24"/>
                <w:szCs w:val="24"/>
                <w:highlight w:val="none"/>
              </w:rPr>
            </w:pPr>
            <w:r>
              <w:rPr>
                <w:rFonts w:hint="default" w:ascii="Times New Roman" w:hAnsi="Times New Roman" w:cs="Times New Roman"/>
                <w:spacing w:val="-6"/>
                <w:sz w:val="24"/>
                <w:szCs w:val="24"/>
                <w:highlight w:val="none"/>
              </w:rPr>
              <w:t>面积（m</w:t>
            </w:r>
            <w:r>
              <w:rPr>
                <w:rFonts w:hint="default" w:ascii="Times New Roman" w:hAnsi="Times New Roman" w:cs="Times New Roman"/>
                <w:spacing w:val="-6"/>
                <w:sz w:val="24"/>
                <w:szCs w:val="24"/>
                <w:highlight w:val="none"/>
                <w:vertAlign w:val="superscript"/>
              </w:rPr>
              <w:t>2</w:t>
            </w:r>
            <w:r>
              <w:rPr>
                <w:rFonts w:hint="default" w:ascii="Times New Roman" w:hAnsi="Times New Roman" w:cs="Times New Roman"/>
                <w:spacing w:val="-6"/>
                <w:sz w:val="24"/>
                <w:szCs w:val="24"/>
                <w:highlight w:val="none"/>
              </w:rPr>
              <w:t>）</w:t>
            </w:r>
          </w:p>
        </w:tc>
        <w:tc>
          <w:tcPr>
            <w:tcW w:w="3142" w:type="dxa"/>
            <w:noWrap w:val="0"/>
            <w:vAlign w:val="center"/>
          </w:tcPr>
          <w:p w14:paraId="3DAB431E">
            <w:pPr>
              <w:adjustRightInd w:val="0"/>
              <w:snapToGrid w:val="0"/>
              <w:jc w:val="center"/>
              <w:rPr>
                <w:rFonts w:hint="default" w:ascii="Times New Roman" w:hAnsi="Times New Roman" w:eastAsia="宋体" w:cs="Times New Roman"/>
                <w:sz w:val="24"/>
                <w:szCs w:val="24"/>
                <w:highlight w:val="none"/>
                <w:lang w:val="en-US" w:eastAsia="zh-CN"/>
              </w:rPr>
            </w:pPr>
            <w:r>
              <w:rPr>
                <w:rFonts w:hint="eastAsia" w:cs="Times New Roman"/>
                <w:sz w:val="24"/>
                <w:szCs w:val="24"/>
                <w:highlight w:val="none"/>
                <w:lang w:val="en-US" w:eastAsia="zh-CN"/>
              </w:rPr>
              <w:t>238668.22</w:t>
            </w:r>
          </w:p>
        </w:tc>
      </w:tr>
      <w:tr w14:paraId="09AA107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21" w:hRule="atLeast"/>
          <w:jc w:val="center"/>
        </w:trPr>
        <w:tc>
          <w:tcPr>
            <w:tcW w:w="1083" w:type="dxa"/>
            <w:noWrap w:val="0"/>
            <w:vAlign w:val="center"/>
          </w:tcPr>
          <w:p w14:paraId="304CEE64">
            <w:pPr>
              <w:autoSpaceDE w:val="0"/>
              <w:autoSpaceDN w:val="0"/>
              <w:adjustRightInd w:val="0"/>
              <w:snapToGrid w:val="0"/>
              <w:jc w:val="center"/>
              <w:rPr>
                <w:rFonts w:hint="default" w:ascii="Times New Roman" w:hAnsi="Times New Roman" w:cs="Times New Roman"/>
                <w:kern w:val="0"/>
                <w:sz w:val="24"/>
                <w:szCs w:val="24"/>
                <w:highlight w:val="none"/>
              </w:rPr>
            </w:pPr>
            <w:r>
              <w:rPr>
                <w:rFonts w:hint="default" w:ascii="Times New Roman" w:hAnsi="Times New Roman" w:cs="Times New Roman"/>
                <w:kern w:val="0"/>
                <w:sz w:val="24"/>
                <w:szCs w:val="24"/>
                <w:highlight w:val="none"/>
              </w:rPr>
              <w:t>专项评价设置情况</w:t>
            </w:r>
          </w:p>
        </w:tc>
        <w:tc>
          <w:tcPr>
            <w:tcW w:w="7787" w:type="dxa"/>
            <w:gridSpan w:val="3"/>
            <w:noWrap w:val="0"/>
            <w:vAlign w:val="center"/>
          </w:tcPr>
          <w:p w14:paraId="7C69BC13">
            <w:pPr>
              <w:autoSpaceDE w:val="0"/>
              <w:autoSpaceDN w:val="0"/>
              <w:adjustRightInd w:val="0"/>
              <w:snapToGrid w:val="0"/>
              <w:jc w:val="center"/>
              <w:rPr>
                <w:rFonts w:hint="eastAsia" w:ascii="Times New Roman" w:hAnsi="Times New Roman" w:eastAsia="宋体" w:cs="Times New Roman"/>
                <w:kern w:val="0"/>
                <w:sz w:val="24"/>
                <w:szCs w:val="24"/>
                <w:highlight w:val="none"/>
                <w:lang w:eastAsia="zh-CN"/>
              </w:rPr>
            </w:pPr>
            <w:r>
              <w:rPr>
                <w:rFonts w:hint="eastAsia" w:ascii="Times New Roman" w:hAnsi="Times New Roman" w:cs="Times New Roman"/>
                <w:kern w:val="0"/>
                <w:sz w:val="24"/>
                <w:szCs w:val="24"/>
                <w:highlight w:val="none"/>
                <w:lang w:eastAsia="zh-CN"/>
              </w:rPr>
              <w:t>无</w:t>
            </w:r>
          </w:p>
        </w:tc>
      </w:tr>
      <w:tr w14:paraId="4E6465E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21" w:hRule="atLeast"/>
          <w:jc w:val="center"/>
        </w:trPr>
        <w:tc>
          <w:tcPr>
            <w:tcW w:w="1083" w:type="dxa"/>
            <w:noWrap w:val="0"/>
            <w:vAlign w:val="center"/>
          </w:tcPr>
          <w:p w14:paraId="01423C2C">
            <w:pPr>
              <w:autoSpaceDE w:val="0"/>
              <w:autoSpaceDN w:val="0"/>
              <w:adjustRightInd w:val="0"/>
              <w:snapToGrid w:val="0"/>
              <w:jc w:val="center"/>
              <w:rPr>
                <w:rFonts w:hint="default" w:ascii="Times New Roman" w:hAnsi="Times New Roman" w:cs="Times New Roman"/>
                <w:kern w:val="0"/>
                <w:sz w:val="24"/>
                <w:szCs w:val="24"/>
                <w:highlight w:val="none"/>
              </w:rPr>
            </w:pPr>
            <w:r>
              <w:rPr>
                <w:rFonts w:hint="default" w:ascii="Times New Roman" w:hAnsi="Times New Roman" w:cs="Times New Roman"/>
                <w:sz w:val="24"/>
                <w:szCs w:val="24"/>
                <w:highlight w:val="none"/>
              </w:rPr>
              <w:t>规划情况</w:t>
            </w:r>
          </w:p>
        </w:tc>
        <w:tc>
          <w:tcPr>
            <w:tcW w:w="7787" w:type="dxa"/>
            <w:gridSpan w:val="3"/>
            <w:noWrap w:val="0"/>
            <w:vAlign w:val="center"/>
          </w:tcPr>
          <w:p w14:paraId="388C5102">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①规划名称：《曹妃甸工业区总体规划(2009-2020年)》；</w:t>
            </w:r>
          </w:p>
          <w:p w14:paraId="1E41D67B">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审批机关：唐山市人民政府</w:t>
            </w:r>
          </w:p>
          <w:p w14:paraId="2D3C4564">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审批文件名称及文号：《印发关于曹妃甸工业区总体规划(2009-2020年)的批复》(唐政函[2011]175号)。</w:t>
            </w:r>
          </w:p>
          <w:p w14:paraId="03302BE9">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②规划名称：《曹妃甸循环经济示范区产业发展总体规划(2005-2030)》；</w:t>
            </w:r>
          </w:p>
          <w:p w14:paraId="2EA2BA7B">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审批机关：中华人民共和国国家发展和改革委员会；</w:t>
            </w:r>
          </w:p>
          <w:p w14:paraId="5E4708E4">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审批文件名称及文号：《印发国家发展改革委关于审批曹妃甸循环经济示范区产业发展总体规划的请示的通知》(发改工业[2008]282号)。</w:t>
            </w:r>
          </w:p>
        </w:tc>
      </w:tr>
      <w:tr w14:paraId="3926E7F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21" w:hRule="atLeast"/>
          <w:jc w:val="center"/>
        </w:trPr>
        <w:tc>
          <w:tcPr>
            <w:tcW w:w="1083" w:type="dxa"/>
            <w:noWrap w:val="0"/>
            <w:vAlign w:val="center"/>
          </w:tcPr>
          <w:p w14:paraId="280780EC">
            <w:pPr>
              <w:adjustRightInd w:val="0"/>
              <w:snapToGrid w:val="0"/>
              <w:jc w:val="center"/>
              <w:rPr>
                <w:rFonts w:hint="default" w:ascii="Times New Roman" w:hAnsi="Times New Roman" w:cs="Times New Roman"/>
                <w:kern w:val="0"/>
                <w:sz w:val="24"/>
                <w:szCs w:val="24"/>
                <w:highlight w:val="none"/>
              </w:rPr>
            </w:pPr>
            <w:r>
              <w:rPr>
                <w:rFonts w:hint="default" w:ascii="Times New Roman" w:hAnsi="Times New Roman" w:cs="Times New Roman"/>
                <w:sz w:val="24"/>
                <w:szCs w:val="24"/>
                <w:highlight w:val="none"/>
              </w:rPr>
              <w:t>规划环境影响评价情况</w:t>
            </w:r>
          </w:p>
        </w:tc>
        <w:tc>
          <w:tcPr>
            <w:tcW w:w="7787" w:type="dxa"/>
            <w:gridSpan w:val="3"/>
            <w:noWrap w:val="0"/>
            <w:vAlign w:val="center"/>
          </w:tcPr>
          <w:p w14:paraId="34B687EF">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①规划环境影响评价文件名称：《曹妃甸循环经济示范区产业发展总体规划环境影响报告书》；</w:t>
            </w:r>
          </w:p>
          <w:p w14:paraId="153549C0">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召集审查机关：原中华人民共和国环境保护部；</w:t>
            </w:r>
          </w:p>
          <w:p w14:paraId="21DDC97E">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审查文件名称及文号：《关于曹妃甸循环经济示范区产业发展总体规划环境影响报告书的审查意见》(环审[2009]445号)。</w:t>
            </w:r>
          </w:p>
          <w:p w14:paraId="177F1961">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②规划环境影响评价文件名称：</w:t>
            </w:r>
            <w:r>
              <w:rPr>
                <w:rFonts w:hint="eastAsia" w:cs="Times New Roman"/>
                <w:b w:val="0"/>
                <w:bCs w:val="0"/>
                <w:color w:val="000000"/>
                <w:kern w:val="0"/>
                <w:sz w:val="24"/>
                <w:szCs w:val="24"/>
                <w:highlight w:val="none"/>
                <w:lang w:val="en-US" w:eastAsia="zh-CN" w:bidi="ar"/>
              </w:rPr>
              <w:t>《</w:t>
            </w:r>
            <w:r>
              <w:rPr>
                <w:rFonts w:hint="default" w:ascii="Times New Roman" w:hAnsi="Times New Roman" w:eastAsia="宋体" w:cs="Times New Roman"/>
                <w:b w:val="0"/>
                <w:bCs w:val="0"/>
                <w:color w:val="000000"/>
                <w:kern w:val="0"/>
                <w:sz w:val="24"/>
                <w:szCs w:val="24"/>
                <w:highlight w:val="none"/>
                <w:lang w:val="en-US" w:eastAsia="zh-CN" w:bidi="ar"/>
              </w:rPr>
              <w:t>曹妃甸循环经济示范区规划环境影响跟踪评价报告</w:t>
            </w:r>
            <w:r>
              <w:rPr>
                <w:rFonts w:hint="eastAsia" w:cs="Times New Roman"/>
                <w:b w:val="0"/>
                <w:bCs w:val="0"/>
                <w:color w:val="000000"/>
                <w:kern w:val="0"/>
                <w:sz w:val="24"/>
                <w:szCs w:val="24"/>
                <w:highlight w:val="none"/>
                <w:lang w:val="en-US" w:eastAsia="zh-CN" w:bidi="ar"/>
              </w:rPr>
              <w:t>》</w:t>
            </w:r>
            <w:r>
              <w:rPr>
                <w:rFonts w:hint="default" w:ascii="Times New Roman" w:hAnsi="Times New Roman" w:eastAsia="宋体" w:cs="Times New Roman"/>
                <w:b w:val="0"/>
                <w:bCs w:val="0"/>
                <w:color w:val="000000"/>
                <w:kern w:val="0"/>
                <w:sz w:val="24"/>
                <w:szCs w:val="24"/>
                <w:highlight w:val="none"/>
                <w:lang w:val="en-US" w:eastAsia="zh-CN" w:bidi="ar"/>
              </w:rPr>
              <w:t>；</w:t>
            </w:r>
          </w:p>
          <w:p w14:paraId="28DA3CD8">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召集审查机关：中华人民共和国生态环境部；</w:t>
            </w:r>
          </w:p>
          <w:p w14:paraId="7C2DA189">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审查文件名称及文号：《关于曹妃甸循环经济示范区规划环境影响跟踪评价工作有关意见的函》(环办环评函[2019]334号)。</w:t>
            </w:r>
          </w:p>
        </w:tc>
      </w:tr>
      <w:tr w14:paraId="5F3B68F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86" w:hRule="atLeast"/>
          <w:jc w:val="center"/>
        </w:trPr>
        <w:tc>
          <w:tcPr>
            <w:tcW w:w="1083" w:type="dxa"/>
            <w:noWrap w:val="0"/>
            <w:vAlign w:val="center"/>
          </w:tcPr>
          <w:p w14:paraId="469B74AC">
            <w:pPr>
              <w:autoSpaceDE w:val="0"/>
              <w:autoSpaceDN w:val="0"/>
              <w:adjustRightInd w:val="0"/>
              <w:snapToGrid w:val="0"/>
              <w:jc w:val="center"/>
              <w:rPr>
                <w:rFonts w:hint="default" w:ascii="Times New Roman" w:hAnsi="Times New Roman" w:cs="Times New Roman"/>
                <w:kern w:val="0"/>
                <w:sz w:val="24"/>
                <w:szCs w:val="24"/>
                <w:highlight w:val="none"/>
              </w:rPr>
            </w:pPr>
            <w:r>
              <w:rPr>
                <w:rFonts w:hint="default" w:ascii="Times New Roman" w:hAnsi="Times New Roman" w:cs="Times New Roman"/>
                <w:kern w:val="0"/>
                <w:sz w:val="24"/>
                <w:szCs w:val="24"/>
                <w:highlight w:val="none"/>
              </w:rPr>
              <w:t>规划及规划环境影响评价符合性分析</w:t>
            </w:r>
          </w:p>
        </w:tc>
        <w:tc>
          <w:tcPr>
            <w:tcW w:w="7787" w:type="dxa"/>
            <w:gridSpan w:val="3"/>
            <w:noWrap w:val="0"/>
            <w:vAlign w:val="center"/>
          </w:tcPr>
          <w:p w14:paraId="3F6A70B8">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1、与曹妃甸工业区总体规划符合性分析</w:t>
            </w:r>
          </w:p>
          <w:p w14:paraId="4F5D32F7">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本项目为</w:t>
            </w:r>
            <w:r>
              <w:rPr>
                <w:rFonts w:hint="eastAsia" w:ascii="Times New Roman" w:hAnsi="Times New Roman" w:eastAsia="宋体" w:cs="Times New Roman"/>
                <w:b w:val="0"/>
                <w:bCs w:val="0"/>
                <w:color w:val="000000"/>
                <w:kern w:val="0"/>
                <w:sz w:val="24"/>
                <w:szCs w:val="24"/>
                <w:highlight w:val="none"/>
                <w:lang w:val="en-US" w:eastAsia="zh-CN" w:bidi="ar"/>
              </w:rPr>
              <w:t>煤炭洗选、配煤；煤炭储存、集运</w:t>
            </w:r>
            <w:r>
              <w:rPr>
                <w:rFonts w:hint="default" w:ascii="Times New Roman" w:hAnsi="Times New Roman" w:eastAsia="宋体" w:cs="Times New Roman"/>
                <w:b w:val="0"/>
                <w:bCs w:val="0"/>
                <w:color w:val="000000"/>
                <w:kern w:val="0"/>
                <w:sz w:val="24"/>
                <w:szCs w:val="24"/>
                <w:highlight w:val="none"/>
                <w:lang w:val="en-US" w:eastAsia="zh-CN" w:bidi="ar"/>
              </w:rPr>
              <w:t>项目，位于唐山市曹妃甸循环经济示范区中的港口物流园区，项目用地性质为工业用地，符合曹妃甸工业区总体规划布局要求。</w:t>
            </w:r>
          </w:p>
          <w:p w14:paraId="124D8411">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color w:val="auto"/>
                <w:kern w:val="0"/>
                <w:sz w:val="24"/>
                <w:highlight w:val="none"/>
                <w:shd w:val="clear" w:color="auto" w:fill="auto"/>
              </w:rPr>
            </w:pPr>
            <w:r>
              <w:rPr>
                <w:rFonts w:hint="default" w:ascii="Times New Roman" w:hAnsi="Times New Roman" w:eastAsia="宋体" w:cs="Times New Roman"/>
                <w:color w:val="auto"/>
                <w:kern w:val="0"/>
                <w:sz w:val="24"/>
                <w:highlight w:val="none"/>
                <w:shd w:val="clear" w:color="auto" w:fill="auto"/>
                <w:lang w:val="en-US" w:eastAsia="zh-CN"/>
              </w:rPr>
              <w:t>2、</w:t>
            </w:r>
            <w:r>
              <w:rPr>
                <w:rFonts w:hint="default" w:ascii="Times New Roman" w:hAnsi="Times New Roman" w:eastAsia="宋体" w:cs="Times New Roman"/>
                <w:color w:val="auto"/>
                <w:kern w:val="0"/>
                <w:sz w:val="24"/>
                <w:highlight w:val="none"/>
                <w:shd w:val="clear" w:color="auto" w:fill="auto"/>
              </w:rPr>
              <w:t>与曹妃甸循环经济示范区产业发展总体规划</w:t>
            </w:r>
            <w:r>
              <w:rPr>
                <w:rFonts w:hint="default" w:ascii="Times New Roman" w:hAnsi="Times New Roman" w:eastAsia="宋体" w:cs="Times New Roman"/>
                <w:b w:val="0"/>
                <w:bCs w:val="0"/>
                <w:color w:val="000000"/>
                <w:kern w:val="0"/>
                <w:sz w:val="24"/>
                <w:szCs w:val="24"/>
                <w:highlight w:val="none"/>
                <w:lang w:val="en-US" w:eastAsia="zh-CN" w:bidi="ar"/>
              </w:rPr>
              <w:t>符合性分析</w:t>
            </w:r>
          </w:p>
          <w:p w14:paraId="6D59AAB4">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(1)产业体系</w:t>
            </w:r>
          </w:p>
          <w:p w14:paraId="389A4BB9">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建立以现代港口物流、钢铁、石化、装备制造等四大产业为主导，电力、海水淡化、建材、环保等关联产业循环配套，信息、金融、商贸、旅游等现代服务业协调发展的产业体系。</w:t>
            </w:r>
          </w:p>
          <w:p w14:paraId="4F2BCC23">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(2)产业园区：工业区现状已形成1区(临港商务区)8园(石化基地、钢电园区、装备园区、新兴产业园区、中日生态园区、中日韩循环经济区(即再生园区)、港口物流园区、综合保税区)产业布局。各园区设有园区指挥部，由曹妃甸区直接管辖。</w:t>
            </w:r>
          </w:p>
          <w:p w14:paraId="2BA5A083">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(3)港口物流园区</w:t>
            </w:r>
          </w:p>
          <w:p w14:paraId="11FC799A">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港口物流：包括一号港池、二号港池、三号港池、甸头港池、石化基地液体化工码头及油气仓储等。重点以煤炭、矿石原体化工码头及油气仓储等。大宗散货集疏装卸为主，打造区域煤炭集疏运枢纽及能源储备库配套发展货物精选、流通加工、仓储配送等业务，严禁钢铁、电力化工水泥等高污染高排放的企业布局，大力发展铁路运输，强化港口重型货车集疏运管控。</w:t>
            </w:r>
          </w:p>
          <w:p w14:paraId="2958D4E6">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本项目为</w:t>
            </w:r>
            <w:r>
              <w:rPr>
                <w:rFonts w:hint="eastAsia" w:cs="Times New Roman"/>
                <w:b w:val="0"/>
                <w:bCs w:val="0"/>
                <w:color w:val="000000"/>
                <w:kern w:val="0"/>
                <w:sz w:val="24"/>
                <w:szCs w:val="24"/>
                <w:highlight w:val="none"/>
                <w:vertAlign w:val="baseline"/>
                <w:lang w:val="en-US" w:eastAsia="zh-CN" w:bidi="ar"/>
              </w:rPr>
              <w:t>煤炭洗选、配煤；煤炭储存、集运</w:t>
            </w:r>
            <w:r>
              <w:rPr>
                <w:rFonts w:hint="default" w:ascii="Times New Roman" w:hAnsi="Times New Roman" w:cs="Times New Roman"/>
                <w:b w:val="0"/>
                <w:bCs w:val="0"/>
                <w:color w:val="000000"/>
                <w:kern w:val="0"/>
                <w:sz w:val="24"/>
                <w:szCs w:val="24"/>
                <w:highlight w:val="none"/>
                <w:lang w:val="en-US" w:eastAsia="zh-CN" w:bidi="ar"/>
              </w:rPr>
              <w:t>项目</w:t>
            </w:r>
            <w:r>
              <w:rPr>
                <w:rFonts w:hint="default" w:ascii="Times New Roman" w:hAnsi="Times New Roman" w:eastAsia="宋体" w:cs="Times New Roman"/>
                <w:b w:val="0"/>
                <w:bCs w:val="0"/>
                <w:color w:val="000000"/>
                <w:kern w:val="0"/>
                <w:sz w:val="24"/>
                <w:szCs w:val="24"/>
                <w:highlight w:val="none"/>
                <w:lang w:val="en-US" w:eastAsia="zh-CN" w:bidi="ar"/>
              </w:rPr>
              <w:t>，煤炭经混配后汽运出厂，为煤炭集运行业，位于曹妃甸循环经济示范区港口物流园区内</w:t>
            </w:r>
            <w:r>
              <w:rPr>
                <w:rFonts w:hint="eastAsia" w:ascii="Times New Roman" w:hAnsi="Times New Roman" w:cs="Times New Roman"/>
                <w:b w:val="0"/>
                <w:bCs w:val="0"/>
                <w:color w:val="000000"/>
                <w:kern w:val="0"/>
                <w:sz w:val="24"/>
                <w:szCs w:val="24"/>
                <w:highlight w:val="none"/>
                <w:lang w:val="en-US" w:eastAsia="zh-CN" w:bidi="ar"/>
              </w:rPr>
              <w:t>，</w:t>
            </w:r>
            <w:r>
              <w:rPr>
                <w:rFonts w:hint="default" w:ascii="Times New Roman" w:hAnsi="Times New Roman" w:eastAsia="宋体" w:cs="Times New Roman"/>
                <w:b w:val="0"/>
                <w:bCs w:val="0"/>
                <w:color w:val="000000"/>
                <w:kern w:val="0"/>
                <w:sz w:val="24"/>
                <w:szCs w:val="24"/>
                <w:highlight w:val="none"/>
                <w:lang w:val="en-US" w:eastAsia="zh-CN" w:bidi="ar"/>
              </w:rPr>
              <w:t>符合园区打造区域煤炭集疏运枢纽及流通加工的产业定位。</w:t>
            </w:r>
          </w:p>
          <w:p w14:paraId="1ABCE980">
            <w:pPr>
              <w:keepNext w:val="0"/>
              <w:keepLines w:val="0"/>
              <w:pageBreakBefore w:val="0"/>
              <w:numPr>
                <w:ilvl w:val="0"/>
                <w:numId w:val="0"/>
              </w:numPr>
              <w:kinsoku/>
              <w:wordWrap/>
              <w:overflowPunct/>
              <w:topLinePunct w:val="0"/>
              <w:autoSpaceDE/>
              <w:autoSpaceDN/>
              <w:bidi w:val="0"/>
              <w:adjustRightInd/>
              <w:snapToGrid/>
              <w:spacing w:line="500" w:lineRule="exact"/>
              <w:ind w:firstLine="480" w:firstLineChars="200"/>
              <w:textAlignment w:val="auto"/>
              <w:rPr>
                <w:rFonts w:hint="default" w:ascii="Times New Roman" w:hAnsi="Times New Roman" w:eastAsia="宋体" w:cs="Times New Roman"/>
                <w:color w:val="auto"/>
                <w:kern w:val="0"/>
                <w:sz w:val="24"/>
                <w:highlight w:val="none"/>
                <w:shd w:val="clear" w:color="auto" w:fill="auto"/>
                <w:lang w:eastAsia="zh-CN"/>
              </w:rPr>
            </w:pPr>
            <w:r>
              <w:rPr>
                <w:rFonts w:hint="default" w:ascii="Times New Roman" w:hAnsi="Times New Roman" w:eastAsia="宋体" w:cs="Times New Roman"/>
                <w:color w:val="auto"/>
                <w:kern w:val="0"/>
                <w:sz w:val="24"/>
                <w:szCs w:val="24"/>
                <w:shd w:val="clear" w:color="auto" w:fill="auto"/>
                <w:lang w:val="en-US" w:eastAsia="zh-CN" w:bidi="ar-SA"/>
              </w:rPr>
              <w:t>3、</w:t>
            </w:r>
            <w:r>
              <w:rPr>
                <w:rFonts w:hint="default" w:ascii="Times New Roman" w:hAnsi="Times New Roman" w:eastAsia="宋体" w:cs="Times New Roman"/>
                <w:color w:val="auto"/>
                <w:kern w:val="0"/>
                <w:sz w:val="24"/>
                <w:highlight w:val="none"/>
                <w:shd w:val="clear" w:color="auto" w:fill="auto"/>
              </w:rPr>
              <w:t>项目与跟踪评价报告结论的符合性</w:t>
            </w:r>
            <w:r>
              <w:rPr>
                <w:rFonts w:hint="default" w:ascii="Times New Roman" w:hAnsi="Times New Roman" w:eastAsia="宋体" w:cs="Times New Roman"/>
                <w:color w:val="auto"/>
                <w:kern w:val="0"/>
                <w:sz w:val="24"/>
                <w:highlight w:val="none"/>
                <w:shd w:val="clear" w:color="auto" w:fill="auto"/>
                <w:lang w:eastAsia="zh-CN"/>
              </w:rPr>
              <w:t>分析</w:t>
            </w:r>
          </w:p>
          <w:p w14:paraId="3431D85A">
            <w:pPr>
              <w:spacing w:line="480" w:lineRule="exact"/>
              <w:jc w:val="center"/>
              <w:rPr>
                <w:rFonts w:hint="default" w:ascii="Times New Roman" w:hAnsi="Times New Roman" w:eastAsia="宋体" w:cs="Times New Roman"/>
                <w:b/>
                <w:bCs/>
                <w:color w:val="auto"/>
                <w:kern w:val="0"/>
                <w:szCs w:val="21"/>
                <w:highlight w:val="none"/>
                <w:shd w:val="clear" w:color="auto" w:fill="auto"/>
              </w:rPr>
            </w:pPr>
            <w:r>
              <w:rPr>
                <w:rFonts w:hint="default" w:ascii="Times New Roman" w:hAnsi="Times New Roman" w:eastAsia="宋体" w:cs="Times New Roman"/>
                <w:b/>
                <w:bCs/>
                <w:color w:val="auto"/>
                <w:kern w:val="0"/>
                <w:szCs w:val="21"/>
                <w:highlight w:val="none"/>
                <w:shd w:val="clear" w:color="auto" w:fill="auto"/>
              </w:rPr>
              <w:t>表1-</w:t>
            </w:r>
            <w:r>
              <w:rPr>
                <w:rFonts w:hint="default" w:ascii="Times New Roman" w:hAnsi="Times New Roman" w:eastAsia="宋体" w:cs="Times New Roman"/>
                <w:b/>
                <w:bCs/>
                <w:color w:val="auto"/>
                <w:kern w:val="0"/>
                <w:szCs w:val="21"/>
                <w:highlight w:val="none"/>
                <w:shd w:val="clear" w:color="auto" w:fill="auto"/>
                <w:lang w:val="en-US" w:eastAsia="zh-CN"/>
              </w:rPr>
              <w:t>1 项目与跟踪评价报告结论</w:t>
            </w:r>
            <w:r>
              <w:rPr>
                <w:rFonts w:hint="default" w:ascii="Times New Roman" w:hAnsi="Times New Roman" w:eastAsia="宋体" w:cs="Times New Roman"/>
                <w:b/>
                <w:bCs/>
                <w:color w:val="auto"/>
                <w:kern w:val="0"/>
                <w:szCs w:val="21"/>
                <w:highlight w:val="none"/>
                <w:shd w:val="clear" w:color="auto" w:fill="auto"/>
              </w:rPr>
              <w:t>符合性分析一览</w:t>
            </w:r>
          </w:p>
          <w:tbl>
            <w:tblPr>
              <w:tblStyle w:val="25"/>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57" w:type="dxa"/>
                <w:bottom w:w="0" w:type="dxa"/>
                <w:right w:w="57" w:type="dxa"/>
              </w:tblCellMar>
            </w:tblPr>
            <w:tblGrid>
              <w:gridCol w:w="671"/>
              <w:gridCol w:w="3901"/>
              <w:gridCol w:w="2061"/>
              <w:gridCol w:w="925"/>
            </w:tblGrid>
            <w:tr w14:paraId="4D3080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69" w:hRule="atLeast"/>
                <w:tblHeader/>
                <w:jc w:val="center"/>
              </w:trPr>
              <w:tc>
                <w:tcPr>
                  <w:tcW w:w="444" w:type="pct"/>
                  <w:tcBorders>
                    <w:tl2br w:val="nil"/>
                    <w:tr2bl w:val="nil"/>
                  </w:tcBorders>
                  <w:noWrap w:val="0"/>
                  <w:vAlign w:val="center"/>
                </w:tcPr>
                <w:p w14:paraId="3031252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eastAsia" w:eastAsia="宋体"/>
                      <w:b/>
                      <w:bCs/>
                      <w:color w:val="auto"/>
                      <w:sz w:val="21"/>
                      <w:szCs w:val="21"/>
                      <w:highlight w:val="none"/>
                      <w:shd w:val="clear" w:color="auto" w:fill="auto"/>
                      <w:lang w:eastAsia="zh-CN"/>
                    </w:rPr>
                  </w:pPr>
                  <w:r>
                    <w:rPr>
                      <w:rFonts w:hint="eastAsia"/>
                      <w:b/>
                      <w:bCs/>
                      <w:color w:val="auto"/>
                      <w:sz w:val="21"/>
                      <w:szCs w:val="21"/>
                      <w:highlight w:val="none"/>
                      <w:shd w:val="clear" w:color="auto" w:fill="auto"/>
                      <w:lang w:eastAsia="zh-CN"/>
                    </w:rPr>
                    <w:t>序号</w:t>
                  </w:r>
                </w:p>
              </w:tc>
              <w:tc>
                <w:tcPr>
                  <w:tcW w:w="2580" w:type="pct"/>
                  <w:tcBorders>
                    <w:tl2br w:val="nil"/>
                    <w:tr2bl w:val="nil"/>
                  </w:tcBorders>
                  <w:noWrap w:val="0"/>
                  <w:vAlign w:val="center"/>
                </w:tcPr>
                <w:p w14:paraId="3195DF2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eastAsia" w:eastAsia="宋体"/>
                      <w:b/>
                      <w:bCs/>
                      <w:color w:val="auto"/>
                      <w:sz w:val="21"/>
                      <w:szCs w:val="21"/>
                      <w:highlight w:val="none"/>
                      <w:shd w:val="clear" w:color="auto" w:fill="auto"/>
                      <w:lang w:eastAsia="zh-CN"/>
                    </w:rPr>
                  </w:pPr>
                  <w:r>
                    <w:rPr>
                      <w:rFonts w:hint="eastAsia" w:eastAsia="宋体"/>
                      <w:b/>
                      <w:bCs/>
                      <w:color w:val="auto"/>
                      <w:sz w:val="21"/>
                      <w:szCs w:val="21"/>
                      <w:highlight w:val="none"/>
                      <w:shd w:val="clear" w:color="auto" w:fill="auto"/>
                      <w:lang w:eastAsia="zh-CN"/>
                    </w:rPr>
                    <w:t>跟踪评价报告结论</w:t>
                  </w:r>
                </w:p>
              </w:tc>
              <w:tc>
                <w:tcPr>
                  <w:tcW w:w="1363" w:type="pct"/>
                  <w:tcBorders>
                    <w:tl2br w:val="nil"/>
                    <w:tr2bl w:val="nil"/>
                  </w:tcBorders>
                  <w:noWrap w:val="0"/>
                  <w:vAlign w:val="center"/>
                </w:tcPr>
                <w:p w14:paraId="1C3235C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eastAsia"/>
                      <w:b/>
                      <w:bCs/>
                      <w:color w:val="auto"/>
                      <w:kern w:val="2"/>
                      <w:sz w:val="21"/>
                      <w:szCs w:val="21"/>
                      <w:highlight w:val="none"/>
                      <w:shd w:val="clear" w:color="auto" w:fill="auto"/>
                      <w:lang w:val="en-US" w:eastAsia="zh-CN" w:bidi="ar-SA"/>
                    </w:rPr>
                  </w:pPr>
                  <w:r>
                    <w:rPr>
                      <w:rFonts w:hint="eastAsia"/>
                      <w:b/>
                      <w:bCs/>
                      <w:color w:val="auto"/>
                      <w:sz w:val="21"/>
                      <w:szCs w:val="21"/>
                      <w:highlight w:val="none"/>
                      <w:shd w:val="clear" w:color="auto" w:fill="auto"/>
                      <w:lang w:eastAsia="zh-CN"/>
                    </w:rPr>
                    <w:t>本项目</w:t>
                  </w:r>
                </w:p>
              </w:tc>
              <w:tc>
                <w:tcPr>
                  <w:tcW w:w="611" w:type="pct"/>
                  <w:tcBorders>
                    <w:tl2br w:val="nil"/>
                    <w:tr2bl w:val="nil"/>
                  </w:tcBorders>
                  <w:noWrap w:val="0"/>
                  <w:vAlign w:val="center"/>
                </w:tcPr>
                <w:p w14:paraId="1D97736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b/>
                      <w:bCs/>
                      <w:color w:val="auto"/>
                      <w:kern w:val="2"/>
                      <w:sz w:val="21"/>
                      <w:szCs w:val="21"/>
                      <w:highlight w:val="none"/>
                      <w:shd w:val="clear" w:color="auto" w:fill="auto"/>
                      <w:lang w:val="en-US" w:eastAsia="zh-CN" w:bidi="ar-SA"/>
                    </w:rPr>
                  </w:pPr>
                  <w:r>
                    <w:rPr>
                      <w:b/>
                      <w:bCs/>
                      <w:color w:val="auto"/>
                      <w:sz w:val="21"/>
                      <w:szCs w:val="21"/>
                      <w:highlight w:val="none"/>
                      <w:shd w:val="clear" w:color="auto" w:fill="auto"/>
                    </w:rPr>
                    <w:t>相符性</w:t>
                  </w:r>
                </w:p>
              </w:tc>
            </w:tr>
            <w:tr w14:paraId="2E78AE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69" w:hRule="atLeast"/>
                <w:jc w:val="center"/>
              </w:trPr>
              <w:tc>
                <w:tcPr>
                  <w:tcW w:w="444" w:type="pct"/>
                  <w:tcBorders>
                    <w:tl2br w:val="nil"/>
                    <w:tr2bl w:val="nil"/>
                  </w:tcBorders>
                  <w:noWrap w:val="0"/>
                  <w:vAlign w:val="center"/>
                </w:tcPr>
                <w:p w14:paraId="10FC241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default" w:ascii="Times New Roman" w:hAnsi="Times New Roman" w:eastAsia="宋体" w:cs="Times New Roman"/>
                      <w:color w:val="auto"/>
                      <w:sz w:val="21"/>
                      <w:szCs w:val="21"/>
                      <w:highlight w:val="none"/>
                      <w:shd w:val="clear" w:color="auto" w:fill="auto"/>
                      <w:lang w:val="en-US" w:eastAsia="zh-CN"/>
                    </w:rPr>
                  </w:pPr>
                  <w:r>
                    <w:rPr>
                      <w:rFonts w:hint="default" w:ascii="Times New Roman" w:hAnsi="Times New Roman" w:cs="Times New Roman"/>
                      <w:color w:val="auto"/>
                      <w:sz w:val="21"/>
                      <w:szCs w:val="21"/>
                      <w:highlight w:val="none"/>
                      <w:shd w:val="clear" w:color="auto" w:fill="auto"/>
                      <w:lang w:val="en-US" w:eastAsia="zh-CN"/>
                    </w:rPr>
                    <w:t>1</w:t>
                  </w:r>
                </w:p>
              </w:tc>
              <w:tc>
                <w:tcPr>
                  <w:tcW w:w="2580" w:type="pct"/>
                  <w:tcBorders>
                    <w:tl2br w:val="nil"/>
                    <w:tr2bl w:val="nil"/>
                  </w:tcBorders>
                  <w:noWrap w:val="0"/>
                  <w:vAlign w:val="center"/>
                </w:tcPr>
                <w:p w14:paraId="55EFF43F">
                  <w:pPr>
                    <w:keepNext w:val="0"/>
                    <w:keepLines w:val="0"/>
                    <w:pageBreakBefore w:val="0"/>
                    <w:widowControl/>
                    <w:kinsoku/>
                    <w:wordWrap/>
                    <w:overflowPunct/>
                    <w:topLinePunct w:val="0"/>
                    <w:autoSpaceDE/>
                    <w:autoSpaceDN/>
                    <w:bidi w:val="0"/>
                    <w:adjustRightInd/>
                    <w:snapToGrid/>
                    <w:spacing w:line="240" w:lineRule="auto"/>
                    <w:ind w:firstLine="0" w:firstLineChars="0"/>
                    <w:textAlignment w:val="center"/>
                    <w:outlineLvl w:val="9"/>
                    <w:rPr>
                      <w:rFonts w:hint="default" w:ascii="Times New Roman" w:hAnsi="Times New Roman" w:eastAsia="宋体" w:cs="Times New Roman"/>
                      <w:color w:val="auto"/>
                      <w:sz w:val="21"/>
                      <w:szCs w:val="21"/>
                      <w:highlight w:val="none"/>
                      <w:shd w:val="clear" w:color="auto" w:fill="auto"/>
                      <w:lang w:val="en-US" w:eastAsia="zh-CN"/>
                    </w:rPr>
                  </w:pPr>
                  <w:r>
                    <w:rPr>
                      <w:rFonts w:hint="default" w:ascii="Times New Roman" w:hAnsi="Times New Roman" w:eastAsia="宋体" w:cs="Times New Roman"/>
                      <w:color w:val="auto"/>
                      <w:sz w:val="21"/>
                      <w:szCs w:val="21"/>
                      <w:highlight w:val="none"/>
                      <w:shd w:val="clear" w:color="auto" w:fill="auto"/>
                      <w:lang w:val="en-US" w:eastAsia="zh-CN"/>
                    </w:rPr>
                    <w:t>曹妃甸工业区规划实施整体符合《曹妃甸循环经济示范区产业发展总体规划》《曹妃甸循环经济示范区产业发展总体规划环境影响评价》等相关要求，但发展相对滞后，发展规模、基础设施、环境管理等存在一定偏差，规划实施较好落实了规划环评和批复要求，大气、海洋等主要污染物排放总量均低于规划环评控制要求，规划实施过程中，SO</w:t>
                  </w:r>
                  <w:r>
                    <w:rPr>
                      <w:rFonts w:hint="default" w:ascii="Times New Roman" w:hAnsi="Times New Roman" w:eastAsia="宋体" w:cs="Times New Roman"/>
                      <w:color w:val="auto"/>
                      <w:sz w:val="21"/>
                      <w:szCs w:val="21"/>
                      <w:highlight w:val="none"/>
                      <w:shd w:val="clear" w:color="auto" w:fill="auto"/>
                      <w:vertAlign w:val="subscript"/>
                      <w:lang w:val="en-US" w:eastAsia="zh-CN"/>
                    </w:rPr>
                    <w:t>2</w:t>
                  </w:r>
                  <w:r>
                    <w:rPr>
                      <w:rFonts w:hint="default" w:ascii="Times New Roman" w:hAnsi="Times New Roman" w:eastAsia="宋体" w:cs="Times New Roman"/>
                      <w:color w:val="auto"/>
                      <w:sz w:val="21"/>
                      <w:szCs w:val="21"/>
                      <w:highlight w:val="none"/>
                      <w:shd w:val="clear" w:color="auto" w:fill="auto"/>
                      <w:lang w:val="en-US" w:eastAsia="zh-CN"/>
                    </w:rPr>
                    <w:t>、NO</w:t>
                  </w:r>
                  <w:r>
                    <w:rPr>
                      <w:rFonts w:hint="default" w:ascii="Times New Roman" w:hAnsi="Times New Roman" w:eastAsia="宋体" w:cs="Times New Roman"/>
                      <w:color w:val="auto"/>
                      <w:sz w:val="21"/>
                      <w:szCs w:val="21"/>
                      <w:highlight w:val="none"/>
                      <w:shd w:val="clear" w:color="auto" w:fill="auto"/>
                      <w:vertAlign w:val="subscript"/>
                      <w:lang w:val="en-US" w:eastAsia="zh-CN"/>
                    </w:rPr>
                    <w:t>2</w:t>
                  </w:r>
                  <w:r>
                    <w:rPr>
                      <w:rFonts w:hint="default" w:ascii="Times New Roman" w:hAnsi="Times New Roman" w:eastAsia="宋体" w:cs="Times New Roman"/>
                      <w:color w:val="auto"/>
                      <w:sz w:val="21"/>
                      <w:szCs w:val="21"/>
                      <w:highlight w:val="none"/>
                      <w:shd w:val="clear" w:color="auto" w:fill="auto"/>
                      <w:lang w:val="en-US" w:eastAsia="zh-CN"/>
                    </w:rPr>
                    <w:t>浓度较2008年降低，COD、磷酸盐、石油类污染大幅度改善，无机氮超标，局部地下水重金属浓度升高。强化方案实施，到规划期末SO</w:t>
                  </w:r>
                  <w:r>
                    <w:rPr>
                      <w:rFonts w:hint="default" w:ascii="Times New Roman" w:hAnsi="Times New Roman" w:eastAsia="宋体" w:cs="Times New Roman"/>
                      <w:color w:val="auto"/>
                      <w:sz w:val="21"/>
                      <w:szCs w:val="21"/>
                      <w:highlight w:val="none"/>
                      <w:shd w:val="clear" w:color="auto" w:fill="auto"/>
                      <w:vertAlign w:val="subscript"/>
                      <w:lang w:val="en-US" w:eastAsia="zh-CN"/>
                    </w:rPr>
                    <w:t>2</w:t>
                  </w:r>
                  <w:r>
                    <w:rPr>
                      <w:rFonts w:hint="default" w:ascii="Times New Roman" w:hAnsi="Times New Roman" w:eastAsia="宋体" w:cs="Times New Roman"/>
                      <w:color w:val="auto"/>
                      <w:sz w:val="21"/>
                      <w:szCs w:val="21"/>
                      <w:highlight w:val="none"/>
                      <w:shd w:val="clear" w:color="auto" w:fill="auto"/>
                      <w:lang w:val="en-US" w:eastAsia="zh-CN"/>
                    </w:rPr>
                    <w:t>、NO</w:t>
                  </w:r>
                  <w:r>
                    <w:rPr>
                      <w:rFonts w:hint="default" w:ascii="Times New Roman" w:hAnsi="Times New Roman" w:eastAsia="宋体" w:cs="Times New Roman"/>
                      <w:color w:val="auto"/>
                      <w:sz w:val="21"/>
                      <w:szCs w:val="21"/>
                      <w:highlight w:val="none"/>
                      <w:shd w:val="clear" w:color="auto" w:fill="auto"/>
                      <w:vertAlign w:val="subscript"/>
                      <w:lang w:val="en-US" w:eastAsia="zh-CN"/>
                    </w:rPr>
                    <w:t>2</w:t>
                  </w:r>
                  <w:r>
                    <w:rPr>
                      <w:rFonts w:hint="default" w:ascii="Times New Roman" w:hAnsi="Times New Roman" w:eastAsia="宋体" w:cs="Times New Roman"/>
                      <w:color w:val="auto"/>
                      <w:sz w:val="21"/>
                      <w:szCs w:val="21"/>
                      <w:highlight w:val="none"/>
                      <w:shd w:val="clear" w:color="auto" w:fill="auto"/>
                      <w:lang w:val="en-US" w:eastAsia="zh-CN"/>
                    </w:rPr>
                    <w:t>排放量比原规划降低48%、28%，一次PM</w:t>
                  </w:r>
                  <w:r>
                    <w:rPr>
                      <w:rFonts w:hint="default" w:ascii="Times New Roman" w:hAnsi="Times New Roman" w:eastAsia="宋体" w:cs="Times New Roman"/>
                      <w:color w:val="auto"/>
                      <w:sz w:val="21"/>
                      <w:szCs w:val="21"/>
                      <w:highlight w:val="none"/>
                      <w:shd w:val="clear" w:color="auto" w:fill="auto"/>
                      <w:vertAlign w:val="subscript"/>
                      <w:lang w:val="en-US" w:eastAsia="zh-CN"/>
                    </w:rPr>
                    <w:t>2.5</w:t>
                  </w:r>
                  <w:r>
                    <w:rPr>
                      <w:rFonts w:hint="default" w:ascii="Times New Roman" w:hAnsi="Times New Roman" w:eastAsia="宋体" w:cs="Times New Roman"/>
                      <w:color w:val="auto"/>
                      <w:sz w:val="21"/>
                      <w:szCs w:val="21"/>
                      <w:highlight w:val="none"/>
                      <w:shd w:val="clear" w:color="auto" w:fill="auto"/>
                      <w:lang w:val="en-US" w:eastAsia="zh-CN"/>
                    </w:rPr>
                    <w:t>排放量较变更方案降低15.3%，仍有局地超标风险；溢油、泄漏等环境事故发生概率上升，环境风险总体可控。建议规划后续实施过程中，做好规划优化调整、强化环境减缓措施、严格环境风险管控，落实“三线一单”管控要求，可实现区域生态环境质量改善目标。</w:t>
                  </w:r>
                </w:p>
              </w:tc>
              <w:tc>
                <w:tcPr>
                  <w:tcW w:w="1363" w:type="pct"/>
                  <w:tcBorders>
                    <w:tl2br w:val="nil"/>
                    <w:tr2bl w:val="nil"/>
                  </w:tcBorders>
                  <w:noWrap w:val="0"/>
                  <w:vAlign w:val="center"/>
                </w:tcPr>
                <w:p w14:paraId="351B71DF">
                  <w:pPr>
                    <w:keepNext w:val="0"/>
                    <w:keepLines w:val="0"/>
                    <w:pageBreakBefore w:val="0"/>
                    <w:widowControl/>
                    <w:kinsoku/>
                    <w:wordWrap/>
                    <w:overflowPunct/>
                    <w:topLinePunct w:val="0"/>
                    <w:autoSpaceDE/>
                    <w:autoSpaceDN/>
                    <w:bidi w:val="0"/>
                    <w:adjustRightInd/>
                    <w:snapToGrid/>
                    <w:spacing w:line="240" w:lineRule="auto"/>
                    <w:ind w:firstLine="0" w:firstLineChars="0"/>
                    <w:textAlignment w:val="center"/>
                    <w:outlineLvl w:val="9"/>
                    <w:rPr>
                      <w:rFonts w:hint="default" w:ascii="Times New Roman" w:hAnsi="Times New Roman" w:eastAsia="宋体" w:cs="Times New Roman"/>
                      <w:color w:val="auto"/>
                      <w:sz w:val="21"/>
                      <w:szCs w:val="21"/>
                      <w:highlight w:val="none"/>
                      <w:shd w:val="clear" w:color="auto" w:fill="auto"/>
                      <w:lang w:val="en-US" w:eastAsia="zh-CN"/>
                    </w:rPr>
                  </w:pPr>
                  <w:r>
                    <w:rPr>
                      <w:rFonts w:hint="default" w:ascii="Times New Roman" w:hAnsi="Times New Roman" w:eastAsia="宋体" w:cs="Times New Roman"/>
                      <w:color w:val="auto"/>
                      <w:sz w:val="21"/>
                      <w:szCs w:val="21"/>
                      <w:highlight w:val="none"/>
                      <w:shd w:val="clear" w:color="auto" w:fill="auto"/>
                      <w:lang w:val="en-US" w:eastAsia="zh-CN"/>
                    </w:rPr>
                    <w:t>本项目为</w:t>
                  </w:r>
                  <w:r>
                    <w:rPr>
                      <w:rFonts w:hint="eastAsia" w:ascii="Times New Roman" w:hAnsi="Times New Roman" w:eastAsia="宋体" w:cs="Times New Roman"/>
                      <w:color w:val="auto"/>
                      <w:sz w:val="21"/>
                      <w:szCs w:val="21"/>
                      <w:highlight w:val="none"/>
                      <w:shd w:val="clear" w:color="auto" w:fill="auto"/>
                      <w:lang w:val="en-US" w:eastAsia="zh-CN"/>
                    </w:rPr>
                    <w:t>煤炭洗选、配煤；煤炭储存、集运</w:t>
                  </w:r>
                  <w:r>
                    <w:rPr>
                      <w:rFonts w:hint="default" w:ascii="Times New Roman" w:hAnsi="Times New Roman" w:eastAsia="宋体" w:cs="Times New Roman"/>
                      <w:color w:val="auto"/>
                      <w:sz w:val="21"/>
                      <w:szCs w:val="21"/>
                      <w:highlight w:val="none"/>
                      <w:shd w:val="clear" w:color="auto" w:fill="auto"/>
                      <w:lang w:val="en-US" w:eastAsia="zh-CN"/>
                    </w:rPr>
                    <w:t>项目，位于曹妃甸循环经济示范区港口物流园区内，</w:t>
                  </w:r>
                  <w:r>
                    <w:rPr>
                      <w:rFonts w:hint="default" w:ascii="Times New Roman" w:hAnsi="Times New Roman" w:cs="Times New Roman"/>
                      <w:color w:val="auto"/>
                      <w:sz w:val="21"/>
                      <w:szCs w:val="21"/>
                      <w:highlight w:val="none"/>
                      <w:shd w:val="clear" w:color="auto" w:fill="auto"/>
                      <w:lang w:eastAsia="zh-CN"/>
                    </w:rPr>
                    <w:t>符合园区规划。项目生产过程中无</w:t>
                  </w:r>
                  <w:r>
                    <w:rPr>
                      <w:rFonts w:hint="default" w:ascii="Times New Roman" w:hAnsi="Times New Roman" w:eastAsia="宋体" w:cs="Times New Roman"/>
                      <w:color w:val="auto"/>
                      <w:sz w:val="21"/>
                      <w:szCs w:val="21"/>
                      <w:highlight w:val="none"/>
                      <w:shd w:val="clear" w:color="auto" w:fill="auto"/>
                      <w:lang w:val="en-US" w:eastAsia="zh-CN"/>
                    </w:rPr>
                    <w:t>SO</w:t>
                  </w:r>
                  <w:r>
                    <w:rPr>
                      <w:rFonts w:hint="default" w:ascii="Times New Roman" w:hAnsi="Times New Roman" w:eastAsia="宋体" w:cs="Times New Roman"/>
                      <w:color w:val="auto"/>
                      <w:sz w:val="21"/>
                      <w:szCs w:val="21"/>
                      <w:highlight w:val="none"/>
                      <w:shd w:val="clear" w:color="auto" w:fill="auto"/>
                      <w:vertAlign w:val="subscript"/>
                      <w:lang w:val="en-US" w:eastAsia="zh-CN"/>
                    </w:rPr>
                    <w:t>2</w:t>
                  </w:r>
                  <w:r>
                    <w:rPr>
                      <w:rFonts w:hint="default" w:ascii="Times New Roman" w:hAnsi="Times New Roman" w:eastAsia="宋体" w:cs="Times New Roman"/>
                      <w:color w:val="auto"/>
                      <w:sz w:val="21"/>
                      <w:szCs w:val="21"/>
                      <w:highlight w:val="none"/>
                      <w:shd w:val="clear" w:color="auto" w:fill="auto"/>
                      <w:lang w:val="en-US" w:eastAsia="zh-CN"/>
                    </w:rPr>
                    <w:t>、NO</w:t>
                  </w:r>
                  <w:r>
                    <w:rPr>
                      <w:rFonts w:hint="default" w:ascii="Times New Roman" w:hAnsi="Times New Roman" w:eastAsia="宋体" w:cs="Times New Roman"/>
                      <w:color w:val="auto"/>
                      <w:sz w:val="21"/>
                      <w:szCs w:val="21"/>
                      <w:highlight w:val="none"/>
                      <w:shd w:val="clear" w:color="auto" w:fill="auto"/>
                      <w:vertAlign w:val="subscript"/>
                      <w:lang w:val="en-US" w:eastAsia="zh-CN"/>
                    </w:rPr>
                    <w:t>2</w:t>
                  </w:r>
                  <w:r>
                    <w:rPr>
                      <w:rFonts w:hint="default" w:ascii="Times New Roman" w:hAnsi="Times New Roman" w:eastAsia="宋体" w:cs="Times New Roman"/>
                      <w:color w:val="auto"/>
                      <w:sz w:val="21"/>
                      <w:szCs w:val="21"/>
                      <w:highlight w:val="none"/>
                      <w:shd w:val="clear" w:color="auto" w:fill="auto"/>
                      <w:vertAlign w:val="baseline"/>
                      <w:lang w:val="en-US" w:eastAsia="zh-CN"/>
                    </w:rPr>
                    <w:t>排放，</w:t>
                  </w:r>
                  <w:r>
                    <w:rPr>
                      <w:rFonts w:hint="default" w:ascii="Times New Roman" w:hAnsi="Times New Roman" w:cs="Times New Roman"/>
                      <w:color w:val="auto"/>
                      <w:sz w:val="21"/>
                      <w:szCs w:val="21"/>
                      <w:highlight w:val="none"/>
                      <w:shd w:val="clear" w:color="auto" w:fill="auto"/>
                      <w:lang w:val="en-US" w:eastAsia="zh-CN"/>
                    </w:rPr>
                    <w:t>采取措施后主要污染物颗粒物能实现达标排放；无生产废水排放，生活污水</w:t>
                  </w:r>
                  <w:r>
                    <w:rPr>
                      <w:rFonts w:hint="default" w:ascii="Times New Roman" w:hAnsi="Times New Roman" w:eastAsia="宋体" w:cs="Times New Roman"/>
                      <w:color w:val="auto"/>
                      <w:sz w:val="21"/>
                      <w:szCs w:val="21"/>
                      <w:highlight w:val="none"/>
                      <w:shd w:val="clear" w:color="auto" w:fill="auto"/>
                      <w:lang w:val="en-US" w:eastAsia="zh-CN"/>
                    </w:rPr>
                    <w:t>排入</w:t>
                  </w:r>
                  <w:r>
                    <w:rPr>
                      <w:rFonts w:hint="default" w:ascii="Times New Roman" w:hAnsi="Times New Roman" w:eastAsia="宋体" w:cs="Times New Roman"/>
                      <w:color w:val="auto"/>
                      <w:kern w:val="0"/>
                      <w:sz w:val="21"/>
                      <w:szCs w:val="21"/>
                      <w:highlight w:val="none"/>
                      <w:lang w:val="en-US" w:eastAsia="zh-CN" w:bidi="ar"/>
                    </w:rPr>
                    <w:t>市政排水管网</w:t>
                  </w:r>
                  <w:r>
                    <w:rPr>
                      <w:rFonts w:hint="default" w:ascii="Times New Roman" w:hAnsi="Times New Roman" w:cs="Times New Roman"/>
                      <w:color w:val="auto"/>
                      <w:sz w:val="21"/>
                      <w:szCs w:val="21"/>
                      <w:highlight w:val="none"/>
                      <w:shd w:val="clear" w:color="auto" w:fill="auto"/>
                      <w:lang w:val="en-US" w:eastAsia="zh-CN"/>
                    </w:rPr>
                    <w:t>；采取风险防范措施后，</w:t>
                  </w:r>
                  <w:r>
                    <w:rPr>
                      <w:rFonts w:hint="default" w:ascii="Times New Roman" w:hAnsi="Times New Roman" w:cs="Times New Roman"/>
                      <w:color w:val="auto"/>
                      <w:sz w:val="21"/>
                      <w:szCs w:val="21"/>
                      <w:highlight w:val="none"/>
                      <w:shd w:val="clear" w:color="auto" w:fill="auto"/>
                    </w:rPr>
                    <w:t>环境风险总体可控</w:t>
                  </w:r>
                  <w:r>
                    <w:rPr>
                      <w:rFonts w:hint="default" w:ascii="Times New Roman" w:hAnsi="Times New Roman" w:cs="Times New Roman"/>
                      <w:color w:val="auto"/>
                      <w:sz w:val="21"/>
                      <w:szCs w:val="21"/>
                      <w:highlight w:val="none"/>
                      <w:shd w:val="clear" w:color="auto" w:fill="auto"/>
                      <w:lang w:eastAsia="zh-CN"/>
                    </w:rPr>
                    <w:t>；项目建设符合“三线一单”管控要求。</w:t>
                  </w:r>
                </w:p>
              </w:tc>
              <w:tc>
                <w:tcPr>
                  <w:tcW w:w="611" w:type="pct"/>
                  <w:tcBorders>
                    <w:tl2br w:val="nil"/>
                    <w:tr2bl w:val="nil"/>
                  </w:tcBorders>
                  <w:noWrap w:val="0"/>
                  <w:vAlign w:val="center"/>
                </w:tcPr>
                <w:p w14:paraId="6FA1D5B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default" w:ascii="Times New Roman" w:hAnsi="Times New Roman" w:eastAsia="宋体" w:cs="Times New Roman"/>
                      <w:color w:val="auto"/>
                      <w:sz w:val="21"/>
                      <w:szCs w:val="21"/>
                      <w:highlight w:val="none"/>
                      <w:shd w:val="clear" w:color="auto" w:fill="auto"/>
                      <w:lang w:eastAsia="zh-CN"/>
                    </w:rPr>
                  </w:pPr>
                  <w:r>
                    <w:rPr>
                      <w:rFonts w:hint="default" w:ascii="Times New Roman" w:hAnsi="Times New Roman" w:eastAsia="宋体" w:cs="Times New Roman"/>
                      <w:color w:val="auto"/>
                      <w:sz w:val="21"/>
                      <w:szCs w:val="21"/>
                      <w:highlight w:val="none"/>
                      <w:shd w:val="clear" w:color="auto" w:fill="auto"/>
                      <w:lang w:eastAsia="zh-CN"/>
                    </w:rPr>
                    <w:t>符合</w:t>
                  </w:r>
                </w:p>
              </w:tc>
            </w:tr>
          </w:tbl>
          <w:p w14:paraId="0267F18F">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Times New Roman" w:hAnsi="Times New Roman" w:eastAsia="宋体" w:cs="Times New Roman"/>
                <w:color w:val="auto"/>
                <w:kern w:val="0"/>
                <w:sz w:val="24"/>
                <w:highlight w:val="none"/>
                <w:shd w:val="clear" w:color="auto" w:fill="auto"/>
                <w:lang w:val="en-US" w:eastAsia="zh-CN"/>
              </w:rPr>
            </w:pPr>
          </w:p>
          <w:p w14:paraId="6835C452">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Times New Roman" w:hAnsi="Times New Roman" w:eastAsia="宋体" w:cs="Times New Roman"/>
                <w:color w:val="auto"/>
                <w:kern w:val="0"/>
                <w:sz w:val="24"/>
                <w:highlight w:val="none"/>
                <w:shd w:val="clear" w:color="auto" w:fill="auto"/>
                <w:lang w:val="en-US" w:eastAsia="zh-CN"/>
              </w:rPr>
            </w:pPr>
          </w:p>
          <w:p w14:paraId="1F2D314C">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Times New Roman" w:hAnsi="Times New Roman" w:eastAsia="宋体" w:cs="Times New Roman"/>
                <w:color w:val="auto"/>
                <w:kern w:val="0"/>
                <w:sz w:val="24"/>
                <w:highlight w:val="none"/>
                <w:shd w:val="clear" w:color="auto" w:fill="auto"/>
                <w:lang w:val="en-US" w:eastAsia="zh-CN"/>
              </w:rPr>
            </w:pPr>
          </w:p>
          <w:p w14:paraId="19E678E0">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default" w:ascii="Times New Roman" w:hAnsi="Times New Roman" w:eastAsia="宋体" w:cs="Times New Roman"/>
                <w:b/>
                <w:bCs/>
                <w:color w:val="auto"/>
                <w:kern w:val="0"/>
                <w:szCs w:val="21"/>
                <w:highlight w:val="none"/>
                <w:shd w:val="clear" w:color="auto" w:fill="auto"/>
              </w:rPr>
            </w:pPr>
            <w:r>
              <w:rPr>
                <w:rFonts w:hint="eastAsia" w:ascii="Times New Roman" w:hAnsi="Times New Roman" w:eastAsia="宋体" w:cs="Times New Roman"/>
                <w:color w:val="auto"/>
                <w:kern w:val="0"/>
                <w:sz w:val="24"/>
                <w:highlight w:val="none"/>
                <w:shd w:val="clear" w:color="auto" w:fill="auto"/>
                <w:lang w:val="en-US" w:eastAsia="zh-CN"/>
              </w:rPr>
              <w:t>4、</w:t>
            </w:r>
            <w:r>
              <w:rPr>
                <w:rFonts w:hint="default" w:ascii="Times New Roman" w:hAnsi="Times New Roman" w:eastAsia="宋体" w:cs="Times New Roman"/>
                <w:color w:val="auto"/>
                <w:kern w:val="0"/>
                <w:sz w:val="24"/>
                <w:highlight w:val="none"/>
                <w:shd w:val="clear" w:color="auto" w:fill="auto"/>
              </w:rPr>
              <w:t>项目与跟踪评价报告审查意见的符合性分析</w:t>
            </w:r>
          </w:p>
          <w:p w14:paraId="44DFB324">
            <w:pPr>
              <w:spacing w:line="480" w:lineRule="exact"/>
              <w:jc w:val="center"/>
              <w:rPr>
                <w:rFonts w:hint="default" w:ascii="Times New Roman" w:hAnsi="Times New Roman" w:eastAsia="宋体" w:cs="Times New Roman"/>
                <w:b/>
                <w:bCs/>
                <w:color w:val="auto"/>
                <w:kern w:val="0"/>
                <w:szCs w:val="21"/>
                <w:highlight w:val="none"/>
                <w:shd w:val="clear" w:color="auto" w:fill="auto"/>
              </w:rPr>
            </w:pPr>
            <w:r>
              <w:rPr>
                <w:rFonts w:hint="default" w:ascii="Times New Roman" w:hAnsi="Times New Roman" w:eastAsia="宋体" w:cs="Times New Roman"/>
                <w:b/>
                <w:bCs/>
                <w:color w:val="auto"/>
                <w:kern w:val="0"/>
                <w:szCs w:val="21"/>
                <w:highlight w:val="none"/>
                <w:shd w:val="clear" w:color="auto" w:fill="auto"/>
              </w:rPr>
              <w:t>表1-</w:t>
            </w:r>
            <w:r>
              <w:rPr>
                <w:rFonts w:hint="eastAsia" w:cs="Times New Roman"/>
                <w:b/>
                <w:bCs/>
                <w:color w:val="auto"/>
                <w:kern w:val="0"/>
                <w:szCs w:val="21"/>
                <w:highlight w:val="none"/>
                <w:shd w:val="clear" w:color="auto" w:fill="auto"/>
                <w:lang w:val="en-US" w:eastAsia="zh-CN"/>
              </w:rPr>
              <w:t>2</w:t>
            </w:r>
            <w:r>
              <w:rPr>
                <w:rFonts w:hint="eastAsia" w:ascii="Times New Roman" w:hAnsi="Times New Roman" w:eastAsia="宋体" w:cs="Times New Roman"/>
                <w:b/>
                <w:bCs/>
                <w:color w:val="auto"/>
                <w:kern w:val="0"/>
                <w:szCs w:val="21"/>
                <w:highlight w:val="none"/>
                <w:shd w:val="clear" w:color="auto" w:fill="auto"/>
                <w:lang w:val="en-US" w:eastAsia="zh-CN"/>
              </w:rPr>
              <w:t xml:space="preserve"> </w:t>
            </w:r>
            <w:r>
              <w:rPr>
                <w:rFonts w:hint="default" w:ascii="Times New Roman" w:hAnsi="Times New Roman" w:eastAsia="宋体" w:cs="Times New Roman"/>
                <w:b/>
                <w:bCs/>
                <w:color w:val="auto"/>
                <w:kern w:val="0"/>
                <w:szCs w:val="21"/>
                <w:highlight w:val="none"/>
                <w:shd w:val="clear" w:color="auto" w:fill="auto"/>
              </w:rPr>
              <w:t>项目与</w:t>
            </w:r>
            <w:r>
              <w:rPr>
                <w:rFonts w:hint="eastAsia"/>
                <w:b/>
                <w:bCs/>
                <w:color w:val="auto"/>
                <w:kern w:val="0"/>
                <w:szCs w:val="21"/>
                <w:highlight w:val="none"/>
                <w:shd w:val="clear" w:color="auto" w:fill="auto"/>
              </w:rPr>
              <w:t>规划环评审查意见符合性</w:t>
            </w:r>
            <w:r>
              <w:rPr>
                <w:rFonts w:hint="default" w:ascii="Times New Roman" w:hAnsi="Times New Roman" w:eastAsia="宋体" w:cs="Times New Roman"/>
                <w:b/>
                <w:bCs/>
                <w:color w:val="auto"/>
                <w:kern w:val="0"/>
                <w:szCs w:val="21"/>
                <w:highlight w:val="none"/>
                <w:shd w:val="clear" w:color="auto" w:fill="auto"/>
              </w:rPr>
              <w:t>分析一览</w:t>
            </w:r>
          </w:p>
          <w:tbl>
            <w:tblPr>
              <w:tblStyle w:val="25"/>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57" w:type="dxa"/>
                <w:bottom w:w="0" w:type="dxa"/>
                <w:right w:w="57" w:type="dxa"/>
              </w:tblCellMar>
            </w:tblPr>
            <w:tblGrid>
              <w:gridCol w:w="667"/>
              <w:gridCol w:w="4461"/>
              <w:gridCol w:w="1508"/>
              <w:gridCol w:w="922"/>
            </w:tblGrid>
            <w:tr w14:paraId="036603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69" w:hRule="atLeast"/>
                <w:tblHeader/>
                <w:jc w:val="center"/>
              </w:trPr>
              <w:tc>
                <w:tcPr>
                  <w:tcW w:w="441" w:type="pct"/>
                  <w:tcBorders>
                    <w:tl2br w:val="nil"/>
                    <w:tr2bl w:val="nil"/>
                  </w:tcBorders>
                  <w:noWrap w:val="0"/>
                  <w:vAlign w:val="center"/>
                </w:tcPr>
                <w:p w14:paraId="366FA51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default" w:ascii="Times New Roman" w:hAnsi="Times New Roman" w:eastAsia="宋体" w:cs="Times New Roman"/>
                      <w:b/>
                      <w:bCs/>
                      <w:color w:val="auto"/>
                      <w:sz w:val="21"/>
                      <w:szCs w:val="21"/>
                      <w:highlight w:val="none"/>
                      <w:shd w:val="clear" w:color="auto" w:fill="auto"/>
                      <w:lang w:eastAsia="zh-CN"/>
                    </w:rPr>
                  </w:pPr>
                  <w:r>
                    <w:rPr>
                      <w:rFonts w:hint="default" w:ascii="Times New Roman" w:hAnsi="Times New Roman" w:cs="Times New Roman"/>
                      <w:b/>
                      <w:bCs/>
                      <w:color w:val="auto"/>
                      <w:sz w:val="21"/>
                      <w:szCs w:val="21"/>
                      <w:highlight w:val="none"/>
                      <w:shd w:val="clear" w:color="auto" w:fill="auto"/>
                      <w:lang w:eastAsia="zh-CN"/>
                    </w:rPr>
                    <w:t>序号</w:t>
                  </w:r>
                </w:p>
              </w:tc>
              <w:tc>
                <w:tcPr>
                  <w:tcW w:w="2950" w:type="pct"/>
                  <w:tcBorders>
                    <w:tl2br w:val="nil"/>
                    <w:tr2bl w:val="nil"/>
                  </w:tcBorders>
                  <w:noWrap w:val="0"/>
                  <w:vAlign w:val="center"/>
                </w:tcPr>
                <w:p w14:paraId="00269B0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default" w:ascii="Times New Roman" w:hAnsi="Times New Roman" w:eastAsia="宋体" w:cs="Times New Roman"/>
                      <w:b/>
                      <w:bCs/>
                      <w:color w:val="auto"/>
                      <w:sz w:val="21"/>
                      <w:szCs w:val="21"/>
                      <w:highlight w:val="none"/>
                      <w:shd w:val="clear" w:color="auto" w:fill="auto"/>
                      <w:lang w:eastAsia="zh-CN"/>
                    </w:rPr>
                  </w:pPr>
                  <w:r>
                    <w:rPr>
                      <w:rFonts w:hint="default" w:ascii="Times New Roman" w:hAnsi="Times New Roman" w:eastAsia="宋体" w:cs="Times New Roman"/>
                      <w:b/>
                      <w:bCs/>
                      <w:color w:val="auto"/>
                      <w:kern w:val="0"/>
                      <w:sz w:val="21"/>
                      <w:szCs w:val="21"/>
                      <w:highlight w:val="none"/>
                      <w:shd w:val="clear" w:color="auto" w:fill="auto"/>
                    </w:rPr>
                    <w:t>审查意见</w:t>
                  </w:r>
                </w:p>
              </w:tc>
              <w:tc>
                <w:tcPr>
                  <w:tcW w:w="997" w:type="pct"/>
                  <w:tcBorders>
                    <w:tl2br w:val="nil"/>
                    <w:tr2bl w:val="nil"/>
                  </w:tcBorders>
                  <w:noWrap w:val="0"/>
                  <w:vAlign w:val="center"/>
                </w:tcPr>
                <w:p w14:paraId="4E68D2F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default" w:ascii="Times New Roman" w:hAnsi="Times New Roman" w:cs="Times New Roman"/>
                      <w:b/>
                      <w:bCs/>
                      <w:color w:val="auto"/>
                      <w:kern w:val="2"/>
                      <w:sz w:val="21"/>
                      <w:szCs w:val="21"/>
                      <w:highlight w:val="none"/>
                      <w:shd w:val="clear" w:color="auto" w:fill="auto"/>
                      <w:lang w:val="en-US" w:eastAsia="zh-CN" w:bidi="ar-SA"/>
                    </w:rPr>
                  </w:pPr>
                  <w:r>
                    <w:rPr>
                      <w:rFonts w:hint="default" w:ascii="Times New Roman" w:hAnsi="Times New Roman" w:cs="Times New Roman"/>
                      <w:b/>
                      <w:bCs/>
                      <w:color w:val="auto"/>
                      <w:sz w:val="21"/>
                      <w:szCs w:val="21"/>
                      <w:highlight w:val="none"/>
                      <w:shd w:val="clear" w:color="auto" w:fill="auto"/>
                      <w:lang w:eastAsia="zh-CN"/>
                    </w:rPr>
                    <w:t>本项目</w:t>
                  </w:r>
                </w:p>
              </w:tc>
              <w:tc>
                <w:tcPr>
                  <w:tcW w:w="610" w:type="pct"/>
                  <w:tcBorders>
                    <w:tl2br w:val="nil"/>
                    <w:tr2bl w:val="nil"/>
                  </w:tcBorders>
                  <w:noWrap w:val="0"/>
                  <w:vAlign w:val="center"/>
                </w:tcPr>
                <w:p w14:paraId="530D87D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default" w:ascii="Times New Roman" w:hAnsi="Times New Roman" w:cs="Times New Roman"/>
                      <w:b/>
                      <w:bCs/>
                      <w:color w:val="auto"/>
                      <w:kern w:val="2"/>
                      <w:sz w:val="21"/>
                      <w:szCs w:val="21"/>
                      <w:highlight w:val="none"/>
                      <w:shd w:val="clear" w:color="auto" w:fill="auto"/>
                      <w:lang w:val="en-US" w:eastAsia="zh-CN" w:bidi="ar-SA"/>
                    </w:rPr>
                  </w:pPr>
                  <w:r>
                    <w:rPr>
                      <w:rFonts w:hint="default" w:ascii="Times New Roman" w:hAnsi="Times New Roman" w:cs="Times New Roman"/>
                      <w:b/>
                      <w:bCs/>
                      <w:color w:val="auto"/>
                      <w:sz w:val="21"/>
                      <w:szCs w:val="21"/>
                      <w:highlight w:val="none"/>
                      <w:shd w:val="clear" w:color="auto" w:fill="auto"/>
                    </w:rPr>
                    <w:t>相符性</w:t>
                  </w:r>
                </w:p>
              </w:tc>
            </w:tr>
            <w:tr w14:paraId="1EE6A0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69" w:hRule="atLeast"/>
                <w:jc w:val="center"/>
              </w:trPr>
              <w:tc>
                <w:tcPr>
                  <w:tcW w:w="441" w:type="pct"/>
                  <w:tcBorders>
                    <w:tl2br w:val="nil"/>
                    <w:tr2bl w:val="nil"/>
                  </w:tcBorders>
                  <w:noWrap w:val="0"/>
                  <w:vAlign w:val="center"/>
                </w:tcPr>
                <w:p w14:paraId="3F8253B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default" w:ascii="Times New Roman" w:hAnsi="Times New Roman" w:eastAsia="宋体" w:cs="Times New Roman"/>
                      <w:color w:val="auto"/>
                      <w:sz w:val="21"/>
                      <w:szCs w:val="21"/>
                      <w:highlight w:val="none"/>
                      <w:shd w:val="clear" w:color="auto" w:fill="auto"/>
                      <w:lang w:val="en-US" w:eastAsia="zh-CN"/>
                    </w:rPr>
                  </w:pPr>
                  <w:r>
                    <w:rPr>
                      <w:rFonts w:hint="default" w:ascii="Times New Roman" w:hAnsi="Times New Roman" w:cs="Times New Roman"/>
                      <w:color w:val="auto"/>
                      <w:sz w:val="21"/>
                      <w:szCs w:val="21"/>
                      <w:highlight w:val="none"/>
                      <w:shd w:val="clear" w:color="auto" w:fill="auto"/>
                      <w:lang w:val="en-US" w:eastAsia="zh-CN"/>
                    </w:rPr>
                    <w:t>1</w:t>
                  </w:r>
                </w:p>
              </w:tc>
              <w:tc>
                <w:tcPr>
                  <w:tcW w:w="2950" w:type="pct"/>
                  <w:tcBorders>
                    <w:tl2br w:val="nil"/>
                    <w:tr2bl w:val="nil"/>
                  </w:tcBorders>
                  <w:noWrap w:val="0"/>
                  <w:vAlign w:val="center"/>
                </w:tcPr>
                <w:p w14:paraId="0FC2604C">
                  <w:pPr>
                    <w:keepNext w:val="0"/>
                    <w:keepLines w:val="0"/>
                    <w:pageBreakBefore w:val="0"/>
                    <w:widowControl/>
                    <w:kinsoku/>
                    <w:wordWrap/>
                    <w:overflowPunct/>
                    <w:topLinePunct w:val="0"/>
                    <w:autoSpaceDE/>
                    <w:autoSpaceDN/>
                    <w:bidi w:val="0"/>
                    <w:adjustRightInd/>
                    <w:snapToGrid/>
                    <w:spacing w:line="240" w:lineRule="auto"/>
                    <w:ind w:firstLine="0" w:firstLineChars="0"/>
                    <w:textAlignment w:val="center"/>
                    <w:outlineLvl w:val="9"/>
                    <w:rPr>
                      <w:rFonts w:hint="default" w:ascii="Times New Roman" w:hAnsi="Times New Roman" w:cs="Times New Roman"/>
                      <w:color w:val="auto"/>
                      <w:sz w:val="21"/>
                      <w:szCs w:val="21"/>
                      <w:highlight w:val="none"/>
                      <w:shd w:val="clear" w:color="auto" w:fill="auto"/>
                    </w:rPr>
                  </w:pPr>
                  <w:r>
                    <w:rPr>
                      <w:rFonts w:hint="default" w:ascii="Times New Roman" w:hAnsi="Times New Roman" w:cs="Times New Roman"/>
                      <w:color w:val="auto"/>
                      <w:sz w:val="21"/>
                      <w:szCs w:val="21"/>
                      <w:highlight w:val="none"/>
                      <w:shd w:val="clear" w:color="auto" w:fill="auto"/>
                    </w:rPr>
                    <w:t>根据国家及京津冀发展战略，结合唐山市和曹妃甸区相关规划对示范区发展定位和要求，加强与京津冀战略环评成果的衔接，加快主导产业的规模化和集约化，深入推进示范区循环化、绿色化发展，加强能源梯级利用和中水回用，严格控制煤炭消费总量，落实区域环境质量改善的目标要求。</w:t>
                  </w:r>
                </w:p>
              </w:tc>
              <w:tc>
                <w:tcPr>
                  <w:tcW w:w="997" w:type="pct"/>
                  <w:tcBorders>
                    <w:tl2br w:val="nil"/>
                    <w:tr2bl w:val="nil"/>
                  </w:tcBorders>
                  <w:noWrap w:val="0"/>
                  <w:vAlign w:val="center"/>
                </w:tcPr>
                <w:p w14:paraId="3B84FE37">
                  <w:pPr>
                    <w:keepNext w:val="0"/>
                    <w:keepLines w:val="0"/>
                    <w:pageBreakBefore w:val="0"/>
                    <w:widowControl/>
                    <w:kinsoku/>
                    <w:wordWrap/>
                    <w:overflowPunct/>
                    <w:topLinePunct w:val="0"/>
                    <w:autoSpaceDE/>
                    <w:autoSpaceDN/>
                    <w:bidi w:val="0"/>
                    <w:adjustRightInd/>
                    <w:snapToGrid/>
                    <w:spacing w:line="240" w:lineRule="auto"/>
                    <w:ind w:firstLine="0" w:firstLineChars="0"/>
                    <w:textAlignment w:val="center"/>
                    <w:outlineLvl w:val="9"/>
                    <w:rPr>
                      <w:rFonts w:hint="default" w:ascii="Times New Roman" w:hAnsi="Times New Roman" w:eastAsia="宋体" w:cs="Times New Roman"/>
                      <w:color w:val="auto"/>
                      <w:sz w:val="21"/>
                      <w:szCs w:val="21"/>
                      <w:highlight w:val="none"/>
                      <w:shd w:val="clear" w:color="auto" w:fill="auto"/>
                      <w:lang w:eastAsia="zh-CN"/>
                    </w:rPr>
                  </w:pPr>
                  <w:r>
                    <w:rPr>
                      <w:rFonts w:hint="default" w:ascii="Times New Roman" w:hAnsi="Times New Roman" w:eastAsia="宋体" w:cs="Times New Roman"/>
                      <w:color w:val="auto"/>
                      <w:sz w:val="21"/>
                      <w:szCs w:val="21"/>
                      <w:highlight w:val="none"/>
                      <w:shd w:val="clear" w:color="auto" w:fill="auto"/>
                      <w:lang w:eastAsia="zh-CN"/>
                    </w:rPr>
                    <w:t>本项目</w:t>
                  </w:r>
                  <w:r>
                    <w:rPr>
                      <w:rFonts w:hint="eastAsia" w:cs="Times New Roman"/>
                      <w:color w:val="auto"/>
                      <w:sz w:val="21"/>
                      <w:szCs w:val="21"/>
                      <w:highlight w:val="none"/>
                      <w:shd w:val="clear" w:color="auto" w:fill="auto"/>
                      <w:lang w:eastAsia="zh-CN"/>
                    </w:rPr>
                    <w:t>能</w:t>
                  </w:r>
                  <w:r>
                    <w:rPr>
                      <w:rFonts w:hint="default" w:ascii="Times New Roman" w:hAnsi="Times New Roman" w:eastAsia="宋体" w:cs="Times New Roman"/>
                      <w:color w:val="auto"/>
                      <w:sz w:val="21"/>
                      <w:szCs w:val="21"/>
                      <w:highlight w:val="none"/>
                      <w:shd w:val="clear" w:color="auto" w:fill="auto"/>
                      <w:lang w:eastAsia="zh-CN"/>
                    </w:rPr>
                    <w:t>源主要为水和电，满足能源利用要求，废水经沉淀池沉淀后回用，不外排。</w:t>
                  </w:r>
                </w:p>
              </w:tc>
              <w:tc>
                <w:tcPr>
                  <w:tcW w:w="610" w:type="pct"/>
                  <w:tcBorders>
                    <w:tl2br w:val="nil"/>
                    <w:tr2bl w:val="nil"/>
                  </w:tcBorders>
                  <w:noWrap w:val="0"/>
                  <w:vAlign w:val="center"/>
                </w:tcPr>
                <w:p w14:paraId="0707649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default" w:ascii="Times New Roman" w:hAnsi="Times New Roman" w:eastAsia="宋体" w:cs="Times New Roman"/>
                      <w:color w:val="auto"/>
                      <w:sz w:val="21"/>
                      <w:szCs w:val="21"/>
                      <w:highlight w:val="none"/>
                      <w:shd w:val="clear" w:color="auto" w:fill="auto"/>
                      <w:lang w:eastAsia="zh-CN"/>
                    </w:rPr>
                  </w:pPr>
                  <w:r>
                    <w:rPr>
                      <w:rFonts w:hint="default" w:ascii="Times New Roman" w:hAnsi="Times New Roman" w:eastAsia="宋体" w:cs="Times New Roman"/>
                      <w:color w:val="auto"/>
                      <w:sz w:val="21"/>
                      <w:szCs w:val="21"/>
                      <w:highlight w:val="none"/>
                      <w:shd w:val="clear" w:color="auto" w:fill="auto"/>
                      <w:lang w:eastAsia="zh-CN"/>
                    </w:rPr>
                    <w:t>符合</w:t>
                  </w:r>
                </w:p>
              </w:tc>
            </w:tr>
            <w:tr w14:paraId="2A58D4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69" w:hRule="atLeast"/>
                <w:jc w:val="center"/>
              </w:trPr>
              <w:tc>
                <w:tcPr>
                  <w:tcW w:w="441" w:type="pct"/>
                  <w:tcBorders>
                    <w:tl2br w:val="nil"/>
                    <w:tr2bl w:val="nil"/>
                  </w:tcBorders>
                  <w:noWrap w:val="0"/>
                  <w:vAlign w:val="center"/>
                </w:tcPr>
                <w:p w14:paraId="159F60A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default" w:ascii="Times New Roman" w:hAnsi="Times New Roman" w:cs="Times New Roman"/>
                      <w:color w:val="auto"/>
                      <w:sz w:val="21"/>
                      <w:szCs w:val="21"/>
                      <w:highlight w:val="none"/>
                      <w:shd w:val="clear" w:color="auto" w:fill="auto"/>
                      <w:lang w:val="en-US" w:eastAsia="zh-CN"/>
                    </w:rPr>
                  </w:pPr>
                  <w:r>
                    <w:rPr>
                      <w:rFonts w:hint="default" w:ascii="Times New Roman" w:hAnsi="Times New Roman" w:cs="Times New Roman"/>
                      <w:color w:val="auto"/>
                      <w:sz w:val="21"/>
                      <w:szCs w:val="21"/>
                      <w:highlight w:val="none"/>
                      <w:shd w:val="clear" w:color="auto" w:fill="auto"/>
                      <w:lang w:val="en-US" w:eastAsia="zh-CN"/>
                    </w:rPr>
                    <w:t>2</w:t>
                  </w:r>
                </w:p>
              </w:tc>
              <w:tc>
                <w:tcPr>
                  <w:tcW w:w="2950" w:type="pct"/>
                  <w:tcBorders>
                    <w:tl2br w:val="nil"/>
                    <w:tr2bl w:val="nil"/>
                  </w:tcBorders>
                  <w:noWrap w:val="0"/>
                  <w:vAlign w:val="center"/>
                </w:tcPr>
                <w:p w14:paraId="2E2E863D">
                  <w:pPr>
                    <w:keepNext w:val="0"/>
                    <w:keepLines w:val="0"/>
                    <w:pageBreakBefore w:val="0"/>
                    <w:widowControl/>
                    <w:kinsoku/>
                    <w:wordWrap/>
                    <w:overflowPunct/>
                    <w:topLinePunct w:val="0"/>
                    <w:autoSpaceDE/>
                    <w:autoSpaceDN/>
                    <w:bidi w:val="0"/>
                    <w:adjustRightInd/>
                    <w:snapToGrid/>
                    <w:spacing w:line="240" w:lineRule="auto"/>
                    <w:ind w:firstLine="0" w:firstLineChars="0"/>
                    <w:textAlignment w:val="center"/>
                    <w:outlineLvl w:val="9"/>
                    <w:rPr>
                      <w:rFonts w:hint="default" w:ascii="Times New Roman" w:hAnsi="Times New Roman" w:eastAsia="宋体" w:cs="Times New Roman"/>
                      <w:color w:val="auto"/>
                      <w:kern w:val="2"/>
                      <w:sz w:val="21"/>
                      <w:szCs w:val="21"/>
                      <w:highlight w:val="none"/>
                      <w:shd w:val="clear" w:color="auto" w:fill="auto"/>
                      <w:lang w:val="en-US" w:eastAsia="zh-CN" w:bidi="ar-SA"/>
                    </w:rPr>
                  </w:pPr>
                  <w:r>
                    <w:rPr>
                      <w:rFonts w:hint="default" w:ascii="Times New Roman" w:hAnsi="Times New Roman" w:cs="Times New Roman"/>
                      <w:color w:val="auto"/>
                      <w:sz w:val="21"/>
                      <w:szCs w:val="21"/>
                      <w:highlight w:val="none"/>
                      <w:shd w:val="clear" w:color="auto" w:fill="auto"/>
                    </w:rPr>
                    <w:t>落实国家关于加强渤海生态环境保护及围填海管理等要求，加强海域生态环境保护。加强示范区内生态隔离带、绿廊等生态空间的环境管控。积极引导产业集中优化布局，避免产业发展对人居环境安全的不良影响。</w:t>
                  </w:r>
                </w:p>
              </w:tc>
              <w:tc>
                <w:tcPr>
                  <w:tcW w:w="997" w:type="pct"/>
                  <w:tcBorders>
                    <w:tl2br w:val="nil"/>
                    <w:tr2bl w:val="nil"/>
                  </w:tcBorders>
                  <w:noWrap w:val="0"/>
                  <w:vAlign w:val="center"/>
                </w:tcPr>
                <w:p w14:paraId="47D451F5">
                  <w:pPr>
                    <w:keepNext w:val="0"/>
                    <w:keepLines w:val="0"/>
                    <w:pageBreakBefore w:val="0"/>
                    <w:widowControl/>
                    <w:kinsoku/>
                    <w:wordWrap/>
                    <w:overflowPunct/>
                    <w:topLinePunct w:val="0"/>
                    <w:autoSpaceDE/>
                    <w:autoSpaceDN/>
                    <w:bidi w:val="0"/>
                    <w:adjustRightInd/>
                    <w:snapToGrid/>
                    <w:spacing w:line="240" w:lineRule="auto"/>
                    <w:ind w:firstLine="0" w:firstLineChars="0"/>
                    <w:textAlignment w:val="center"/>
                    <w:outlineLvl w:val="9"/>
                    <w:rPr>
                      <w:rFonts w:hint="default" w:ascii="Times New Roman" w:hAnsi="Times New Roman" w:eastAsia="宋体" w:cs="Times New Roman"/>
                      <w:color w:val="auto"/>
                      <w:sz w:val="21"/>
                      <w:szCs w:val="21"/>
                      <w:highlight w:val="none"/>
                      <w:shd w:val="clear" w:color="auto" w:fill="auto"/>
                      <w:lang w:eastAsia="zh-CN"/>
                    </w:rPr>
                  </w:pPr>
                  <w:r>
                    <w:rPr>
                      <w:rFonts w:hint="default" w:ascii="Times New Roman" w:hAnsi="Times New Roman" w:eastAsia="宋体" w:cs="Times New Roman"/>
                      <w:color w:val="auto"/>
                      <w:sz w:val="21"/>
                      <w:szCs w:val="21"/>
                      <w:highlight w:val="none"/>
                      <w:shd w:val="clear" w:color="auto" w:fill="auto"/>
                      <w:lang w:eastAsia="zh-CN"/>
                    </w:rPr>
                    <w:t>本项目位于</w:t>
                  </w:r>
                  <w:r>
                    <w:rPr>
                      <w:rFonts w:hint="default" w:ascii="Times New Roman" w:hAnsi="Times New Roman" w:eastAsia="宋体" w:cs="Times New Roman"/>
                      <w:color w:val="auto"/>
                      <w:sz w:val="21"/>
                      <w:szCs w:val="21"/>
                      <w:highlight w:val="none"/>
                      <w:shd w:val="clear" w:color="auto" w:fill="auto"/>
                      <w:lang w:val="en-US" w:eastAsia="zh-CN"/>
                    </w:rPr>
                    <w:t>位于曹妃甸循环经济示范区港口物流园区内，</w:t>
                  </w:r>
                  <w:r>
                    <w:rPr>
                      <w:rFonts w:hint="default" w:ascii="Times New Roman" w:hAnsi="Times New Roman" w:eastAsia="宋体" w:cs="Times New Roman"/>
                      <w:color w:val="auto"/>
                      <w:sz w:val="21"/>
                      <w:szCs w:val="21"/>
                      <w:highlight w:val="none"/>
                      <w:shd w:val="clear" w:color="auto" w:fill="auto"/>
                      <w:lang w:eastAsia="zh-CN"/>
                    </w:rPr>
                    <w:t>厂界外500m范围内无大气环境保护目标。</w:t>
                  </w:r>
                </w:p>
              </w:tc>
              <w:tc>
                <w:tcPr>
                  <w:tcW w:w="610" w:type="pct"/>
                  <w:tcBorders>
                    <w:tl2br w:val="nil"/>
                    <w:tr2bl w:val="nil"/>
                  </w:tcBorders>
                  <w:noWrap w:val="0"/>
                  <w:vAlign w:val="center"/>
                </w:tcPr>
                <w:p w14:paraId="7D4F60F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default" w:ascii="Times New Roman" w:hAnsi="Times New Roman" w:eastAsia="宋体" w:cs="Times New Roman"/>
                      <w:color w:val="auto"/>
                      <w:sz w:val="21"/>
                      <w:szCs w:val="21"/>
                      <w:highlight w:val="none"/>
                      <w:shd w:val="clear" w:color="auto" w:fill="auto"/>
                      <w:lang w:eastAsia="zh-CN"/>
                    </w:rPr>
                  </w:pPr>
                  <w:r>
                    <w:rPr>
                      <w:rFonts w:hint="default" w:ascii="Times New Roman" w:hAnsi="Times New Roman" w:eastAsia="宋体" w:cs="Times New Roman"/>
                      <w:color w:val="auto"/>
                      <w:sz w:val="21"/>
                      <w:szCs w:val="21"/>
                      <w:highlight w:val="none"/>
                      <w:shd w:val="clear" w:color="auto" w:fill="auto"/>
                      <w:lang w:eastAsia="zh-CN"/>
                    </w:rPr>
                    <w:t>符合</w:t>
                  </w:r>
                </w:p>
              </w:tc>
            </w:tr>
            <w:tr w14:paraId="0EB456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69" w:hRule="atLeast"/>
                <w:jc w:val="center"/>
              </w:trPr>
              <w:tc>
                <w:tcPr>
                  <w:tcW w:w="441" w:type="pct"/>
                  <w:tcBorders>
                    <w:tl2br w:val="nil"/>
                    <w:tr2bl w:val="nil"/>
                  </w:tcBorders>
                  <w:noWrap w:val="0"/>
                  <w:vAlign w:val="center"/>
                </w:tcPr>
                <w:p w14:paraId="239E952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default" w:ascii="Times New Roman" w:hAnsi="Times New Roman" w:cs="Times New Roman"/>
                      <w:color w:val="auto"/>
                      <w:sz w:val="21"/>
                      <w:szCs w:val="21"/>
                      <w:highlight w:val="none"/>
                      <w:shd w:val="clear" w:color="auto" w:fill="auto"/>
                      <w:lang w:val="en-US" w:eastAsia="zh-CN"/>
                    </w:rPr>
                  </w:pPr>
                  <w:r>
                    <w:rPr>
                      <w:rFonts w:hint="default" w:ascii="Times New Roman" w:hAnsi="Times New Roman" w:cs="Times New Roman"/>
                      <w:color w:val="auto"/>
                      <w:sz w:val="21"/>
                      <w:szCs w:val="21"/>
                      <w:highlight w:val="none"/>
                      <w:shd w:val="clear" w:color="auto" w:fill="auto"/>
                      <w:lang w:val="en-US" w:eastAsia="zh-CN"/>
                    </w:rPr>
                    <w:t>3</w:t>
                  </w:r>
                </w:p>
              </w:tc>
              <w:tc>
                <w:tcPr>
                  <w:tcW w:w="2950" w:type="pct"/>
                  <w:tcBorders>
                    <w:tl2br w:val="nil"/>
                    <w:tr2bl w:val="nil"/>
                  </w:tcBorders>
                  <w:noWrap w:val="0"/>
                  <w:vAlign w:val="center"/>
                </w:tcPr>
                <w:p w14:paraId="7B052D7F">
                  <w:pPr>
                    <w:keepNext w:val="0"/>
                    <w:keepLines w:val="0"/>
                    <w:pageBreakBefore w:val="0"/>
                    <w:widowControl/>
                    <w:kinsoku/>
                    <w:wordWrap/>
                    <w:overflowPunct/>
                    <w:topLinePunct w:val="0"/>
                    <w:autoSpaceDE/>
                    <w:autoSpaceDN/>
                    <w:bidi w:val="0"/>
                    <w:adjustRightInd/>
                    <w:snapToGrid/>
                    <w:spacing w:line="240" w:lineRule="auto"/>
                    <w:ind w:firstLine="0" w:firstLineChars="0"/>
                    <w:textAlignment w:val="center"/>
                    <w:outlineLvl w:val="9"/>
                    <w:rPr>
                      <w:rFonts w:hint="default" w:ascii="Times New Roman" w:hAnsi="Times New Roman" w:eastAsia="宋体" w:cs="Times New Roman"/>
                      <w:color w:val="auto"/>
                      <w:kern w:val="2"/>
                      <w:sz w:val="21"/>
                      <w:szCs w:val="21"/>
                      <w:highlight w:val="none"/>
                      <w:shd w:val="clear" w:color="auto" w:fill="auto"/>
                      <w:lang w:val="en-US" w:eastAsia="zh-CN" w:bidi="ar-SA"/>
                    </w:rPr>
                  </w:pPr>
                  <w:r>
                    <w:rPr>
                      <w:rFonts w:hint="default" w:ascii="Times New Roman" w:hAnsi="Times New Roman" w:cs="Times New Roman"/>
                      <w:color w:val="auto"/>
                      <w:sz w:val="21"/>
                      <w:szCs w:val="21"/>
                      <w:highlight w:val="none"/>
                      <w:shd w:val="clear" w:color="auto" w:fill="auto"/>
                    </w:rPr>
                    <w:t>示范区项目建设、环境管理应落实《报告》生态环境准入清单的要求。不满足生态环境准入清单的已建项目，应制定并落实整改方案。</w:t>
                  </w:r>
                </w:p>
              </w:tc>
              <w:tc>
                <w:tcPr>
                  <w:tcW w:w="997" w:type="pct"/>
                  <w:tcBorders>
                    <w:tl2br w:val="nil"/>
                    <w:tr2bl w:val="nil"/>
                  </w:tcBorders>
                  <w:noWrap w:val="0"/>
                  <w:vAlign w:val="center"/>
                </w:tcPr>
                <w:p w14:paraId="47C11C7B">
                  <w:pPr>
                    <w:keepNext w:val="0"/>
                    <w:keepLines w:val="0"/>
                    <w:pageBreakBefore w:val="0"/>
                    <w:widowControl/>
                    <w:kinsoku/>
                    <w:wordWrap/>
                    <w:overflowPunct/>
                    <w:topLinePunct w:val="0"/>
                    <w:autoSpaceDE/>
                    <w:autoSpaceDN/>
                    <w:bidi w:val="0"/>
                    <w:adjustRightInd/>
                    <w:snapToGrid/>
                    <w:spacing w:line="240" w:lineRule="auto"/>
                    <w:ind w:firstLine="0" w:firstLineChars="0"/>
                    <w:textAlignment w:val="center"/>
                    <w:outlineLvl w:val="9"/>
                    <w:rPr>
                      <w:rFonts w:hint="default" w:ascii="Times New Roman" w:hAnsi="Times New Roman" w:eastAsia="宋体" w:cs="Times New Roman"/>
                      <w:color w:val="auto"/>
                      <w:sz w:val="21"/>
                      <w:szCs w:val="21"/>
                      <w:highlight w:val="none"/>
                      <w:shd w:val="clear" w:color="auto" w:fill="auto"/>
                      <w:lang w:eastAsia="zh-CN"/>
                    </w:rPr>
                  </w:pPr>
                  <w:r>
                    <w:rPr>
                      <w:rFonts w:hint="default" w:ascii="Times New Roman" w:hAnsi="Times New Roman" w:eastAsia="宋体" w:cs="Times New Roman"/>
                      <w:color w:val="auto"/>
                      <w:sz w:val="21"/>
                      <w:szCs w:val="21"/>
                      <w:highlight w:val="none"/>
                      <w:shd w:val="clear" w:color="auto" w:fill="auto"/>
                      <w:lang w:eastAsia="zh-CN"/>
                    </w:rPr>
                    <w:t>本项目满足生态环境准入清单要求。</w:t>
                  </w:r>
                </w:p>
              </w:tc>
              <w:tc>
                <w:tcPr>
                  <w:tcW w:w="610" w:type="pct"/>
                  <w:tcBorders>
                    <w:tl2br w:val="nil"/>
                    <w:tr2bl w:val="nil"/>
                  </w:tcBorders>
                  <w:noWrap w:val="0"/>
                  <w:vAlign w:val="center"/>
                </w:tcPr>
                <w:p w14:paraId="1B14269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default" w:ascii="Times New Roman" w:hAnsi="Times New Roman" w:eastAsia="宋体" w:cs="Times New Roman"/>
                      <w:color w:val="auto"/>
                      <w:sz w:val="21"/>
                      <w:szCs w:val="21"/>
                      <w:highlight w:val="none"/>
                      <w:shd w:val="clear" w:color="auto" w:fill="auto"/>
                      <w:lang w:eastAsia="zh-CN"/>
                    </w:rPr>
                  </w:pPr>
                  <w:r>
                    <w:rPr>
                      <w:rFonts w:hint="default" w:ascii="Times New Roman" w:hAnsi="Times New Roman" w:eastAsia="宋体" w:cs="Times New Roman"/>
                      <w:color w:val="auto"/>
                      <w:sz w:val="21"/>
                      <w:szCs w:val="21"/>
                      <w:highlight w:val="none"/>
                      <w:shd w:val="clear" w:color="auto" w:fill="auto"/>
                      <w:lang w:eastAsia="zh-CN"/>
                    </w:rPr>
                    <w:t>符合</w:t>
                  </w:r>
                </w:p>
              </w:tc>
            </w:tr>
            <w:tr w14:paraId="30E27E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69" w:hRule="atLeast"/>
                <w:jc w:val="center"/>
              </w:trPr>
              <w:tc>
                <w:tcPr>
                  <w:tcW w:w="441" w:type="pct"/>
                  <w:tcBorders>
                    <w:tl2br w:val="nil"/>
                    <w:tr2bl w:val="nil"/>
                  </w:tcBorders>
                  <w:noWrap w:val="0"/>
                  <w:vAlign w:val="center"/>
                </w:tcPr>
                <w:p w14:paraId="28A8280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default" w:ascii="Times New Roman" w:hAnsi="Times New Roman" w:cs="Times New Roman"/>
                      <w:color w:val="auto"/>
                      <w:sz w:val="21"/>
                      <w:szCs w:val="21"/>
                      <w:highlight w:val="none"/>
                      <w:shd w:val="clear" w:color="auto" w:fill="auto"/>
                      <w:lang w:val="en-US" w:eastAsia="zh-CN"/>
                    </w:rPr>
                  </w:pPr>
                  <w:r>
                    <w:rPr>
                      <w:rFonts w:hint="default" w:ascii="Times New Roman" w:hAnsi="Times New Roman" w:cs="Times New Roman"/>
                      <w:color w:val="auto"/>
                      <w:sz w:val="21"/>
                      <w:szCs w:val="21"/>
                      <w:highlight w:val="none"/>
                      <w:shd w:val="clear" w:color="auto" w:fill="auto"/>
                      <w:lang w:val="en-US" w:eastAsia="zh-CN"/>
                    </w:rPr>
                    <w:t>4</w:t>
                  </w:r>
                </w:p>
              </w:tc>
              <w:tc>
                <w:tcPr>
                  <w:tcW w:w="2950" w:type="pct"/>
                  <w:tcBorders>
                    <w:tl2br w:val="nil"/>
                    <w:tr2bl w:val="nil"/>
                  </w:tcBorders>
                  <w:noWrap w:val="0"/>
                  <w:vAlign w:val="center"/>
                </w:tcPr>
                <w:p w14:paraId="7DB30D89">
                  <w:pPr>
                    <w:keepNext w:val="0"/>
                    <w:keepLines w:val="0"/>
                    <w:pageBreakBefore w:val="0"/>
                    <w:widowControl/>
                    <w:kinsoku/>
                    <w:wordWrap/>
                    <w:overflowPunct/>
                    <w:topLinePunct w:val="0"/>
                    <w:autoSpaceDE/>
                    <w:autoSpaceDN/>
                    <w:bidi w:val="0"/>
                    <w:adjustRightInd/>
                    <w:snapToGrid/>
                    <w:spacing w:line="240" w:lineRule="auto"/>
                    <w:ind w:firstLine="0" w:firstLineChars="0"/>
                    <w:textAlignment w:val="center"/>
                    <w:outlineLvl w:val="9"/>
                    <w:rPr>
                      <w:rFonts w:hint="default" w:ascii="Times New Roman" w:hAnsi="Times New Roman" w:eastAsia="宋体" w:cs="Times New Roman"/>
                      <w:color w:val="auto"/>
                      <w:kern w:val="2"/>
                      <w:sz w:val="21"/>
                      <w:szCs w:val="21"/>
                      <w:highlight w:val="none"/>
                      <w:shd w:val="clear" w:color="auto" w:fill="auto"/>
                      <w:lang w:val="en-US" w:eastAsia="zh-CN" w:bidi="ar-SA"/>
                    </w:rPr>
                  </w:pPr>
                  <w:r>
                    <w:rPr>
                      <w:rFonts w:hint="default" w:ascii="Times New Roman" w:hAnsi="Times New Roman" w:cs="Times New Roman"/>
                      <w:color w:val="auto"/>
                      <w:sz w:val="21"/>
                      <w:szCs w:val="21"/>
                      <w:highlight w:val="none"/>
                      <w:shd w:val="clear" w:color="auto" w:fill="auto"/>
                    </w:rPr>
                    <w:t>根据各阶段环境质量底线目标，加强示范区污染物排放总量管控，落实区域内现有污染物减排任务和措施，减少污染物的排放量。</w:t>
                  </w:r>
                </w:p>
              </w:tc>
              <w:tc>
                <w:tcPr>
                  <w:tcW w:w="997" w:type="pct"/>
                  <w:tcBorders>
                    <w:tl2br w:val="nil"/>
                    <w:tr2bl w:val="nil"/>
                  </w:tcBorders>
                  <w:noWrap w:val="0"/>
                  <w:vAlign w:val="center"/>
                </w:tcPr>
                <w:p w14:paraId="790C665F">
                  <w:pPr>
                    <w:keepNext w:val="0"/>
                    <w:keepLines w:val="0"/>
                    <w:pageBreakBefore w:val="0"/>
                    <w:widowControl/>
                    <w:kinsoku/>
                    <w:wordWrap/>
                    <w:overflowPunct/>
                    <w:topLinePunct w:val="0"/>
                    <w:autoSpaceDE/>
                    <w:autoSpaceDN/>
                    <w:bidi w:val="0"/>
                    <w:adjustRightInd/>
                    <w:snapToGrid/>
                    <w:spacing w:line="240" w:lineRule="auto"/>
                    <w:ind w:firstLine="0" w:firstLineChars="0"/>
                    <w:textAlignment w:val="center"/>
                    <w:outlineLvl w:val="9"/>
                    <w:rPr>
                      <w:rFonts w:hint="default" w:ascii="Times New Roman" w:hAnsi="Times New Roman" w:eastAsia="宋体" w:cs="Times New Roman"/>
                      <w:color w:val="auto"/>
                      <w:sz w:val="21"/>
                      <w:szCs w:val="21"/>
                      <w:highlight w:val="none"/>
                      <w:shd w:val="clear" w:color="auto" w:fill="auto"/>
                      <w:lang w:eastAsia="zh-CN"/>
                    </w:rPr>
                  </w:pPr>
                  <w:r>
                    <w:rPr>
                      <w:rFonts w:hint="default" w:ascii="Times New Roman" w:hAnsi="Times New Roman" w:eastAsia="宋体" w:cs="Times New Roman"/>
                      <w:color w:val="auto"/>
                      <w:sz w:val="21"/>
                      <w:szCs w:val="21"/>
                      <w:highlight w:val="none"/>
                      <w:shd w:val="clear" w:color="auto" w:fill="auto"/>
                      <w:lang w:eastAsia="zh-CN"/>
                    </w:rPr>
                    <w:t>本项目建成后，严格落实</w:t>
                  </w:r>
                  <w:r>
                    <w:rPr>
                      <w:rFonts w:hint="default" w:ascii="Times New Roman" w:hAnsi="Times New Roman" w:cs="Times New Roman"/>
                      <w:color w:val="auto"/>
                      <w:sz w:val="21"/>
                      <w:szCs w:val="21"/>
                      <w:highlight w:val="none"/>
                      <w:shd w:val="clear" w:color="auto" w:fill="auto"/>
                    </w:rPr>
                    <w:t>污染物减排任务和措施</w:t>
                  </w:r>
                  <w:r>
                    <w:rPr>
                      <w:rFonts w:hint="default" w:ascii="Times New Roman" w:hAnsi="Times New Roman" w:cs="Times New Roman"/>
                      <w:color w:val="auto"/>
                      <w:sz w:val="21"/>
                      <w:szCs w:val="21"/>
                      <w:highlight w:val="none"/>
                      <w:shd w:val="clear" w:color="auto" w:fill="auto"/>
                      <w:lang w:eastAsia="zh-CN"/>
                    </w:rPr>
                    <w:t>，控制污染物排放</w:t>
                  </w:r>
                  <w:r>
                    <w:rPr>
                      <w:rFonts w:hint="default" w:ascii="Times New Roman" w:hAnsi="Times New Roman" w:cs="Times New Roman"/>
                      <w:color w:val="auto"/>
                      <w:sz w:val="21"/>
                      <w:szCs w:val="21"/>
                      <w:highlight w:val="none"/>
                      <w:shd w:val="clear" w:color="auto" w:fill="auto"/>
                    </w:rPr>
                    <w:t>。</w:t>
                  </w:r>
                </w:p>
              </w:tc>
              <w:tc>
                <w:tcPr>
                  <w:tcW w:w="610" w:type="pct"/>
                  <w:tcBorders>
                    <w:tl2br w:val="nil"/>
                    <w:tr2bl w:val="nil"/>
                  </w:tcBorders>
                  <w:noWrap w:val="0"/>
                  <w:vAlign w:val="center"/>
                </w:tcPr>
                <w:p w14:paraId="2B25D7F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default" w:ascii="Times New Roman" w:hAnsi="Times New Roman" w:eastAsia="宋体" w:cs="Times New Roman"/>
                      <w:color w:val="auto"/>
                      <w:sz w:val="21"/>
                      <w:szCs w:val="21"/>
                      <w:highlight w:val="none"/>
                      <w:shd w:val="clear" w:color="auto" w:fill="auto"/>
                      <w:lang w:eastAsia="zh-CN"/>
                    </w:rPr>
                  </w:pPr>
                  <w:r>
                    <w:rPr>
                      <w:rFonts w:hint="default" w:ascii="Times New Roman" w:hAnsi="Times New Roman" w:eastAsia="宋体" w:cs="Times New Roman"/>
                      <w:color w:val="auto"/>
                      <w:sz w:val="21"/>
                      <w:szCs w:val="21"/>
                      <w:highlight w:val="none"/>
                      <w:shd w:val="clear" w:color="auto" w:fill="auto"/>
                      <w:lang w:eastAsia="zh-CN"/>
                    </w:rPr>
                    <w:t>符合</w:t>
                  </w:r>
                </w:p>
              </w:tc>
            </w:tr>
            <w:tr w14:paraId="401FE6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69" w:hRule="atLeast"/>
                <w:jc w:val="center"/>
              </w:trPr>
              <w:tc>
                <w:tcPr>
                  <w:tcW w:w="441" w:type="pct"/>
                  <w:tcBorders>
                    <w:tl2br w:val="nil"/>
                    <w:tr2bl w:val="nil"/>
                  </w:tcBorders>
                  <w:noWrap w:val="0"/>
                  <w:vAlign w:val="center"/>
                </w:tcPr>
                <w:p w14:paraId="60886F7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default" w:ascii="Times New Roman" w:hAnsi="Times New Roman" w:cs="Times New Roman"/>
                      <w:color w:val="auto"/>
                      <w:sz w:val="21"/>
                      <w:szCs w:val="21"/>
                      <w:highlight w:val="none"/>
                      <w:shd w:val="clear" w:color="auto" w:fill="auto"/>
                      <w:lang w:val="en-US" w:eastAsia="zh-CN"/>
                    </w:rPr>
                  </w:pPr>
                  <w:r>
                    <w:rPr>
                      <w:rFonts w:hint="default" w:ascii="Times New Roman" w:hAnsi="Times New Roman" w:cs="Times New Roman"/>
                      <w:color w:val="auto"/>
                      <w:sz w:val="21"/>
                      <w:szCs w:val="21"/>
                      <w:highlight w:val="none"/>
                      <w:shd w:val="clear" w:color="auto" w:fill="auto"/>
                      <w:lang w:val="en-US" w:eastAsia="zh-CN"/>
                    </w:rPr>
                    <w:t>5</w:t>
                  </w:r>
                </w:p>
              </w:tc>
              <w:tc>
                <w:tcPr>
                  <w:tcW w:w="2950" w:type="pct"/>
                  <w:tcBorders>
                    <w:tl2br w:val="nil"/>
                    <w:tr2bl w:val="nil"/>
                  </w:tcBorders>
                  <w:noWrap w:val="0"/>
                  <w:vAlign w:val="center"/>
                </w:tcPr>
                <w:p w14:paraId="16AEAC09">
                  <w:pPr>
                    <w:keepNext w:val="0"/>
                    <w:keepLines w:val="0"/>
                    <w:pageBreakBefore w:val="0"/>
                    <w:widowControl/>
                    <w:kinsoku/>
                    <w:wordWrap/>
                    <w:overflowPunct/>
                    <w:topLinePunct w:val="0"/>
                    <w:autoSpaceDE/>
                    <w:autoSpaceDN/>
                    <w:bidi w:val="0"/>
                    <w:adjustRightInd/>
                    <w:snapToGrid/>
                    <w:spacing w:line="240" w:lineRule="auto"/>
                    <w:ind w:firstLine="0" w:firstLineChars="0"/>
                    <w:textAlignment w:val="center"/>
                    <w:outlineLvl w:val="9"/>
                    <w:rPr>
                      <w:rFonts w:hint="default" w:ascii="Times New Roman" w:hAnsi="Times New Roman" w:eastAsia="宋体" w:cs="Times New Roman"/>
                      <w:color w:val="auto"/>
                      <w:kern w:val="2"/>
                      <w:sz w:val="21"/>
                      <w:szCs w:val="21"/>
                      <w:highlight w:val="none"/>
                      <w:shd w:val="clear" w:color="auto" w:fill="auto"/>
                      <w:lang w:val="en-US" w:eastAsia="zh-CN" w:bidi="ar-SA"/>
                    </w:rPr>
                  </w:pPr>
                  <w:r>
                    <w:rPr>
                      <w:rFonts w:hint="default" w:ascii="Times New Roman" w:hAnsi="Times New Roman" w:cs="Times New Roman"/>
                      <w:color w:val="auto"/>
                      <w:sz w:val="21"/>
                      <w:szCs w:val="21"/>
                      <w:highlight w:val="none"/>
                      <w:shd w:val="clear" w:color="auto" w:fill="auto"/>
                    </w:rPr>
                    <w:t>完善示范区环保基础设施建设。尽快完善污水管网和深海排放口建设</w:t>
                  </w:r>
                  <w:r>
                    <w:rPr>
                      <w:rFonts w:hint="default" w:ascii="Times New Roman" w:hAnsi="Times New Roman" w:cs="Times New Roman"/>
                      <w:color w:val="auto"/>
                      <w:sz w:val="21"/>
                      <w:szCs w:val="21"/>
                      <w:highlight w:val="none"/>
                      <w:shd w:val="clear" w:color="auto" w:fill="auto"/>
                      <w:lang w:eastAsia="zh-CN"/>
                    </w:rPr>
                    <w:t>；</w:t>
                  </w:r>
                  <w:r>
                    <w:rPr>
                      <w:rFonts w:hint="default" w:ascii="Times New Roman" w:hAnsi="Times New Roman" w:cs="Times New Roman"/>
                      <w:color w:val="auto"/>
                      <w:sz w:val="21"/>
                      <w:szCs w:val="21"/>
                      <w:highlight w:val="none"/>
                      <w:shd w:val="clear" w:color="auto" w:fill="auto"/>
                    </w:rPr>
                    <w:t>完善示范区危险废物、一般工业固体废物处理处置体系建设</w:t>
                  </w:r>
                  <w:r>
                    <w:rPr>
                      <w:rFonts w:hint="default" w:ascii="Times New Roman" w:hAnsi="Times New Roman" w:cs="Times New Roman"/>
                      <w:color w:val="auto"/>
                      <w:sz w:val="21"/>
                      <w:szCs w:val="21"/>
                      <w:highlight w:val="none"/>
                      <w:shd w:val="clear" w:color="auto" w:fill="auto"/>
                      <w:lang w:eastAsia="zh-CN"/>
                    </w:rPr>
                    <w:t>：</w:t>
                  </w:r>
                  <w:r>
                    <w:rPr>
                      <w:rFonts w:hint="default" w:ascii="Times New Roman" w:hAnsi="Times New Roman" w:cs="Times New Roman"/>
                      <w:color w:val="auto"/>
                      <w:sz w:val="21"/>
                      <w:szCs w:val="21"/>
                      <w:highlight w:val="none"/>
                      <w:shd w:val="clear" w:color="auto" w:fill="auto"/>
                    </w:rPr>
                    <w:t>加快供热管网建设，完善示范区集中供热体系</w:t>
                  </w:r>
                  <w:r>
                    <w:rPr>
                      <w:rFonts w:hint="default" w:ascii="Times New Roman" w:hAnsi="Times New Roman" w:cs="Times New Roman"/>
                      <w:color w:val="auto"/>
                      <w:sz w:val="21"/>
                      <w:szCs w:val="21"/>
                      <w:highlight w:val="none"/>
                      <w:shd w:val="clear" w:color="auto" w:fill="auto"/>
                      <w:lang w:eastAsia="zh-CN"/>
                    </w:rPr>
                    <w:t>。</w:t>
                  </w:r>
                </w:p>
              </w:tc>
              <w:tc>
                <w:tcPr>
                  <w:tcW w:w="997" w:type="pct"/>
                  <w:tcBorders>
                    <w:tl2br w:val="nil"/>
                    <w:tr2bl w:val="nil"/>
                  </w:tcBorders>
                  <w:noWrap w:val="0"/>
                  <w:vAlign w:val="center"/>
                </w:tcPr>
                <w:p w14:paraId="6E1AE638">
                  <w:pPr>
                    <w:keepNext w:val="0"/>
                    <w:keepLines w:val="0"/>
                    <w:pageBreakBefore w:val="0"/>
                    <w:widowControl/>
                    <w:kinsoku/>
                    <w:wordWrap/>
                    <w:overflowPunct/>
                    <w:topLinePunct w:val="0"/>
                    <w:autoSpaceDE/>
                    <w:autoSpaceDN/>
                    <w:bidi w:val="0"/>
                    <w:adjustRightInd/>
                    <w:snapToGrid/>
                    <w:spacing w:line="240" w:lineRule="auto"/>
                    <w:ind w:firstLine="0" w:firstLineChars="0"/>
                    <w:textAlignment w:val="center"/>
                    <w:outlineLvl w:val="9"/>
                    <w:rPr>
                      <w:rFonts w:hint="default" w:ascii="Times New Roman" w:hAnsi="Times New Roman" w:eastAsia="宋体" w:cs="Times New Roman"/>
                      <w:color w:val="auto"/>
                      <w:sz w:val="21"/>
                      <w:szCs w:val="21"/>
                      <w:highlight w:val="none"/>
                      <w:shd w:val="clear" w:color="auto" w:fill="auto"/>
                      <w:lang w:eastAsia="zh-CN"/>
                    </w:rPr>
                  </w:pPr>
                  <w:r>
                    <w:rPr>
                      <w:rFonts w:hint="default" w:ascii="Times New Roman" w:hAnsi="Times New Roman" w:eastAsia="宋体" w:cs="Times New Roman"/>
                      <w:color w:val="auto"/>
                      <w:sz w:val="21"/>
                      <w:szCs w:val="21"/>
                      <w:highlight w:val="none"/>
                      <w:shd w:val="clear" w:color="auto" w:fill="auto"/>
                      <w:lang w:eastAsia="zh-CN"/>
                    </w:rPr>
                    <w:t>本项目位于</w:t>
                  </w:r>
                  <w:r>
                    <w:rPr>
                      <w:rFonts w:hint="default" w:ascii="Times New Roman" w:hAnsi="Times New Roman" w:eastAsia="宋体" w:cs="Times New Roman"/>
                      <w:color w:val="auto"/>
                      <w:sz w:val="21"/>
                      <w:szCs w:val="21"/>
                      <w:highlight w:val="none"/>
                      <w:shd w:val="clear" w:color="auto" w:fill="auto"/>
                      <w:lang w:val="en-US" w:eastAsia="zh-CN"/>
                    </w:rPr>
                    <w:t>曹妃甸循环经济示范区港口物流园区内</w:t>
                  </w:r>
                  <w:r>
                    <w:rPr>
                      <w:rFonts w:hint="default" w:ascii="Times New Roman" w:hAnsi="Times New Roman" w:eastAsia="宋体" w:cs="Times New Roman"/>
                      <w:color w:val="auto"/>
                      <w:sz w:val="21"/>
                      <w:szCs w:val="21"/>
                      <w:highlight w:val="none"/>
                      <w:shd w:val="clear" w:color="auto" w:fill="auto"/>
                      <w:lang w:eastAsia="zh-CN"/>
                    </w:rPr>
                    <w:t>，生产废水不外排，生产车间不供热，办公楼采用空调供暖</w:t>
                  </w:r>
                  <w:r>
                    <w:rPr>
                      <w:rFonts w:hint="default" w:ascii="Times New Roman" w:hAnsi="Times New Roman" w:cs="Times New Roman"/>
                      <w:color w:val="auto"/>
                      <w:sz w:val="21"/>
                      <w:szCs w:val="21"/>
                      <w:highlight w:val="none"/>
                      <w:shd w:val="clear" w:color="auto" w:fill="auto"/>
                      <w:lang w:eastAsia="zh-CN"/>
                    </w:rPr>
                    <w:t>；</w:t>
                  </w:r>
                  <w:r>
                    <w:rPr>
                      <w:rFonts w:hint="eastAsia" w:cs="Times New Roman"/>
                      <w:color w:val="auto"/>
                      <w:sz w:val="21"/>
                      <w:szCs w:val="21"/>
                      <w:highlight w:val="none"/>
                      <w:shd w:val="clear" w:color="auto" w:fill="auto"/>
                      <w:lang w:eastAsia="zh-CN"/>
                    </w:rPr>
                    <w:t>一般固废暂存于一般固废储存区，</w:t>
                  </w:r>
                  <w:r>
                    <w:rPr>
                      <w:rFonts w:hint="default" w:ascii="Times New Roman" w:hAnsi="Times New Roman" w:cs="Times New Roman"/>
                      <w:color w:val="auto"/>
                      <w:sz w:val="21"/>
                      <w:szCs w:val="21"/>
                      <w:highlight w:val="none"/>
                      <w:shd w:val="clear" w:color="auto" w:fill="auto"/>
                      <w:lang w:eastAsia="zh-CN"/>
                    </w:rPr>
                    <w:t>危险废物暂存于危废间，定期交由有资质单位进行处理</w:t>
                  </w:r>
                  <w:r>
                    <w:rPr>
                      <w:rFonts w:hint="default" w:ascii="Times New Roman" w:hAnsi="Times New Roman" w:eastAsia="宋体" w:cs="Times New Roman"/>
                      <w:color w:val="auto"/>
                      <w:sz w:val="21"/>
                      <w:szCs w:val="21"/>
                      <w:highlight w:val="none"/>
                      <w:shd w:val="clear" w:color="auto" w:fill="auto"/>
                      <w:lang w:eastAsia="zh-CN"/>
                    </w:rPr>
                    <w:t>。</w:t>
                  </w:r>
                </w:p>
              </w:tc>
              <w:tc>
                <w:tcPr>
                  <w:tcW w:w="610" w:type="pct"/>
                  <w:tcBorders>
                    <w:tl2br w:val="nil"/>
                    <w:tr2bl w:val="nil"/>
                  </w:tcBorders>
                  <w:noWrap w:val="0"/>
                  <w:vAlign w:val="center"/>
                </w:tcPr>
                <w:p w14:paraId="0B8F2AB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default" w:ascii="Times New Roman" w:hAnsi="Times New Roman" w:eastAsia="宋体" w:cs="Times New Roman"/>
                      <w:color w:val="auto"/>
                      <w:sz w:val="21"/>
                      <w:szCs w:val="21"/>
                      <w:highlight w:val="none"/>
                      <w:shd w:val="clear" w:color="auto" w:fill="auto"/>
                      <w:lang w:eastAsia="zh-CN"/>
                    </w:rPr>
                  </w:pPr>
                  <w:r>
                    <w:rPr>
                      <w:rFonts w:hint="default" w:ascii="Times New Roman" w:hAnsi="Times New Roman" w:eastAsia="宋体" w:cs="Times New Roman"/>
                      <w:color w:val="auto"/>
                      <w:sz w:val="21"/>
                      <w:szCs w:val="21"/>
                      <w:highlight w:val="none"/>
                      <w:shd w:val="clear" w:color="auto" w:fill="auto"/>
                      <w:lang w:eastAsia="zh-CN"/>
                    </w:rPr>
                    <w:t>符合</w:t>
                  </w:r>
                </w:p>
              </w:tc>
            </w:tr>
            <w:tr w14:paraId="31F376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69" w:hRule="atLeast"/>
                <w:jc w:val="center"/>
              </w:trPr>
              <w:tc>
                <w:tcPr>
                  <w:tcW w:w="441" w:type="pct"/>
                  <w:tcBorders>
                    <w:tl2br w:val="nil"/>
                    <w:tr2bl w:val="nil"/>
                  </w:tcBorders>
                  <w:noWrap w:val="0"/>
                  <w:vAlign w:val="center"/>
                </w:tcPr>
                <w:p w14:paraId="0B2275C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default" w:ascii="Times New Roman" w:hAnsi="Times New Roman" w:cs="Times New Roman"/>
                      <w:color w:val="auto"/>
                      <w:sz w:val="21"/>
                      <w:szCs w:val="21"/>
                      <w:highlight w:val="none"/>
                      <w:shd w:val="clear" w:color="auto" w:fill="auto"/>
                      <w:lang w:val="en-US" w:eastAsia="zh-CN"/>
                    </w:rPr>
                  </w:pPr>
                  <w:r>
                    <w:rPr>
                      <w:rFonts w:hint="default" w:ascii="Times New Roman" w:hAnsi="Times New Roman" w:cs="Times New Roman"/>
                      <w:color w:val="auto"/>
                      <w:sz w:val="21"/>
                      <w:szCs w:val="21"/>
                      <w:highlight w:val="none"/>
                      <w:shd w:val="clear" w:color="auto" w:fill="auto"/>
                      <w:lang w:val="en-US" w:eastAsia="zh-CN"/>
                    </w:rPr>
                    <w:t>6</w:t>
                  </w:r>
                </w:p>
              </w:tc>
              <w:tc>
                <w:tcPr>
                  <w:tcW w:w="2950" w:type="pct"/>
                  <w:tcBorders>
                    <w:tl2br w:val="nil"/>
                    <w:tr2bl w:val="nil"/>
                  </w:tcBorders>
                  <w:noWrap w:val="0"/>
                  <w:vAlign w:val="center"/>
                </w:tcPr>
                <w:p w14:paraId="46067F4C">
                  <w:pPr>
                    <w:keepNext w:val="0"/>
                    <w:keepLines w:val="0"/>
                    <w:pageBreakBefore w:val="0"/>
                    <w:widowControl/>
                    <w:kinsoku/>
                    <w:wordWrap/>
                    <w:overflowPunct/>
                    <w:topLinePunct w:val="0"/>
                    <w:autoSpaceDE/>
                    <w:autoSpaceDN/>
                    <w:bidi w:val="0"/>
                    <w:adjustRightInd/>
                    <w:snapToGrid/>
                    <w:spacing w:line="240" w:lineRule="auto"/>
                    <w:ind w:firstLine="0" w:firstLineChars="0"/>
                    <w:textAlignment w:val="center"/>
                    <w:outlineLvl w:val="9"/>
                    <w:rPr>
                      <w:rFonts w:hint="default" w:ascii="Times New Roman" w:hAnsi="Times New Roman" w:eastAsia="宋体" w:cs="Times New Roman"/>
                      <w:color w:val="auto"/>
                      <w:kern w:val="2"/>
                      <w:sz w:val="21"/>
                      <w:szCs w:val="21"/>
                      <w:highlight w:val="none"/>
                      <w:shd w:val="clear" w:color="auto" w:fill="auto"/>
                      <w:lang w:val="en-US" w:eastAsia="zh-CN" w:bidi="ar-SA"/>
                    </w:rPr>
                  </w:pPr>
                  <w:r>
                    <w:rPr>
                      <w:rFonts w:hint="default" w:ascii="Times New Roman" w:hAnsi="Times New Roman" w:cs="Times New Roman"/>
                      <w:color w:val="auto"/>
                      <w:sz w:val="21"/>
                      <w:szCs w:val="21"/>
                      <w:highlight w:val="none"/>
                      <w:shd w:val="clear" w:color="auto" w:fill="auto"/>
                    </w:rPr>
                    <w:t>健全示范区环境监测和环境管理体系。加强挥发性有机物等特征因子自动监测</w:t>
                  </w:r>
                  <w:r>
                    <w:rPr>
                      <w:rFonts w:hint="default" w:ascii="Times New Roman" w:hAnsi="Times New Roman" w:cs="Times New Roman"/>
                      <w:color w:val="auto"/>
                      <w:sz w:val="21"/>
                      <w:szCs w:val="21"/>
                      <w:highlight w:val="none"/>
                      <w:shd w:val="clear" w:color="auto" w:fill="auto"/>
                      <w:lang w:eastAsia="zh-CN"/>
                    </w:rPr>
                    <w:t>；</w:t>
                  </w:r>
                  <w:r>
                    <w:rPr>
                      <w:rFonts w:hint="default" w:ascii="Times New Roman" w:hAnsi="Times New Roman" w:cs="Times New Roman"/>
                      <w:color w:val="auto"/>
                      <w:sz w:val="21"/>
                      <w:szCs w:val="21"/>
                      <w:highlight w:val="none"/>
                      <w:shd w:val="clear" w:color="auto" w:fill="auto"/>
                    </w:rPr>
                    <w:t>强化重点企业监督监控及环境信息公开</w:t>
                  </w:r>
                  <w:r>
                    <w:rPr>
                      <w:rFonts w:hint="default" w:ascii="Times New Roman" w:hAnsi="Times New Roman" w:cs="Times New Roman"/>
                      <w:color w:val="auto"/>
                      <w:sz w:val="21"/>
                      <w:szCs w:val="21"/>
                      <w:highlight w:val="none"/>
                      <w:shd w:val="clear" w:color="auto" w:fill="auto"/>
                      <w:lang w:eastAsia="zh-CN"/>
                    </w:rPr>
                    <w:t>；</w:t>
                  </w:r>
                  <w:r>
                    <w:rPr>
                      <w:rFonts w:hint="default" w:ascii="Times New Roman" w:hAnsi="Times New Roman" w:cs="Times New Roman"/>
                      <w:color w:val="auto"/>
                      <w:sz w:val="21"/>
                      <w:szCs w:val="21"/>
                      <w:highlight w:val="none"/>
                      <w:shd w:val="clear" w:color="auto" w:fill="auto"/>
                    </w:rPr>
                    <w:t>加强示范区环境管理队伍建设。</w:t>
                  </w:r>
                </w:p>
              </w:tc>
              <w:tc>
                <w:tcPr>
                  <w:tcW w:w="997" w:type="pct"/>
                  <w:tcBorders>
                    <w:tl2br w:val="nil"/>
                    <w:tr2bl w:val="nil"/>
                  </w:tcBorders>
                  <w:noWrap w:val="0"/>
                  <w:vAlign w:val="center"/>
                </w:tcPr>
                <w:p w14:paraId="2EEAD6F9">
                  <w:pPr>
                    <w:keepNext w:val="0"/>
                    <w:keepLines w:val="0"/>
                    <w:pageBreakBefore w:val="0"/>
                    <w:widowControl/>
                    <w:kinsoku/>
                    <w:wordWrap/>
                    <w:overflowPunct/>
                    <w:topLinePunct w:val="0"/>
                    <w:autoSpaceDE/>
                    <w:autoSpaceDN/>
                    <w:bidi w:val="0"/>
                    <w:adjustRightInd/>
                    <w:snapToGrid/>
                    <w:spacing w:line="240" w:lineRule="auto"/>
                    <w:ind w:firstLine="0" w:firstLineChars="0"/>
                    <w:textAlignment w:val="center"/>
                    <w:outlineLvl w:val="9"/>
                    <w:rPr>
                      <w:rFonts w:hint="default" w:ascii="Times New Roman" w:hAnsi="Times New Roman" w:eastAsia="宋体" w:cs="Times New Roman"/>
                      <w:color w:val="auto"/>
                      <w:sz w:val="21"/>
                      <w:szCs w:val="21"/>
                      <w:highlight w:val="none"/>
                      <w:shd w:val="clear" w:color="auto" w:fill="auto"/>
                      <w:lang w:eastAsia="zh-CN"/>
                    </w:rPr>
                  </w:pPr>
                  <w:r>
                    <w:rPr>
                      <w:rFonts w:hint="default" w:ascii="Times New Roman" w:hAnsi="Times New Roman" w:eastAsia="宋体" w:cs="Times New Roman"/>
                      <w:color w:val="auto"/>
                      <w:sz w:val="21"/>
                      <w:szCs w:val="21"/>
                      <w:highlight w:val="none"/>
                      <w:shd w:val="clear" w:color="auto" w:fill="auto"/>
                      <w:lang w:eastAsia="zh-CN"/>
                    </w:rPr>
                    <w:t>评价提出了环境监测计划、环境管理要求、信息公开要求。</w:t>
                  </w:r>
                </w:p>
              </w:tc>
              <w:tc>
                <w:tcPr>
                  <w:tcW w:w="610" w:type="pct"/>
                  <w:tcBorders>
                    <w:tl2br w:val="nil"/>
                    <w:tr2bl w:val="nil"/>
                  </w:tcBorders>
                  <w:noWrap w:val="0"/>
                  <w:vAlign w:val="center"/>
                </w:tcPr>
                <w:p w14:paraId="6F846F2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default" w:ascii="Times New Roman" w:hAnsi="Times New Roman" w:eastAsia="宋体" w:cs="Times New Roman"/>
                      <w:color w:val="auto"/>
                      <w:sz w:val="21"/>
                      <w:szCs w:val="21"/>
                      <w:highlight w:val="none"/>
                      <w:shd w:val="clear" w:color="auto" w:fill="auto"/>
                      <w:lang w:eastAsia="zh-CN"/>
                    </w:rPr>
                  </w:pPr>
                  <w:r>
                    <w:rPr>
                      <w:rFonts w:hint="default" w:ascii="Times New Roman" w:hAnsi="Times New Roman" w:eastAsia="宋体" w:cs="Times New Roman"/>
                      <w:color w:val="auto"/>
                      <w:sz w:val="21"/>
                      <w:szCs w:val="21"/>
                      <w:highlight w:val="none"/>
                      <w:shd w:val="clear" w:color="auto" w:fill="auto"/>
                      <w:lang w:eastAsia="zh-CN"/>
                    </w:rPr>
                    <w:t>符合</w:t>
                  </w:r>
                </w:p>
              </w:tc>
            </w:tr>
            <w:tr w14:paraId="1969AE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69" w:hRule="atLeast"/>
                <w:jc w:val="center"/>
              </w:trPr>
              <w:tc>
                <w:tcPr>
                  <w:tcW w:w="441" w:type="pct"/>
                  <w:tcBorders>
                    <w:tl2br w:val="nil"/>
                    <w:tr2bl w:val="nil"/>
                  </w:tcBorders>
                  <w:noWrap w:val="0"/>
                  <w:vAlign w:val="center"/>
                </w:tcPr>
                <w:p w14:paraId="06748B6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default" w:ascii="Times New Roman" w:hAnsi="Times New Roman" w:cs="Times New Roman"/>
                      <w:color w:val="auto"/>
                      <w:sz w:val="21"/>
                      <w:szCs w:val="21"/>
                      <w:highlight w:val="none"/>
                      <w:shd w:val="clear" w:color="auto" w:fill="auto"/>
                      <w:lang w:val="en-US" w:eastAsia="zh-CN"/>
                    </w:rPr>
                  </w:pPr>
                  <w:r>
                    <w:rPr>
                      <w:rFonts w:hint="default" w:ascii="Times New Roman" w:hAnsi="Times New Roman" w:cs="Times New Roman"/>
                      <w:color w:val="auto"/>
                      <w:sz w:val="21"/>
                      <w:szCs w:val="21"/>
                      <w:highlight w:val="none"/>
                      <w:shd w:val="clear" w:color="auto" w:fill="auto"/>
                      <w:lang w:val="en-US" w:eastAsia="zh-CN"/>
                    </w:rPr>
                    <w:t>7</w:t>
                  </w:r>
                </w:p>
              </w:tc>
              <w:tc>
                <w:tcPr>
                  <w:tcW w:w="2950" w:type="pct"/>
                  <w:tcBorders>
                    <w:tl2br w:val="nil"/>
                    <w:tr2bl w:val="nil"/>
                  </w:tcBorders>
                  <w:noWrap w:val="0"/>
                  <w:vAlign w:val="center"/>
                </w:tcPr>
                <w:p w14:paraId="7D73B026">
                  <w:pPr>
                    <w:keepNext w:val="0"/>
                    <w:keepLines w:val="0"/>
                    <w:pageBreakBefore w:val="0"/>
                    <w:widowControl/>
                    <w:kinsoku/>
                    <w:wordWrap/>
                    <w:overflowPunct/>
                    <w:topLinePunct w:val="0"/>
                    <w:autoSpaceDE/>
                    <w:autoSpaceDN/>
                    <w:bidi w:val="0"/>
                    <w:adjustRightInd/>
                    <w:snapToGrid/>
                    <w:spacing w:line="240" w:lineRule="auto"/>
                    <w:ind w:firstLine="0" w:firstLineChars="0"/>
                    <w:textAlignment w:val="center"/>
                    <w:outlineLvl w:val="9"/>
                    <w:rPr>
                      <w:rFonts w:hint="default" w:ascii="Times New Roman" w:hAnsi="Times New Roman" w:eastAsia="宋体" w:cs="Times New Roman"/>
                      <w:color w:val="auto"/>
                      <w:kern w:val="2"/>
                      <w:sz w:val="21"/>
                      <w:szCs w:val="21"/>
                      <w:highlight w:val="none"/>
                      <w:shd w:val="clear" w:color="auto" w:fill="auto"/>
                      <w:lang w:val="en-US" w:eastAsia="zh-CN" w:bidi="ar-SA"/>
                    </w:rPr>
                  </w:pPr>
                  <w:r>
                    <w:rPr>
                      <w:rFonts w:hint="default" w:ascii="Times New Roman" w:hAnsi="Times New Roman" w:cs="Times New Roman"/>
                      <w:color w:val="auto"/>
                      <w:sz w:val="21"/>
                      <w:szCs w:val="21"/>
                      <w:highlight w:val="none"/>
                      <w:shd w:val="clear" w:color="auto" w:fill="auto"/>
                    </w:rPr>
                    <w:t>建立健全示范区环境风险防控体系。强化示范区危险化学品、危险废物等储运管理与监控。制定示范区环境风险防范措施及应急预案，确保与区域及示范区内企业等各级应急系统的有效衔接。</w:t>
                  </w:r>
                </w:p>
              </w:tc>
              <w:tc>
                <w:tcPr>
                  <w:tcW w:w="997" w:type="pct"/>
                  <w:tcBorders>
                    <w:tl2br w:val="nil"/>
                    <w:tr2bl w:val="nil"/>
                  </w:tcBorders>
                  <w:noWrap w:val="0"/>
                  <w:vAlign w:val="center"/>
                </w:tcPr>
                <w:p w14:paraId="33E6A960">
                  <w:pPr>
                    <w:keepNext w:val="0"/>
                    <w:keepLines w:val="0"/>
                    <w:pageBreakBefore w:val="0"/>
                    <w:widowControl/>
                    <w:kinsoku/>
                    <w:wordWrap/>
                    <w:overflowPunct/>
                    <w:topLinePunct w:val="0"/>
                    <w:autoSpaceDE/>
                    <w:autoSpaceDN/>
                    <w:bidi w:val="0"/>
                    <w:adjustRightInd/>
                    <w:snapToGrid/>
                    <w:spacing w:line="240" w:lineRule="auto"/>
                    <w:ind w:firstLine="0" w:firstLineChars="0"/>
                    <w:textAlignment w:val="center"/>
                    <w:outlineLvl w:val="9"/>
                    <w:rPr>
                      <w:rFonts w:hint="default" w:ascii="Times New Roman" w:hAnsi="Times New Roman" w:eastAsia="宋体" w:cs="Times New Roman"/>
                      <w:color w:val="auto"/>
                      <w:sz w:val="21"/>
                      <w:szCs w:val="21"/>
                      <w:highlight w:val="none"/>
                      <w:shd w:val="clear" w:color="auto" w:fill="auto"/>
                      <w:lang w:eastAsia="zh-CN"/>
                    </w:rPr>
                  </w:pPr>
                  <w:r>
                    <w:rPr>
                      <w:rFonts w:hint="default" w:ascii="Times New Roman" w:hAnsi="Times New Roman" w:eastAsia="宋体" w:cs="Times New Roman"/>
                      <w:color w:val="auto"/>
                      <w:sz w:val="21"/>
                      <w:szCs w:val="21"/>
                      <w:highlight w:val="none"/>
                      <w:shd w:val="clear" w:color="auto" w:fill="auto"/>
                      <w:lang w:eastAsia="zh-CN"/>
                    </w:rPr>
                    <w:t>本项目</w:t>
                  </w:r>
                  <w:r>
                    <w:rPr>
                      <w:rFonts w:hint="default" w:ascii="Times New Roman" w:hAnsi="Times New Roman" w:cs="Times New Roman"/>
                      <w:color w:val="auto"/>
                      <w:sz w:val="21"/>
                      <w:szCs w:val="21"/>
                      <w:highlight w:val="none"/>
                      <w:shd w:val="clear" w:color="auto" w:fill="auto"/>
                      <w:lang w:eastAsia="zh-CN"/>
                    </w:rPr>
                    <w:t>危险废物暂存于危废间，定期交由有资质单位进行处理</w:t>
                  </w:r>
                  <w:r>
                    <w:rPr>
                      <w:rFonts w:hint="default" w:ascii="Times New Roman" w:hAnsi="Times New Roman" w:eastAsia="宋体" w:cs="Times New Roman"/>
                      <w:color w:val="auto"/>
                      <w:sz w:val="21"/>
                      <w:szCs w:val="21"/>
                      <w:highlight w:val="none"/>
                      <w:shd w:val="clear" w:color="auto" w:fill="auto"/>
                      <w:lang w:eastAsia="zh-CN"/>
                    </w:rPr>
                    <w:t>。</w:t>
                  </w:r>
                </w:p>
              </w:tc>
              <w:tc>
                <w:tcPr>
                  <w:tcW w:w="610" w:type="pct"/>
                  <w:tcBorders>
                    <w:tl2br w:val="nil"/>
                    <w:tr2bl w:val="nil"/>
                  </w:tcBorders>
                  <w:noWrap w:val="0"/>
                  <w:vAlign w:val="center"/>
                </w:tcPr>
                <w:p w14:paraId="5203164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outlineLvl w:val="9"/>
                    <w:rPr>
                      <w:rFonts w:hint="default" w:ascii="Times New Roman" w:hAnsi="Times New Roman" w:eastAsia="宋体" w:cs="Times New Roman"/>
                      <w:color w:val="auto"/>
                      <w:sz w:val="21"/>
                      <w:szCs w:val="21"/>
                      <w:highlight w:val="none"/>
                      <w:shd w:val="clear" w:color="auto" w:fill="auto"/>
                      <w:lang w:eastAsia="zh-CN"/>
                    </w:rPr>
                  </w:pPr>
                  <w:r>
                    <w:rPr>
                      <w:rFonts w:hint="default" w:ascii="Times New Roman" w:hAnsi="Times New Roman" w:eastAsia="宋体" w:cs="Times New Roman"/>
                      <w:color w:val="auto"/>
                      <w:sz w:val="21"/>
                      <w:szCs w:val="21"/>
                      <w:highlight w:val="none"/>
                      <w:shd w:val="clear" w:color="auto" w:fill="auto"/>
                      <w:lang w:eastAsia="zh-CN"/>
                    </w:rPr>
                    <w:t>符合</w:t>
                  </w:r>
                </w:p>
              </w:tc>
            </w:tr>
          </w:tbl>
          <w:p w14:paraId="692ABD5E">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lang w:val="en-US" w:eastAsia="zh-CN"/>
              </w:rPr>
            </w:pPr>
            <w:r>
              <w:rPr>
                <w:rFonts w:hint="default" w:ascii="Times New Roman" w:hAnsi="Times New Roman" w:eastAsia="宋体" w:cs="Times New Roman"/>
                <w:color w:val="auto"/>
                <w:kern w:val="0"/>
                <w:sz w:val="24"/>
                <w:highlight w:val="none"/>
                <w:shd w:val="clear" w:color="auto" w:fill="auto"/>
                <w:lang w:val="en-US" w:eastAsia="zh-CN"/>
              </w:rPr>
              <w:t>综上所述，</w:t>
            </w:r>
            <w:r>
              <w:rPr>
                <w:rFonts w:hint="eastAsia" w:ascii="Times New Roman" w:hAnsi="Times New Roman" w:eastAsia="宋体" w:cs="Times New Roman"/>
                <w:color w:val="auto"/>
                <w:kern w:val="0"/>
                <w:sz w:val="24"/>
                <w:highlight w:val="none"/>
                <w:shd w:val="clear" w:color="auto" w:fill="auto"/>
                <w:lang w:val="en-US" w:eastAsia="zh-CN"/>
              </w:rPr>
              <w:t>本</w:t>
            </w:r>
            <w:r>
              <w:rPr>
                <w:rFonts w:hint="default" w:ascii="Times New Roman" w:hAnsi="Times New Roman" w:eastAsia="宋体" w:cs="Times New Roman"/>
                <w:color w:val="auto"/>
                <w:kern w:val="0"/>
                <w:sz w:val="24"/>
                <w:highlight w:val="none"/>
                <w:shd w:val="clear" w:color="auto" w:fill="auto"/>
                <w:lang w:val="en-US" w:eastAsia="zh-CN"/>
              </w:rPr>
              <w:t>项目符合曹妃甸循环经济示范区</w:t>
            </w:r>
            <w:r>
              <w:rPr>
                <w:rFonts w:hint="eastAsia" w:ascii="Times New Roman" w:hAnsi="Times New Roman" w:eastAsia="宋体" w:cs="Times New Roman"/>
                <w:color w:val="auto"/>
                <w:kern w:val="0"/>
                <w:sz w:val="24"/>
                <w:highlight w:val="none"/>
                <w:shd w:val="clear" w:color="auto" w:fill="auto"/>
                <w:lang w:val="en-US" w:eastAsia="zh-CN"/>
              </w:rPr>
              <w:t>规划、</w:t>
            </w:r>
            <w:r>
              <w:rPr>
                <w:rFonts w:hint="default" w:ascii="Times New Roman" w:hAnsi="Times New Roman" w:eastAsia="宋体" w:cs="Times New Roman"/>
                <w:color w:val="auto"/>
                <w:kern w:val="0"/>
                <w:sz w:val="24"/>
                <w:highlight w:val="none"/>
                <w:shd w:val="clear" w:color="auto" w:fill="auto"/>
                <w:lang w:val="en-US" w:eastAsia="zh-CN"/>
              </w:rPr>
              <w:t>规划环境影响跟踪评价报告结论及其审查意见的要求</w:t>
            </w:r>
            <w:r>
              <w:rPr>
                <w:rFonts w:hint="eastAsia" w:ascii="Times New Roman" w:hAnsi="Times New Roman" w:eastAsia="宋体" w:cs="Times New Roman"/>
                <w:color w:val="auto"/>
                <w:kern w:val="0"/>
                <w:sz w:val="24"/>
                <w:highlight w:val="none"/>
                <w:shd w:val="clear" w:color="auto" w:fill="auto"/>
                <w:lang w:val="en-US" w:eastAsia="zh-CN"/>
              </w:rPr>
              <w:t>。</w:t>
            </w:r>
          </w:p>
        </w:tc>
      </w:tr>
      <w:tr w14:paraId="313DAFA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83" w:type="dxa"/>
            <w:noWrap w:val="0"/>
            <w:vAlign w:val="center"/>
          </w:tcPr>
          <w:p w14:paraId="43006335">
            <w:pPr>
              <w:autoSpaceDE w:val="0"/>
              <w:autoSpaceDN w:val="0"/>
              <w:adjustRightInd w:val="0"/>
              <w:snapToGrid w:val="0"/>
              <w:jc w:val="center"/>
              <w:rPr>
                <w:rFonts w:hint="default" w:ascii="Times New Roman" w:hAnsi="Times New Roman" w:eastAsia="宋体" w:cs="Times New Roman"/>
                <w:kern w:val="0"/>
                <w:sz w:val="24"/>
                <w:szCs w:val="24"/>
                <w:highlight w:val="none"/>
                <w:lang w:val="en-US" w:eastAsia="zh-CN" w:bidi="ar-SA"/>
              </w:rPr>
            </w:pPr>
            <w:r>
              <w:rPr>
                <w:rFonts w:hint="default" w:ascii="Times New Roman" w:hAnsi="Times New Roman" w:cs="Times New Roman"/>
                <w:kern w:val="0"/>
                <w:sz w:val="24"/>
                <w:szCs w:val="24"/>
                <w:highlight w:val="none"/>
              </w:rPr>
              <w:t>其他符合性分析</w:t>
            </w:r>
          </w:p>
        </w:tc>
        <w:tc>
          <w:tcPr>
            <w:tcW w:w="7787" w:type="dxa"/>
            <w:gridSpan w:val="3"/>
            <w:noWrap w:val="0"/>
            <w:vAlign w:val="center"/>
          </w:tcPr>
          <w:p w14:paraId="283B008C">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atLeast"/>
              <w:ind w:firstLine="482"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cs="Times New Roman"/>
                <w:b/>
                <w:bCs/>
                <w:color w:val="000000"/>
                <w:kern w:val="0"/>
                <w:sz w:val="24"/>
                <w:szCs w:val="24"/>
                <w:highlight w:val="none"/>
                <w:lang w:val="en-US" w:eastAsia="zh-CN" w:bidi="ar"/>
              </w:rPr>
              <w:t>1、</w:t>
            </w:r>
            <w:r>
              <w:rPr>
                <w:rFonts w:hint="default" w:ascii="Times New Roman" w:hAnsi="Times New Roman" w:eastAsia="宋体" w:cs="Times New Roman"/>
                <w:b/>
                <w:bCs/>
                <w:color w:val="000000"/>
                <w:kern w:val="0"/>
                <w:sz w:val="24"/>
                <w:szCs w:val="24"/>
                <w:highlight w:val="none"/>
                <w:lang w:val="en-US" w:eastAsia="zh-CN" w:bidi="ar"/>
              </w:rPr>
              <w:t>项目与“三线一单”符合性分析</w:t>
            </w:r>
          </w:p>
          <w:p w14:paraId="2DC142A8">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atLeas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根据《关于以改善环境质量为核心加强环境影响评价管理的通知》（环环评〔</w:t>
            </w:r>
            <w:r>
              <w:rPr>
                <w:rFonts w:hint="default" w:ascii="Times New Roman" w:hAnsi="Times New Roman" w:eastAsia="TimesNewRomanPSMT" w:cs="Times New Roman"/>
                <w:b w:val="0"/>
                <w:bCs w:val="0"/>
                <w:color w:val="000000"/>
                <w:kern w:val="0"/>
                <w:sz w:val="24"/>
                <w:szCs w:val="24"/>
                <w:highlight w:val="none"/>
                <w:lang w:val="en-US" w:eastAsia="zh-CN" w:bidi="ar"/>
              </w:rPr>
              <w:t>2016</w:t>
            </w:r>
            <w:r>
              <w:rPr>
                <w:rFonts w:hint="default" w:ascii="Times New Roman" w:hAnsi="Times New Roman" w:eastAsia="宋体" w:cs="Times New Roman"/>
                <w:b w:val="0"/>
                <w:bCs w:val="0"/>
                <w:color w:val="000000"/>
                <w:kern w:val="0"/>
                <w:sz w:val="24"/>
                <w:szCs w:val="24"/>
                <w:highlight w:val="none"/>
                <w:lang w:val="en-US" w:eastAsia="zh-CN" w:bidi="ar"/>
              </w:rPr>
              <w:t>〕</w:t>
            </w:r>
            <w:r>
              <w:rPr>
                <w:rFonts w:hint="default" w:ascii="Times New Roman" w:hAnsi="Times New Roman" w:eastAsia="TimesNewRomanPSMT" w:cs="Times New Roman"/>
                <w:b w:val="0"/>
                <w:bCs w:val="0"/>
                <w:color w:val="000000"/>
                <w:kern w:val="0"/>
                <w:sz w:val="24"/>
                <w:szCs w:val="24"/>
                <w:highlight w:val="none"/>
                <w:lang w:val="en-US" w:eastAsia="zh-CN" w:bidi="ar"/>
              </w:rPr>
              <w:t>150</w:t>
            </w:r>
            <w:r>
              <w:rPr>
                <w:rFonts w:hint="default" w:ascii="Times New Roman" w:hAnsi="Times New Roman" w:eastAsia="宋体" w:cs="Times New Roman"/>
                <w:b w:val="0"/>
                <w:bCs w:val="0"/>
                <w:color w:val="000000"/>
                <w:kern w:val="0"/>
                <w:sz w:val="24"/>
                <w:szCs w:val="24"/>
                <w:highlight w:val="none"/>
                <w:lang w:val="en-US" w:eastAsia="zh-CN" w:bidi="ar"/>
              </w:rPr>
              <w:t>号），以及《关于实施“三线一单”生态环境分区管控的意见》（唐政字〔</w:t>
            </w:r>
            <w:r>
              <w:rPr>
                <w:rFonts w:hint="default" w:ascii="Times New Roman" w:hAnsi="Times New Roman" w:eastAsia="TimesNewRomanPSMT" w:cs="Times New Roman"/>
                <w:b w:val="0"/>
                <w:bCs w:val="0"/>
                <w:color w:val="000000"/>
                <w:kern w:val="0"/>
                <w:sz w:val="24"/>
                <w:szCs w:val="24"/>
                <w:highlight w:val="none"/>
                <w:lang w:val="en-US" w:eastAsia="zh-CN" w:bidi="ar"/>
              </w:rPr>
              <w:t>2021</w:t>
            </w:r>
            <w:r>
              <w:rPr>
                <w:rFonts w:hint="default" w:ascii="Times New Roman" w:hAnsi="Times New Roman" w:eastAsia="宋体" w:cs="Times New Roman"/>
                <w:b w:val="0"/>
                <w:bCs w:val="0"/>
                <w:color w:val="000000"/>
                <w:kern w:val="0"/>
                <w:sz w:val="24"/>
                <w:szCs w:val="24"/>
                <w:highlight w:val="none"/>
                <w:lang w:val="en-US" w:eastAsia="zh-CN" w:bidi="ar"/>
              </w:rPr>
              <w:t>〕</w:t>
            </w:r>
            <w:r>
              <w:rPr>
                <w:rFonts w:hint="default" w:ascii="Times New Roman" w:hAnsi="Times New Roman" w:eastAsia="TimesNewRomanPSMT" w:cs="Times New Roman"/>
                <w:b w:val="0"/>
                <w:bCs w:val="0"/>
                <w:color w:val="000000"/>
                <w:kern w:val="0"/>
                <w:sz w:val="24"/>
                <w:szCs w:val="24"/>
                <w:highlight w:val="none"/>
                <w:lang w:val="en-US" w:eastAsia="zh-CN" w:bidi="ar"/>
              </w:rPr>
              <w:t>48</w:t>
            </w:r>
            <w:r>
              <w:rPr>
                <w:rFonts w:hint="default" w:ascii="Times New Roman" w:hAnsi="Times New Roman" w:eastAsia="宋体" w:cs="Times New Roman"/>
                <w:b w:val="0"/>
                <w:bCs w:val="0"/>
                <w:color w:val="000000"/>
                <w:kern w:val="0"/>
                <w:sz w:val="24"/>
                <w:szCs w:val="24"/>
                <w:highlight w:val="none"/>
                <w:lang w:val="en-US" w:eastAsia="zh-CN" w:bidi="ar"/>
              </w:rPr>
              <w:t>号），要求以生态保护红线、环境质量底线、资源利用上线和环境准入清单（以下简称“三线一单”）为手段，强化空间、总量和准入环境管理。本项目建设与上述要求的符合性分析如下：</w:t>
            </w:r>
          </w:p>
          <w:p w14:paraId="02CAC1A8">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atLeas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（1）生态保护红线</w:t>
            </w:r>
          </w:p>
          <w:p w14:paraId="5DF0B0E8">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atLeas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根据河北省人民政府关于发布《河北省生态保护红线》的通知（冀政字〔</w:t>
            </w:r>
            <w:r>
              <w:rPr>
                <w:rFonts w:hint="default" w:ascii="Times New Roman" w:hAnsi="Times New Roman" w:eastAsia="TimesNewRomanPSMT" w:cs="Times New Roman"/>
                <w:b w:val="0"/>
                <w:bCs w:val="0"/>
                <w:color w:val="000000"/>
                <w:kern w:val="0"/>
                <w:sz w:val="24"/>
                <w:szCs w:val="24"/>
                <w:highlight w:val="none"/>
                <w:lang w:val="en-US" w:eastAsia="zh-CN" w:bidi="ar"/>
              </w:rPr>
              <w:t>2018</w:t>
            </w:r>
            <w:r>
              <w:rPr>
                <w:rFonts w:hint="default" w:ascii="Times New Roman" w:hAnsi="Times New Roman" w:eastAsia="宋体" w:cs="Times New Roman"/>
                <w:b w:val="0"/>
                <w:bCs w:val="0"/>
                <w:color w:val="000000"/>
                <w:kern w:val="0"/>
                <w:sz w:val="24"/>
                <w:szCs w:val="24"/>
                <w:highlight w:val="none"/>
                <w:lang w:val="en-US" w:eastAsia="zh-CN" w:bidi="ar"/>
              </w:rPr>
              <w:t>〕</w:t>
            </w:r>
            <w:r>
              <w:rPr>
                <w:rFonts w:hint="default" w:ascii="Times New Roman" w:hAnsi="Times New Roman" w:eastAsia="TimesNewRomanPSMT" w:cs="Times New Roman"/>
                <w:b w:val="0"/>
                <w:bCs w:val="0"/>
                <w:color w:val="000000"/>
                <w:kern w:val="0"/>
                <w:sz w:val="24"/>
                <w:szCs w:val="24"/>
                <w:highlight w:val="none"/>
                <w:lang w:val="en-US" w:eastAsia="zh-CN" w:bidi="ar"/>
              </w:rPr>
              <w:t>23</w:t>
            </w:r>
            <w:r>
              <w:rPr>
                <w:rFonts w:hint="default" w:ascii="Times New Roman" w:hAnsi="Times New Roman" w:eastAsia="宋体" w:cs="Times New Roman"/>
                <w:b w:val="0"/>
                <w:bCs w:val="0"/>
                <w:color w:val="000000"/>
                <w:kern w:val="0"/>
                <w:sz w:val="24"/>
                <w:szCs w:val="24"/>
                <w:highlight w:val="none"/>
                <w:lang w:val="en-US" w:eastAsia="zh-CN" w:bidi="ar"/>
              </w:rPr>
              <w:t>号）及唐山市生态保护红线分布图，本项目所在位置不属于唐山市生态保护红线范围内</w:t>
            </w:r>
            <w:r>
              <w:rPr>
                <w:rFonts w:hint="default" w:ascii="Times New Roman" w:hAnsi="Times New Roman" w:cs="Times New Roman"/>
                <w:b w:val="0"/>
                <w:bCs w:val="0"/>
                <w:color w:val="000000"/>
                <w:kern w:val="0"/>
                <w:sz w:val="24"/>
                <w:szCs w:val="24"/>
                <w:highlight w:val="none"/>
                <w:lang w:val="en-US" w:eastAsia="zh-CN" w:bidi="ar"/>
              </w:rPr>
              <w:t>，项目厂址距离曹妃甸生态保护红线约17km</w:t>
            </w:r>
            <w:r>
              <w:rPr>
                <w:rFonts w:hint="default" w:ascii="Times New Roman" w:hAnsi="Times New Roman" w:eastAsia="宋体" w:cs="Times New Roman"/>
                <w:b w:val="0"/>
                <w:bCs w:val="0"/>
                <w:color w:val="000000"/>
                <w:kern w:val="0"/>
                <w:sz w:val="24"/>
                <w:szCs w:val="24"/>
                <w:highlight w:val="none"/>
                <w:lang w:val="en-US" w:eastAsia="zh-CN" w:bidi="ar"/>
              </w:rPr>
              <w:t>。</w:t>
            </w:r>
            <w:r>
              <w:rPr>
                <w:rFonts w:hint="default" w:ascii="Times New Roman" w:hAnsi="Times New Roman" w:eastAsia="宋体" w:cs="Times New Roman"/>
                <w:color w:val="auto"/>
                <w:sz w:val="24"/>
                <w:szCs w:val="24"/>
                <w:highlight w:val="none"/>
                <w:lang w:val="en-US" w:eastAsia="zh-CN"/>
              </w:rPr>
              <w:t>项目与生态保护红线位置关系见附图。</w:t>
            </w:r>
          </w:p>
          <w:p w14:paraId="02BC52DB">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atLeast"/>
              <w:ind w:leftChars="0"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cs="Times New Roman"/>
                <w:b w:val="0"/>
                <w:bCs w:val="0"/>
                <w:color w:val="000000"/>
                <w:kern w:val="0"/>
                <w:sz w:val="24"/>
                <w:szCs w:val="24"/>
                <w:highlight w:val="none"/>
                <w:lang w:val="en-US" w:eastAsia="zh-CN" w:bidi="ar"/>
              </w:rPr>
              <w:t>（2）</w:t>
            </w:r>
            <w:r>
              <w:rPr>
                <w:rFonts w:hint="default" w:ascii="Times New Roman" w:hAnsi="Times New Roman" w:eastAsia="宋体" w:cs="Times New Roman"/>
                <w:b w:val="0"/>
                <w:bCs w:val="0"/>
                <w:color w:val="000000"/>
                <w:kern w:val="0"/>
                <w:sz w:val="24"/>
                <w:szCs w:val="24"/>
                <w:highlight w:val="none"/>
                <w:lang w:val="en-US" w:eastAsia="zh-CN" w:bidi="ar"/>
              </w:rPr>
              <w:t>环境质量底线文件要求</w:t>
            </w:r>
          </w:p>
          <w:p w14:paraId="2862112F">
            <w:pPr>
              <w:keepNext w:val="0"/>
              <w:keepLines w:val="0"/>
              <w:pageBreakBefore w:val="0"/>
              <w:widowControl w:val="0"/>
              <w:kinsoku/>
              <w:wordWrap/>
              <w:overflowPunct/>
              <w:topLinePunct w:val="0"/>
              <w:autoSpaceDE w:val="0"/>
              <w:autoSpaceDN w:val="0"/>
              <w:bidi w:val="0"/>
              <w:adjustRightInd w:val="0"/>
              <w:snapToGrid w:val="0"/>
              <w:spacing w:line="500" w:lineRule="atLeast"/>
              <w:ind w:firstLine="480" w:firstLineChars="200"/>
              <w:jc w:val="both"/>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环境质量底线是国家和地方设置的大气、水和土壤环境质量目标，也是改善环境质量的基准线。项目环评应对照区域环境质量目标，深入分析预测项目建设对环境质量的影响，强化污染防治措施和污染物排放控制要求。</w:t>
            </w:r>
          </w:p>
          <w:p w14:paraId="0FC70DD7">
            <w:pPr>
              <w:keepNext w:val="0"/>
              <w:keepLines w:val="0"/>
              <w:pageBreakBefore w:val="0"/>
              <w:suppressLineNumbers w:val="0"/>
              <w:kinsoku/>
              <w:wordWrap/>
              <w:overflowPunct/>
              <w:topLinePunct w:val="0"/>
              <w:autoSpaceDE w:val="0"/>
              <w:autoSpaceDN w:val="0"/>
              <w:bidi w:val="0"/>
              <w:adjustRightInd w:val="0"/>
              <w:snapToGrid w:val="0"/>
              <w:spacing w:before="0" w:beforeAutospacing="0" w:after="0" w:afterAutospacing="0" w:line="500" w:lineRule="atLeast"/>
              <w:ind w:left="0" w:right="0" w:firstLine="480" w:firstLineChars="200"/>
              <w:jc w:val="both"/>
              <w:textAlignment w:val="auto"/>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sz w:val="24"/>
                <w:szCs w:val="24"/>
                <w:highlight w:val="none"/>
                <w:lang w:val="en-US" w:eastAsia="zh-CN"/>
              </w:rPr>
              <w:t>环境质量底线分别为：区域大气环境质量目标为《环境空气质量标准》（GB3095-2012）及其修改单中的二级标准；区域声环境质量目标为《声环境质量标准》（GB3096-2008）</w:t>
            </w:r>
            <w:r>
              <w:rPr>
                <w:rFonts w:hint="default" w:ascii="Times New Roman" w:hAnsi="Times New Roman" w:cs="Times New Roman"/>
                <w:color w:val="auto"/>
                <w:sz w:val="24"/>
                <w:szCs w:val="24"/>
                <w:highlight w:val="none"/>
                <w:lang w:val="en-US" w:eastAsia="zh-CN"/>
              </w:rPr>
              <w:t>3</w:t>
            </w:r>
            <w:r>
              <w:rPr>
                <w:rFonts w:hint="default" w:ascii="Times New Roman" w:hAnsi="Times New Roman" w:eastAsia="宋体" w:cs="Times New Roman"/>
                <w:color w:val="auto"/>
                <w:sz w:val="24"/>
                <w:szCs w:val="24"/>
                <w:highlight w:val="none"/>
                <w:lang w:val="en-US" w:eastAsia="zh-CN"/>
              </w:rPr>
              <w:t>类区标准；</w:t>
            </w:r>
            <w:r>
              <w:rPr>
                <w:rFonts w:hint="default" w:ascii="Times New Roman" w:hAnsi="Times New Roman" w:cs="Times New Roman"/>
                <w:color w:val="auto"/>
                <w:sz w:val="24"/>
                <w:szCs w:val="24"/>
                <w:highlight w:val="none"/>
                <w:lang w:val="en-US" w:eastAsia="zh-CN"/>
              </w:rPr>
              <w:t>区域地下水环境质量目标</w:t>
            </w:r>
            <w:r>
              <w:rPr>
                <w:rFonts w:hint="default" w:ascii="Times New Roman" w:hAnsi="Times New Roman" w:eastAsia="宋体" w:cs="Times New Roman"/>
                <w:color w:val="auto"/>
                <w:sz w:val="24"/>
                <w:szCs w:val="24"/>
                <w:highlight w:val="none"/>
                <w:lang w:val="en-US" w:eastAsia="zh-CN"/>
              </w:rPr>
              <w:t>为《地下水质量标准》（GB/T14848-2017）中Ⅲ类标准</w:t>
            </w:r>
            <w:r>
              <w:rPr>
                <w:rFonts w:hint="eastAsia" w:ascii="Times New Roman" w:hAnsi="Times New Roman" w:eastAsia="宋体" w:cs="Times New Roman"/>
                <w:color w:val="auto"/>
                <w:sz w:val="24"/>
                <w:szCs w:val="24"/>
                <w:highlight w:val="none"/>
                <w:lang w:val="en-US" w:eastAsia="zh-CN"/>
              </w:rPr>
              <w:t>；区域土壤环境</w:t>
            </w:r>
            <w:r>
              <w:rPr>
                <w:rFonts w:hint="default" w:ascii="Times New Roman" w:hAnsi="Times New Roman" w:eastAsia="宋体" w:cs="Times New Roman"/>
                <w:color w:val="auto"/>
                <w:sz w:val="24"/>
                <w:szCs w:val="24"/>
                <w:highlight w:val="none"/>
                <w:lang w:val="en-US" w:eastAsia="zh-CN"/>
              </w:rPr>
              <w:t>质量目标为</w:t>
            </w:r>
            <w:r>
              <w:rPr>
                <w:rFonts w:hint="eastAsia"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土壤环境质量</w:t>
            </w:r>
            <w:r>
              <w:rPr>
                <w:rFonts w:hint="eastAsia" w:ascii="Times New Roman" w:hAnsi="Times New Roman" w:eastAsia="宋体" w:cs="Times New Roman"/>
                <w:color w:val="auto"/>
                <w:sz w:val="24"/>
                <w:szCs w:val="24"/>
                <w:highlight w:val="none"/>
                <w:lang w:val="en-US" w:eastAsia="zh-CN"/>
              </w:rPr>
              <w:t>建设用地土壤污染风险管控标准（试行）</w:t>
            </w:r>
            <w:r>
              <w:rPr>
                <w:rFonts w:hint="eastAsia"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(GB36600—2018)中的</w:t>
            </w:r>
            <w:r>
              <w:rPr>
                <w:rFonts w:hint="eastAsia"/>
                <w:color w:val="auto"/>
                <w:lang w:val="en-US" w:eastAsia="zh-CN"/>
              </w:rPr>
              <w:t>第二类用地筛选值</w:t>
            </w:r>
            <w:r>
              <w:rPr>
                <w:rFonts w:hint="eastAsia" w:ascii="Times New Roman" w:hAnsi="Times New Roman" w:eastAsia="宋体" w:cs="Times New Roman"/>
                <w:color w:val="auto"/>
                <w:sz w:val="24"/>
                <w:szCs w:val="24"/>
                <w:highlight w:val="none"/>
                <w:lang w:val="en-US" w:eastAsia="zh-CN"/>
              </w:rPr>
              <w:t>标准</w:t>
            </w:r>
            <w:r>
              <w:rPr>
                <w:rFonts w:hint="default" w:ascii="Times New Roman" w:hAnsi="Times New Roman" w:eastAsia="宋体" w:cs="Times New Roman"/>
                <w:color w:val="auto"/>
                <w:sz w:val="24"/>
                <w:szCs w:val="24"/>
                <w:highlight w:val="none"/>
                <w:lang w:val="en-US" w:eastAsia="zh-CN"/>
              </w:rPr>
              <w:t>。</w:t>
            </w:r>
          </w:p>
          <w:p w14:paraId="3B452635">
            <w:pPr>
              <w:keepNext w:val="0"/>
              <w:keepLines w:val="0"/>
              <w:pageBreakBefore w:val="0"/>
              <w:widowControl w:val="0"/>
              <w:kinsoku/>
              <w:wordWrap/>
              <w:overflowPunct/>
              <w:topLinePunct w:val="0"/>
              <w:autoSpaceDE w:val="0"/>
              <w:autoSpaceDN w:val="0"/>
              <w:bidi w:val="0"/>
              <w:adjustRightInd w:val="0"/>
              <w:snapToGrid w:val="0"/>
              <w:spacing w:line="500" w:lineRule="atLeas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color w:val="auto"/>
                <w:sz w:val="24"/>
                <w:szCs w:val="24"/>
                <w:highlight w:val="none"/>
                <w:lang w:val="en-US" w:eastAsia="zh-CN"/>
              </w:rPr>
              <w:t>项目对产生的废气、</w:t>
            </w:r>
            <w:r>
              <w:rPr>
                <w:rFonts w:hint="eastAsia" w:cs="Times New Roman"/>
                <w:color w:val="auto"/>
                <w:sz w:val="24"/>
                <w:szCs w:val="24"/>
                <w:highlight w:val="none"/>
                <w:lang w:val="en-US" w:eastAsia="zh-CN"/>
              </w:rPr>
              <w:t>废水、</w:t>
            </w:r>
            <w:r>
              <w:rPr>
                <w:rFonts w:hint="default" w:ascii="Times New Roman" w:hAnsi="Times New Roman" w:eastAsia="宋体" w:cs="Times New Roman"/>
                <w:color w:val="auto"/>
                <w:sz w:val="24"/>
                <w:szCs w:val="24"/>
                <w:highlight w:val="none"/>
                <w:lang w:val="en-US" w:eastAsia="zh-CN"/>
              </w:rPr>
              <w:t>噪声等污染物均采取了严格的</w:t>
            </w:r>
            <w:r>
              <w:rPr>
                <w:rFonts w:hint="default" w:ascii="Times New Roman" w:hAnsi="Times New Roman" w:cs="Times New Roman"/>
                <w:color w:val="auto"/>
                <w:sz w:val="24"/>
                <w:szCs w:val="24"/>
                <w:highlight w:val="none"/>
                <w:lang w:val="en-US" w:eastAsia="zh-CN"/>
              </w:rPr>
              <w:t>污染防治</w:t>
            </w:r>
            <w:r>
              <w:rPr>
                <w:rFonts w:hint="default" w:ascii="Times New Roman" w:hAnsi="Times New Roman" w:eastAsia="宋体" w:cs="Times New Roman"/>
                <w:color w:val="auto"/>
                <w:sz w:val="24"/>
                <w:szCs w:val="24"/>
                <w:highlight w:val="none"/>
                <w:lang w:val="en-US" w:eastAsia="zh-CN"/>
              </w:rPr>
              <w:t>措施，在一定程度上减少了污染物的排放，污染物均能达标排放，符合环境质量底线要求</w:t>
            </w:r>
            <w:r>
              <w:rPr>
                <w:rFonts w:hint="default" w:ascii="Times New Roman" w:hAnsi="Times New Roman" w:cs="Times New Roman"/>
                <w:color w:val="auto"/>
                <w:highlight w:val="none"/>
                <w:lang w:eastAsia="zh-CN"/>
              </w:rPr>
              <w:t>。</w:t>
            </w:r>
          </w:p>
          <w:p w14:paraId="5E8B4777">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500" w:lineRule="exact"/>
              <w:ind w:left="0" w:right="0" w:firstLine="480" w:firstLineChars="200"/>
              <w:jc w:val="both"/>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（3）资源利用上线</w:t>
            </w:r>
          </w:p>
          <w:p w14:paraId="739415B5">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500" w:lineRule="exact"/>
              <w:ind w:left="0" w:right="0" w:firstLine="480" w:firstLineChars="200"/>
              <w:jc w:val="both"/>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本项目为</w:t>
            </w:r>
            <w:r>
              <w:rPr>
                <w:rFonts w:hint="eastAsia" w:cs="Times New Roman"/>
                <w:b w:val="0"/>
                <w:bCs w:val="0"/>
                <w:color w:val="000000"/>
                <w:kern w:val="0"/>
                <w:sz w:val="24"/>
                <w:szCs w:val="24"/>
                <w:highlight w:val="none"/>
                <w:vertAlign w:val="baseline"/>
                <w:lang w:val="en-US" w:eastAsia="zh-CN" w:bidi="ar"/>
              </w:rPr>
              <w:t>煤炭洗选、配煤；煤炭储存、集运</w:t>
            </w:r>
            <w:r>
              <w:rPr>
                <w:rFonts w:hint="default" w:ascii="Times New Roman" w:hAnsi="Times New Roman" w:cs="Times New Roman"/>
                <w:color w:val="auto"/>
                <w:sz w:val="24"/>
                <w:szCs w:val="24"/>
                <w:highlight w:val="none"/>
                <w:lang w:val="en-US" w:eastAsia="zh-CN"/>
              </w:rPr>
              <w:t>项目</w:t>
            </w:r>
            <w:r>
              <w:rPr>
                <w:rFonts w:hint="default" w:ascii="Times New Roman" w:hAnsi="Times New Roman" w:eastAsia="宋体" w:cs="Times New Roman"/>
                <w:color w:val="auto"/>
                <w:sz w:val="24"/>
                <w:szCs w:val="24"/>
                <w:highlight w:val="none"/>
                <w:lang w:val="en-US" w:eastAsia="zh-CN"/>
              </w:rPr>
              <w:t>，位于曹妃甸循环经济示范区港口物流园区，根据唐山市曹妃甸区自然资源和规划局颁发的不动产权证书，项目所属地类为工业用</w:t>
            </w:r>
            <w:r>
              <w:rPr>
                <w:rFonts w:hint="eastAsia" w:cs="Times New Roman"/>
                <w:color w:val="auto"/>
                <w:sz w:val="24"/>
                <w:szCs w:val="24"/>
                <w:highlight w:val="none"/>
                <w:lang w:val="en-US" w:eastAsia="zh-CN"/>
              </w:rPr>
              <w:t>地</w:t>
            </w:r>
            <w:r>
              <w:rPr>
                <w:rFonts w:hint="default" w:ascii="Times New Roman" w:hAnsi="Times New Roman" w:eastAsia="宋体" w:cs="Times New Roman"/>
                <w:color w:val="auto"/>
                <w:sz w:val="24"/>
                <w:szCs w:val="24"/>
                <w:highlight w:val="none"/>
                <w:lang w:val="en-US" w:eastAsia="zh-CN"/>
              </w:rPr>
              <w:t>。建设生产过程所消耗资源为水和电，用水由市政供水管网供水，项目用电由当地供电系统供给，且用水量、用电量较小，不属于高耗水行业，满足资源利用上线要求。</w:t>
            </w:r>
          </w:p>
          <w:p w14:paraId="16A97615">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500" w:lineRule="exact"/>
              <w:ind w:left="0" w:right="0" w:firstLine="480" w:firstLineChars="200"/>
              <w:jc w:val="both"/>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（4）环境准入负面清单</w:t>
            </w:r>
          </w:p>
          <w:p w14:paraId="01044EA8">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500" w:lineRule="exact"/>
              <w:ind w:left="0" w:right="0" w:firstLine="480" w:firstLineChars="200"/>
              <w:jc w:val="both"/>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本项目位于曹妃甸循环经济示范区港口物流园区内，根据《唐山市人民政府关于实施“三线一单”生态环境分区管控的意见》（唐政字〔2021〕48号）、</w:t>
            </w:r>
            <w:r>
              <w:rPr>
                <w:rFonts w:hint="eastAsia" w:cs="Times New Roman"/>
                <w:color w:val="auto"/>
                <w:sz w:val="24"/>
                <w:szCs w:val="24"/>
                <w:highlight w:val="none"/>
                <w:lang w:val="en-US" w:eastAsia="zh-CN"/>
              </w:rPr>
              <w:t>《唐山市生态环境准入清单》（2023年版）</w:t>
            </w:r>
            <w:r>
              <w:rPr>
                <w:rFonts w:hint="default" w:ascii="Times New Roman" w:hAnsi="Times New Roman" w:eastAsia="宋体" w:cs="Times New Roman"/>
                <w:color w:val="auto"/>
                <w:sz w:val="24"/>
                <w:szCs w:val="24"/>
                <w:highlight w:val="none"/>
                <w:lang w:val="en-US" w:eastAsia="zh-CN"/>
              </w:rPr>
              <w:t>及《曹妃甸循环经济示范区规划环境影响跟踪评价报告》，园区环境准入负面清单见下表：</w:t>
            </w:r>
          </w:p>
          <w:p w14:paraId="3684C36D">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b/>
                <w:bCs/>
                <w:color w:val="auto"/>
                <w:szCs w:val="21"/>
                <w:highlight w:val="none"/>
                <w:lang w:val="en-US" w:eastAsia="zh-CN"/>
              </w:rPr>
            </w:pPr>
            <w:r>
              <w:rPr>
                <w:rFonts w:hint="eastAsia" w:ascii="Times New Roman" w:hAnsi="Times New Roman" w:eastAsia="宋体" w:cs="Times New Roman"/>
                <w:b/>
                <w:bCs/>
                <w:color w:val="auto"/>
                <w:szCs w:val="21"/>
                <w:highlight w:val="none"/>
                <w:lang w:val="en-US" w:eastAsia="zh-CN"/>
              </w:rPr>
              <w:t>表1-3</w:t>
            </w:r>
            <w:r>
              <w:rPr>
                <w:rFonts w:hint="eastAsia" w:cs="Times New Roman"/>
                <w:b/>
                <w:bCs/>
                <w:color w:val="auto"/>
                <w:szCs w:val="21"/>
                <w:highlight w:val="none"/>
                <w:lang w:val="en-US" w:eastAsia="zh-CN"/>
              </w:rPr>
              <w:t xml:space="preserve"> </w:t>
            </w:r>
            <w:r>
              <w:rPr>
                <w:rFonts w:hint="eastAsia" w:ascii="Times New Roman" w:hAnsi="Times New Roman" w:eastAsia="宋体" w:cs="Times New Roman"/>
                <w:b/>
                <w:bCs/>
                <w:color w:val="auto"/>
                <w:szCs w:val="21"/>
                <w:highlight w:val="none"/>
                <w:lang w:val="en-US" w:eastAsia="zh-CN"/>
              </w:rPr>
              <w:t>园区环境准入负面清单</w:t>
            </w:r>
          </w:p>
          <w:tbl>
            <w:tblPr>
              <w:tblStyle w:val="2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38"/>
              <w:gridCol w:w="6523"/>
            </w:tblGrid>
            <w:tr w14:paraId="30953A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038" w:type="dxa"/>
                  <w:noWrap w:val="0"/>
                  <w:vAlign w:val="center"/>
                </w:tcPr>
                <w:p w14:paraId="1474B19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color w:val="auto"/>
                      <w:sz w:val="21"/>
                      <w:szCs w:val="21"/>
                      <w:highlight w:val="none"/>
                      <w:vertAlign w:val="baseline"/>
                      <w:lang w:val="en-US" w:eastAsia="zh-CN"/>
                    </w:rPr>
                  </w:pPr>
                  <w:r>
                    <w:rPr>
                      <w:rFonts w:hint="eastAsia" w:ascii="Times New Roman" w:hAnsi="Times New Roman" w:eastAsia="宋体" w:cs="Times New Roman"/>
                      <w:b/>
                      <w:bCs/>
                      <w:color w:val="auto"/>
                      <w:sz w:val="21"/>
                      <w:szCs w:val="21"/>
                      <w:highlight w:val="none"/>
                      <w:vertAlign w:val="baseline"/>
                      <w:lang w:val="en-US" w:eastAsia="zh-CN"/>
                    </w:rPr>
                    <w:t>园区</w:t>
                  </w:r>
                </w:p>
              </w:tc>
              <w:tc>
                <w:tcPr>
                  <w:tcW w:w="6523" w:type="dxa"/>
                  <w:noWrap w:val="0"/>
                  <w:vAlign w:val="center"/>
                </w:tcPr>
                <w:p w14:paraId="5F84BBF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color w:val="auto"/>
                      <w:sz w:val="21"/>
                      <w:szCs w:val="21"/>
                      <w:highlight w:val="none"/>
                      <w:vertAlign w:val="baseline"/>
                      <w:lang w:val="en-US" w:eastAsia="zh-CN"/>
                    </w:rPr>
                  </w:pPr>
                  <w:r>
                    <w:rPr>
                      <w:rFonts w:hint="default" w:ascii="Times New Roman" w:hAnsi="Times New Roman" w:eastAsia="宋体" w:cs="Times New Roman"/>
                      <w:b/>
                      <w:bCs/>
                      <w:color w:val="auto"/>
                      <w:sz w:val="21"/>
                      <w:szCs w:val="21"/>
                      <w:highlight w:val="none"/>
                      <w:vertAlign w:val="baseline"/>
                      <w:lang w:val="en-US" w:eastAsia="zh-CN"/>
                    </w:rPr>
                    <w:t>环境准入负面清单</w:t>
                  </w:r>
                </w:p>
              </w:tc>
            </w:tr>
            <w:tr w14:paraId="24A749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38" w:type="dxa"/>
                  <w:vMerge w:val="restart"/>
                  <w:noWrap w:val="0"/>
                  <w:vAlign w:val="center"/>
                </w:tcPr>
                <w:p w14:paraId="62021F3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所有产业园</w:t>
                  </w:r>
                </w:p>
              </w:tc>
              <w:tc>
                <w:tcPr>
                  <w:tcW w:w="6523" w:type="dxa"/>
                  <w:noWrap w:val="0"/>
                  <w:vAlign w:val="center"/>
                </w:tcPr>
                <w:p w14:paraId="20DCF1FC">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入园项目不符合各园区产业发展定位，与规划定位存在冲突，不得准入</w:t>
                  </w:r>
                </w:p>
              </w:tc>
            </w:tr>
            <w:tr w14:paraId="23C209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38" w:type="dxa"/>
                  <w:vMerge w:val="continue"/>
                  <w:noWrap w:val="0"/>
                  <w:vAlign w:val="center"/>
                </w:tcPr>
                <w:p w14:paraId="0B91852F">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highlight w:val="none"/>
                      <w:vertAlign w:val="baseline"/>
                      <w:lang w:val="en-US" w:eastAsia="zh-CN"/>
                    </w:rPr>
                  </w:pPr>
                </w:p>
              </w:tc>
              <w:tc>
                <w:tcPr>
                  <w:tcW w:w="6523" w:type="dxa"/>
                  <w:noWrap w:val="0"/>
                  <w:vAlign w:val="center"/>
                </w:tcPr>
                <w:p w14:paraId="4C40A87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承接产业转移的项目环境准入要求低于疏解地标准，不得准入</w:t>
                  </w:r>
                </w:p>
              </w:tc>
            </w:tr>
            <w:tr w14:paraId="2400E8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38" w:type="dxa"/>
                  <w:vMerge w:val="continue"/>
                  <w:noWrap w:val="0"/>
                  <w:vAlign w:val="center"/>
                </w:tcPr>
                <w:p w14:paraId="3D15808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highlight w:val="none"/>
                      <w:vertAlign w:val="baseline"/>
                      <w:lang w:val="en-US" w:eastAsia="zh-CN"/>
                    </w:rPr>
                  </w:pPr>
                </w:p>
              </w:tc>
              <w:tc>
                <w:tcPr>
                  <w:tcW w:w="6523" w:type="dxa"/>
                  <w:noWrap w:val="0"/>
                  <w:vAlign w:val="center"/>
                </w:tcPr>
                <w:p w14:paraId="37692B38">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涉水、大气、危废污染物的入园项目需满足污染物控制总量要求，未取得污染物减量或倍量替代批复的项目，不得准入</w:t>
                  </w:r>
                </w:p>
              </w:tc>
            </w:tr>
            <w:tr w14:paraId="7B3A90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38" w:type="dxa"/>
                  <w:vMerge w:val="continue"/>
                  <w:noWrap w:val="0"/>
                  <w:vAlign w:val="center"/>
                </w:tcPr>
                <w:p w14:paraId="0C4FDF13">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highlight w:val="none"/>
                      <w:vertAlign w:val="baseline"/>
                      <w:lang w:val="en-US" w:eastAsia="zh-CN"/>
                    </w:rPr>
                  </w:pPr>
                </w:p>
              </w:tc>
              <w:tc>
                <w:tcPr>
                  <w:tcW w:w="6523" w:type="dxa"/>
                  <w:noWrap w:val="0"/>
                  <w:vAlign w:val="center"/>
                </w:tcPr>
                <w:p w14:paraId="744F4F2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入园项目资源利用总量，不满足工业区能源、水资源、土地资源等控制要求，不得准入；钢铁、石化、电力等重点行业新增产能，不满足环境准入清单资源环境要求，不得准入</w:t>
                  </w:r>
                </w:p>
              </w:tc>
            </w:tr>
            <w:tr w14:paraId="43AC93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38" w:type="dxa"/>
                  <w:vMerge w:val="continue"/>
                  <w:noWrap w:val="0"/>
                  <w:vAlign w:val="center"/>
                </w:tcPr>
                <w:p w14:paraId="4BD8AE69">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highlight w:val="none"/>
                      <w:vertAlign w:val="baseline"/>
                      <w:lang w:val="en-US" w:eastAsia="zh-CN"/>
                    </w:rPr>
                  </w:pPr>
                </w:p>
              </w:tc>
              <w:tc>
                <w:tcPr>
                  <w:tcW w:w="6523" w:type="dxa"/>
                  <w:noWrap w:val="0"/>
                  <w:vAlign w:val="center"/>
                </w:tcPr>
                <w:p w14:paraId="737B462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大气、重金属等风险防控措施不能满足环境风险管理要求，对周边敏感受体、海域等存在污染风险的项目，不得准入</w:t>
                  </w:r>
                </w:p>
              </w:tc>
            </w:tr>
          </w:tbl>
          <w:p w14:paraId="7DDEE4A1">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sz w:val="24"/>
                <w:szCs w:val="24"/>
                <w:highlight w:val="none"/>
                <w:lang w:val="en-US" w:eastAsia="zh-CN"/>
              </w:rPr>
              <w:t>本项目为</w:t>
            </w:r>
            <w:r>
              <w:rPr>
                <w:rFonts w:hint="eastAsia" w:cs="Times New Roman"/>
                <w:b w:val="0"/>
                <w:bCs w:val="0"/>
                <w:color w:val="000000"/>
                <w:kern w:val="0"/>
                <w:sz w:val="24"/>
                <w:szCs w:val="24"/>
                <w:highlight w:val="none"/>
                <w:vertAlign w:val="baseline"/>
                <w:lang w:val="en-US" w:eastAsia="zh-CN" w:bidi="ar"/>
              </w:rPr>
              <w:t>煤炭洗选、配煤；煤炭储存、集运</w:t>
            </w:r>
            <w:r>
              <w:rPr>
                <w:rFonts w:hint="default" w:ascii="Times New Roman" w:hAnsi="Times New Roman" w:cs="Times New Roman"/>
                <w:sz w:val="24"/>
                <w:szCs w:val="24"/>
                <w:highlight w:val="none"/>
                <w:lang w:val="en-US" w:eastAsia="zh-CN"/>
              </w:rPr>
              <w:t>项目</w:t>
            </w:r>
            <w:r>
              <w:rPr>
                <w:rFonts w:hint="default" w:ascii="Times New Roman" w:hAnsi="Times New Roman" w:eastAsia="宋体" w:cs="Times New Roman"/>
                <w:sz w:val="24"/>
                <w:szCs w:val="24"/>
                <w:highlight w:val="none"/>
                <w:lang w:val="en-US" w:eastAsia="zh-CN"/>
              </w:rPr>
              <w:t>，取得了唐山市曹妃甸区行政审批局出具的企业投资项目备案信息（</w:t>
            </w:r>
            <w:r>
              <w:rPr>
                <w:rFonts w:hint="default" w:ascii="Times New Roman" w:hAnsi="Times New Roman" w:cs="Times New Roman"/>
                <w:sz w:val="24"/>
                <w:szCs w:val="24"/>
                <w:highlight w:val="none"/>
                <w:lang w:val="en-US" w:eastAsia="zh-CN"/>
              </w:rPr>
              <w:t>唐曹审批投资备</w:t>
            </w:r>
            <w:r>
              <w:rPr>
                <w:rFonts w:hint="default" w:ascii="Times New Roman" w:hAnsi="Times New Roman" w:eastAsia="宋体" w:cs="Times New Roman"/>
                <w:sz w:val="24"/>
                <w:szCs w:val="24"/>
                <w:highlight w:val="none"/>
                <w:lang w:val="en-US" w:eastAsia="zh-CN"/>
              </w:rPr>
              <w:t>〔</w:t>
            </w:r>
            <w:r>
              <w:rPr>
                <w:rFonts w:hint="default" w:ascii="Times New Roman" w:hAnsi="Times New Roman" w:cs="Times New Roman"/>
                <w:sz w:val="24"/>
                <w:szCs w:val="24"/>
                <w:highlight w:val="none"/>
                <w:lang w:val="en-US" w:eastAsia="zh-CN"/>
              </w:rPr>
              <w:t>2024</w:t>
            </w:r>
            <w:r>
              <w:rPr>
                <w:rFonts w:hint="default" w:ascii="Times New Roman" w:hAnsi="Times New Roman" w:eastAsia="宋体" w:cs="Times New Roman"/>
                <w:sz w:val="24"/>
                <w:szCs w:val="24"/>
                <w:highlight w:val="none"/>
                <w:lang w:val="en-US" w:eastAsia="zh-CN"/>
              </w:rPr>
              <w:t>〕</w:t>
            </w:r>
            <w:r>
              <w:rPr>
                <w:rFonts w:hint="default" w:ascii="Times New Roman" w:hAnsi="Times New Roman" w:cs="Times New Roman"/>
                <w:sz w:val="24"/>
                <w:szCs w:val="24"/>
                <w:highlight w:val="none"/>
                <w:lang w:val="en-US" w:eastAsia="zh-CN"/>
              </w:rPr>
              <w:t>105号</w:t>
            </w:r>
            <w:r>
              <w:rPr>
                <w:rFonts w:hint="default" w:ascii="Times New Roman" w:hAnsi="Times New Roman" w:eastAsia="宋体" w:cs="Times New Roman"/>
                <w:sz w:val="24"/>
                <w:szCs w:val="24"/>
                <w:highlight w:val="none"/>
                <w:lang w:val="en-US" w:eastAsia="zh-CN"/>
              </w:rPr>
              <w:t>），项目符合产业政策要求，与环境准入负面清单比对，不</w:t>
            </w:r>
            <w:r>
              <w:rPr>
                <w:rFonts w:hint="default" w:ascii="Times New Roman" w:hAnsi="Times New Roman" w:cs="Times New Roman"/>
                <w:sz w:val="24"/>
                <w:szCs w:val="24"/>
                <w:highlight w:val="none"/>
                <w:lang w:val="en-US" w:eastAsia="zh-CN"/>
              </w:rPr>
              <w:t>在环境准入负面清单之列。</w:t>
            </w:r>
          </w:p>
          <w:p w14:paraId="7976B65A">
            <w:pPr>
              <w:keepNext w:val="0"/>
              <w:keepLines w:val="0"/>
              <w:pageBreakBefore w:val="0"/>
              <w:widowControl/>
              <w:numPr>
                <w:ilvl w:val="0"/>
                <w:numId w:val="0"/>
              </w:numPr>
              <w:suppressLineNumbers w:val="0"/>
              <w:kinsoku/>
              <w:wordWrap/>
              <w:overflowPunct/>
              <w:topLinePunct w:val="0"/>
              <w:autoSpaceDE/>
              <w:autoSpaceDN/>
              <w:bidi w:val="0"/>
              <w:adjustRightInd/>
              <w:snapToGrid/>
              <w:spacing w:line="500" w:lineRule="exact"/>
              <w:ind w:leftChars="0"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（5）与唐山市生态环境准入清单符合性分析</w:t>
            </w:r>
          </w:p>
          <w:p w14:paraId="31A43328">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由唐山市环境管控单元分布图知，本项目属于重点管控单元。本项目与唐山市生态环境准入清单</w:t>
            </w:r>
            <w:r>
              <w:rPr>
                <w:rFonts w:hint="eastAsia" w:ascii="Times New Roman" w:hAnsi="Times New Roman" w:cs="Times New Roman"/>
                <w:color w:val="auto"/>
                <w:sz w:val="24"/>
                <w:szCs w:val="24"/>
                <w:highlight w:val="none"/>
                <w:lang w:val="en-US" w:eastAsia="zh-CN"/>
              </w:rPr>
              <w:t>（2023年版）</w:t>
            </w:r>
            <w:r>
              <w:rPr>
                <w:rFonts w:hint="default" w:ascii="Times New Roman" w:hAnsi="Times New Roman" w:eastAsia="宋体" w:cs="Times New Roman"/>
                <w:color w:val="auto"/>
                <w:sz w:val="24"/>
                <w:szCs w:val="24"/>
                <w:highlight w:val="none"/>
                <w:lang w:val="en-US" w:eastAsia="zh-CN"/>
              </w:rPr>
              <w:t>符合性分析见下表。</w:t>
            </w:r>
          </w:p>
          <w:p w14:paraId="30E2AAD4">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1FD885DC">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2C428CC6">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6C44AFCD">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251F8361">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3EA4A125">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11B98322">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5B3F7F62">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4DDAA387">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6140B870">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4F84BE64">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04446DF8">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0CD00944">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1B0D8708">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03207404">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45B8709A">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5CA5EC73">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7F3F6F2C">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44AA5D9E">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1BED4992">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7A49E3FA">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397788FC">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0A209605">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44D0B574">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p>
          <w:p w14:paraId="5D2356C8">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eastAsia" w:ascii="Times New Roman" w:hAnsi="Times New Roman" w:eastAsia="宋体" w:cs="Times New Roman"/>
                <w:color w:val="auto"/>
                <w:sz w:val="24"/>
                <w:szCs w:val="24"/>
                <w:highlight w:val="none"/>
                <w:lang w:val="en-US" w:eastAsia="zh-CN"/>
              </w:rPr>
            </w:pPr>
          </w:p>
        </w:tc>
      </w:tr>
    </w:tbl>
    <w:p w14:paraId="2117B598">
      <w:pPr>
        <w:spacing w:line="360" w:lineRule="auto"/>
        <w:outlineLvl w:val="0"/>
        <w:rPr>
          <w:rFonts w:eastAsia="黑体"/>
          <w:sz w:val="30"/>
          <w:highlight w:val="none"/>
        </w:rPr>
        <w:sectPr>
          <w:footerReference r:id="rId5" w:type="default"/>
          <w:pgSz w:w="11906" w:h="16838"/>
          <w:pgMar w:top="1701" w:right="1531" w:bottom="1701" w:left="1531" w:header="851" w:footer="1077" w:gutter="0"/>
          <w:pgBorders>
            <w:top w:val="none" w:sz="0" w:space="0"/>
            <w:left w:val="none" w:sz="0" w:space="0"/>
            <w:bottom w:val="none" w:sz="0" w:space="0"/>
            <w:right w:val="none" w:sz="0" w:space="0"/>
          </w:pgBorders>
          <w:pgNumType w:fmt="decimal" w:start="1"/>
          <w:cols w:space="720" w:num="1"/>
          <w:docGrid w:linePitch="312" w:charSpace="0"/>
        </w:sectPr>
      </w:pPr>
    </w:p>
    <w:tbl>
      <w:tblPr>
        <w:tblStyle w:val="25"/>
        <w:tblW w:w="5029"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709"/>
        <w:gridCol w:w="12942"/>
      </w:tblGrid>
      <w:tr w14:paraId="5B7FA6F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810" w:hRule="atLeast"/>
          <w:jc w:val="center"/>
        </w:trPr>
        <w:tc>
          <w:tcPr>
            <w:tcW w:w="260" w:type="pct"/>
            <w:noWrap w:val="0"/>
            <w:tcMar>
              <w:left w:w="28" w:type="dxa"/>
              <w:right w:w="28" w:type="dxa"/>
            </w:tcMar>
            <w:vAlign w:val="center"/>
          </w:tcPr>
          <w:p w14:paraId="06BFDF42">
            <w:pPr>
              <w:adjustRightInd w:val="0"/>
              <w:snapToGrid w:val="0"/>
              <w:jc w:val="center"/>
              <w:rPr>
                <w:rFonts w:ascii="宋体" w:hAnsi="宋体" w:cs="宋体"/>
                <w:bCs/>
                <w:szCs w:val="21"/>
                <w:highlight w:val="none"/>
              </w:rPr>
            </w:pPr>
          </w:p>
        </w:tc>
        <w:tc>
          <w:tcPr>
            <w:tcW w:w="4739" w:type="pct"/>
            <w:noWrap w:val="0"/>
            <w:vAlign w:val="center"/>
          </w:tcPr>
          <w:p w14:paraId="142D6C46">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b/>
                <w:bCs/>
                <w:color w:val="auto"/>
                <w:szCs w:val="21"/>
                <w:highlight w:val="none"/>
                <w:lang w:val="en-US" w:eastAsia="zh-CN"/>
              </w:rPr>
            </w:pPr>
            <w:r>
              <w:rPr>
                <w:rFonts w:hint="eastAsia" w:ascii="Times New Roman" w:hAnsi="Times New Roman" w:eastAsia="宋体" w:cs="Times New Roman"/>
                <w:b/>
                <w:bCs/>
                <w:color w:val="auto"/>
                <w:szCs w:val="21"/>
                <w:highlight w:val="none"/>
                <w:lang w:val="en-US" w:eastAsia="zh-CN"/>
              </w:rPr>
              <w:t>表1-</w:t>
            </w:r>
            <w:r>
              <w:rPr>
                <w:rFonts w:hint="eastAsia" w:cs="Times New Roman"/>
                <w:b/>
                <w:bCs/>
                <w:color w:val="auto"/>
                <w:szCs w:val="21"/>
                <w:highlight w:val="none"/>
                <w:lang w:val="en-US" w:eastAsia="zh-CN"/>
              </w:rPr>
              <w:t>4</w:t>
            </w:r>
            <w:r>
              <w:rPr>
                <w:rFonts w:hint="eastAsia" w:ascii="Times New Roman" w:hAnsi="Times New Roman" w:eastAsia="宋体" w:cs="Times New Roman"/>
                <w:b/>
                <w:bCs/>
                <w:color w:val="auto"/>
                <w:szCs w:val="21"/>
                <w:highlight w:val="none"/>
                <w:lang w:val="en-US" w:eastAsia="zh-CN"/>
              </w:rPr>
              <w:t xml:space="preserve"> 唐山市总体准入要求</w:t>
            </w:r>
          </w:p>
          <w:tbl>
            <w:tblPr>
              <w:tblStyle w:val="26"/>
              <w:tblW w:w="4951"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7"/>
              <w:gridCol w:w="713"/>
              <w:gridCol w:w="716"/>
              <w:gridCol w:w="6121"/>
              <w:gridCol w:w="3606"/>
              <w:gridCol w:w="718"/>
            </w:tblGrid>
            <w:tr w14:paraId="20211B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85" w:type="pct"/>
                  <w:tcBorders>
                    <w:tl2br w:val="nil"/>
                    <w:tr2bl w:val="nil"/>
                  </w:tcBorders>
                  <w:noWrap w:val="0"/>
                  <w:vAlign w:val="center"/>
                </w:tcPr>
                <w:p w14:paraId="402D90D1">
                  <w:pPr>
                    <w:keepNext w:val="0"/>
                    <w:keepLines w:val="0"/>
                    <w:pageBreakBefore w:val="0"/>
                    <w:widowControl w:val="0"/>
                    <w:kinsoku/>
                    <w:wordWrap/>
                    <w:overflowPunct/>
                    <w:topLinePunct w:val="0"/>
                    <w:autoSpaceDE/>
                    <w:autoSpaceDN/>
                    <w:bidi w:val="0"/>
                    <w:adjustRightInd w:val="0"/>
                    <w:snapToGrid w:val="0"/>
                    <w:spacing w:line="240" w:lineRule="auto"/>
                    <w:ind w:right="0"/>
                    <w:jc w:val="center"/>
                    <w:textAlignment w:val="auto"/>
                    <w:rPr>
                      <w:rFonts w:hint="default" w:ascii="Times New Roman" w:hAnsi="Times New Roman" w:eastAsia="宋体" w:cs="Times New Roman"/>
                      <w:b/>
                      <w:bCs/>
                      <w:color w:val="auto"/>
                      <w:sz w:val="21"/>
                      <w:szCs w:val="21"/>
                      <w:highlight w:val="none"/>
                      <w:vertAlign w:val="baseline"/>
                      <w:lang w:val="en-US" w:eastAsia="zh-CN"/>
                    </w:rPr>
                  </w:pPr>
                  <w:r>
                    <w:rPr>
                      <w:rFonts w:hint="default" w:ascii="Times New Roman" w:hAnsi="Times New Roman" w:eastAsia="宋体" w:cs="Times New Roman"/>
                      <w:b/>
                      <w:bCs/>
                      <w:color w:val="auto"/>
                      <w:sz w:val="21"/>
                      <w:szCs w:val="21"/>
                      <w:highlight w:val="none"/>
                      <w:vertAlign w:val="baseline"/>
                      <w:lang w:val="en-US" w:eastAsia="zh-CN"/>
                    </w:rPr>
                    <w:t>属性</w:t>
                  </w:r>
                </w:p>
              </w:tc>
              <w:tc>
                <w:tcPr>
                  <w:tcW w:w="567" w:type="pct"/>
                  <w:gridSpan w:val="2"/>
                  <w:tcBorders>
                    <w:tl2br w:val="nil"/>
                    <w:tr2bl w:val="nil"/>
                  </w:tcBorders>
                  <w:noWrap w:val="0"/>
                  <w:vAlign w:val="center"/>
                </w:tcPr>
                <w:p w14:paraId="7B3A260A">
                  <w:pPr>
                    <w:keepNext w:val="0"/>
                    <w:keepLines w:val="0"/>
                    <w:pageBreakBefore w:val="0"/>
                    <w:widowControl w:val="0"/>
                    <w:kinsoku/>
                    <w:wordWrap/>
                    <w:overflowPunct/>
                    <w:topLinePunct w:val="0"/>
                    <w:autoSpaceDE/>
                    <w:autoSpaceDN/>
                    <w:bidi w:val="0"/>
                    <w:adjustRightInd w:val="0"/>
                    <w:snapToGrid w:val="0"/>
                    <w:spacing w:line="240" w:lineRule="auto"/>
                    <w:ind w:right="0"/>
                    <w:jc w:val="center"/>
                    <w:textAlignment w:val="auto"/>
                    <w:rPr>
                      <w:rFonts w:hint="default" w:ascii="Times New Roman" w:hAnsi="Times New Roman" w:eastAsia="宋体" w:cs="Times New Roman"/>
                      <w:b/>
                      <w:bCs/>
                      <w:color w:val="auto"/>
                      <w:sz w:val="21"/>
                      <w:szCs w:val="21"/>
                      <w:highlight w:val="none"/>
                      <w:vertAlign w:val="baseline"/>
                      <w:lang w:val="en-US" w:eastAsia="zh-CN"/>
                    </w:rPr>
                  </w:pPr>
                  <w:r>
                    <w:rPr>
                      <w:rFonts w:hint="default" w:ascii="Times New Roman" w:hAnsi="Times New Roman" w:eastAsia="宋体" w:cs="Times New Roman"/>
                      <w:b/>
                      <w:bCs/>
                      <w:color w:val="auto"/>
                      <w:sz w:val="21"/>
                      <w:szCs w:val="21"/>
                      <w:highlight w:val="none"/>
                      <w:vertAlign w:val="baseline"/>
                      <w:lang w:val="en-US" w:eastAsia="zh-CN"/>
                    </w:rPr>
                    <w:t>管控类别</w:t>
                  </w:r>
                </w:p>
              </w:tc>
              <w:tc>
                <w:tcPr>
                  <w:tcW w:w="2429" w:type="pct"/>
                  <w:tcBorders>
                    <w:tl2br w:val="nil"/>
                    <w:tr2bl w:val="nil"/>
                  </w:tcBorders>
                  <w:noWrap w:val="0"/>
                  <w:vAlign w:val="center"/>
                </w:tcPr>
                <w:p w14:paraId="7B504202">
                  <w:pPr>
                    <w:keepNext w:val="0"/>
                    <w:keepLines w:val="0"/>
                    <w:pageBreakBefore w:val="0"/>
                    <w:widowControl w:val="0"/>
                    <w:kinsoku/>
                    <w:wordWrap/>
                    <w:overflowPunct/>
                    <w:topLinePunct w:val="0"/>
                    <w:autoSpaceDE/>
                    <w:autoSpaceDN/>
                    <w:bidi w:val="0"/>
                    <w:adjustRightInd w:val="0"/>
                    <w:snapToGrid w:val="0"/>
                    <w:spacing w:line="240" w:lineRule="auto"/>
                    <w:ind w:right="0"/>
                    <w:jc w:val="center"/>
                    <w:textAlignment w:val="auto"/>
                    <w:rPr>
                      <w:rFonts w:hint="default" w:ascii="Times New Roman" w:hAnsi="Times New Roman" w:eastAsia="宋体" w:cs="Times New Roman"/>
                      <w:b/>
                      <w:bCs/>
                      <w:color w:val="auto"/>
                      <w:sz w:val="21"/>
                      <w:szCs w:val="21"/>
                      <w:highlight w:val="none"/>
                      <w:vertAlign w:val="baseline"/>
                      <w:lang w:val="en-US" w:eastAsia="zh-CN"/>
                    </w:rPr>
                  </w:pPr>
                  <w:r>
                    <w:rPr>
                      <w:rFonts w:hint="default" w:ascii="Times New Roman" w:hAnsi="Times New Roman" w:eastAsia="宋体" w:cs="Times New Roman"/>
                      <w:b/>
                      <w:bCs/>
                      <w:color w:val="auto"/>
                      <w:sz w:val="21"/>
                      <w:szCs w:val="21"/>
                      <w:highlight w:val="none"/>
                      <w:vertAlign w:val="baseline"/>
                      <w:lang w:val="en-US" w:eastAsia="zh-CN"/>
                    </w:rPr>
                    <w:t>管控要求</w:t>
                  </w:r>
                </w:p>
              </w:tc>
              <w:tc>
                <w:tcPr>
                  <w:tcW w:w="1431" w:type="pct"/>
                  <w:tcBorders>
                    <w:tl2br w:val="nil"/>
                    <w:tr2bl w:val="nil"/>
                  </w:tcBorders>
                  <w:noWrap w:val="0"/>
                  <w:vAlign w:val="center"/>
                </w:tcPr>
                <w:p w14:paraId="3C990A8B">
                  <w:pPr>
                    <w:keepNext w:val="0"/>
                    <w:keepLines w:val="0"/>
                    <w:pageBreakBefore w:val="0"/>
                    <w:widowControl w:val="0"/>
                    <w:kinsoku/>
                    <w:wordWrap/>
                    <w:overflowPunct/>
                    <w:topLinePunct w:val="0"/>
                    <w:autoSpaceDE/>
                    <w:autoSpaceDN/>
                    <w:bidi w:val="0"/>
                    <w:adjustRightInd w:val="0"/>
                    <w:snapToGrid w:val="0"/>
                    <w:spacing w:line="240" w:lineRule="auto"/>
                    <w:ind w:right="0"/>
                    <w:jc w:val="center"/>
                    <w:textAlignment w:val="auto"/>
                    <w:rPr>
                      <w:rFonts w:hint="default" w:ascii="Times New Roman" w:hAnsi="Times New Roman" w:eastAsia="宋体" w:cs="Times New Roman"/>
                      <w:b/>
                      <w:bCs/>
                      <w:color w:val="auto"/>
                      <w:sz w:val="21"/>
                      <w:szCs w:val="21"/>
                      <w:highlight w:val="none"/>
                      <w:vertAlign w:val="baseline"/>
                      <w:lang w:val="en-US" w:eastAsia="zh-CN"/>
                    </w:rPr>
                  </w:pPr>
                  <w:r>
                    <w:rPr>
                      <w:rFonts w:hint="default" w:ascii="Times New Roman" w:hAnsi="Times New Roman" w:eastAsia="宋体" w:cs="Times New Roman"/>
                      <w:b/>
                      <w:bCs/>
                      <w:color w:val="auto"/>
                      <w:sz w:val="21"/>
                      <w:szCs w:val="21"/>
                      <w:highlight w:val="none"/>
                      <w:vertAlign w:val="baseline"/>
                      <w:lang w:val="en-US" w:eastAsia="zh-CN"/>
                    </w:rPr>
                    <w:t>项目情况</w:t>
                  </w:r>
                </w:p>
              </w:tc>
              <w:tc>
                <w:tcPr>
                  <w:tcW w:w="285" w:type="pct"/>
                  <w:tcBorders>
                    <w:tl2br w:val="nil"/>
                    <w:tr2bl w:val="nil"/>
                  </w:tcBorders>
                  <w:noWrap w:val="0"/>
                  <w:vAlign w:val="center"/>
                </w:tcPr>
                <w:p w14:paraId="296D7101">
                  <w:pPr>
                    <w:keepNext w:val="0"/>
                    <w:keepLines w:val="0"/>
                    <w:pageBreakBefore w:val="0"/>
                    <w:widowControl w:val="0"/>
                    <w:kinsoku/>
                    <w:wordWrap/>
                    <w:overflowPunct/>
                    <w:topLinePunct w:val="0"/>
                    <w:autoSpaceDE/>
                    <w:autoSpaceDN/>
                    <w:bidi w:val="0"/>
                    <w:adjustRightInd w:val="0"/>
                    <w:snapToGrid w:val="0"/>
                    <w:spacing w:line="240" w:lineRule="auto"/>
                    <w:ind w:right="0"/>
                    <w:jc w:val="center"/>
                    <w:textAlignment w:val="auto"/>
                    <w:rPr>
                      <w:rFonts w:hint="default" w:ascii="Times New Roman" w:hAnsi="Times New Roman" w:eastAsia="宋体" w:cs="Times New Roman"/>
                      <w:b/>
                      <w:bCs/>
                      <w:color w:val="auto"/>
                      <w:sz w:val="21"/>
                      <w:szCs w:val="21"/>
                      <w:highlight w:val="none"/>
                      <w:vertAlign w:val="baseline"/>
                      <w:lang w:val="en-US" w:eastAsia="zh-CN"/>
                    </w:rPr>
                  </w:pPr>
                  <w:r>
                    <w:rPr>
                      <w:rFonts w:hint="default" w:ascii="Times New Roman" w:hAnsi="Times New Roman" w:eastAsia="宋体" w:cs="Times New Roman"/>
                      <w:b/>
                      <w:bCs/>
                      <w:color w:val="auto"/>
                      <w:sz w:val="21"/>
                      <w:szCs w:val="21"/>
                      <w:highlight w:val="none"/>
                      <w:vertAlign w:val="baseline"/>
                      <w:lang w:val="en-US" w:eastAsia="zh-CN"/>
                    </w:rPr>
                    <w:t>符合性</w:t>
                  </w:r>
                </w:p>
              </w:tc>
            </w:tr>
            <w:tr w14:paraId="4D2FDA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85" w:type="pct"/>
                  <w:tcBorders>
                    <w:tl2br w:val="nil"/>
                    <w:tr2bl w:val="nil"/>
                  </w:tcBorders>
                  <w:noWrap w:val="0"/>
                  <w:vAlign w:val="center"/>
                </w:tcPr>
                <w:p w14:paraId="22B9488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kern w:val="0"/>
                      <w:sz w:val="21"/>
                      <w:szCs w:val="21"/>
                      <w:highlight w:val="none"/>
                      <w:lang w:val="en-US" w:eastAsia="zh-CN" w:bidi="ar"/>
                    </w:rPr>
                    <w:t>生态保护红线区</w:t>
                  </w:r>
                </w:p>
              </w:tc>
              <w:tc>
                <w:tcPr>
                  <w:tcW w:w="283" w:type="pct"/>
                  <w:tcBorders>
                    <w:tl2br w:val="nil"/>
                    <w:tr2bl w:val="nil"/>
                  </w:tcBorders>
                  <w:noWrap w:val="0"/>
                  <w:vAlign w:val="center"/>
                </w:tcPr>
                <w:p w14:paraId="51028FA9">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kern w:val="2"/>
                      <w:sz w:val="21"/>
                      <w:szCs w:val="21"/>
                      <w:highlight w:val="none"/>
                      <w:vertAlign w:val="baseline"/>
                      <w:lang w:val="en-US" w:eastAsia="zh-CN" w:bidi="ar-SA"/>
                    </w:rPr>
                    <w:t>空间布局约束</w:t>
                  </w:r>
                </w:p>
              </w:tc>
              <w:tc>
                <w:tcPr>
                  <w:tcW w:w="283" w:type="pct"/>
                  <w:tcBorders>
                    <w:tl2br w:val="nil"/>
                    <w:tr2bl w:val="nil"/>
                  </w:tcBorders>
                  <w:noWrap w:val="0"/>
                  <w:vAlign w:val="center"/>
                </w:tcPr>
                <w:p w14:paraId="14FB6A1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禁止类管控要求</w:t>
                  </w:r>
                </w:p>
              </w:tc>
              <w:tc>
                <w:tcPr>
                  <w:tcW w:w="2429" w:type="pct"/>
                  <w:tcBorders>
                    <w:tl2br w:val="nil"/>
                    <w:tr2bl w:val="nil"/>
                  </w:tcBorders>
                  <w:noWrap w:val="0"/>
                  <w:vAlign w:val="center"/>
                </w:tcPr>
                <w:p w14:paraId="6F8477BD">
                  <w:pPr>
                    <w:keepNext w:val="0"/>
                    <w:keepLines w:val="0"/>
                    <w:pageBreakBefore w:val="0"/>
                    <w:widowControl/>
                    <w:suppressLineNumbers w:val="0"/>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b w:val="0"/>
                      <w:bCs w:val="0"/>
                      <w:color w:val="auto"/>
                      <w:sz w:val="21"/>
                      <w:szCs w:val="21"/>
                      <w:highlight w:val="none"/>
                      <w:vertAlign w:val="baseline"/>
                      <w:lang w:val="en-US" w:eastAsia="zh-CN"/>
                    </w:rPr>
                  </w:pPr>
                  <w:r>
                    <w:rPr>
                      <w:rFonts w:hint="default" w:ascii="Times New Roman" w:hAnsi="Times New Roman" w:eastAsia="宋体" w:cs="Times New Roman"/>
                      <w:b w:val="0"/>
                      <w:bCs w:val="0"/>
                      <w:color w:val="auto"/>
                      <w:sz w:val="21"/>
                      <w:szCs w:val="21"/>
                      <w:highlight w:val="none"/>
                      <w:vertAlign w:val="baseline"/>
                      <w:lang w:val="en-US" w:eastAsia="zh-CN"/>
                    </w:rPr>
                    <w:t>生态保护红线原则上按禁止开发区域的要求进行管理。严禁不符合主体功能定位的各类开发活动，严禁任意改变用途。生态保护红线一经划定，未经批准，严禁擅自调整。根据资源环境承载能力监测、生态保护重要性评价和国土空间规划实施“五年一评估”情况，可由省级人民政府编制生态保护红线局部调整方案，纳入国土空间规划修改方案报国务院批准，并抄送生态环境部。自然保护地边界发生调整的，省级自然资源主管部门依据批准文件，对生态保护红线作相应调整，更新国土空间规划“一张图”。已依法设立的油气探矿权拟转采矿权的，按有关规定由省级自然资源主管部门会同相关部门明确开采拟占用地表或海域范围，并对生态保护红线作相应调整，更新国土空间规划“一张图”。更新后的国土空间规划“一张图”，与省级生态环境部门信息共享。</w:t>
                  </w:r>
                </w:p>
              </w:tc>
              <w:tc>
                <w:tcPr>
                  <w:tcW w:w="1431" w:type="pct"/>
                  <w:tcBorders>
                    <w:tl2br w:val="nil"/>
                    <w:tr2bl w:val="nil"/>
                  </w:tcBorders>
                  <w:noWrap w:val="0"/>
                  <w:vAlign w:val="center"/>
                </w:tcPr>
                <w:p w14:paraId="2B7F84E2">
                  <w:pPr>
                    <w:keepNext w:val="0"/>
                    <w:keepLines w:val="0"/>
                    <w:pageBreakBefore w:val="0"/>
                    <w:widowControl/>
                    <w:suppressLineNumbers w:val="0"/>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color w:val="auto"/>
                      <w:spacing w:val="-1"/>
                      <w:sz w:val="21"/>
                      <w:szCs w:val="21"/>
                      <w:lang w:val="en-US" w:eastAsia="zh-CN"/>
                    </w:rPr>
                  </w:pPr>
                  <w:r>
                    <w:rPr>
                      <w:rFonts w:hint="default" w:ascii="Times New Roman" w:hAnsi="Times New Roman" w:eastAsia="宋体" w:cs="Times New Roman"/>
                      <w:color w:val="auto"/>
                      <w:spacing w:val="-1"/>
                      <w:sz w:val="21"/>
                      <w:szCs w:val="21"/>
                      <w:lang w:val="en-US" w:eastAsia="zh-CN"/>
                    </w:rPr>
                    <w:t>本项目位于曹妃甸循环经济示范区港口物流园区，不在生态红线范围内。</w:t>
                  </w:r>
                </w:p>
              </w:tc>
              <w:tc>
                <w:tcPr>
                  <w:tcW w:w="285" w:type="pct"/>
                  <w:tcBorders>
                    <w:tl2br w:val="nil"/>
                    <w:tr2bl w:val="nil"/>
                  </w:tcBorders>
                  <w:noWrap w:val="0"/>
                  <w:vAlign w:val="center"/>
                </w:tcPr>
                <w:p w14:paraId="7195E5C5">
                  <w:pPr>
                    <w:keepNext w:val="0"/>
                    <w:keepLines w:val="0"/>
                    <w:pageBreakBefore w:val="0"/>
                    <w:widowControl w:val="0"/>
                    <w:kinsoku/>
                    <w:wordWrap/>
                    <w:overflowPunct/>
                    <w:topLinePunct w:val="0"/>
                    <w:autoSpaceDE/>
                    <w:autoSpaceDN/>
                    <w:bidi w:val="0"/>
                    <w:adjustRightInd w:val="0"/>
                    <w:snapToGrid w:val="0"/>
                    <w:spacing w:line="240" w:lineRule="auto"/>
                    <w:ind w:right="0"/>
                    <w:jc w:val="center"/>
                    <w:textAlignment w:val="auto"/>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符合</w:t>
                  </w:r>
                </w:p>
              </w:tc>
            </w:tr>
            <w:tr w14:paraId="488FBD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85" w:type="pct"/>
                  <w:tcBorders>
                    <w:tl2br w:val="nil"/>
                    <w:tr2bl w:val="nil"/>
                  </w:tcBorders>
                  <w:noWrap w:val="0"/>
                  <w:vAlign w:val="center"/>
                </w:tcPr>
                <w:p w14:paraId="6B4A132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highlight w:val="none"/>
                      <w:lang w:val="en-US" w:eastAsia="zh-CN" w:bidi="ar"/>
                    </w:rPr>
                  </w:pPr>
                  <w:r>
                    <w:rPr>
                      <w:rFonts w:hint="default" w:ascii="Times New Roman" w:hAnsi="Times New Roman" w:eastAsia="宋体" w:cs="Times New Roman"/>
                      <w:b w:val="0"/>
                      <w:bCs w:val="0"/>
                      <w:color w:val="auto"/>
                      <w:kern w:val="0"/>
                      <w:sz w:val="21"/>
                      <w:szCs w:val="21"/>
                      <w:highlight w:val="none"/>
                      <w:lang w:val="en-US" w:eastAsia="zh-CN" w:bidi="ar"/>
                    </w:rPr>
                    <w:t>自然保护区</w:t>
                  </w:r>
                </w:p>
              </w:tc>
              <w:tc>
                <w:tcPr>
                  <w:tcW w:w="283" w:type="pct"/>
                  <w:tcBorders>
                    <w:tl2br w:val="nil"/>
                    <w:tr2bl w:val="nil"/>
                  </w:tcBorders>
                  <w:noWrap w:val="0"/>
                  <w:vAlign w:val="center"/>
                </w:tcPr>
                <w:p w14:paraId="415A243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kern w:val="2"/>
                      <w:sz w:val="21"/>
                      <w:szCs w:val="21"/>
                      <w:highlight w:val="none"/>
                      <w:vertAlign w:val="baseline"/>
                      <w:lang w:val="en-US" w:eastAsia="zh-CN" w:bidi="ar-SA"/>
                    </w:rPr>
                    <w:t>空间布局约束</w:t>
                  </w:r>
                </w:p>
              </w:tc>
              <w:tc>
                <w:tcPr>
                  <w:tcW w:w="283" w:type="pct"/>
                  <w:tcBorders>
                    <w:tl2br w:val="nil"/>
                    <w:tr2bl w:val="nil"/>
                  </w:tcBorders>
                  <w:noWrap w:val="0"/>
                  <w:vAlign w:val="center"/>
                </w:tcPr>
                <w:p w14:paraId="457895D3">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2"/>
                      <w:sz w:val="21"/>
                      <w:szCs w:val="21"/>
                      <w:highlight w:val="none"/>
                      <w:vertAlign w:val="baseline"/>
                      <w:lang w:val="en-US" w:eastAsia="zh-CN" w:bidi="ar-SA"/>
                    </w:rPr>
                  </w:pPr>
                  <w:r>
                    <w:rPr>
                      <w:rFonts w:hint="default" w:ascii="Times New Roman" w:hAnsi="Times New Roman" w:eastAsia="宋体" w:cs="Times New Roman"/>
                      <w:b w:val="0"/>
                      <w:bCs w:val="0"/>
                      <w:color w:val="auto"/>
                      <w:sz w:val="21"/>
                      <w:szCs w:val="21"/>
                      <w:highlight w:val="none"/>
                      <w:vertAlign w:val="baseline"/>
                      <w:lang w:val="en-US" w:eastAsia="zh-CN"/>
                    </w:rPr>
                    <w:t>禁止类管控要求</w:t>
                  </w:r>
                </w:p>
              </w:tc>
              <w:tc>
                <w:tcPr>
                  <w:tcW w:w="2429" w:type="pct"/>
                  <w:tcBorders>
                    <w:tl2br w:val="nil"/>
                    <w:tr2bl w:val="nil"/>
                  </w:tcBorders>
                  <w:noWrap w:val="0"/>
                  <w:vAlign w:val="center"/>
                </w:tcPr>
                <w:p w14:paraId="205E0BEF">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1、禁止在自然保护区范围内进行的砍伐、放牧、狩猎、捕捞、采药、开垦、烧荒、开矿采石、挖沙等活动；但是，法律、行政法规另有规定的除外。</w:t>
                  </w:r>
                </w:p>
                <w:p w14:paraId="114797EC">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2、禁止任何人进入自然保护区的核心区。因科学研究的需要，必须进入核心区从事科学研究观测、调查活动的，应当事先向自然保护区管理机构提交申请和活动计划，并经自然保护区管理机构批准；其中，进入国家级自然保护区核心区的，应当经省、自治区、直辖市人民政府有关自然保护区行政主管部门批准。</w:t>
                  </w:r>
                </w:p>
                <w:p w14:paraId="116BC149">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3、禁止在自然保护区的缓冲区开展旅游和生产经营活动；因教学科研的目的，需要进入自然保护区的缓冲区从事非破坏性的科学研究、教学实习和标本采集活动的，应当事先向自然保护区管理机构提交申请和活动计划，经自然保护区管理机构批准。</w:t>
                  </w:r>
                </w:p>
                <w:p w14:paraId="2F28E1DC">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4、在自然保护区的核心区和缓冲区内，不得建设任何生产设施。</w:t>
                  </w:r>
                </w:p>
              </w:tc>
              <w:tc>
                <w:tcPr>
                  <w:tcW w:w="1431" w:type="pct"/>
                  <w:tcBorders>
                    <w:tl2br w:val="nil"/>
                    <w:tr2bl w:val="nil"/>
                  </w:tcBorders>
                  <w:noWrap w:val="0"/>
                  <w:vAlign w:val="center"/>
                </w:tcPr>
                <w:p w14:paraId="49D17ABF">
                  <w:pPr>
                    <w:keepNext w:val="0"/>
                    <w:keepLines w:val="0"/>
                    <w:pageBreakBefore w:val="0"/>
                    <w:widowControl w:val="0"/>
                    <w:kinsoku/>
                    <w:wordWrap/>
                    <w:overflowPunct/>
                    <w:topLinePunct w:val="0"/>
                    <w:autoSpaceDE/>
                    <w:autoSpaceDN/>
                    <w:bidi w:val="0"/>
                    <w:adjustRightInd w:val="0"/>
                    <w:snapToGrid w:val="0"/>
                    <w:spacing w:line="240" w:lineRule="auto"/>
                    <w:ind w:right="0"/>
                    <w:jc w:val="center"/>
                    <w:textAlignment w:val="auto"/>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本项目不在自然保护区范围之内</w:t>
                  </w:r>
                </w:p>
              </w:tc>
              <w:tc>
                <w:tcPr>
                  <w:tcW w:w="285" w:type="pct"/>
                  <w:tcBorders>
                    <w:tl2br w:val="nil"/>
                    <w:tr2bl w:val="nil"/>
                  </w:tcBorders>
                  <w:noWrap w:val="0"/>
                  <w:vAlign w:val="center"/>
                </w:tcPr>
                <w:p w14:paraId="5804018F">
                  <w:pPr>
                    <w:keepNext w:val="0"/>
                    <w:keepLines w:val="0"/>
                    <w:pageBreakBefore w:val="0"/>
                    <w:widowControl w:val="0"/>
                    <w:kinsoku/>
                    <w:wordWrap/>
                    <w:overflowPunct/>
                    <w:topLinePunct w:val="0"/>
                    <w:autoSpaceDE/>
                    <w:autoSpaceDN/>
                    <w:bidi w:val="0"/>
                    <w:adjustRightInd w:val="0"/>
                    <w:snapToGrid w:val="0"/>
                    <w:spacing w:line="240" w:lineRule="auto"/>
                    <w:ind w:right="0"/>
                    <w:jc w:val="center"/>
                    <w:textAlignment w:val="auto"/>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符合</w:t>
                  </w:r>
                </w:p>
              </w:tc>
            </w:tr>
            <w:tr w14:paraId="163294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85" w:type="pct"/>
                  <w:tcBorders>
                    <w:tl2br w:val="nil"/>
                    <w:tr2bl w:val="nil"/>
                  </w:tcBorders>
                  <w:noWrap w:val="0"/>
                  <w:vAlign w:val="center"/>
                </w:tcPr>
                <w:p w14:paraId="06441AE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b/>
                      <w:bCs/>
                      <w:color w:val="auto"/>
                      <w:kern w:val="2"/>
                      <w:sz w:val="21"/>
                      <w:szCs w:val="21"/>
                      <w:highlight w:val="none"/>
                      <w:vertAlign w:val="baseline"/>
                      <w:lang w:val="en-US" w:eastAsia="zh-CN" w:bidi="ar-SA"/>
                    </w:rPr>
                  </w:pPr>
                  <w:r>
                    <w:rPr>
                      <w:rFonts w:hint="default" w:ascii="Times New Roman" w:hAnsi="Times New Roman" w:eastAsia="宋体" w:cs="Times New Roman"/>
                      <w:color w:val="auto"/>
                      <w:kern w:val="0"/>
                      <w:sz w:val="21"/>
                      <w:szCs w:val="21"/>
                      <w:highlight w:val="none"/>
                      <w:lang w:val="en-US" w:eastAsia="zh-CN" w:bidi="ar"/>
                    </w:rPr>
                    <w:t>一般生态空间</w:t>
                  </w:r>
                </w:p>
              </w:tc>
              <w:tc>
                <w:tcPr>
                  <w:tcW w:w="283" w:type="pct"/>
                  <w:tcBorders>
                    <w:tl2br w:val="nil"/>
                    <w:tr2bl w:val="nil"/>
                  </w:tcBorders>
                  <w:noWrap w:val="0"/>
                  <w:vAlign w:val="center"/>
                </w:tcPr>
                <w:p w14:paraId="7C4DE10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b/>
                      <w:bCs/>
                      <w:color w:val="auto"/>
                      <w:kern w:val="2"/>
                      <w:sz w:val="21"/>
                      <w:szCs w:val="21"/>
                      <w:highlight w:val="none"/>
                      <w:vertAlign w:val="baseline"/>
                      <w:lang w:val="en-US" w:eastAsia="zh-CN" w:bidi="ar-SA"/>
                    </w:rPr>
                  </w:pPr>
                  <w:r>
                    <w:rPr>
                      <w:rFonts w:hint="default" w:ascii="Times New Roman" w:hAnsi="Times New Roman" w:eastAsia="宋体" w:cs="Times New Roman"/>
                      <w:color w:val="auto"/>
                      <w:kern w:val="0"/>
                      <w:sz w:val="21"/>
                      <w:szCs w:val="21"/>
                      <w:highlight w:val="none"/>
                      <w:lang w:val="en-US" w:eastAsia="zh-CN" w:bidi="ar"/>
                    </w:rPr>
                    <w:t>总体要求</w:t>
                  </w:r>
                </w:p>
              </w:tc>
              <w:tc>
                <w:tcPr>
                  <w:tcW w:w="283" w:type="pct"/>
                  <w:tcBorders>
                    <w:tl2br w:val="nil"/>
                    <w:tr2bl w:val="nil"/>
                  </w:tcBorders>
                  <w:noWrap w:val="0"/>
                  <w:vAlign w:val="center"/>
                </w:tcPr>
                <w:p w14:paraId="3F251FD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kern w:val="0"/>
                      <w:sz w:val="21"/>
                      <w:szCs w:val="21"/>
                      <w:highlight w:val="none"/>
                      <w:lang w:val="en-US" w:eastAsia="zh-CN" w:bidi="ar"/>
                    </w:rPr>
                    <w:t>空间布局约束</w:t>
                  </w:r>
                </w:p>
              </w:tc>
              <w:tc>
                <w:tcPr>
                  <w:tcW w:w="2429" w:type="pct"/>
                  <w:tcBorders>
                    <w:tl2br w:val="nil"/>
                    <w:tr2bl w:val="nil"/>
                  </w:tcBorders>
                  <w:noWrap w:val="0"/>
                  <w:vAlign w:val="center"/>
                </w:tcPr>
                <w:p w14:paraId="3CDF4EDA">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1、根据生态功能保护区的资源禀赋、环境容量，合理确定区域产业发展方向，限制高污染、高能耗、高物耗产业的发展。要依法淘汰严重污染环境、严重破坏区域生态、严重浪费资源能源的产业，要依法关闭破坏资源、污染环境和损害生态系统功能的企业。</w:t>
                  </w:r>
                </w:p>
                <w:p w14:paraId="46FC204E">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2、应当按照限制性开发区域管理，限制进行大规模高强度工业化城镇化开发，以保持并提高生态产品供给能力。形成点状开发、面上保护的空间结构。开发强度得到有效控制，保有大片开敞生态空间，水面、湿地、林地、草地等绿色生态空间扩大，人类活动水平的空间控制在目前水平。</w:t>
                  </w:r>
                </w:p>
                <w:p w14:paraId="7E23BC2C">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3、3区域内要严格开发区管理，原则上不再新建各类开发区和扩大现有工业开发区的面积，已有的工业开发区要逐步改造成低消耗、可循环、少排放、“零污染”的生态型工业区。</w:t>
                  </w:r>
                </w:p>
                <w:p w14:paraId="7E0B246B">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4、严格控制矿产资源开发。禁止在生态保护红线内、永久基本农田、城镇开发边界内、自然保护区、风景名胜区、饮用水水源保护区、地质遗迹保护区、文物保护单位的保护范围内和铁路高速公路国道两侧各1000米范围内新批固体矿产资源开发项目，严格控制新批液体、气体矿产资源开发项目。</w:t>
                  </w:r>
                </w:p>
                <w:p w14:paraId="068A44FB">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5、新建非煤矿山，应当按照绿色矿山建设规范建设。已有非煤矿山，应当按照绿色矿山建设规范升级改造，逐步达到绿色矿山建设标准。</w:t>
                  </w:r>
                </w:p>
                <w:p w14:paraId="6CB0BA7A">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6、严格控制新增建设占用生态保护红线外的生态空间。符合区域准入条件的建设项目，涉及占用生态空间中的林地、草原等，按有关法律法规规定办理</w:t>
                  </w:r>
                  <w:r>
                    <w:rPr>
                      <w:rFonts w:hint="eastAsia" w:ascii="Times New Roman" w:hAnsi="Times New Roman" w:cs="Times New Roman"/>
                      <w:b w:val="0"/>
                      <w:bCs w:val="0"/>
                      <w:color w:val="auto"/>
                      <w:kern w:val="2"/>
                      <w:sz w:val="21"/>
                      <w:szCs w:val="21"/>
                      <w:highlight w:val="none"/>
                      <w:u w:val="none"/>
                      <w:shd w:val="clear" w:color="auto" w:fill="auto"/>
                      <w:vertAlign w:val="baseline"/>
                      <w:lang w:val="en-US" w:eastAsia="zh-CN" w:bidi="ar-SA"/>
                    </w:rPr>
                    <w:t>：</w:t>
                  </w: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涉及占用生态空间中其他未作明确规定的用地，应当加强论证和管理。</w:t>
                  </w:r>
                </w:p>
                <w:p w14:paraId="336FEEFB">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7、严格限制农业开发占用生态保护红线外的生态空间，符合条件的农业开发项目，须依法由市县级及以上地方人民政府统筹安排。生态保护红线外的耕地，除符合国家生态退耕条件，并纳入国家生态退耕总体安排，或因国家重大生态工程建设需要外，不得随意转用。</w:t>
                  </w:r>
                </w:p>
              </w:tc>
              <w:tc>
                <w:tcPr>
                  <w:tcW w:w="1431" w:type="pct"/>
                  <w:tcBorders>
                    <w:tl2br w:val="nil"/>
                    <w:tr2bl w:val="nil"/>
                  </w:tcBorders>
                  <w:noWrap w:val="0"/>
                  <w:vAlign w:val="center"/>
                </w:tcPr>
                <w:p w14:paraId="33C76799">
                  <w:pPr>
                    <w:keepNext w:val="0"/>
                    <w:keepLines w:val="0"/>
                    <w:pageBreakBefore w:val="0"/>
                    <w:widowControl w:val="0"/>
                    <w:kinsoku/>
                    <w:wordWrap/>
                    <w:overflowPunct/>
                    <w:topLinePunct w:val="0"/>
                    <w:autoSpaceDE/>
                    <w:autoSpaceDN/>
                    <w:bidi w:val="0"/>
                    <w:adjustRightInd w:val="0"/>
                    <w:snapToGrid w:val="0"/>
                    <w:spacing w:line="240" w:lineRule="auto"/>
                    <w:ind w:right="0"/>
                    <w:jc w:val="center"/>
                    <w:textAlignment w:val="auto"/>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本项目不属于</w:t>
                  </w:r>
                  <w:r>
                    <w:rPr>
                      <w:rFonts w:hint="default" w:ascii="Times New Roman" w:hAnsi="Times New Roman" w:eastAsia="宋体" w:cs="Times New Roman"/>
                      <w:b w:val="0"/>
                      <w:bCs w:val="0"/>
                      <w:color w:val="auto"/>
                      <w:kern w:val="0"/>
                      <w:sz w:val="21"/>
                      <w:szCs w:val="21"/>
                      <w:highlight w:val="none"/>
                      <w:u w:val="none"/>
                      <w:shd w:val="clear" w:color="auto" w:fill="auto"/>
                      <w:lang w:val="en-US" w:eastAsia="zh-CN" w:bidi="ar"/>
                    </w:rPr>
                    <w:t>高污染、高能耗、高物耗</w:t>
                  </w:r>
                  <w:r>
                    <w:rPr>
                      <w:rFonts w:hint="default" w:ascii="Times New Roman" w:hAnsi="Times New Roman" w:eastAsia="宋体" w:cs="Times New Roman"/>
                      <w:color w:val="auto"/>
                      <w:sz w:val="21"/>
                      <w:szCs w:val="21"/>
                      <w:highlight w:val="none"/>
                      <w:vertAlign w:val="baseline"/>
                      <w:lang w:val="en-US" w:eastAsia="zh-CN"/>
                    </w:rPr>
                    <w:t>项目；项目所在地不占用</w:t>
                  </w:r>
                  <w:r>
                    <w:rPr>
                      <w:rFonts w:hint="default" w:ascii="Times New Roman" w:hAnsi="Times New Roman" w:eastAsia="宋体" w:cs="Times New Roman"/>
                      <w:b w:val="0"/>
                      <w:bCs w:val="0"/>
                      <w:color w:val="auto"/>
                      <w:kern w:val="0"/>
                      <w:sz w:val="21"/>
                      <w:szCs w:val="21"/>
                      <w:highlight w:val="none"/>
                      <w:u w:val="none"/>
                      <w:shd w:val="clear" w:color="auto" w:fill="auto"/>
                      <w:lang w:val="en-US" w:eastAsia="zh-CN" w:bidi="ar"/>
                    </w:rPr>
                    <w:t>生态空间中的水面、湿地、林地、草地等。</w:t>
                  </w:r>
                </w:p>
              </w:tc>
              <w:tc>
                <w:tcPr>
                  <w:tcW w:w="285" w:type="pct"/>
                  <w:tcBorders>
                    <w:tl2br w:val="nil"/>
                    <w:tr2bl w:val="nil"/>
                  </w:tcBorders>
                  <w:noWrap w:val="0"/>
                  <w:vAlign w:val="center"/>
                </w:tcPr>
                <w:p w14:paraId="5A997F04">
                  <w:pPr>
                    <w:keepNext w:val="0"/>
                    <w:keepLines w:val="0"/>
                    <w:pageBreakBefore w:val="0"/>
                    <w:widowControl w:val="0"/>
                    <w:kinsoku/>
                    <w:wordWrap/>
                    <w:overflowPunct/>
                    <w:topLinePunct w:val="0"/>
                    <w:autoSpaceDE/>
                    <w:autoSpaceDN/>
                    <w:bidi w:val="0"/>
                    <w:adjustRightInd w:val="0"/>
                    <w:snapToGrid w:val="0"/>
                    <w:spacing w:line="240" w:lineRule="auto"/>
                    <w:ind w:right="0"/>
                    <w:jc w:val="center"/>
                    <w:textAlignment w:val="auto"/>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符合</w:t>
                  </w:r>
                </w:p>
              </w:tc>
            </w:tr>
            <w:tr w14:paraId="24EC97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85" w:type="pct"/>
                  <w:vMerge w:val="restart"/>
                  <w:tcBorders>
                    <w:tl2br w:val="nil"/>
                    <w:tr2bl w:val="nil"/>
                  </w:tcBorders>
                  <w:noWrap w:val="0"/>
                  <w:vAlign w:val="center"/>
                </w:tcPr>
                <w:p w14:paraId="7D96975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kern w:val="0"/>
                      <w:sz w:val="21"/>
                      <w:szCs w:val="21"/>
                      <w:highlight w:val="none"/>
                      <w:lang w:val="en-US" w:eastAsia="zh-CN" w:bidi="ar"/>
                    </w:rPr>
                    <w:t>大气环境</w:t>
                  </w:r>
                </w:p>
              </w:tc>
              <w:tc>
                <w:tcPr>
                  <w:tcW w:w="567" w:type="pct"/>
                  <w:gridSpan w:val="2"/>
                  <w:tcBorders>
                    <w:tl2br w:val="nil"/>
                    <w:tr2bl w:val="nil"/>
                  </w:tcBorders>
                  <w:noWrap w:val="0"/>
                  <w:vAlign w:val="center"/>
                </w:tcPr>
                <w:p w14:paraId="1956D16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kern w:val="0"/>
                      <w:sz w:val="21"/>
                      <w:szCs w:val="21"/>
                      <w:highlight w:val="none"/>
                      <w:lang w:val="en-US" w:eastAsia="zh-CN" w:bidi="ar"/>
                    </w:rPr>
                    <w:t>空间布局约束</w:t>
                  </w:r>
                </w:p>
              </w:tc>
              <w:tc>
                <w:tcPr>
                  <w:tcW w:w="2429" w:type="pct"/>
                  <w:tcBorders>
                    <w:tl2br w:val="nil"/>
                    <w:tr2bl w:val="nil"/>
                  </w:tcBorders>
                  <w:noWrap w:val="0"/>
                  <w:vAlign w:val="center"/>
                </w:tcPr>
                <w:p w14:paraId="423ABDC2">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1、全面推进沿海、迁安、滦州、迁西(遵化)4大片区规划建设，加快推进钢铁企业整合搬迁项目建设，推进“公转铁”、“公转水”和物料集中输送管廊项目建设，形成“沿海临港、铁路沿线”产业新布局。</w:t>
                  </w:r>
                </w:p>
                <w:p w14:paraId="5E46381F">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2、严禁违规新增钢铁、焦化、水泥、平板玻璃等产能，依法推动独立焦化、独立石灰、独立球团逐步退出。</w:t>
                  </w:r>
                </w:p>
                <w:p w14:paraId="0C3F43AA">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3、新(改、扩)建项目严格执行产能置换、煤炭替代和污染物倍量削减替代制度，当地有相关园区规划的，原则上要进入园区并配套建设高效环保治理设施，符合园区规划环评、建设项目环评要求。</w:t>
                  </w:r>
                </w:p>
                <w:p w14:paraId="5EF5C850">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4、基本取缔燃煤热风炉和钢铁行业燃煤供热锅炉，基本淘汰热电联产供热管网覆盖范围内的燃煤加热、烘干炉(窑)。</w:t>
                  </w:r>
                </w:p>
                <w:p w14:paraId="0D546AAF">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5、企业事业单位和其他生产经营者应当在规定期限内，淘汰列入河北省淘汰落后生产工艺、设备和产品名录的生产工艺、设备和产品。</w:t>
                  </w:r>
                </w:p>
              </w:tc>
              <w:tc>
                <w:tcPr>
                  <w:tcW w:w="1431" w:type="pct"/>
                  <w:tcBorders>
                    <w:tl2br w:val="nil"/>
                    <w:tr2bl w:val="nil"/>
                  </w:tcBorders>
                  <w:noWrap w:val="0"/>
                  <w:vAlign w:val="center"/>
                </w:tcPr>
                <w:p w14:paraId="527C3F93">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kern w:val="0"/>
                      <w:sz w:val="21"/>
                      <w:szCs w:val="21"/>
                      <w:highlight w:val="none"/>
                      <w:lang w:val="en-US" w:eastAsia="zh-CN" w:bidi="ar"/>
                    </w:rPr>
                    <w:t>本项目生产不用热，不使用</w:t>
                  </w:r>
                  <w:r>
                    <w:rPr>
                      <w:rFonts w:hint="default" w:ascii="Times New Roman" w:hAnsi="Times New Roman" w:eastAsia="宋体" w:cs="Times New Roman"/>
                      <w:b w:val="0"/>
                      <w:bCs w:val="0"/>
                      <w:color w:val="auto"/>
                      <w:kern w:val="0"/>
                      <w:sz w:val="21"/>
                      <w:szCs w:val="21"/>
                      <w:highlight w:val="none"/>
                      <w:u w:val="none"/>
                      <w:shd w:val="clear" w:color="auto" w:fill="auto"/>
                      <w:lang w:val="en-US" w:eastAsia="zh-CN" w:bidi="ar"/>
                    </w:rPr>
                    <w:t>河北省淘汰落后生产工艺、设备和产品名录的生产工艺、设备和产品</w:t>
                  </w:r>
                  <w:r>
                    <w:rPr>
                      <w:rFonts w:hint="eastAsia" w:cs="Times New Roman"/>
                      <w:b w:val="0"/>
                      <w:bCs w:val="0"/>
                      <w:color w:val="auto"/>
                      <w:kern w:val="0"/>
                      <w:sz w:val="21"/>
                      <w:szCs w:val="21"/>
                      <w:highlight w:val="none"/>
                      <w:u w:val="none"/>
                      <w:shd w:val="clear" w:color="auto" w:fill="auto"/>
                      <w:lang w:val="en-US" w:eastAsia="zh-CN" w:bidi="ar"/>
                    </w:rPr>
                    <w:t>，</w:t>
                  </w:r>
                  <w:r>
                    <w:rPr>
                      <w:rFonts w:hint="eastAsia"/>
                      <w:color w:val="auto"/>
                      <w:sz w:val="21"/>
                      <w:szCs w:val="21"/>
                      <w:lang w:val="en-US" w:eastAsia="zh-CN"/>
                    </w:rPr>
                    <w:t>项目</w:t>
                  </w:r>
                  <w:r>
                    <w:rPr>
                      <w:rFonts w:hint="default" w:ascii="Times New Roman" w:hAnsi="Times New Roman" w:eastAsia="宋体" w:cs="Times New Roman"/>
                      <w:color w:val="auto"/>
                      <w:sz w:val="21"/>
                      <w:szCs w:val="21"/>
                      <w:highlight w:val="none"/>
                      <w:lang w:val="en-US" w:eastAsia="zh-CN"/>
                    </w:rPr>
                    <w:t>位于曹妃甸循环经济示范区港口物流园区内</w:t>
                  </w:r>
                  <w:r>
                    <w:rPr>
                      <w:rFonts w:hint="eastAsia" w:cs="Times New Roman"/>
                      <w:color w:val="auto"/>
                      <w:sz w:val="21"/>
                      <w:szCs w:val="21"/>
                      <w:highlight w:val="none"/>
                      <w:lang w:val="en-US" w:eastAsia="zh-CN"/>
                    </w:rPr>
                    <w:t>，</w:t>
                  </w:r>
                  <w:r>
                    <w:rPr>
                      <w:rFonts w:hint="eastAsia" w:ascii="Times New Roman" w:hAnsi="Times New Roman" w:eastAsia="宋体" w:cs="Times New Roman"/>
                      <w:color w:val="auto"/>
                      <w:sz w:val="21"/>
                      <w:szCs w:val="21"/>
                      <w:highlight w:val="none"/>
                      <w:lang w:val="en-US" w:eastAsia="zh-CN"/>
                    </w:rPr>
                    <w:t>符合港口物流园区规划</w:t>
                  </w:r>
                  <w:r>
                    <w:rPr>
                      <w:rFonts w:hint="default" w:ascii="Times New Roman" w:hAnsi="Times New Roman" w:eastAsia="宋体" w:cs="Times New Roman"/>
                      <w:color w:val="auto"/>
                      <w:sz w:val="21"/>
                      <w:szCs w:val="21"/>
                      <w:highlight w:val="none"/>
                      <w:lang w:val="en-US" w:eastAsia="zh-CN"/>
                    </w:rPr>
                    <w:t>。</w:t>
                  </w:r>
                </w:p>
              </w:tc>
              <w:tc>
                <w:tcPr>
                  <w:tcW w:w="285" w:type="pct"/>
                  <w:tcBorders>
                    <w:tl2br w:val="nil"/>
                    <w:tr2bl w:val="nil"/>
                  </w:tcBorders>
                  <w:noWrap w:val="0"/>
                  <w:vAlign w:val="center"/>
                </w:tcPr>
                <w:p w14:paraId="5863E9D9">
                  <w:pPr>
                    <w:keepNext w:val="0"/>
                    <w:keepLines w:val="0"/>
                    <w:pageBreakBefore w:val="0"/>
                    <w:widowControl w:val="0"/>
                    <w:kinsoku/>
                    <w:wordWrap/>
                    <w:overflowPunct/>
                    <w:topLinePunct w:val="0"/>
                    <w:autoSpaceDE/>
                    <w:autoSpaceDN/>
                    <w:bidi w:val="0"/>
                    <w:adjustRightInd w:val="0"/>
                    <w:snapToGrid w:val="0"/>
                    <w:spacing w:line="240" w:lineRule="auto"/>
                    <w:ind w:right="0" w:rightChars="0"/>
                    <w:jc w:val="center"/>
                    <w:textAlignment w:val="auto"/>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符合</w:t>
                  </w:r>
                </w:p>
              </w:tc>
            </w:tr>
            <w:tr w14:paraId="252CF8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85" w:type="pct"/>
                  <w:vMerge w:val="continue"/>
                  <w:tcBorders>
                    <w:tl2br w:val="nil"/>
                    <w:tr2bl w:val="nil"/>
                  </w:tcBorders>
                  <w:noWrap w:val="0"/>
                  <w:vAlign w:val="center"/>
                </w:tcPr>
                <w:p w14:paraId="34908C5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kern w:val="0"/>
                      <w:sz w:val="21"/>
                      <w:szCs w:val="21"/>
                      <w:highlight w:val="none"/>
                      <w:lang w:val="en-US" w:eastAsia="zh-CN" w:bidi="ar"/>
                    </w:rPr>
                  </w:pPr>
                </w:p>
              </w:tc>
              <w:tc>
                <w:tcPr>
                  <w:tcW w:w="567" w:type="pct"/>
                  <w:gridSpan w:val="2"/>
                  <w:tcBorders>
                    <w:tl2br w:val="nil"/>
                    <w:tr2bl w:val="nil"/>
                  </w:tcBorders>
                  <w:noWrap w:val="0"/>
                  <w:vAlign w:val="center"/>
                </w:tcPr>
                <w:p w14:paraId="7FD7D5A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kern w:val="0"/>
                      <w:sz w:val="21"/>
                      <w:szCs w:val="21"/>
                      <w:highlight w:val="none"/>
                      <w:lang w:val="en-US" w:eastAsia="zh-CN" w:bidi="ar"/>
                    </w:rPr>
                    <w:t>污染物排放管控</w:t>
                  </w:r>
                </w:p>
              </w:tc>
              <w:tc>
                <w:tcPr>
                  <w:tcW w:w="2429" w:type="pct"/>
                  <w:tcBorders>
                    <w:tl2br w:val="nil"/>
                    <w:tr2bl w:val="nil"/>
                  </w:tcBorders>
                  <w:noWrap w:val="0"/>
                  <w:vAlign w:val="center"/>
                </w:tcPr>
                <w:p w14:paraId="324A30AE">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1、细颗粒物（PM2.5）年平均浓度不达标的城市，二氧化硫、氮氧化物、烟粉尘、挥发性有机物四项污染物均需进行2倍削减替代（燃煤发电机组大气污染物排放浓度基本达到燃气轮机组排放限值的除外）。</w:t>
                  </w:r>
                </w:p>
                <w:p w14:paraId="105C2ED0">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2、35蒸吨以上燃煤锅炉、燃油（醇基燃料）锅炉、燃用生物质专用锅炉各污染物排放浓度达到《河北省锅炉大气污染物排放标准（DB13/5161）》要求；燃煤气、天然气锅炉各污染物排放浓度达到《唐山市锅炉治理专项实施方案》（唐气领办〔2019〕10号）要求。</w:t>
                  </w:r>
                </w:p>
                <w:p w14:paraId="3AAFAB08">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3、加强农村燃煤污染治理：（一）推广使用民用清洁燃烧炉具，加快淘汰低效直燃式高污染炉具，严禁生产、销售、使用不符合环保要求的炉具；（二）加强洁净型煤、优质煤炭的推广使用，实现农村地区洁净型煤配送网点建设全覆盖，严禁使用高硫分和劣质煤炭；（三）推广太阳能、电能、燃气、沼气、地热等使用，加强农作物秸秆能源化，推进农村清洁能源的替代和开发利用。</w:t>
                  </w:r>
                </w:p>
                <w:p w14:paraId="37F171C0">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4、对保留的工业炉窑开展环保提标改造，配套建设高效脱硫脱硝除尘设施，确保稳定达标排放。加快推进钢铁行业超低排放改造，积极推进平板玻璃行业和水泥行业污染治理升级改造。鼓励具备条件的陶瓷企业陶瓷窑、喷雾干燥塔开展超低排放改造。平板玻璃、建筑陶瓷企业逐步取消脱硫脱硝烟气旁路或设置备用脱硫脱硝等设施，鼓励水泥企业实施全流程污染深度治理。推进具备条件的焦化企业实施干熄焦改造。在保证生产安全前提下，钢铁烧结（球团）、高炉、转炉、轧钢工序实施车间封闭生产。对标行业先进，持续推动污染物排放总量降低。</w:t>
                  </w:r>
                </w:p>
                <w:p w14:paraId="2B592DC8">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5、推广新能源机动车，建设相应的充电站（桩）、加气站等基础设施，新建居民住宅小区停车位应当建设相应的充电设施；鼓励和支持公共交通、出租车、环境卫生、邮政、快递等行业用车和公务用车率先使用新能源机动车。加强城市步行和自行车交通系统建设，引导公众绿色、低碳出行。船舶靠港后应当优先使用岸电。新建码头应当规划、设计和建设岸基供电设施；已建成的码头应当逐步实施岸基供电设施改造。</w:t>
                  </w:r>
                </w:p>
                <w:p w14:paraId="77D9BADD">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6、加快油品质量升级。停止销售低于国Ⅵ标准的汽柴油，实现车用柴油、普通柴油、部分船舶用油“三油并轨”。</w:t>
                  </w:r>
                </w:p>
                <w:p w14:paraId="0DBF93C6">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7、推进矿山综合整治。按照“能关则关、应合尽合、能转则转”的原则，对违反法律法规、列入关闭计划、整改不达标、乱采滥挖的矿山，依法依规坚决关闭取缔。</w:t>
                  </w:r>
                </w:p>
                <w:p w14:paraId="5C89BA34">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8、强化建筑施工扬尘污染防治，严格落实《河北省扬尘污染防治办法》，对城市建成区、县城建筑施工工地实施全面监管。强化道路扬尘综合治理，按照《河北省城市精细化管理标准》有关要求，全面巩固洁净城市创建成果。</w:t>
                  </w:r>
                </w:p>
                <w:p w14:paraId="300D6B75">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9、深化重点行业深度治理。巩固钢铁、焦化、煤电、水泥、平板玻璃等重点行业超低排放改造成效，实施工艺全流程深度治理，推进全过程无组织排放管控。</w:t>
                  </w:r>
                </w:p>
                <w:p w14:paraId="615C98CA">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10、加强重污染天气应急联动。加强污染气象条件和空气污染监测、预报预警和评估能力建设，建成全市区域传输监控预警系统，提高重污染天气预报预警的准确度。加大秋冬季工业企业生产调控力度，按照基本抵消新增污染物排放量的原则，对钢铁、建材、焦化、铸造、化工等高排放行业实行强化管控。</w:t>
                  </w:r>
                </w:p>
                <w:p w14:paraId="1CEB7CD4">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11、强化柴油货车污染防治。加快柴油货车治理，推动货运经营整合升级、提质增效，加快规模化发展、连锁化经营。实施清洁柴油车、清洁运输和清洁油品行动，降低污染排放总量。</w:t>
                  </w:r>
                </w:p>
                <w:p w14:paraId="019642A6">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12、禁止露天焚烧秸秆、落叶、枯草等产生烟尘污染的物质，以及电子废弃物、油毡、橡胶、塑料、皮革、沥青、垃圾等产生有毒有害、恶臭或者强烈异味气体的物质。</w:t>
                  </w:r>
                </w:p>
              </w:tc>
              <w:tc>
                <w:tcPr>
                  <w:tcW w:w="1431" w:type="pct"/>
                  <w:tcBorders>
                    <w:tl2br w:val="nil"/>
                    <w:tr2bl w:val="nil"/>
                  </w:tcBorders>
                  <w:noWrap w:val="0"/>
                  <w:vAlign w:val="center"/>
                </w:tcPr>
                <w:p w14:paraId="0C2152EF">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kern w:val="0"/>
                      <w:sz w:val="21"/>
                      <w:szCs w:val="21"/>
                      <w:highlight w:val="none"/>
                      <w:lang w:val="en-US" w:eastAsia="zh-CN" w:bidi="ar"/>
                    </w:rPr>
                    <w:t>本项目为新建项目；本项目使用新能源机动车，厂区内建设充电桩。</w:t>
                  </w:r>
                </w:p>
              </w:tc>
              <w:tc>
                <w:tcPr>
                  <w:tcW w:w="285" w:type="pct"/>
                  <w:tcBorders>
                    <w:tl2br w:val="nil"/>
                    <w:tr2bl w:val="nil"/>
                  </w:tcBorders>
                  <w:noWrap w:val="0"/>
                  <w:vAlign w:val="center"/>
                </w:tcPr>
                <w:p w14:paraId="10820E51">
                  <w:pPr>
                    <w:keepNext w:val="0"/>
                    <w:keepLines w:val="0"/>
                    <w:pageBreakBefore w:val="0"/>
                    <w:widowControl w:val="0"/>
                    <w:kinsoku/>
                    <w:wordWrap/>
                    <w:overflowPunct/>
                    <w:topLinePunct w:val="0"/>
                    <w:autoSpaceDE/>
                    <w:autoSpaceDN/>
                    <w:bidi w:val="0"/>
                    <w:adjustRightInd w:val="0"/>
                    <w:snapToGrid w:val="0"/>
                    <w:spacing w:line="240" w:lineRule="auto"/>
                    <w:ind w:right="0" w:rightChars="0"/>
                    <w:jc w:val="center"/>
                    <w:textAlignment w:val="auto"/>
                    <w:rPr>
                      <w:rFonts w:hint="default" w:ascii="Times New Roman" w:hAnsi="Times New Roman" w:eastAsia="宋体" w:cs="Times New Roman"/>
                      <w:color w:val="auto"/>
                      <w:kern w:val="2"/>
                      <w:sz w:val="21"/>
                      <w:szCs w:val="21"/>
                      <w:highlight w:val="none"/>
                      <w:vertAlign w:val="baseline"/>
                      <w:lang w:val="en-US" w:eastAsia="zh-CN" w:bidi="ar-SA"/>
                    </w:rPr>
                  </w:pPr>
                  <w:r>
                    <w:rPr>
                      <w:rFonts w:hint="default" w:ascii="Times New Roman" w:hAnsi="Times New Roman" w:eastAsia="宋体" w:cs="Times New Roman"/>
                      <w:color w:val="auto"/>
                      <w:sz w:val="21"/>
                      <w:szCs w:val="21"/>
                      <w:highlight w:val="none"/>
                      <w:vertAlign w:val="baseline"/>
                      <w:lang w:val="en-US" w:eastAsia="zh-CN"/>
                    </w:rPr>
                    <w:t>符合</w:t>
                  </w:r>
                </w:p>
              </w:tc>
            </w:tr>
            <w:tr w14:paraId="3A85F9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85" w:type="pct"/>
                  <w:vMerge w:val="restart"/>
                  <w:tcBorders>
                    <w:tl2br w:val="nil"/>
                    <w:tr2bl w:val="nil"/>
                  </w:tcBorders>
                  <w:noWrap w:val="0"/>
                  <w:vAlign w:val="center"/>
                </w:tcPr>
                <w:p w14:paraId="7584187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kern w:val="0"/>
                      <w:sz w:val="21"/>
                      <w:szCs w:val="21"/>
                      <w:highlight w:val="none"/>
                      <w:lang w:val="en-US" w:eastAsia="zh-CN" w:bidi="ar"/>
                    </w:rPr>
                    <w:t>地表水环境</w:t>
                  </w:r>
                </w:p>
              </w:tc>
              <w:tc>
                <w:tcPr>
                  <w:tcW w:w="567" w:type="pct"/>
                  <w:gridSpan w:val="2"/>
                  <w:tcBorders>
                    <w:tl2br w:val="nil"/>
                    <w:tr2bl w:val="nil"/>
                  </w:tcBorders>
                  <w:noWrap w:val="0"/>
                  <w:vAlign w:val="center"/>
                </w:tcPr>
                <w:p w14:paraId="0B3216F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kern w:val="0"/>
                      <w:sz w:val="21"/>
                      <w:szCs w:val="21"/>
                      <w:highlight w:val="none"/>
                      <w:lang w:val="en-US" w:eastAsia="zh-CN" w:bidi="ar"/>
                    </w:rPr>
                    <w:t>空间布局约束</w:t>
                  </w:r>
                </w:p>
              </w:tc>
              <w:tc>
                <w:tcPr>
                  <w:tcW w:w="2429" w:type="pct"/>
                  <w:tcBorders>
                    <w:tl2br w:val="nil"/>
                    <w:tr2bl w:val="nil"/>
                  </w:tcBorders>
                  <w:noWrap w:val="0"/>
                  <w:vAlign w:val="center"/>
                </w:tcPr>
                <w:p w14:paraId="1F8AD89E">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1、涉地表水自然保护区、湿地公园、饮用水水源保护区管控参照生态环境空间总体管控要求中各类保护地总体管控要求。</w:t>
                  </w:r>
                </w:p>
                <w:p w14:paraId="4AFBAFBC">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2、鼓励发展节水高效现代农业、低耗水高新技术产业以及生态保护型旅游业，严格控制缺水地区、水污染严重地区和敏感区域高耗水、高污染行业发展。</w:t>
                  </w:r>
                </w:p>
                <w:p w14:paraId="3AFC267F">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3、全市重点河流沿岸、重要饮用水水源地补给区，严格控制化学原料和化学制品制造、医药制造、制革、造纸、焦化、化学纤维制造、石油加工、纺织印染等项目环境风险，合理布局生产装置及危险化学品仓储等设施。重大项目原则上布局在优化开发区和重点开发区，并符合城乡规划和土地利用总体规划。</w:t>
                  </w:r>
                </w:p>
                <w:p w14:paraId="08C96EB4">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4、未按照规定完成污水集中处理设施以及管网建设的工业园区（工业集聚区），暂停审批和核准其增加水污染物排放的建设项目。向污水集中处理设施排放工业废水的，应当按照国家有关规定进行预处理，达到集中处理设施处理工艺要求后方可排放。</w:t>
                  </w:r>
                </w:p>
                <w:p w14:paraId="55D1973C">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5、推进现有企业向依法合规设立、环保设施齐全、符合规划环评要求、满足水法律法规规定的工业集聚区集中，明确涉水工业企业入园时间表；确因不具备入园条件需原地保留的涉水工业企业，明确保留条件，其中直排环境企业应达到排入水体功能区标准。</w:t>
                  </w:r>
                </w:p>
              </w:tc>
              <w:tc>
                <w:tcPr>
                  <w:tcW w:w="1431" w:type="pct"/>
                  <w:tcBorders>
                    <w:tl2br w:val="nil"/>
                    <w:tr2bl w:val="nil"/>
                  </w:tcBorders>
                  <w:noWrap w:val="0"/>
                  <w:vAlign w:val="center"/>
                </w:tcPr>
                <w:p w14:paraId="00DF002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kern w:val="0"/>
                      <w:sz w:val="21"/>
                      <w:szCs w:val="21"/>
                      <w:highlight w:val="none"/>
                      <w:lang w:val="en-US" w:eastAsia="zh-CN" w:bidi="ar"/>
                    </w:rPr>
                    <w:t>本项目</w:t>
                  </w:r>
                  <w:r>
                    <w:rPr>
                      <w:rFonts w:hint="eastAsia" w:ascii="Times New Roman" w:hAnsi="Times New Roman" w:eastAsia="宋体" w:cs="Times New Roman"/>
                      <w:color w:val="auto"/>
                      <w:kern w:val="0"/>
                      <w:sz w:val="21"/>
                      <w:szCs w:val="21"/>
                      <w:highlight w:val="none"/>
                      <w:lang w:val="en-US" w:eastAsia="zh-CN" w:bidi="ar"/>
                    </w:rPr>
                    <w:t>配煤压滤废水部分原料吸附</w:t>
                  </w:r>
                  <w:r>
                    <w:rPr>
                      <w:rFonts w:hint="eastAsia" w:cs="Times New Roman"/>
                      <w:color w:val="auto"/>
                      <w:kern w:val="0"/>
                      <w:sz w:val="21"/>
                      <w:szCs w:val="21"/>
                      <w:highlight w:val="none"/>
                      <w:lang w:val="en-US" w:eastAsia="zh-CN" w:bidi="ar"/>
                    </w:rPr>
                    <w:t>损耗</w:t>
                  </w:r>
                  <w:r>
                    <w:rPr>
                      <w:rFonts w:hint="eastAsia" w:ascii="Times New Roman" w:hAnsi="Times New Roman" w:eastAsia="宋体" w:cs="Times New Roman"/>
                      <w:color w:val="auto"/>
                      <w:kern w:val="0"/>
                      <w:sz w:val="21"/>
                      <w:szCs w:val="21"/>
                      <w:highlight w:val="none"/>
                      <w:lang w:val="en-US" w:eastAsia="zh-CN" w:bidi="ar"/>
                    </w:rPr>
                    <w:t>，部分经清水池沉淀后回用于生产，</w:t>
                  </w:r>
                  <w:r>
                    <w:rPr>
                      <w:rFonts w:hint="default" w:ascii="Times New Roman" w:hAnsi="Times New Roman" w:eastAsia="宋体" w:cs="Times New Roman"/>
                      <w:color w:val="auto"/>
                      <w:kern w:val="0"/>
                      <w:sz w:val="21"/>
                      <w:szCs w:val="21"/>
                      <w:highlight w:val="none"/>
                      <w:lang w:val="en-US" w:eastAsia="zh-CN" w:bidi="ar"/>
                    </w:rPr>
                    <w:t>车辆冲洗废水部分蒸发损耗，部分经沉淀池沉淀后的清水回用于</w:t>
                  </w:r>
                  <w:r>
                    <w:rPr>
                      <w:rFonts w:hint="eastAsia" w:ascii="Times New Roman" w:hAnsi="Times New Roman" w:eastAsia="宋体" w:cs="Times New Roman"/>
                      <w:color w:val="auto"/>
                      <w:kern w:val="0"/>
                      <w:sz w:val="21"/>
                      <w:szCs w:val="21"/>
                      <w:highlight w:val="none"/>
                      <w:lang w:val="en-US" w:eastAsia="zh-CN" w:bidi="ar"/>
                    </w:rPr>
                    <w:t>车辆清洗</w:t>
                  </w:r>
                  <w:r>
                    <w:rPr>
                      <w:rFonts w:hint="default" w:ascii="Times New Roman" w:hAnsi="Times New Roman" w:eastAsia="宋体" w:cs="Times New Roman"/>
                      <w:color w:val="auto"/>
                      <w:kern w:val="0"/>
                      <w:sz w:val="21"/>
                      <w:szCs w:val="21"/>
                      <w:highlight w:val="none"/>
                      <w:lang w:val="en-US" w:eastAsia="zh-CN" w:bidi="ar"/>
                    </w:rPr>
                    <w:t>，均不外排；生活污水</w:t>
                  </w:r>
                  <w:r>
                    <w:rPr>
                      <w:rFonts w:hint="eastAsia" w:cs="Times New Roman"/>
                      <w:color w:val="auto"/>
                      <w:kern w:val="0"/>
                      <w:sz w:val="21"/>
                      <w:szCs w:val="21"/>
                      <w:highlight w:val="none"/>
                      <w:lang w:val="en-US" w:eastAsia="zh-CN" w:bidi="ar"/>
                    </w:rPr>
                    <w:t>、食堂废水</w:t>
                  </w:r>
                  <w:r>
                    <w:rPr>
                      <w:rFonts w:hint="default" w:ascii="Times New Roman" w:hAnsi="Times New Roman" w:eastAsia="宋体" w:cs="Times New Roman"/>
                      <w:color w:val="auto"/>
                      <w:kern w:val="0"/>
                      <w:sz w:val="21"/>
                      <w:szCs w:val="21"/>
                      <w:highlight w:val="none"/>
                      <w:lang w:val="en-US" w:eastAsia="zh-CN" w:bidi="ar"/>
                    </w:rPr>
                    <w:t>排入市政排水管网。</w:t>
                  </w:r>
                </w:p>
              </w:tc>
              <w:tc>
                <w:tcPr>
                  <w:tcW w:w="285" w:type="pct"/>
                  <w:tcBorders>
                    <w:tl2br w:val="nil"/>
                    <w:tr2bl w:val="nil"/>
                  </w:tcBorders>
                  <w:noWrap w:val="0"/>
                  <w:vAlign w:val="center"/>
                </w:tcPr>
                <w:p w14:paraId="6C6E8B1C">
                  <w:pPr>
                    <w:keepNext w:val="0"/>
                    <w:keepLines w:val="0"/>
                    <w:pageBreakBefore w:val="0"/>
                    <w:widowControl w:val="0"/>
                    <w:kinsoku/>
                    <w:wordWrap/>
                    <w:overflowPunct/>
                    <w:topLinePunct w:val="0"/>
                    <w:autoSpaceDE/>
                    <w:autoSpaceDN/>
                    <w:bidi w:val="0"/>
                    <w:adjustRightInd w:val="0"/>
                    <w:snapToGrid w:val="0"/>
                    <w:spacing w:line="240" w:lineRule="auto"/>
                    <w:ind w:right="0" w:rightChars="0"/>
                    <w:jc w:val="center"/>
                    <w:textAlignment w:val="auto"/>
                    <w:rPr>
                      <w:rFonts w:hint="default" w:ascii="Times New Roman" w:hAnsi="Times New Roman" w:eastAsia="宋体" w:cs="Times New Roman"/>
                      <w:color w:val="auto"/>
                      <w:kern w:val="2"/>
                      <w:sz w:val="21"/>
                      <w:szCs w:val="21"/>
                      <w:highlight w:val="none"/>
                      <w:vertAlign w:val="baseline"/>
                      <w:lang w:val="en-US" w:eastAsia="zh-CN" w:bidi="ar-SA"/>
                    </w:rPr>
                  </w:pPr>
                  <w:r>
                    <w:rPr>
                      <w:rFonts w:hint="default" w:ascii="Times New Roman" w:hAnsi="Times New Roman" w:eastAsia="宋体" w:cs="Times New Roman"/>
                      <w:color w:val="auto"/>
                      <w:sz w:val="21"/>
                      <w:szCs w:val="21"/>
                      <w:highlight w:val="none"/>
                      <w:vertAlign w:val="baseline"/>
                      <w:lang w:val="en-US" w:eastAsia="zh-CN"/>
                    </w:rPr>
                    <w:t>符合</w:t>
                  </w:r>
                </w:p>
              </w:tc>
            </w:tr>
            <w:tr w14:paraId="2EE1D0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85" w:type="pct"/>
                  <w:vMerge w:val="continue"/>
                  <w:tcBorders>
                    <w:tl2br w:val="nil"/>
                    <w:tr2bl w:val="nil"/>
                  </w:tcBorders>
                  <w:noWrap w:val="0"/>
                  <w:vAlign w:val="center"/>
                </w:tcPr>
                <w:p w14:paraId="1769D55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lang w:val="en-US" w:eastAsia="zh-CN" w:bidi="ar"/>
                    </w:rPr>
                  </w:pPr>
                </w:p>
              </w:tc>
              <w:tc>
                <w:tcPr>
                  <w:tcW w:w="567" w:type="pct"/>
                  <w:gridSpan w:val="2"/>
                  <w:tcBorders>
                    <w:tl2br w:val="nil"/>
                    <w:tr2bl w:val="nil"/>
                  </w:tcBorders>
                  <w:noWrap w:val="0"/>
                  <w:vAlign w:val="center"/>
                </w:tcPr>
                <w:p w14:paraId="35FFBE7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kern w:val="0"/>
                      <w:sz w:val="21"/>
                      <w:szCs w:val="21"/>
                      <w:highlight w:val="none"/>
                      <w:lang w:val="en-US" w:eastAsia="zh-CN" w:bidi="ar"/>
                    </w:rPr>
                    <w:t>污染物排放管控</w:t>
                  </w:r>
                </w:p>
              </w:tc>
              <w:tc>
                <w:tcPr>
                  <w:tcW w:w="2429" w:type="pct"/>
                  <w:tcBorders>
                    <w:tl2br w:val="nil"/>
                    <w:tr2bl w:val="nil"/>
                  </w:tcBorders>
                  <w:noWrap w:val="0"/>
                  <w:vAlign w:val="center"/>
                </w:tcPr>
                <w:p w14:paraId="71BAFFE6">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1、严格控制高污染、高耗水行业新增产能。产能过剩产业实行新增产能等量替代、涉水主要污染物排放同行业倍量替代。对造纸、焦化、氮肥、石油化工、印染、农副食品加工、原料药制造、制革、农药、电镀等“十大”重点行业，新建、改建、扩建项目实行新增主要污染物排放倍量替代。</w:t>
                  </w:r>
                </w:p>
                <w:p w14:paraId="53D2C2B4">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2、全面加强城镇污水管网建设，提升污水收集能力。扩大城镇污水管网覆盖范围，推进新建城区、扩建新区以及城乡结合部等污水截留、收集纳管；进一步加强城区支管、毛细管等管网建设，提高污水收集率。推进城镇排水系统雨污分流建设，新建城区、扩建新区、新开发区建设排水管网一律实行雨污分流；强化各县（市、区）城区和重点城镇污水管网建设，新建污水处理设施应与配套管网同步设计、同步建设、同步投运。推进初期雨水收集、处理与资源化利用。</w:t>
                  </w:r>
                </w:p>
                <w:p w14:paraId="0BA8E472">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3、强化工业污水限期达标整治。推进废水直排外环境的工业企业全面达标排放。强化入河排污口监督管理，推动入河排污口规范化建设，取缔非法入河排污口。加大超标排放整治力度，对超标和超总量的企业依法查处，对企业超标现象普遍、超标企业集中地区政府采取挂牌督办、公开约谈等措施。对整治仍不能达到要求且情节严重的企业，由所在地政府依法责令限期关闭。</w:t>
                  </w:r>
                </w:p>
              </w:tc>
              <w:tc>
                <w:tcPr>
                  <w:tcW w:w="1431" w:type="pct"/>
                  <w:tcBorders>
                    <w:tl2br w:val="nil"/>
                    <w:tr2bl w:val="nil"/>
                  </w:tcBorders>
                  <w:noWrap w:val="0"/>
                  <w:vAlign w:val="center"/>
                </w:tcPr>
                <w:p w14:paraId="7BD84EC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kern w:val="0"/>
                      <w:sz w:val="21"/>
                      <w:szCs w:val="21"/>
                      <w:highlight w:val="none"/>
                      <w:lang w:val="en-US" w:eastAsia="zh-CN" w:bidi="ar"/>
                    </w:rPr>
                    <w:t>本项目不属于高污染、高耗水项目；生产废水不外排，生活污水</w:t>
                  </w:r>
                  <w:r>
                    <w:rPr>
                      <w:rFonts w:hint="eastAsia" w:cs="Times New Roman"/>
                      <w:color w:val="auto"/>
                      <w:kern w:val="0"/>
                      <w:sz w:val="21"/>
                      <w:szCs w:val="21"/>
                      <w:highlight w:val="none"/>
                      <w:lang w:val="en-US" w:eastAsia="zh-CN" w:bidi="ar"/>
                    </w:rPr>
                    <w:t>、食堂废水</w:t>
                  </w:r>
                  <w:r>
                    <w:rPr>
                      <w:rFonts w:hint="default" w:ascii="Times New Roman" w:hAnsi="Times New Roman" w:eastAsia="宋体" w:cs="Times New Roman"/>
                      <w:color w:val="auto"/>
                      <w:kern w:val="0"/>
                      <w:sz w:val="21"/>
                      <w:szCs w:val="21"/>
                      <w:highlight w:val="none"/>
                      <w:lang w:val="en-US" w:eastAsia="zh-CN" w:bidi="ar"/>
                    </w:rPr>
                    <w:t>排入市政排水管网。</w:t>
                  </w:r>
                </w:p>
              </w:tc>
              <w:tc>
                <w:tcPr>
                  <w:tcW w:w="285" w:type="pct"/>
                  <w:tcBorders>
                    <w:tl2br w:val="nil"/>
                    <w:tr2bl w:val="nil"/>
                  </w:tcBorders>
                  <w:noWrap w:val="0"/>
                  <w:vAlign w:val="center"/>
                </w:tcPr>
                <w:p w14:paraId="34E4BB9C">
                  <w:pPr>
                    <w:keepNext w:val="0"/>
                    <w:keepLines w:val="0"/>
                    <w:pageBreakBefore w:val="0"/>
                    <w:widowControl w:val="0"/>
                    <w:kinsoku/>
                    <w:wordWrap/>
                    <w:overflowPunct/>
                    <w:topLinePunct w:val="0"/>
                    <w:autoSpaceDE/>
                    <w:autoSpaceDN/>
                    <w:bidi w:val="0"/>
                    <w:adjustRightInd w:val="0"/>
                    <w:snapToGrid w:val="0"/>
                    <w:spacing w:line="240" w:lineRule="auto"/>
                    <w:ind w:right="0" w:rightChars="0"/>
                    <w:jc w:val="center"/>
                    <w:textAlignment w:val="auto"/>
                    <w:rPr>
                      <w:rFonts w:hint="default" w:ascii="Times New Roman" w:hAnsi="Times New Roman" w:eastAsia="宋体" w:cs="Times New Roman"/>
                      <w:color w:val="auto"/>
                      <w:kern w:val="2"/>
                      <w:sz w:val="21"/>
                      <w:szCs w:val="21"/>
                      <w:highlight w:val="none"/>
                      <w:vertAlign w:val="baseline"/>
                      <w:lang w:val="en-US" w:eastAsia="zh-CN" w:bidi="ar-SA"/>
                    </w:rPr>
                  </w:pPr>
                  <w:r>
                    <w:rPr>
                      <w:rFonts w:hint="default" w:ascii="Times New Roman" w:hAnsi="Times New Roman" w:eastAsia="宋体" w:cs="Times New Roman"/>
                      <w:color w:val="auto"/>
                      <w:sz w:val="21"/>
                      <w:szCs w:val="21"/>
                      <w:highlight w:val="none"/>
                      <w:vertAlign w:val="baseline"/>
                      <w:lang w:val="en-US" w:eastAsia="zh-CN"/>
                    </w:rPr>
                    <w:t>符合</w:t>
                  </w:r>
                </w:p>
              </w:tc>
            </w:tr>
            <w:tr w14:paraId="695795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85" w:type="pct"/>
                  <w:vMerge w:val="restart"/>
                  <w:tcBorders>
                    <w:tl2br w:val="nil"/>
                    <w:tr2bl w:val="nil"/>
                  </w:tcBorders>
                  <w:noWrap w:val="0"/>
                  <w:vAlign w:val="center"/>
                </w:tcPr>
                <w:p w14:paraId="6ACE4559">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kern w:val="0"/>
                      <w:sz w:val="21"/>
                      <w:szCs w:val="21"/>
                      <w:highlight w:val="none"/>
                      <w:lang w:val="en-US" w:eastAsia="zh-CN" w:bidi="ar"/>
                    </w:rPr>
                    <w:t>土壤及地下水环境</w:t>
                  </w:r>
                </w:p>
              </w:tc>
              <w:tc>
                <w:tcPr>
                  <w:tcW w:w="567" w:type="pct"/>
                  <w:gridSpan w:val="2"/>
                  <w:tcBorders>
                    <w:tl2br w:val="nil"/>
                    <w:tr2bl w:val="nil"/>
                  </w:tcBorders>
                  <w:noWrap w:val="0"/>
                  <w:vAlign w:val="center"/>
                </w:tcPr>
                <w:p w14:paraId="54699FB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kern w:val="0"/>
                      <w:sz w:val="21"/>
                      <w:szCs w:val="21"/>
                      <w:highlight w:val="none"/>
                      <w:lang w:val="en-US" w:eastAsia="zh-CN" w:bidi="ar"/>
                    </w:rPr>
                    <w:t>空间布局约束</w:t>
                  </w:r>
                </w:p>
              </w:tc>
              <w:tc>
                <w:tcPr>
                  <w:tcW w:w="2429" w:type="pct"/>
                  <w:tcBorders>
                    <w:tl2br w:val="nil"/>
                    <w:tr2bl w:val="nil"/>
                  </w:tcBorders>
                  <w:noWrap w:val="0"/>
                  <w:vAlign w:val="center"/>
                </w:tcPr>
                <w:p w14:paraId="2EEC8825">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1、严格执行相关行业企业布局选址要求，禁止在居民区和学校、医院、疗养院、养老院等单位周边新建、改建、扩建可能造成土壤污染的建设项目。</w:t>
                  </w:r>
                </w:p>
                <w:p w14:paraId="47601B80">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2、禁止在集中式地下水饮用水水源地建设需要取水的地热能开发利用项目。禁止抽取难以更新的地下水用于需要取水的地热能开发利用项目。</w:t>
                  </w:r>
                </w:p>
                <w:p w14:paraId="50A10B0C">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3、地下水饮用水水源地优先保护区管控参照生态环境空间总体管控要求中地下水饮用水水源地保护区总体管控要求。</w:t>
                  </w:r>
                </w:p>
              </w:tc>
              <w:tc>
                <w:tcPr>
                  <w:tcW w:w="1431" w:type="pct"/>
                  <w:tcBorders>
                    <w:tl2br w:val="nil"/>
                    <w:tr2bl w:val="nil"/>
                  </w:tcBorders>
                  <w:noWrap w:val="0"/>
                  <w:vAlign w:val="center"/>
                </w:tcPr>
                <w:p w14:paraId="7098C2B4">
                  <w:pPr>
                    <w:keepNext w:val="0"/>
                    <w:keepLines w:val="0"/>
                    <w:pageBreakBefore w:val="0"/>
                    <w:widowControl w:val="0"/>
                    <w:kinsoku/>
                    <w:wordWrap/>
                    <w:overflowPunct/>
                    <w:topLinePunct w:val="0"/>
                    <w:autoSpaceDE/>
                    <w:autoSpaceDN/>
                    <w:bidi w:val="0"/>
                    <w:adjustRightInd w:val="0"/>
                    <w:snapToGrid w:val="0"/>
                    <w:spacing w:line="240" w:lineRule="auto"/>
                    <w:ind w:right="0"/>
                    <w:jc w:val="center"/>
                    <w:textAlignment w:val="auto"/>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本项目位于</w:t>
                  </w:r>
                  <w:r>
                    <w:rPr>
                      <w:rFonts w:hint="default" w:ascii="Times New Roman" w:hAnsi="Times New Roman" w:eastAsia="宋体" w:cs="Times New Roman"/>
                      <w:color w:val="auto"/>
                      <w:spacing w:val="-1"/>
                      <w:sz w:val="21"/>
                      <w:szCs w:val="21"/>
                      <w:lang w:val="en-US" w:eastAsia="zh-CN"/>
                    </w:rPr>
                    <w:t>曹妃甸循环经济示范区港口物流园区</w:t>
                  </w:r>
                  <w:r>
                    <w:rPr>
                      <w:rFonts w:hint="default" w:ascii="Times New Roman" w:hAnsi="Times New Roman" w:eastAsia="宋体" w:cs="Times New Roman"/>
                      <w:color w:val="auto"/>
                      <w:sz w:val="21"/>
                      <w:szCs w:val="21"/>
                      <w:highlight w:val="none"/>
                      <w:vertAlign w:val="baseline"/>
                      <w:lang w:val="en-US" w:eastAsia="zh-CN"/>
                    </w:rPr>
                    <w:t>，周边无居民区、学校、医院等单位；厂址附近无集中式饮用水水源保护区。</w:t>
                  </w:r>
                </w:p>
              </w:tc>
              <w:tc>
                <w:tcPr>
                  <w:tcW w:w="285" w:type="pct"/>
                  <w:tcBorders>
                    <w:tl2br w:val="nil"/>
                    <w:tr2bl w:val="nil"/>
                  </w:tcBorders>
                  <w:noWrap w:val="0"/>
                  <w:vAlign w:val="center"/>
                </w:tcPr>
                <w:p w14:paraId="6199910E">
                  <w:pPr>
                    <w:keepNext w:val="0"/>
                    <w:keepLines w:val="0"/>
                    <w:pageBreakBefore w:val="0"/>
                    <w:widowControl w:val="0"/>
                    <w:kinsoku/>
                    <w:wordWrap/>
                    <w:overflowPunct/>
                    <w:topLinePunct w:val="0"/>
                    <w:autoSpaceDE/>
                    <w:autoSpaceDN/>
                    <w:bidi w:val="0"/>
                    <w:adjustRightInd w:val="0"/>
                    <w:snapToGrid w:val="0"/>
                    <w:spacing w:line="240" w:lineRule="auto"/>
                    <w:ind w:right="0"/>
                    <w:jc w:val="center"/>
                    <w:textAlignment w:val="auto"/>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符合</w:t>
                  </w:r>
                </w:p>
              </w:tc>
            </w:tr>
            <w:tr w14:paraId="380C55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85" w:type="pct"/>
                  <w:vMerge w:val="continue"/>
                  <w:tcBorders>
                    <w:tl2br w:val="nil"/>
                    <w:tr2bl w:val="nil"/>
                  </w:tcBorders>
                  <w:noWrap w:val="0"/>
                  <w:vAlign w:val="center"/>
                </w:tcPr>
                <w:p w14:paraId="12A150AE">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kern w:val="0"/>
                      <w:sz w:val="21"/>
                      <w:szCs w:val="21"/>
                      <w:highlight w:val="none"/>
                      <w:lang w:val="en-US" w:eastAsia="zh-CN" w:bidi="ar"/>
                    </w:rPr>
                  </w:pPr>
                </w:p>
              </w:tc>
              <w:tc>
                <w:tcPr>
                  <w:tcW w:w="567" w:type="pct"/>
                  <w:gridSpan w:val="2"/>
                  <w:tcBorders>
                    <w:tl2br w:val="nil"/>
                    <w:tr2bl w:val="nil"/>
                  </w:tcBorders>
                  <w:noWrap w:val="0"/>
                  <w:vAlign w:val="center"/>
                </w:tcPr>
                <w:p w14:paraId="31BB258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kern w:val="0"/>
                      <w:sz w:val="21"/>
                      <w:szCs w:val="21"/>
                      <w:highlight w:val="none"/>
                      <w:lang w:val="en-US" w:eastAsia="zh-CN" w:bidi="ar"/>
                    </w:rPr>
                    <w:t>污染排放管控</w:t>
                  </w:r>
                </w:p>
              </w:tc>
              <w:tc>
                <w:tcPr>
                  <w:tcW w:w="2429" w:type="pct"/>
                  <w:tcBorders>
                    <w:tl2br w:val="nil"/>
                    <w:tr2bl w:val="nil"/>
                  </w:tcBorders>
                  <w:noWrap w:val="0"/>
                  <w:vAlign w:val="center"/>
                </w:tcPr>
                <w:p w14:paraId="619276F9">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eastAsia" w:ascii="Times New Roman" w:hAnsi="Times New Roman" w:cs="Times New Roman"/>
                      <w:b w:val="0"/>
                      <w:bCs w:val="0"/>
                      <w:color w:val="auto"/>
                      <w:kern w:val="2"/>
                      <w:sz w:val="21"/>
                      <w:szCs w:val="21"/>
                      <w:highlight w:val="none"/>
                      <w:u w:val="none"/>
                      <w:shd w:val="clear" w:color="auto" w:fill="auto"/>
                      <w:vertAlign w:val="baseline"/>
                      <w:lang w:val="en-US" w:eastAsia="zh-CN" w:bidi="ar-SA"/>
                    </w:rPr>
                    <w:t>1、</w:t>
                  </w: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严禁将污泥直接用作肥料，禁止不达标污泥就地堆放，结合污泥处理设施升级改造，逐步取消原生污泥简易填埋等不符合环保要求的处置方式。鼓励利用水泥厂等工业窑炉，开展污泥协同焚烧处置。</w:t>
                  </w:r>
                </w:p>
                <w:p w14:paraId="66207962">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2、严格落实总量控制制度，减少重金属污染物排放。新、改、扩建涉重金属重点行业建设项目，污染物排放实施等量或倍量替换，对重金属排放量继续上升的地区，暂停审批新增重金属污染物排放的建设项目。加大减排项目督导力度，确保项目按期实施。</w:t>
                  </w:r>
                </w:p>
                <w:p w14:paraId="29BAEA27">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3、严格危险废物经营许可审批，加强危险废物处置单位规范化管理核查。统筹推进危险废物利用处置能力建设，加快补齐利用处置设施短板。积极推进重点监管源智能监控体系建设，加大危险废物产生、贮存、转运、利用、处置全流程监管力度。规范和完善医疗废物分类收集处置体系。</w:t>
                  </w:r>
                </w:p>
                <w:p w14:paraId="7A2DD457">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4、建设和运行固体废物处置设施，应当采取防扬散、防流失、防渗漏等措施，依法贮存、利用、处置固体废物。处置生活垃圾，应当优先采用焚烧处理技术，有计划地实现垃圾零填埋，已有的垃圾填埋处置设施应当建设渗滤液收集和处理、处置设施，并采取相应措施防止土壤污染。</w:t>
                  </w:r>
                </w:p>
                <w:p w14:paraId="003C12C7">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5、严格危险废物源头管控，优化利用处置结构布局，提高应急保障能力。发展生态循环农业，提升农业废弃物综合利用率。健全完善制度、技术、市场、监管四大政策体系，实现固体废物和危险废物全链条监管。</w:t>
                  </w:r>
                </w:p>
              </w:tc>
              <w:tc>
                <w:tcPr>
                  <w:tcW w:w="1431" w:type="pct"/>
                  <w:tcBorders>
                    <w:tl2br w:val="nil"/>
                    <w:tr2bl w:val="nil"/>
                  </w:tcBorders>
                  <w:noWrap w:val="0"/>
                  <w:vAlign w:val="center"/>
                </w:tcPr>
                <w:p w14:paraId="2F9AFD68">
                  <w:pPr>
                    <w:keepNext w:val="0"/>
                    <w:keepLines w:val="0"/>
                    <w:pageBreakBefore w:val="0"/>
                    <w:widowControl w:val="0"/>
                    <w:kinsoku/>
                    <w:wordWrap/>
                    <w:overflowPunct/>
                    <w:topLinePunct w:val="0"/>
                    <w:autoSpaceDE/>
                    <w:autoSpaceDN/>
                    <w:bidi w:val="0"/>
                    <w:adjustRightInd w:val="0"/>
                    <w:snapToGrid w:val="0"/>
                    <w:spacing w:line="240" w:lineRule="auto"/>
                    <w:ind w:right="0" w:rightChars="0"/>
                    <w:jc w:val="center"/>
                    <w:textAlignment w:val="auto"/>
                    <w:rPr>
                      <w:rFonts w:hint="default" w:ascii="Times New Roman" w:hAnsi="Times New Roman" w:eastAsia="宋体" w:cs="Times New Roman"/>
                      <w:color w:val="auto"/>
                      <w:kern w:val="2"/>
                      <w:sz w:val="21"/>
                      <w:szCs w:val="21"/>
                      <w:highlight w:val="none"/>
                      <w:vertAlign w:val="baseline"/>
                      <w:lang w:val="en-US" w:eastAsia="zh-CN" w:bidi="ar-SA"/>
                    </w:rPr>
                  </w:pPr>
                  <w:r>
                    <w:rPr>
                      <w:rFonts w:hint="default" w:ascii="Times New Roman" w:hAnsi="Times New Roman" w:eastAsia="宋体" w:cs="Times New Roman"/>
                      <w:color w:val="auto"/>
                      <w:kern w:val="2"/>
                      <w:sz w:val="21"/>
                      <w:szCs w:val="21"/>
                      <w:highlight w:val="none"/>
                      <w:lang w:val="en-US" w:eastAsia="zh-CN" w:bidi="ar"/>
                    </w:rPr>
                    <w:t>本项目不涉及重金属污染物排放</w:t>
                  </w:r>
                  <w:r>
                    <w:rPr>
                      <w:rFonts w:hint="eastAsia" w:cs="Times New Roman"/>
                      <w:color w:val="auto"/>
                      <w:kern w:val="2"/>
                      <w:sz w:val="21"/>
                      <w:szCs w:val="21"/>
                      <w:highlight w:val="none"/>
                      <w:lang w:val="en-US" w:eastAsia="zh-CN" w:bidi="ar"/>
                    </w:rPr>
                    <w:t>；</w:t>
                  </w:r>
                  <w:r>
                    <w:rPr>
                      <w:rFonts w:hint="default" w:ascii="Times New Roman" w:hAnsi="Times New Roman" w:eastAsia="宋体" w:cs="Times New Roman"/>
                      <w:color w:val="auto"/>
                      <w:sz w:val="21"/>
                      <w:szCs w:val="21"/>
                      <w:highlight w:val="none"/>
                      <w:shd w:val="clear" w:color="auto" w:fill="auto"/>
                      <w:lang w:eastAsia="zh-CN"/>
                    </w:rPr>
                    <w:t>危险废物暂存于危废间，定期交由有资质单位进行处理</w:t>
                  </w:r>
                  <w:r>
                    <w:rPr>
                      <w:rFonts w:hint="default" w:ascii="Times New Roman" w:hAnsi="Times New Roman" w:eastAsia="宋体" w:cs="Times New Roman"/>
                      <w:color w:val="auto"/>
                      <w:kern w:val="0"/>
                      <w:sz w:val="21"/>
                      <w:szCs w:val="21"/>
                      <w:highlight w:val="none"/>
                      <w:lang w:val="en-US" w:eastAsia="zh-CN" w:bidi="ar"/>
                    </w:rPr>
                    <w:t>。</w:t>
                  </w:r>
                </w:p>
              </w:tc>
              <w:tc>
                <w:tcPr>
                  <w:tcW w:w="285" w:type="pct"/>
                  <w:tcBorders>
                    <w:tl2br w:val="nil"/>
                    <w:tr2bl w:val="nil"/>
                  </w:tcBorders>
                  <w:noWrap w:val="0"/>
                  <w:vAlign w:val="center"/>
                </w:tcPr>
                <w:p w14:paraId="437E740E">
                  <w:pPr>
                    <w:keepNext w:val="0"/>
                    <w:keepLines w:val="0"/>
                    <w:pageBreakBefore w:val="0"/>
                    <w:widowControl w:val="0"/>
                    <w:kinsoku/>
                    <w:wordWrap/>
                    <w:overflowPunct/>
                    <w:topLinePunct w:val="0"/>
                    <w:autoSpaceDE/>
                    <w:autoSpaceDN/>
                    <w:bidi w:val="0"/>
                    <w:adjustRightInd w:val="0"/>
                    <w:snapToGrid w:val="0"/>
                    <w:spacing w:line="240" w:lineRule="auto"/>
                    <w:ind w:right="0"/>
                    <w:jc w:val="center"/>
                    <w:textAlignment w:val="auto"/>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符合</w:t>
                  </w:r>
                </w:p>
              </w:tc>
            </w:tr>
            <w:tr w14:paraId="6C18FA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85" w:type="pct"/>
                  <w:tcBorders>
                    <w:tl2br w:val="nil"/>
                    <w:tr2bl w:val="nil"/>
                  </w:tcBorders>
                  <w:noWrap w:val="0"/>
                  <w:vAlign w:val="center"/>
                </w:tcPr>
                <w:p w14:paraId="5F82AEC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kern w:val="0"/>
                      <w:sz w:val="21"/>
                      <w:szCs w:val="21"/>
                      <w:highlight w:val="none"/>
                      <w:lang w:val="en-US" w:eastAsia="zh-CN" w:bidi="ar"/>
                    </w:rPr>
                    <w:t>资源</w:t>
                  </w:r>
                </w:p>
              </w:tc>
              <w:tc>
                <w:tcPr>
                  <w:tcW w:w="283" w:type="pct"/>
                  <w:tcBorders>
                    <w:tl2br w:val="nil"/>
                    <w:tr2bl w:val="nil"/>
                  </w:tcBorders>
                  <w:noWrap w:val="0"/>
                  <w:vAlign w:val="center"/>
                </w:tcPr>
                <w:p w14:paraId="478D5C3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kern w:val="0"/>
                      <w:sz w:val="21"/>
                      <w:szCs w:val="21"/>
                      <w:highlight w:val="none"/>
                      <w:lang w:val="en-US" w:eastAsia="zh-CN" w:bidi="ar"/>
                    </w:rPr>
                    <w:t>水资源</w:t>
                  </w:r>
                </w:p>
              </w:tc>
              <w:tc>
                <w:tcPr>
                  <w:tcW w:w="283" w:type="pct"/>
                  <w:tcBorders>
                    <w:tl2br w:val="nil"/>
                    <w:tr2bl w:val="nil"/>
                  </w:tcBorders>
                  <w:noWrap w:val="0"/>
                  <w:vAlign w:val="center"/>
                </w:tcPr>
                <w:p w14:paraId="4328DEE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kern w:val="0"/>
                      <w:sz w:val="21"/>
                      <w:szCs w:val="21"/>
                      <w:highlight w:val="none"/>
                      <w:lang w:val="en-US" w:eastAsia="zh-CN" w:bidi="ar"/>
                    </w:rPr>
                    <w:t>资源利用效率要求</w:t>
                  </w:r>
                </w:p>
              </w:tc>
              <w:tc>
                <w:tcPr>
                  <w:tcW w:w="2429" w:type="pct"/>
                  <w:tcBorders>
                    <w:tl2br w:val="nil"/>
                    <w:tr2bl w:val="nil"/>
                  </w:tcBorders>
                  <w:noWrap w:val="0"/>
                  <w:vAlign w:val="center"/>
                </w:tcPr>
                <w:p w14:paraId="52D1C44F">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严格地下水管理。在地下水禁采区内，除为保障地下工程施工安全和生产安全必须进行临时应急取（排）水、为消除对公共安全或者公共利益的危害临时应急取水，以及为开展地下水监测、勘探、试验少量取水外，禁止取用地下水。在地下水限采区内，对当地社会发展和群众生活有重大影响的重点建设项目确需取用地下水的，应按照用1减2的比例以及先减后加的原则，同步削减其他取水单位的地下水开采量，且不得深层、浅层地下水相互替代。地下水开发利用应当以浅层地下水为主。深层地下水作为战略储备水源、应急供水水源、无替代水源地区的居民生活水源，应当严格限制开采。</w:t>
                  </w:r>
                </w:p>
                <w:p w14:paraId="499C2B05">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在地下水严重超采地区，实施轮作休耕、旱作雨养，适度退减灌溉面积。严格限制开采深层地下水用于农业灌溉。科学利用水库调蓄功能，用足用好外调水，合理利用当地地表水，鼓励利用非常规水，严格控制开采地下水，确需开采地下水的，由县级人民政府逐级报省人民政府批准。县级以上人民政府水行政主管部门应当加强大中型灌区续建配套和现代化改造，改善灌溉条件，提高灌溉用水效率，建设节水型灌区。</w:t>
                  </w:r>
                </w:p>
                <w:p w14:paraId="0A35DF47">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3、把节水作为水资源开发、利用、保护、配置、调度的前提，加强水资源调度管理。开展城镇后备水源建设，大力开发利用非常规水源，提高水资源的利用效率和效益。</w:t>
                  </w:r>
                </w:p>
              </w:tc>
              <w:tc>
                <w:tcPr>
                  <w:tcW w:w="1431" w:type="pct"/>
                  <w:tcBorders>
                    <w:tl2br w:val="nil"/>
                    <w:tr2bl w:val="nil"/>
                  </w:tcBorders>
                  <w:noWrap w:val="0"/>
                  <w:vAlign w:val="center"/>
                </w:tcPr>
                <w:p w14:paraId="410B1FBA">
                  <w:pPr>
                    <w:pStyle w:val="59"/>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本项目用水由市政供水管网供水，生产废水不外排。</w:t>
                  </w:r>
                </w:p>
              </w:tc>
              <w:tc>
                <w:tcPr>
                  <w:tcW w:w="285" w:type="pct"/>
                  <w:tcBorders>
                    <w:tl2br w:val="nil"/>
                    <w:tr2bl w:val="nil"/>
                  </w:tcBorders>
                  <w:noWrap w:val="0"/>
                  <w:vAlign w:val="center"/>
                </w:tcPr>
                <w:p w14:paraId="0F6DE6E7">
                  <w:pPr>
                    <w:keepNext w:val="0"/>
                    <w:keepLines w:val="0"/>
                    <w:pageBreakBefore w:val="0"/>
                    <w:widowControl w:val="0"/>
                    <w:kinsoku/>
                    <w:wordWrap/>
                    <w:overflowPunct/>
                    <w:topLinePunct w:val="0"/>
                    <w:autoSpaceDE/>
                    <w:autoSpaceDN/>
                    <w:bidi w:val="0"/>
                    <w:adjustRightInd w:val="0"/>
                    <w:snapToGrid w:val="0"/>
                    <w:spacing w:line="240" w:lineRule="auto"/>
                    <w:ind w:right="0"/>
                    <w:jc w:val="center"/>
                    <w:textAlignment w:val="auto"/>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符合</w:t>
                  </w:r>
                </w:p>
              </w:tc>
            </w:tr>
            <w:tr w14:paraId="4717E8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85" w:type="pct"/>
                  <w:tcBorders>
                    <w:tl2br w:val="nil"/>
                    <w:tr2bl w:val="nil"/>
                  </w:tcBorders>
                  <w:noWrap w:val="0"/>
                  <w:vAlign w:val="center"/>
                </w:tcPr>
                <w:p w14:paraId="62F62FF7">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kern w:val="0"/>
                      <w:sz w:val="21"/>
                      <w:szCs w:val="21"/>
                      <w:highlight w:val="none"/>
                      <w:lang w:val="en-US" w:eastAsia="zh-CN" w:bidi="ar"/>
                    </w:rPr>
                    <w:t>产业总体布局要求</w:t>
                  </w:r>
                </w:p>
              </w:tc>
              <w:tc>
                <w:tcPr>
                  <w:tcW w:w="567" w:type="pct"/>
                  <w:gridSpan w:val="2"/>
                  <w:tcBorders>
                    <w:tl2br w:val="nil"/>
                    <w:tr2bl w:val="nil"/>
                  </w:tcBorders>
                  <w:noWrap w:val="0"/>
                  <w:vAlign w:val="center"/>
                </w:tcPr>
                <w:p w14:paraId="350D8C6E">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kern w:val="0"/>
                      <w:sz w:val="21"/>
                      <w:szCs w:val="21"/>
                      <w:highlight w:val="none"/>
                      <w:lang w:val="en-US" w:eastAsia="zh-CN" w:bidi="ar"/>
                    </w:rPr>
                    <w:t>空间布局约束</w:t>
                  </w:r>
                </w:p>
              </w:tc>
              <w:tc>
                <w:tcPr>
                  <w:tcW w:w="2429" w:type="pct"/>
                  <w:tcBorders>
                    <w:tl2br w:val="nil"/>
                    <w:tr2bl w:val="nil"/>
                  </w:tcBorders>
                  <w:noWrap w:val="0"/>
                  <w:vAlign w:val="center"/>
                </w:tcPr>
                <w:p w14:paraId="3D8C19EC">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1、严格执行《产业结构调整指导目录》《市场准入负面清单》《河北省禁止投资的产业目录》相关要求。</w:t>
                  </w:r>
                </w:p>
                <w:p w14:paraId="02C5164D">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2、严格执行国家产业政策和准入标准，实行生态环境准入清单制度，禁止新建、扩建高污染项目，严格控制高耗能、高排放项目准入。新建、改建和扩建项目按照相关规定实行减量置换或者等量置换。</w:t>
                  </w:r>
                </w:p>
                <w:p w14:paraId="1BFE3109">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3、禁止投资钢铁冶炼、水泥、电解铝、平板玻璃等产能严重过剩行业和炼焦、有色、电石、铁合金等新增产能项目。</w:t>
                  </w:r>
                </w:p>
                <w:p w14:paraId="60519F9B">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4、上一年度环境空气质量年平均浓度不达标的城市、水环境质量未达到要求的市县，相关污染物应按照建设项目所需替代的主要污染物排放总量指标的2倍进行削减替代（燃煤发电机组大气污染物排放浓度基本达到燃气轮机组排放限值的除外）。</w:t>
                  </w:r>
                </w:p>
                <w:p w14:paraId="58D23AD8">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5、以水泥、平板玻璃、焦化、化工、制药等行业为重点，加快城市建成区重污染企业搬迁改造或关闭退出，县城和主要城镇建成区的重污染企业逐步实施退城搬迁。对不符合国家产业政策、不符合当地产业布局规划的分散燃煤（燃重油等）炉窑，鼓励搬迁入园并进行集中治理，推进治理装备升级改造，建设规模化和集约化工业企业。</w:t>
                  </w:r>
                </w:p>
                <w:p w14:paraId="24880E29">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6、在优先保护类耕地集中区域严格控制新建有色金属冶炼、石油加工、化工、焦化、电镀、制革、铅蓄电池等行业企业，防止对耕地造成污染。</w:t>
                  </w:r>
                </w:p>
                <w:p w14:paraId="65B68E8C">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7、新建、改建、扩建“两高”项目须符合生态环境保护法律法规和相关法定规划，满足重点污染物排放总量控制、碳排放达峰目标、生态环境准入清单、相关规划环评和相应行业建设项目环境准入条件、环评文件审批原则要求。</w:t>
                  </w:r>
                </w:p>
              </w:tc>
              <w:tc>
                <w:tcPr>
                  <w:tcW w:w="1431" w:type="pct"/>
                  <w:tcBorders>
                    <w:tl2br w:val="nil"/>
                    <w:tr2bl w:val="nil"/>
                  </w:tcBorders>
                  <w:noWrap w:val="0"/>
                  <w:vAlign w:val="center"/>
                </w:tcPr>
                <w:p w14:paraId="2FEFB2BA">
                  <w:pPr>
                    <w:pStyle w:val="59"/>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color w:val="auto"/>
                      <w:spacing w:val="4"/>
                      <w:sz w:val="21"/>
                      <w:szCs w:val="21"/>
                      <w:lang w:val="en-US" w:eastAsia="zh-CN"/>
                    </w:rPr>
                    <w:t>本项目严格执行《产业结构调整指导目录》《市场准入负面清单》</w:t>
                  </w:r>
                  <w:r>
                    <w:rPr>
                      <w:rFonts w:hint="default" w:ascii="Times New Roman" w:hAnsi="Times New Roman" w:eastAsia="宋体" w:cs="Times New Roman"/>
                      <w:color w:val="auto"/>
                      <w:spacing w:val="4"/>
                      <w:sz w:val="21"/>
                      <w:szCs w:val="21"/>
                    </w:rPr>
                    <w:t>《河北省禁止投资的产业目录》</w:t>
                  </w:r>
                  <w:r>
                    <w:rPr>
                      <w:rFonts w:hint="default" w:ascii="Times New Roman" w:hAnsi="Times New Roman" w:eastAsia="宋体" w:cs="Times New Roman"/>
                      <w:color w:val="auto"/>
                      <w:spacing w:val="4"/>
                      <w:sz w:val="21"/>
                      <w:szCs w:val="21"/>
                      <w:lang w:val="en-US" w:eastAsia="zh-CN"/>
                    </w:rPr>
                    <w:t>相关要求，属于允许类项目；本项目属于烟煤和无烟煤开采洗选行业，为新建项目。</w:t>
                  </w:r>
                </w:p>
              </w:tc>
              <w:tc>
                <w:tcPr>
                  <w:tcW w:w="285" w:type="pct"/>
                  <w:tcBorders>
                    <w:tl2br w:val="nil"/>
                    <w:tr2bl w:val="nil"/>
                  </w:tcBorders>
                  <w:noWrap w:val="0"/>
                  <w:vAlign w:val="center"/>
                </w:tcPr>
                <w:p w14:paraId="071D1907">
                  <w:pPr>
                    <w:keepNext w:val="0"/>
                    <w:keepLines w:val="0"/>
                    <w:pageBreakBefore w:val="0"/>
                    <w:widowControl w:val="0"/>
                    <w:kinsoku/>
                    <w:wordWrap/>
                    <w:overflowPunct/>
                    <w:topLinePunct w:val="0"/>
                    <w:autoSpaceDE/>
                    <w:autoSpaceDN/>
                    <w:bidi w:val="0"/>
                    <w:adjustRightInd w:val="0"/>
                    <w:snapToGrid w:val="0"/>
                    <w:spacing w:line="240" w:lineRule="auto"/>
                    <w:ind w:right="0"/>
                    <w:jc w:val="center"/>
                    <w:textAlignment w:val="auto"/>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符合</w:t>
                  </w:r>
                </w:p>
              </w:tc>
            </w:tr>
            <w:tr w14:paraId="455309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85" w:type="pct"/>
                  <w:tcBorders>
                    <w:tl2br w:val="nil"/>
                    <w:tr2bl w:val="nil"/>
                  </w:tcBorders>
                  <w:noWrap w:val="0"/>
                  <w:vAlign w:val="center"/>
                </w:tcPr>
                <w:p w14:paraId="38E5F3F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spacing w:val="0"/>
                      <w:w w:val="100"/>
                      <w:position w:val="0"/>
                      <w:sz w:val="21"/>
                      <w:szCs w:val="21"/>
                    </w:rPr>
                    <w:t>项目入园准入要求</w:t>
                  </w:r>
                </w:p>
              </w:tc>
              <w:tc>
                <w:tcPr>
                  <w:tcW w:w="567" w:type="pct"/>
                  <w:gridSpan w:val="2"/>
                  <w:tcBorders>
                    <w:tl2br w:val="nil"/>
                    <w:tr2bl w:val="nil"/>
                  </w:tcBorders>
                  <w:noWrap w:val="0"/>
                  <w:vAlign w:val="center"/>
                </w:tcPr>
                <w:p w14:paraId="31AC67D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spacing w:val="0"/>
                      <w:w w:val="100"/>
                      <w:position w:val="0"/>
                      <w:sz w:val="21"/>
                      <w:szCs w:val="21"/>
                    </w:rPr>
                    <w:t>空间布局约束</w:t>
                  </w:r>
                </w:p>
              </w:tc>
              <w:tc>
                <w:tcPr>
                  <w:tcW w:w="2429" w:type="pct"/>
                  <w:tcBorders>
                    <w:tl2br w:val="nil"/>
                    <w:tr2bl w:val="nil"/>
                  </w:tcBorders>
                  <w:noWrap w:val="0"/>
                  <w:vAlign w:val="center"/>
                </w:tcPr>
                <w:p w14:paraId="0683F5D8">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1、禁止资源消耗高、环境污染重、废物难处理、不符合国家、河北省、唐山市产业政策的落后生产技术、工艺、装备和产品进入工业园区。</w:t>
                  </w:r>
                </w:p>
                <w:p w14:paraId="35043A65">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2、加强企业入区管理，严格按照工业园区规划产业定位及产业布局安排入区项目，禁止不符工业园区产业定位的项目入驻。合理安排工业园区发展时序，入驻企业选址与周围居民点的距离应满足大气环境防护距离要求，生活空间周边禁止布局高噪声生产企业。</w:t>
                  </w:r>
                </w:p>
                <w:p w14:paraId="2D65D96F">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3、县级以下一律不再建设新的园区，造纸、焦化、氮肥、有色金属、印染、原料药制造、皮革、农药、电镀、钢铁、石灰、平板玻璃、石化、化工等高污染工业项目必须入园进区，其他工业项目原则上也不在园区外布局，认定为化工重点监控点的企业项目除外。</w:t>
                  </w:r>
                </w:p>
                <w:p w14:paraId="75D13F89">
                  <w:pPr>
                    <w:pStyle w:val="57"/>
                    <w:keepNext w:val="0"/>
                    <w:keepLines w:val="0"/>
                    <w:pageBreakBefore w:val="0"/>
                    <w:widowControl w:val="0"/>
                    <w:numPr>
                      <w:ilvl w:val="0"/>
                      <w:numId w:val="0"/>
                    </w:numPr>
                    <w:shd w:val="clear" w:color="auto" w:fill="auto"/>
                    <w:tabs>
                      <w:tab w:val="left" w:pos="322"/>
                    </w:tabs>
                    <w:kinsoku/>
                    <w:wordWrap/>
                    <w:overflowPunct/>
                    <w:topLinePunct w:val="0"/>
                    <w:autoSpaceDE/>
                    <w:autoSpaceDN/>
                    <w:bidi w:val="0"/>
                    <w:spacing w:before="0" w:after="0" w:line="240" w:lineRule="auto"/>
                    <w:ind w:leftChars="0" w:right="0" w:rightChars="0"/>
                    <w:jc w:val="left"/>
                    <w:textAlignment w:val="auto"/>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pPr>
                  <w:r>
                    <w:rPr>
                      <w:rFonts w:hint="default" w:ascii="Times New Roman" w:hAnsi="Times New Roman" w:eastAsia="宋体" w:cs="Times New Roman"/>
                      <w:b w:val="0"/>
                      <w:bCs w:val="0"/>
                      <w:color w:val="auto"/>
                      <w:kern w:val="2"/>
                      <w:sz w:val="21"/>
                      <w:szCs w:val="21"/>
                      <w:highlight w:val="none"/>
                      <w:u w:val="none"/>
                      <w:shd w:val="clear" w:color="auto" w:fill="auto"/>
                      <w:vertAlign w:val="baseline"/>
                      <w:lang w:val="en-US" w:eastAsia="zh-CN" w:bidi="ar-SA"/>
                    </w:rPr>
                    <w:t>4、新建、升级工业园区（工业集聚区）必须同步规划、建设污水、垃圾集中处理等污染治理设施。所有工业园区全部建成污水集中处理设施，并安装自动在线监控装置。加快完善工业园区配套污水管网，推进“清污分流、雨污分流”，实现园区内工业企业废水统一收集，集中处理，污水集中处理设施稳定达标运行。推进重点流域工业园区污水集中处理设施提标改造，推进工业园区“一园一档”、“一企一册”环保管理制度建设，逐步规范完善园区水环境管理台账。</w:t>
                  </w:r>
                </w:p>
              </w:tc>
              <w:tc>
                <w:tcPr>
                  <w:tcW w:w="1431" w:type="pct"/>
                  <w:tcBorders>
                    <w:tl2br w:val="nil"/>
                    <w:tr2bl w:val="nil"/>
                  </w:tcBorders>
                  <w:noWrap w:val="0"/>
                  <w:vAlign w:val="center"/>
                </w:tcPr>
                <w:p w14:paraId="456E9EC8">
                  <w:pPr>
                    <w:keepNext w:val="0"/>
                    <w:keepLines w:val="0"/>
                    <w:pageBreakBefore w:val="0"/>
                    <w:widowControl w:val="0"/>
                    <w:kinsoku/>
                    <w:wordWrap/>
                    <w:overflowPunct/>
                    <w:topLinePunct w:val="0"/>
                    <w:autoSpaceDE/>
                    <w:autoSpaceDN/>
                    <w:bidi w:val="0"/>
                    <w:adjustRightInd w:val="0"/>
                    <w:snapToGrid w:val="0"/>
                    <w:spacing w:line="240" w:lineRule="auto"/>
                    <w:ind w:right="0"/>
                    <w:jc w:val="center"/>
                    <w:textAlignment w:val="auto"/>
                    <w:rPr>
                      <w:rFonts w:hint="default" w:ascii="Times New Roman" w:hAnsi="Times New Roman" w:eastAsia="宋体" w:cs="Times New Roman"/>
                      <w:color w:val="auto"/>
                      <w:kern w:val="0"/>
                      <w:sz w:val="21"/>
                      <w:szCs w:val="21"/>
                      <w:highlight w:val="none"/>
                      <w:lang w:val="en-US" w:eastAsia="zh-CN" w:bidi="ar"/>
                    </w:rPr>
                  </w:pPr>
                  <w:r>
                    <w:rPr>
                      <w:rFonts w:hint="default" w:ascii="Times New Roman" w:hAnsi="Times New Roman" w:eastAsia="宋体" w:cs="Times New Roman"/>
                      <w:color w:val="auto"/>
                      <w:kern w:val="0"/>
                      <w:sz w:val="21"/>
                      <w:szCs w:val="21"/>
                      <w:highlight w:val="none"/>
                      <w:lang w:val="en-US" w:eastAsia="zh-CN" w:bidi="ar"/>
                    </w:rPr>
                    <w:t>本项目符合国家及地方产业政策要求，不属于落后的生产技术、工艺、装备和产品；本项目位于</w:t>
                  </w:r>
                  <w:r>
                    <w:rPr>
                      <w:rFonts w:hint="default" w:ascii="Times New Roman" w:hAnsi="Times New Roman" w:eastAsia="宋体" w:cs="Times New Roman"/>
                      <w:color w:val="auto"/>
                      <w:spacing w:val="-1"/>
                      <w:sz w:val="21"/>
                      <w:szCs w:val="21"/>
                      <w:lang w:val="en-US" w:eastAsia="zh-CN"/>
                    </w:rPr>
                    <w:t>曹妃甸循环经济示范区港口物流园区，符合工业园区规划和产业定位，园区内污染治理设施齐全。</w:t>
                  </w:r>
                </w:p>
              </w:tc>
              <w:tc>
                <w:tcPr>
                  <w:tcW w:w="285" w:type="pct"/>
                  <w:tcBorders>
                    <w:tl2br w:val="nil"/>
                    <w:tr2bl w:val="nil"/>
                  </w:tcBorders>
                  <w:noWrap w:val="0"/>
                  <w:vAlign w:val="center"/>
                </w:tcPr>
                <w:p w14:paraId="0D6C5F6B">
                  <w:pPr>
                    <w:keepNext w:val="0"/>
                    <w:keepLines w:val="0"/>
                    <w:pageBreakBefore w:val="0"/>
                    <w:widowControl w:val="0"/>
                    <w:kinsoku/>
                    <w:wordWrap/>
                    <w:overflowPunct/>
                    <w:topLinePunct w:val="0"/>
                    <w:autoSpaceDE/>
                    <w:autoSpaceDN/>
                    <w:bidi w:val="0"/>
                    <w:adjustRightInd w:val="0"/>
                    <w:snapToGrid w:val="0"/>
                    <w:spacing w:line="240" w:lineRule="auto"/>
                    <w:ind w:right="0"/>
                    <w:jc w:val="center"/>
                    <w:textAlignment w:val="auto"/>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符合</w:t>
                  </w:r>
                </w:p>
              </w:tc>
            </w:tr>
          </w:tbl>
          <w:p w14:paraId="65F93519">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根据</w:t>
            </w:r>
            <w:r>
              <w:rPr>
                <w:rFonts w:hint="default" w:ascii="Times New Roman" w:hAnsi="Times New Roman" w:eastAsia="宋体" w:cs="Times New Roman"/>
                <w:color w:val="auto"/>
                <w:sz w:val="24"/>
                <w:szCs w:val="24"/>
                <w:highlight w:val="none"/>
                <w:lang w:val="en-US" w:eastAsia="zh-CN"/>
              </w:rPr>
              <w:t>唐山市环境管控单元分布图，本项目属于重点管控单元</w:t>
            </w:r>
            <w:r>
              <w:rPr>
                <w:rFonts w:hint="eastAsia" w:ascii="Times New Roman" w:hAnsi="Times New Roman" w:eastAsia="宋体"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ZH13020920002</w:t>
            </w:r>
            <w:r>
              <w:rPr>
                <w:rFonts w:hint="eastAsia" w:ascii="Times New Roman" w:hAnsi="Times New Roman" w:eastAsia="宋体"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。本项目与唐山市生态环境准入清单</w:t>
            </w:r>
            <w:r>
              <w:rPr>
                <w:rFonts w:hint="eastAsia" w:ascii="Times New Roman" w:hAnsi="Times New Roman" w:eastAsia="宋体" w:cs="Times New Roman"/>
                <w:color w:val="auto"/>
                <w:sz w:val="24"/>
                <w:szCs w:val="24"/>
                <w:highlight w:val="none"/>
                <w:lang w:val="en-US" w:eastAsia="zh-CN"/>
              </w:rPr>
              <w:t>（2023年版）中</w:t>
            </w:r>
            <w:r>
              <w:rPr>
                <w:rFonts w:hint="default" w:ascii="Times New Roman" w:hAnsi="Times New Roman" w:eastAsia="宋体" w:cs="Times New Roman"/>
                <w:color w:val="auto"/>
                <w:sz w:val="24"/>
                <w:szCs w:val="24"/>
                <w:highlight w:val="none"/>
                <w:lang w:val="en-US" w:eastAsia="zh-CN"/>
              </w:rPr>
              <w:t>曹妃甸区管控单元管控要求符合性分析见下表。</w:t>
            </w:r>
          </w:p>
          <w:p w14:paraId="7E80DCD4">
            <w:pPr>
              <w:adjustRightInd w:val="0"/>
              <w:snapToGrid w:val="0"/>
              <w:spacing w:line="400" w:lineRule="exact"/>
              <w:jc w:val="center"/>
              <w:rPr>
                <w:b/>
                <w:bCs/>
                <w:color w:val="auto"/>
                <w:sz w:val="24"/>
                <w:highlight w:val="none"/>
              </w:rPr>
            </w:pPr>
            <w:r>
              <w:rPr>
                <w:rFonts w:hint="eastAsia"/>
                <w:b/>
                <w:bCs/>
                <w:color w:val="auto"/>
                <w:sz w:val="24"/>
                <w:highlight w:val="none"/>
              </w:rPr>
              <w:t>表</w:t>
            </w:r>
            <w:r>
              <w:rPr>
                <w:rFonts w:hint="eastAsia"/>
                <w:b/>
                <w:bCs/>
                <w:color w:val="auto"/>
                <w:sz w:val="24"/>
                <w:highlight w:val="none"/>
                <w:lang w:val="en-US" w:eastAsia="zh-CN"/>
              </w:rPr>
              <w:t>1-5</w:t>
            </w:r>
            <w:r>
              <w:rPr>
                <w:rFonts w:hint="eastAsia"/>
                <w:b/>
                <w:bCs/>
                <w:color w:val="auto"/>
                <w:sz w:val="24"/>
                <w:highlight w:val="none"/>
              </w:rPr>
              <w:t xml:space="preserve"> 陆域环境管控单元生态环境准入清单</w:t>
            </w:r>
          </w:p>
          <w:tbl>
            <w:tblPr>
              <w:tblStyle w:val="25"/>
              <w:tblW w:w="4953"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93"/>
              <w:gridCol w:w="671"/>
              <w:gridCol w:w="1005"/>
              <w:gridCol w:w="855"/>
              <w:gridCol w:w="1384"/>
              <w:gridCol w:w="779"/>
              <w:gridCol w:w="4154"/>
              <w:gridCol w:w="2063"/>
              <w:gridCol w:w="593"/>
            </w:tblGrid>
            <w:tr w14:paraId="7668EF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8" w:hRule="atLeast"/>
                <w:jc w:val="center"/>
              </w:trPr>
              <w:tc>
                <w:tcPr>
                  <w:tcW w:w="433" w:type="pct"/>
                  <w:tcBorders>
                    <w:tl2br w:val="nil"/>
                    <w:tr2bl w:val="nil"/>
                  </w:tcBorders>
                  <w:noWrap w:val="0"/>
                  <w:vAlign w:val="center"/>
                </w:tcPr>
                <w:p w14:paraId="3B560F9A">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eastAsia="zh-CN"/>
                    </w:rPr>
                  </w:pPr>
                  <w:r>
                    <w:rPr>
                      <w:rFonts w:hint="default" w:ascii="Times New Roman" w:hAnsi="Times New Roman" w:eastAsia="宋体" w:cs="Times New Roman"/>
                      <w:color w:val="auto"/>
                      <w:spacing w:val="-11"/>
                      <w:sz w:val="21"/>
                      <w:szCs w:val="21"/>
                      <w:highlight w:val="none"/>
                      <w:lang w:eastAsia="zh-CN"/>
                    </w:rPr>
                    <w:t>序号</w:t>
                  </w:r>
                </w:p>
              </w:tc>
              <w:tc>
                <w:tcPr>
                  <w:tcW w:w="266" w:type="pct"/>
                  <w:tcBorders>
                    <w:tl2br w:val="nil"/>
                    <w:tr2bl w:val="nil"/>
                  </w:tcBorders>
                  <w:noWrap w:val="0"/>
                  <w:vAlign w:val="center"/>
                </w:tcPr>
                <w:p w14:paraId="43238142">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rPr>
                  </w:pPr>
                  <w:r>
                    <w:rPr>
                      <w:rFonts w:hint="default" w:ascii="Times New Roman" w:hAnsi="Times New Roman" w:eastAsia="宋体" w:cs="Times New Roman"/>
                      <w:color w:val="auto"/>
                      <w:spacing w:val="-11"/>
                      <w:sz w:val="21"/>
                      <w:szCs w:val="21"/>
                      <w:highlight w:val="none"/>
                    </w:rPr>
                    <w:t>区县</w:t>
                  </w:r>
                </w:p>
              </w:tc>
              <w:tc>
                <w:tcPr>
                  <w:tcW w:w="398" w:type="pct"/>
                  <w:tcBorders>
                    <w:tl2br w:val="nil"/>
                    <w:tr2bl w:val="nil"/>
                  </w:tcBorders>
                  <w:noWrap w:val="0"/>
                  <w:vAlign w:val="center"/>
                </w:tcPr>
                <w:p w14:paraId="7417A300">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rPr>
                  </w:pPr>
                  <w:r>
                    <w:rPr>
                      <w:rFonts w:hint="default" w:ascii="Times New Roman" w:hAnsi="Times New Roman" w:eastAsia="宋体" w:cs="Times New Roman"/>
                      <w:color w:val="auto"/>
                      <w:spacing w:val="-11"/>
                      <w:sz w:val="21"/>
                      <w:szCs w:val="21"/>
                      <w:highlight w:val="none"/>
                    </w:rPr>
                    <w:t>乡镇</w:t>
                  </w:r>
                </w:p>
              </w:tc>
              <w:tc>
                <w:tcPr>
                  <w:tcW w:w="339" w:type="pct"/>
                  <w:tcBorders>
                    <w:tl2br w:val="nil"/>
                    <w:tr2bl w:val="nil"/>
                  </w:tcBorders>
                  <w:noWrap w:val="0"/>
                  <w:vAlign w:val="center"/>
                </w:tcPr>
                <w:p w14:paraId="77C445A5">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rPr>
                  </w:pPr>
                  <w:r>
                    <w:rPr>
                      <w:rFonts w:hint="default" w:ascii="Times New Roman" w:hAnsi="Times New Roman" w:eastAsia="宋体" w:cs="Times New Roman"/>
                      <w:color w:val="auto"/>
                      <w:spacing w:val="-11"/>
                      <w:sz w:val="21"/>
                      <w:szCs w:val="21"/>
                      <w:highlight w:val="none"/>
                    </w:rPr>
                    <w:t>管控单元</w:t>
                  </w:r>
                </w:p>
              </w:tc>
              <w:tc>
                <w:tcPr>
                  <w:tcW w:w="549" w:type="pct"/>
                  <w:tcBorders>
                    <w:tl2br w:val="nil"/>
                    <w:tr2bl w:val="nil"/>
                  </w:tcBorders>
                  <w:noWrap w:val="0"/>
                  <w:vAlign w:val="center"/>
                </w:tcPr>
                <w:p w14:paraId="749EFDD3">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rPr>
                  </w:pPr>
                  <w:r>
                    <w:rPr>
                      <w:rFonts w:hint="default" w:ascii="Times New Roman" w:hAnsi="Times New Roman" w:eastAsia="宋体" w:cs="Times New Roman"/>
                      <w:color w:val="auto"/>
                      <w:spacing w:val="-11"/>
                      <w:sz w:val="21"/>
                      <w:szCs w:val="21"/>
                      <w:highlight w:val="none"/>
                      <w:lang w:val="en-US" w:eastAsia="zh-CN"/>
                    </w:rPr>
                    <w:t>环境要素类别</w:t>
                  </w:r>
                </w:p>
              </w:tc>
              <w:tc>
                <w:tcPr>
                  <w:tcW w:w="309" w:type="pct"/>
                  <w:tcBorders>
                    <w:tl2br w:val="nil"/>
                    <w:tr2bl w:val="nil"/>
                  </w:tcBorders>
                  <w:noWrap w:val="0"/>
                  <w:vAlign w:val="center"/>
                </w:tcPr>
                <w:p w14:paraId="42CA2B0B">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rPr>
                  </w:pPr>
                  <w:r>
                    <w:rPr>
                      <w:rFonts w:hint="default" w:ascii="Times New Roman" w:hAnsi="Times New Roman" w:eastAsia="宋体" w:cs="Times New Roman"/>
                      <w:color w:val="auto"/>
                      <w:spacing w:val="-11"/>
                      <w:sz w:val="21"/>
                      <w:szCs w:val="21"/>
                      <w:highlight w:val="none"/>
                    </w:rPr>
                    <w:t>维度</w:t>
                  </w:r>
                </w:p>
              </w:tc>
              <w:tc>
                <w:tcPr>
                  <w:tcW w:w="1648" w:type="pct"/>
                  <w:tcBorders>
                    <w:tl2br w:val="nil"/>
                    <w:tr2bl w:val="nil"/>
                  </w:tcBorders>
                  <w:noWrap w:val="0"/>
                  <w:vAlign w:val="center"/>
                </w:tcPr>
                <w:p w14:paraId="6D1A8585">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rPr>
                  </w:pPr>
                  <w:r>
                    <w:rPr>
                      <w:rFonts w:hint="default" w:ascii="Times New Roman" w:hAnsi="Times New Roman" w:eastAsia="宋体" w:cs="Times New Roman"/>
                      <w:color w:val="auto"/>
                      <w:spacing w:val="-11"/>
                      <w:sz w:val="21"/>
                      <w:szCs w:val="21"/>
                      <w:highlight w:val="none"/>
                    </w:rPr>
                    <w:t>管控措施</w:t>
                  </w:r>
                </w:p>
              </w:tc>
              <w:tc>
                <w:tcPr>
                  <w:tcW w:w="818" w:type="pct"/>
                  <w:tcBorders>
                    <w:tl2br w:val="nil"/>
                    <w:tr2bl w:val="nil"/>
                  </w:tcBorders>
                  <w:noWrap w:val="0"/>
                  <w:vAlign w:val="center"/>
                </w:tcPr>
                <w:p w14:paraId="71BAC7FC">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rPr>
                  </w:pPr>
                  <w:r>
                    <w:rPr>
                      <w:rFonts w:hint="default" w:ascii="Times New Roman" w:hAnsi="Times New Roman" w:eastAsia="宋体" w:cs="Times New Roman"/>
                      <w:color w:val="auto"/>
                      <w:spacing w:val="-11"/>
                      <w:sz w:val="21"/>
                      <w:szCs w:val="21"/>
                      <w:highlight w:val="none"/>
                    </w:rPr>
                    <w:t>符合性分析</w:t>
                  </w:r>
                </w:p>
              </w:tc>
              <w:tc>
                <w:tcPr>
                  <w:tcW w:w="235" w:type="pct"/>
                  <w:tcBorders>
                    <w:tl2br w:val="nil"/>
                    <w:tr2bl w:val="nil"/>
                  </w:tcBorders>
                  <w:noWrap w:val="0"/>
                  <w:vAlign w:val="center"/>
                </w:tcPr>
                <w:p w14:paraId="66077DDE">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rPr>
                  </w:pPr>
                  <w:r>
                    <w:rPr>
                      <w:rFonts w:hint="default" w:ascii="Times New Roman" w:hAnsi="Times New Roman" w:eastAsia="宋体" w:cs="Times New Roman"/>
                      <w:color w:val="auto"/>
                      <w:spacing w:val="-11"/>
                      <w:sz w:val="21"/>
                      <w:szCs w:val="21"/>
                      <w:highlight w:val="none"/>
                    </w:rPr>
                    <w:t>符合性</w:t>
                  </w:r>
                </w:p>
              </w:tc>
            </w:tr>
            <w:tr w14:paraId="4F79F1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atLeast"/>
                <w:jc w:val="center"/>
              </w:trPr>
              <w:tc>
                <w:tcPr>
                  <w:tcW w:w="433" w:type="pct"/>
                  <w:vMerge w:val="restart"/>
                  <w:tcBorders>
                    <w:tl2br w:val="nil"/>
                    <w:tr2bl w:val="nil"/>
                  </w:tcBorders>
                  <w:noWrap w:val="0"/>
                  <w:vAlign w:val="center"/>
                </w:tcPr>
                <w:p w14:paraId="3EACFBB8">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val="en-US" w:eastAsia="zh-CN"/>
                    </w:rPr>
                  </w:pPr>
                  <w:r>
                    <w:rPr>
                      <w:rFonts w:hint="default" w:ascii="Times New Roman" w:hAnsi="Times New Roman" w:eastAsia="宋体" w:cs="Times New Roman"/>
                      <w:color w:val="auto"/>
                      <w:spacing w:val="-11"/>
                      <w:sz w:val="21"/>
                      <w:szCs w:val="21"/>
                      <w:highlight w:val="none"/>
                      <w:lang w:val="en-US" w:eastAsia="zh-CN"/>
                    </w:rPr>
                    <w:t>ZH13020920002</w:t>
                  </w:r>
                </w:p>
              </w:tc>
              <w:tc>
                <w:tcPr>
                  <w:tcW w:w="266" w:type="pct"/>
                  <w:vMerge w:val="restart"/>
                  <w:tcBorders>
                    <w:tl2br w:val="nil"/>
                    <w:tr2bl w:val="nil"/>
                  </w:tcBorders>
                  <w:noWrap w:val="0"/>
                  <w:vAlign w:val="center"/>
                </w:tcPr>
                <w:p w14:paraId="702B6232">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val="en-US" w:eastAsia="zh-CN"/>
                    </w:rPr>
                  </w:pPr>
                  <w:r>
                    <w:rPr>
                      <w:rFonts w:hint="default" w:ascii="Times New Roman" w:hAnsi="Times New Roman" w:eastAsia="宋体" w:cs="Times New Roman"/>
                      <w:color w:val="auto"/>
                      <w:spacing w:val="-11"/>
                      <w:sz w:val="21"/>
                      <w:szCs w:val="21"/>
                      <w:highlight w:val="none"/>
                      <w:lang w:val="en-US" w:eastAsia="zh-CN"/>
                    </w:rPr>
                    <w:t>曹妃甸区</w:t>
                  </w:r>
                </w:p>
              </w:tc>
              <w:tc>
                <w:tcPr>
                  <w:tcW w:w="398" w:type="pct"/>
                  <w:vMerge w:val="restart"/>
                  <w:tcBorders>
                    <w:tl2br w:val="nil"/>
                    <w:tr2bl w:val="nil"/>
                  </w:tcBorders>
                  <w:noWrap w:val="0"/>
                  <w:vAlign w:val="center"/>
                </w:tcPr>
                <w:p w14:paraId="0DAA08CC">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val="en-US" w:eastAsia="zh-CN"/>
                    </w:rPr>
                  </w:pPr>
                  <w:r>
                    <w:rPr>
                      <w:rFonts w:hint="default" w:ascii="Times New Roman" w:hAnsi="Times New Roman" w:eastAsia="宋体" w:cs="Times New Roman"/>
                      <w:color w:val="auto"/>
                      <w:spacing w:val="-11"/>
                      <w:sz w:val="21"/>
                      <w:szCs w:val="21"/>
                      <w:highlight w:val="none"/>
                      <w:lang w:val="en-US" w:eastAsia="zh-CN"/>
                    </w:rPr>
                    <w:t>中山路街道</w:t>
                  </w:r>
                </w:p>
              </w:tc>
              <w:tc>
                <w:tcPr>
                  <w:tcW w:w="339" w:type="pct"/>
                  <w:vMerge w:val="restart"/>
                  <w:tcBorders>
                    <w:tl2br w:val="nil"/>
                    <w:tr2bl w:val="nil"/>
                  </w:tcBorders>
                  <w:noWrap w:val="0"/>
                  <w:vAlign w:val="center"/>
                </w:tcPr>
                <w:p w14:paraId="445D6929">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val="en-US" w:eastAsia="zh-CN"/>
                    </w:rPr>
                  </w:pPr>
                  <w:r>
                    <w:rPr>
                      <w:rFonts w:hint="default" w:ascii="Times New Roman" w:hAnsi="Times New Roman" w:eastAsia="宋体" w:cs="Times New Roman"/>
                      <w:color w:val="auto"/>
                      <w:spacing w:val="-11"/>
                      <w:sz w:val="21"/>
                      <w:szCs w:val="21"/>
                      <w:highlight w:val="none"/>
                      <w:lang w:val="en-US" w:eastAsia="zh-CN"/>
                    </w:rPr>
                    <w:t>重点管控单元</w:t>
                  </w:r>
                </w:p>
              </w:tc>
              <w:tc>
                <w:tcPr>
                  <w:tcW w:w="549" w:type="pct"/>
                  <w:vMerge w:val="restart"/>
                  <w:tcBorders>
                    <w:tl2br w:val="nil"/>
                    <w:tr2bl w:val="nil"/>
                  </w:tcBorders>
                  <w:noWrap w:val="0"/>
                  <w:vAlign w:val="center"/>
                </w:tcPr>
                <w:p w14:paraId="08403FBA">
                  <w:pPr>
                    <w:keepNext w:val="0"/>
                    <w:keepLines w:val="0"/>
                    <w:pageBreakBefore w:val="0"/>
                    <w:widowControl w:val="0"/>
                    <w:kinsoku/>
                    <w:overflowPunct/>
                    <w:topLinePunct w:val="0"/>
                    <w:autoSpaceDE/>
                    <w:autoSpaceDN/>
                    <w:bidi w:val="0"/>
                    <w:adjustRightInd w:val="0"/>
                    <w:snapToGrid w:val="0"/>
                    <w:spacing w:line="240" w:lineRule="auto"/>
                    <w:jc w:val="left"/>
                    <w:rPr>
                      <w:rFonts w:hint="default" w:ascii="Times New Roman" w:hAnsi="Times New Roman" w:eastAsia="宋体" w:cs="Times New Roman"/>
                      <w:color w:val="auto"/>
                      <w:spacing w:val="-11"/>
                      <w:sz w:val="21"/>
                      <w:szCs w:val="21"/>
                      <w:highlight w:val="none"/>
                      <w:lang w:val="en-US" w:eastAsia="zh-CN"/>
                    </w:rPr>
                  </w:pPr>
                  <w:r>
                    <w:rPr>
                      <w:rFonts w:hint="default" w:ascii="Times New Roman" w:hAnsi="Times New Roman" w:eastAsia="宋体" w:cs="Times New Roman"/>
                      <w:color w:val="auto"/>
                      <w:spacing w:val="-11"/>
                      <w:sz w:val="21"/>
                      <w:szCs w:val="21"/>
                      <w:highlight w:val="none"/>
                      <w:lang w:val="en-US" w:eastAsia="zh-CN"/>
                    </w:rPr>
                    <w:t>1、唐山曹妃甸经济技术开发区</w:t>
                  </w:r>
                </w:p>
                <w:p w14:paraId="46FA555D">
                  <w:pPr>
                    <w:keepNext w:val="0"/>
                    <w:keepLines w:val="0"/>
                    <w:pageBreakBefore w:val="0"/>
                    <w:widowControl w:val="0"/>
                    <w:kinsoku/>
                    <w:overflowPunct/>
                    <w:topLinePunct w:val="0"/>
                    <w:autoSpaceDE/>
                    <w:autoSpaceDN/>
                    <w:bidi w:val="0"/>
                    <w:adjustRightInd w:val="0"/>
                    <w:snapToGrid w:val="0"/>
                    <w:spacing w:line="240" w:lineRule="auto"/>
                    <w:jc w:val="left"/>
                    <w:rPr>
                      <w:rFonts w:hint="default" w:ascii="Times New Roman" w:hAnsi="Times New Roman" w:eastAsia="宋体" w:cs="Times New Roman"/>
                      <w:color w:val="auto"/>
                      <w:spacing w:val="-11"/>
                      <w:sz w:val="21"/>
                      <w:szCs w:val="21"/>
                      <w:highlight w:val="none"/>
                      <w:lang w:val="en-US" w:eastAsia="zh-CN"/>
                    </w:rPr>
                  </w:pPr>
                  <w:r>
                    <w:rPr>
                      <w:rFonts w:hint="default" w:ascii="Times New Roman" w:hAnsi="Times New Roman" w:eastAsia="宋体" w:cs="Times New Roman"/>
                      <w:color w:val="auto"/>
                      <w:spacing w:val="-11"/>
                      <w:sz w:val="21"/>
                      <w:szCs w:val="21"/>
                      <w:highlight w:val="none"/>
                      <w:lang w:val="en-US" w:eastAsia="zh-CN"/>
                    </w:rPr>
                    <w:t>2、大气环境高排放重点管控区</w:t>
                  </w:r>
                </w:p>
                <w:p w14:paraId="2A689311">
                  <w:pPr>
                    <w:keepNext w:val="0"/>
                    <w:keepLines w:val="0"/>
                    <w:pageBreakBefore w:val="0"/>
                    <w:widowControl w:val="0"/>
                    <w:kinsoku/>
                    <w:overflowPunct/>
                    <w:topLinePunct w:val="0"/>
                    <w:autoSpaceDE/>
                    <w:autoSpaceDN/>
                    <w:bidi w:val="0"/>
                    <w:adjustRightInd w:val="0"/>
                    <w:snapToGrid w:val="0"/>
                    <w:spacing w:line="240" w:lineRule="auto"/>
                    <w:jc w:val="left"/>
                    <w:rPr>
                      <w:rFonts w:hint="default" w:ascii="Times New Roman" w:hAnsi="Times New Roman" w:eastAsia="宋体" w:cs="Times New Roman"/>
                      <w:color w:val="auto"/>
                      <w:spacing w:val="-11"/>
                      <w:sz w:val="21"/>
                      <w:szCs w:val="21"/>
                      <w:highlight w:val="none"/>
                      <w:lang w:val="en-US" w:eastAsia="zh-CN"/>
                    </w:rPr>
                  </w:pPr>
                  <w:r>
                    <w:rPr>
                      <w:rFonts w:hint="default" w:ascii="Times New Roman" w:hAnsi="Times New Roman" w:eastAsia="宋体" w:cs="Times New Roman"/>
                      <w:color w:val="auto"/>
                      <w:spacing w:val="-11"/>
                      <w:sz w:val="21"/>
                      <w:szCs w:val="21"/>
                      <w:highlight w:val="none"/>
                      <w:lang w:val="en-US" w:eastAsia="zh-CN"/>
                    </w:rPr>
                    <w:t>3、水环境工业污染重点管控区</w:t>
                  </w:r>
                </w:p>
                <w:p w14:paraId="1E1D12E3">
                  <w:pPr>
                    <w:keepNext w:val="0"/>
                    <w:keepLines w:val="0"/>
                    <w:pageBreakBefore w:val="0"/>
                    <w:widowControl w:val="0"/>
                    <w:kinsoku/>
                    <w:overflowPunct/>
                    <w:topLinePunct w:val="0"/>
                    <w:autoSpaceDE/>
                    <w:autoSpaceDN/>
                    <w:bidi w:val="0"/>
                    <w:adjustRightInd w:val="0"/>
                    <w:snapToGrid w:val="0"/>
                    <w:spacing w:line="240" w:lineRule="auto"/>
                    <w:jc w:val="left"/>
                    <w:rPr>
                      <w:rFonts w:hint="default" w:ascii="Times New Roman" w:hAnsi="Times New Roman" w:eastAsia="宋体" w:cs="Times New Roman"/>
                      <w:color w:val="auto"/>
                      <w:spacing w:val="-11"/>
                      <w:sz w:val="21"/>
                      <w:szCs w:val="21"/>
                      <w:highlight w:val="none"/>
                      <w:lang w:val="en-US" w:eastAsia="zh-CN"/>
                    </w:rPr>
                  </w:pPr>
                  <w:r>
                    <w:rPr>
                      <w:rFonts w:hint="default" w:ascii="Times New Roman" w:hAnsi="Times New Roman" w:eastAsia="宋体" w:cs="Times New Roman"/>
                      <w:color w:val="auto"/>
                      <w:spacing w:val="-11"/>
                      <w:sz w:val="21"/>
                      <w:szCs w:val="21"/>
                      <w:highlight w:val="none"/>
                      <w:lang w:val="en-US" w:eastAsia="zh-CN"/>
                    </w:rPr>
                    <w:t>4、土壤建设用地污染风险重点管控区</w:t>
                  </w:r>
                </w:p>
                <w:p w14:paraId="708DB73C">
                  <w:pPr>
                    <w:keepNext w:val="0"/>
                    <w:keepLines w:val="0"/>
                    <w:pageBreakBefore w:val="0"/>
                    <w:widowControl w:val="0"/>
                    <w:kinsoku/>
                    <w:overflowPunct/>
                    <w:topLinePunct w:val="0"/>
                    <w:autoSpaceDE/>
                    <w:autoSpaceDN/>
                    <w:bidi w:val="0"/>
                    <w:adjustRightInd w:val="0"/>
                    <w:snapToGrid w:val="0"/>
                    <w:spacing w:line="240" w:lineRule="auto"/>
                    <w:jc w:val="left"/>
                    <w:rPr>
                      <w:rFonts w:hint="default" w:ascii="Times New Roman" w:hAnsi="Times New Roman" w:eastAsia="宋体" w:cs="Times New Roman"/>
                      <w:color w:val="auto"/>
                      <w:spacing w:val="-11"/>
                      <w:sz w:val="21"/>
                      <w:szCs w:val="21"/>
                      <w:highlight w:val="none"/>
                      <w:lang w:val="en-US" w:eastAsia="zh-CN"/>
                    </w:rPr>
                  </w:pPr>
                  <w:r>
                    <w:rPr>
                      <w:rFonts w:hint="default" w:ascii="Times New Roman" w:hAnsi="Times New Roman" w:eastAsia="宋体" w:cs="Times New Roman"/>
                      <w:color w:val="auto"/>
                      <w:spacing w:val="-11"/>
                      <w:sz w:val="21"/>
                      <w:szCs w:val="21"/>
                      <w:highlight w:val="none"/>
                      <w:lang w:val="en-US" w:eastAsia="zh-CN"/>
                    </w:rPr>
                    <w:t>5、禁燃区</w:t>
                  </w:r>
                </w:p>
                <w:p w14:paraId="6108E1CF">
                  <w:pPr>
                    <w:keepNext w:val="0"/>
                    <w:keepLines w:val="0"/>
                    <w:pageBreakBefore w:val="0"/>
                    <w:widowControl w:val="0"/>
                    <w:kinsoku/>
                    <w:overflowPunct/>
                    <w:topLinePunct w:val="0"/>
                    <w:autoSpaceDE/>
                    <w:autoSpaceDN/>
                    <w:bidi w:val="0"/>
                    <w:adjustRightInd w:val="0"/>
                    <w:snapToGrid w:val="0"/>
                    <w:spacing w:line="240" w:lineRule="auto"/>
                    <w:jc w:val="left"/>
                    <w:rPr>
                      <w:rFonts w:hint="default" w:ascii="Times New Roman" w:hAnsi="Times New Roman" w:eastAsia="宋体" w:cs="Times New Roman"/>
                      <w:color w:val="auto"/>
                      <w:spacing w:val="-11"/>
                      <w:sz w:val="21"/>
                      <w:szCs w:val="21"/>
                      <w:highlight w:val="none"/>
                      <w:lang w:val="en-US" w:eastAsia="zh-CN"/>
                    </w:rPr>
                  </w:pPr>
                  <w:r>
                    <w:rPr>
                      <w:rFonts w:hint="default" w:ascii="Times New Roman" w:hAnsi="Times New Roman" w:eastAsia="宋体" w:cs="Times New Roman"/>
                      <w:color w:val="auto"/>
                      <w:spacing w:val="-11"/>
                      <w:sz w:val="21"/>
                      <w:szCs w:val="21"/>
                      <w:highlight w:val="none"/>
                      <w:lang w:val="en-US" w:eastAsia="zh-CN"/>
                    </w:rPr>
                    <w:t>6、地下水开采重点管控区</w:t>
                  </w:r>
                </w:p>
                <w:p w14:paraId="6D2E352B">
                  <w:pPr>
                    <w:keepNext w:val="0"/>
                    <w:keepLines w:val="0"/>
                    <w:pageBreakBefore w:val="0"/>
                    <w:widowControl w:val="0"/>
                    <w:kinsoku/>
                    <w:overflowPunct/>
                    <w:topLinePunct w:val="0"/>
                    <w:autoSpaceDE/>
                    <w:autoSpaceDN/>
                    <w:bidi w:val="0"/>
                    <w:adjustRightInd w:val="0"/>
                    <w:snapToGrid w:val="0"/>
                    <w:spacing w:line="240" w:lineRule="auto"/>
                    <w:jc w:val="left"/>
                    <w:rPr>
                      <w:rFonts w:hint="default" w:ascii="Times New Roman" w:hAnsi="Times New Roman" w:eastAsia="宋体" w:cs="Times New Roman"/>
                      <w:color w:val="auto"/>
                      <w:spacing w:val="-11"/>
                      <w:sz w:val="21"/>
                      <w:szCs w:val="21"/>
                      <w:highlight w:val="none"/>
                      <w:lang w:val="en-US" w:eastAsia="zh-CN"/>
                    </w:rPr>
                  </w:pPr>
                  <w:r>
                    <w:rPr>
                      <w:rFonts w:hint="default" w:ascii="Times New Roman" w:hAnsi="Times New Roman" w:eastAsia="宋体" w:cs="Times New Roman"/>
                      <w:color w:val="auto"/>
                      <w:spacing w:val="-11"/>
                      <w:sz w:val="21"/>
                      <w:szCs w:val="21"/>
                      <w:highlight w:val="none"/>
                      <w:lang w:val="en-US" w:eastAsia="zh-CN"/>
                    </w:rPr>
                    <w:t>7、土地资源重点管控区</w:t>
                  </w:r>
                </w:p>
              </w:tc>
              <w:tc>
                <w:tcPr>
                  <w:tcW w:w="309" w:type="pct"/>
                  <w:tcBorders>
                    <w:tl2br w:val="nil"/>
                    <w:tr2bl w:val="nil"/>
                  </w:tcBorders>
                  <w:noWrap w:val="0"/>
                  <w:vAlign w:val="center"/>
                </w:tcPr>
                <w:p w14:paraId="220B20AA">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rPr>
                  </w:pPr>
                  <w:r>
                    <w:rPr>
                      <w:rFonts w:hint="default" w:ascii="Times New Roman" w:hAnsi="Times New Roman" w:eastAsia="宋体" w:cs="Times New Roman"/>
                      <w:color w:val="auto"/>
                      <w:spacing w:val="-11"/>
                      <w:sz w:val="21"/>
                      <w:szCs w:val="21"/>
                      <w:highlight w:val="none"/>
                    </w:rPr>
                    <w:t>空间布局约束</w:t>
                  </w:r>
                </w:p>
              </w:tc>
              <w:tc>
                <w:tcPr>
                  <w:tcW w:w="1648" w:type="pct"/>
                  <w:tcBorders>
                    <w:tl2br w:val="nil"/>
                    <w:tr2bl w:val="nil"/>
                  </w:tcBorders>
                  <w:noWrap w:val="0"/>
                  <w:vAlign w:val="center"/>
                </w:tcPr>
                <w:p w14:paraId="65433441">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left"/>
                    <w:textAlignment w:val="baseline"/>
                    <w:rPr>
                      <w:rFonts w:hint="default" w:ascii="Times New Roman" w:hAnsi="Times New Roman" w:eastAsia="宋体" w:cs="Times New Roman"/>
                      <w:color w:val="auto"/>
                      <w:spacing w:val="0"/>
                      <w:kern w:val="0"/>
                      <w:sz w:val="21"/>
                      <w:szCs w:val="21"/>
                      <w:highlight w:val="none"/>
                    </w:rPr>
                  </w:pPr>
                  <w:r>
                    <w:rPr>
                      <w:rFonts w:hint="default" w:ascii="Times New Roman" w:hAnsi="Times New Roman" w:eastAsia="宋体" w:cs="Times New Roman"/>
                      <w:color w:val="auto"/>
                      <w:spacing w:val="0"/>
                      <w:kern w:val="0"/>
                      <w:sz w:val="21"/>
                      <w:szCs w:val="21"/>
                      <w:highlight w:val="none"/>
                      <w:lang w:val="en-US" w:eastAsia="zh-CN"/>
                    </w:rPr>
                    <w:t>1、禁止资源消耗高、环境污染重、废物难处理、不符合国家、河北省产业政策、行业准入条件和落后的生产技术、工艺、装备和产品入驻。</w:t>
                  </w:r>
                </w:p>
                <w:p w14:paraId="33EA7DE2">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left"/>
                    <w:textAlignment w:val="baseline"/>
                    <w:rPr>
                      <w:rFonts w:hint="default" w:ascii="Times New Roman" w:hAnsi="Times New Roman" w:eastAsia="宋体" w:cs="Times New Roman"/>
                      <w:color w:val="auto"/>
                      <w:spacing w:val="0"/>
                      <w:kern w:val="0"/>
                      <w:sz w:val="21"/>
                      <w:szCs w:val="21"/>
                      <w:highlight w:val="none"/>
                      <w:lang w:val="en-US" w:eastAsia="zh-CN"/>
                    </w:rPr>
                  </w:pPr>
                  <w:r>
                    <w:rPr>
                      <w:rFonts w:hint="default" w:ascii="Times New Roman" w:hAnsi="Times New Roman" w:eastAsia="宋体" w:cs="Times New Roman"/>
                      <w:color w:val="auto"/>
                      <w:spacing w:val="0"/>
                      <w:kern w:val="0"/>
                      <w:sz w:val="21"/>
                      <w:szCs w:val="21"/>
                      <w:highlight w:val="none"/>
                      <w:lang w:val="en-US" w:eastAsia="zh-CN"/>
                    </w:rPr>
                    <w:t>2、优化石化产业基地内部产业链上下游项目的空间布局，尽量将产业链下游项目与上游项目靠近设置，缩短输送危险化学品的管道长度，最大限度减少氯等高风险物料管道敷设距离。</w:t>
                  </w:r>
                </w:p>
              </w:tc>
              <w:tc>
                <w:tcPr>
                  <w:tcW w:w="818" w:type="pct"/>
                  <w:tcBorders>
                    <w:tl2br w:val="nil"/>
                    <w:tr2bl w:val="nil"/>
                  </w:tcBorders>
                  <w:noWrap w:val="0"/>
                  <w:vAlign w:val="center"/>
                </w:tcPr>
                <w:p w14:paraId="3C3DF15A">
                  <w:pPr>
                    <w:keepNext w:val="0"/>
                    <w:keepLines w:val="0"/>
                    <w:pageBreakBefore w:val="0"/>
                    <w:widowControl w:val="0"/>
                    <w:kinsoku/>
                    <w:wordWrap/>
                    <w:overflowPunct/>
                    <w:topLinePunct w:val="0"/>
                    <w:autoSpaceDE/>
                    <w:autoSpaceDN/>
                    <w:bidi w:val="0"/>
                    <w:adjustRightInd w:val="0"/>
                    <w:snapToGrid/>
                    <w:spacing w:line="240" w:lineRule="auto"/>
                    <w:ind w:firstLine="0" w:firstLineChars="0"/>
                    <w:jc w:val="left"/>
                    <w:textAlignment w:val="baseline"/>
                    <w:rPr>
                      <w:rFonts w:hint="default" w:ascii="Times New Roman" w:hAnsi="Times New Roman" w:eastAsia="宋体" w:cs="Times New Roman"/>
                      <w:color w:val="auto"/>
                      <w:spacing w:val="0"/>
                      <w:kern w:val="0"/>
                      <w:sz w:val="21"/>
                      <w:szCs w:val="21"/>
                      <w:highlight w:val="none"/>
                      <w:lang w:val="en-US" w:eastAsia="zh-CN"/>
                    </w:rPr>
                  </w:pPr>
                  <w:r>
                    <w:rPr>
                      <w:rFonts w:hint="default" w:ascii="Times New Roman" w:hAnsi="Times New Roman" w:eastAsia="宋体" w:cs="Times New Roman"/>
                      <w:color w:val="auto"/>
                      <w:spacing w:val="0"/>
                      <w:kern w:val="0"/>
                      <w:sz w:val="21"/>
                      <w:szCs w:val="21"/>
                      <w:highlight w:val="none"/>
                    </w:rPr>
                    <w:t>本项目能源消耗量相对于区域资源利用量较小</w:t>
                  </w:r>
                  <w:r>
                    <w:rPr>
                      <w:rFonts w:hint="default" w:ascii="Times New Roman" w:hAnsi="Times New Roman" w:eastAsia="宋体" w:cs="Times New Roman"/>
                      <w:color w:val="auto"/>
                      <w:spacing w:val="0"/>
                      <w:kern w:val="0"/>
                      <w:sz w:val="21"/>
                      <w:szCs w:val="21"/>
                      <w:highlight w:val="none"/>
                      <w:lang w:eastAsia="zh-CN"/>
                    </w:rPr>
                    <w:t>。</w:t>
                  </w:r>
                </w:p>
              </w:tc>
              <w:tc>
                <w:tcPr>
                  <w:tcW w:w="235" w:type="pct"/>
                  <w:tcBorders>
                    <w:tl2br w:val="nil"/>
                    <w:tr2bl w:val="nil"/>
                  </w:tcBorders>
                  <w:noWrap w:val="0"/>
                  <w:vAlign w:val="center"/>
                </w:tcPr>
                <w:p w14:paraId="663EAEF7">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rPr>
                  </w:pPr>
                  <w:r>
                    <w:rPr>
                      <w:rFonts w:hint="default" w:ascii="Times New Roman" w:hAnsi="Times New Roman" w:eastAsia="宋体" w:cs="Times New Roman"/>
                      <w:color w:val="auto"/>
                      <w:spacing w:val="-11"/>
                      <w:sz w:val="21"/>
                      <w:szCs w:val="21"/>
                      <w:highlight w:val="none"/>
                    </w:rPr>
                    <w:t>符合</w:t>
                  </w:r>
                </w:p>
              </w:tc>
            </w:tr>
            <w:tr w14:paraId="0C45B8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atLeast"/>
                <w:jc w:val="center"/>
              </w:trPr>
              <w:tc>
                <w:tcPr>
                  <w:tcW w:w="433" w:type="pct"/>
                  <w:vMerge w:val="continue"/>
                  <w:tcBorders>
                    <w:tl2br w:val="nil"/>
                    <w:tr2bl w:val="nil"/>
                  </w:tcBorders>
                  <w:noWrap w:val="0"/>
                  <w:vAlign w:val="center"/>
                </w:tcPr>
                <w:p w14:paraId="2AC2DD29">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val="en-US" w:eastAsia="zh-CN"/>
                    </w:rPr>
                  </w:pPr>
                </w:p>
              </w:tc>
              <w:tc>
                <w:tcPr>
                  <w:tcW w:w="266" w:type="pct"/>
                  <w:vMerge w:val="continue"/>
                  <w:tcBorders>
                    <w:tl2br w:val="nil"/>
                    <w:tr2bl w:val="nil"/>
                  </w:tcBorders>
                  <w:noWrap w:val="0"/>
                  <w:vAlign w:val="center"/>
                </w:tcPr>
                <w:p w14:paraId="6CE3D606">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val="en-US" w:eastAsia="zh-CN"/>
                    </w:rPr>
                  </w:pPr>
                </w:p>
              </w:tc>
              <w:tc>
                <w:tcPr>
                  <w:tcW w:w="398" w:type="pct"/>
                  <w:vMerge w:val="continue"/>
                  <w:tcBorders>
                    <w:tl2br w:val="nil"/>
                    <w:tr2bl w:val="nil"/>
                  </w:tcBorders>
                  <w:noWrap w:val="0"/>
                  <w:vAlign w:val="center"/>
                </w:tcPr>
                <w:p w14:paraId="3A465E1F">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val="en-US" w:eastAsia="zh-CN"/>
                    </w:rPr>
                  </w:pPr>
                </w:p>
              </w:tc>
              <w:tc>
                <w:tcPr>
                  <w:tcW w:w="339" w:type="pct"/>
                  <w:vMerge w:val="continue"/>
                  <w:tcBorders>
                    <w:tl2br w:val="nil"/>
                    <w:tr2bl w:val="nil"/>
                  </w:tcBorders>
                  <w:noWrap w:val="0"/>
                  <w:vAlign w:val="center"/>
                </w:tcPr>
                <w:p w14:paraId="4BD8D52A">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val="en-US" w:eastAsia="zh-CN"/>
                    </w:rPr>
                  </w:pPr>
                </w:p>
              </w:tc>
              <w:tc>
                <w:tcPr>
                  <w:tcW w:w="549" w:type="pct"/>
                  <w:vMerge w:val="continue"/>
                  <w:tcBorders>
                    <w:tl2br w:val="nil"/>
                    <w:tr2bl w:val="nil"/>
                  </w:tcBorders>
                  <w:noWrap w:val="0"/>
                  <w:vAlign w:val="center"/>
                </w:tcPr>
                <w:p w14:paraId="55B216BE">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val="en-US" w:eastAsia="zh-CN"/>
                    </w:rPr>
                  </w:pPr>
                </w:p>
              </w:tc>
              <w:tc>
                <w:tcPr>
                  <w:tcW w:w="309" w:type="pct"/>
                  <w:tcBorders>
                    <w:tl2br w:val="nil"/>
                    <w:tr2bl w:val="nil"/>
                  </w:tcBorders>
                  <w:noWrap w:val="0"/>
                  <w:vAlign w:val="center"/>
                </w:tcPr>
                <w:p w14:paraId="0DBC9AFD">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val="en-US" w:eastAsia="zh-CN"/>
                    </w:rPr>
                  </w:pPr>
                  <w:r>
                    <w:rPr>
                      <w:rFonts w:hint="default" w:ascii="Times New Roman" w:hAnsi="Times New Roman" w:eastAsia="宋体" w:cs="Times New Roman"/>
                      <w:color w:val="auto"/>
                      <w:spacing w:val="-11"/>
                      <w:sz w:val="21"/>
                      <w:szCs w:val="21"/>
                      <w:highlight w:val="none"/>
                      <w:lang w:val="en-US" w:eastAsia="zh-CN"/>
                    </w:rPr>
                    <w:t>污染物排放管控</w:t>
                  </w:r>
                </w:p>
              </w:tc>
              <w:tc>
                <w:tcPr>
                  <w:tcW w:w="1648" w:type="pct"/>
                  <w:tcBorders>
                    <w:tl2br w:val="nil"/>
                    <w:tr2bl w:val="nil"/>
                  </w:tcBorders>
                  <w:noWrap w:val="0"/>
                  <w:vAlign w:val="center"/>
                </w:tcPr>
                <w:p w14:paraId="70203CDB">
                  <w:pPr>
                    <w:keepNext w:val="0"/>
                    <w:keepLines w:val="0"/>
                    <w:pageBreakBefore w:val="0"/>
                    <w:widowControl w:val="0"/>
                    <w:numPr>
                      <w:ilvl w:val="0"/>
                      <w:numId w:val="0"/>
                    </w:numPr>
                    <w:kinsoku/>
                    <w:wordWrap w:val="0"/>
                    <w:overflowPunct/>
                    <w:topLinePunct w:val="0"/>
                    <w:autoSpaceDE/>
                    <w:autoSpaceDN/>
                    <w:bidi w:val="0"/>
                    <w:adjustRightInd w:val="0"/>
                    <w:snapToGrid/>
                    <w:spacing w:line="240" w:lineRule="auto"/>
                    <w:ind w:left="0" w:leftChars="0" w:firstLine="0" w:firstLineChars="0"/>
                    <w:jc w:val="left"/>
                    <w:textAlignment w:val="baseline"/>
                    <w:rPr>
                      <w:rFonts w:hint="default" w:ascii="Times New Roman" w:hAnsi="Times New Roman" w:eastAsia="宋体" w:cs="Times New Roman"/>
                      <w:color w:val="auto"/>
                      <w:spacing w:val="0"/>
                      <w:kern w:val="0"/>
                      <w:sz w:val="21"/>
                      <w:szCs w:val="21"/>
                      <w:highlight w:val="none"/>
                      <w:lang w:eastAsia="zh-CN"/>
                    </w:rPr>
                  </w:pPr>
                  <w:r>
                    <w:rPr>
                      <w:rFonts w:hint="default" w:ascii="Times New Roman" w:hAnsi="Times New Roman" w:eastAsia="宋体" w:cs="Times New Roman"/>
                      <w:color w:val="auto"/>
                      <w:spacing w:val="0"/>
                      <w:kern w:val="0"/>
                      <w:sz w:val="21"/>
                      <w:szCs w:val="21"/>
                      <w:highlight w:val="none"/>
                      <w:lang w:val="en-US" w:eastAsia="zh-CN"/>
                    </w:rPr>
                    <w:t>1、深化企业超低排放标准治理，加快“五大行业”全流程达标治理。钢铁、焦化、电力、水泥、平板玻璃等五大行业在点源达到超低排放的基础上强化无组织排放管理，完成全流程整治。</w:t>
                  </w:r>
                </w:p>
                <w:p w14:paraId="1D5DE3D4">
                  <w:pPr>
                    <w:keepNext w:val="0"/>
                    <w:keepLines w:val="0"/>
                    <w:pageBreakBefore w:val="0"/>
                    <w:widowControl w:val="0"/>
                    <w:numPr>
                      <w:ilvl w:val="0"/>
                      <w:numId w:val="0"/>
                    </w:numPr>
                    <w:kinsoku/>
                    <w:wordWrap w:val="0"/>
                    <w:overflowPunct/>
                    <w:topLinePunct w:val="0"/>
                    <w:autoSpaceDE/>
                    <w:autoSpaceDN/>
                    <w:bidi w:val="0"/>
                    <w:adjustRightInd w:val="0"/>
                    <w:snapToGrid/>
                    <w:spacing w:line="240" w:lineRule="auto"/>
                    <w:ind w:left="0" w:leftChars="0" w:firstLine="0" w:firstLineChars="0"/>
                    <w:jc w:val="left"/>
                    <w:textAlignment w:val="baseline"/>
                    <w:rPr>
                      <w:rFonts w:hint="default" w:ascii="Times New Roman" w:hAnsi="Times New Roman" w:eastAsia="宋体" w:cs="Times New Roman"/>
                      <w:color w:val="auto"/>
                      <w:spacing w:val="0"/>
                      <w:kern w:val="0"/>
                      <w:sz w:val="21"/>
                      <w:szCs w:val="21"/>
                      <w:highlight w:val="none"/>
                      <w:lang w:val="en-US" w:eastAsia="zh-CN"/>
                    </w:rPr>
                  </w:pPr>
                  <w:r>
                    <w:rPr>
                      <w:rFonts w:hint="default" w:ascii="Times New Roman" w:hAnsi="Times New Roman" w:eastAsia="宋体" w:cs="Times New Roman"/>
                      <w:color w:val="auto"/>
                      <w:spacing w:val="0"/>
                      <w:kern w:val="0"/>
                      <w:sz w:val="21"/>
                      <w:szCs w:val="21"/>
                      <w:highlight w:val="none"/>
                      <w:lang w:val="en-US" w:eastAsia="zh-CN"/>
                    </w:rPr>
                    <w:t>2、推进开发区内工业企业废水统一收集、集中处理，污水集中处理设施稳定达标运行，逐步提高工业园区监管水平，完善工业园区水污染防治工作台账。</w:t>
                  </w:r>
                </w:p>
              </w:tc>
              <w:tc>
                <w:tcPr>
                  <w:tcW w:w="818" w:type="pct"/>
                  <w:tcBorders>
                    <w:tl2br w:val="nil"/>
                    <w:tr2bl w:val="nil"/>
                  </w:tcBorders>
                  <w:noWrap w:val="0"/>
                  <w:vAlign w:val="center"/>
                </w:tcPr>
                <w:p w14:paraId="297F239E">
                  <w:pPr>
                    <w:keepNext w:val="0"/>
                    <w:keepLines w:val="0"/>
                    <w:pageBreakBefore w:val="0"/>
                    <w:widowControl w:val="0"/>
                    <w:numPr>
                      <w:ilvl w:val="0"/>
                      <w:numId w:val="0"/>
                    </w:numPr>
                    <w:kinsoku/>
                    <w:wordWrap w:val="0"/>
                    <w:overflowPunct/>
                    <w:topLinePunct w:val="0"/>
                    <w:autoSpaceDE/>
                    <w:autoSpaceDN/>
                    <w:bidi w:val="0"/>
                    <w:adjustRightInd w:val="0"/>
                    <w:snapToGrid/>
                    <w:spacing w:line="240" w:lineRule="auto"/>
                    <w:ind w:left="0" w:leftChars="0" w:firstLine="0" w:firstLineChars="0"/>
                    <w:jc w:val="left"/>
                    <w:textAlignment w:val="baseline"/>
                    <w:rPr>
                      <w:rFonts w:hint="default" w:ascii="Times New Roman" w:hAnsi="Times New Roman" w:eastAsia="宋体" w:cs="Times New Roman"/>
                      <w:color w:val="auto"/>
                      <w:spacing w:val="0"/>
                      <w:kern w:val="0"/>
                      <w:sz w:val="21"/>
                      <w:szCs w:val="21"/>
                      <w:highlight w:val="none"/>
                      <w:lang w:val="en-US" w:eastAsia="zh-CN" w:bidi="ar-SA"/>
                    </w:rPr>
                  </w:pPr>
                  <w:r>
                    <w:rPr>
                      <w:rFonts w:hint="default" w:ascii="Times New Roman" w:hAnsi="Times New Roman" w:eastAsia="宋体" w:cs="Times New Roman"/>
                      <w:color w:val="auto"/>
                      <w:spacing w:val="0"/>
                      <w:kern w:val="0"/>
                      <w:sz w:val="21"/>
                      <w:szCs w:val="21"/>
                      <w:highlight w:val="none"/>
                      <w:lang w:val="en-US" w:eastAsia="zh-CN"/>
                    </w:rPr>
                    <w:t>1、</w:t>
                  </w:r>
                  <w:r>
                    <w:rPr>
                      <w:rFonts w:hint="default" w:ascii="Times New Roman" w:hAnsi="Times New Roman" w:eastAsia="宋体" w:cs="Times New Roman"/>
                      <w:color w:val="auto"/>
                      <w:spacing w:val="0"/>
                      <w:kern w:val="0"/>
                      <w:sz w:val="21"/>
                      <w:szCs w:val="21"/>
                      <w:highlight w:val="none"/>
                    </w:rPr>
                    <w:t>本项目</w:t>
                  </w:r>
                  <w:r>
                    <w:rPr>
                      <w:rFonts w:hint="default" w:ascii="Times New Roman" w:hAnsi="Times New Roman" w:eastAsia="宋体" w:cs="Times New Roman"/>
                      <w:color w:val="auto"/>
                      <w:spacing w:val="0"/>
                      <w:kern w:val="0"/>
                      <w:sz w:val="21"/>
                      <w:szCs w:val="21"/>
                      <w:highlight w:val="none"/>
                      <w:lang w:eastAsia="zh-CN"/>
                    </w:rPr>
                    <w:t>不属于五大行业；</w:t>
                  </w:r>
                  <w:r>
                    <w:rPr>
                      <w:rFonts w:hint="default" w:ascii="Times New Roman" w:hAnsi="Times New Roman" w:eastAsia="宋体" w:cs="Times New Roman"/>
                      <w:color w:val="auto"/>
                      <w:spacing w:val="0"/>
                      <w:kern w:val="0"/>
                      <w:sz w:val="21"/>
                      <w:szCs w:val="21"/>
                      <w:highlight w:val="none"/>
                      <w:lang w:val="en-US" w:eastAsia="zh-CN"/>
                    </w:rPr>
                    <w:t>2、本项目无生产废水排放，</w:t>
                  </w:r>
                  <w:r>
                    <w:rPr>
                      <w:rFonts w:hint="default" w:ascii="Times New Roman" w:hAnsi="Times New Roman" w:eastAsia="宋体" w:cs="Times New Roman"/>
                      <w:color w:val="auto"/>
                      <w:sz w:val="21"/>
                      <w:szCs w:val="21"/>
                      <w:highlight w:val="none"/>
                      <w:shd w:val="clear" w:color="auto" w:fill="auto"/>
                      <w:lang w:val="en-US" w:eastAsia="zh-CN"/>
                    </w:rPr>
                    <w:t>生活污水排入</w:t>
                  </w:r>
                  <w:r>
                    <w:rPr>
                      <w:rFonts w:hint="default" w:ascii="Times New Roman" w:hAnsi="Times New Roman" w:eastAsia="宋体" w:cs="Times New Roman"/>
                      <w:color w:val="auto"/>
                      <w:kern w:val="0"/>
                      <w:sz w:val="21"/>
                      <w:szCs w:val="21"/>
                      <w:highlight w:val="none"/>
                      <w:lang w:val="en-US" w:eastAsia="zh-CN" w:bidi="ar"/>
                    </w:rPr>
                    <w:t>市政排水管网。</w:t>
                  </w:r>
                </w:p>
              </w:tc>
              <w:tc>
                <w:tcPr>
                  <w:tcW w:w="235" w:type="pct"/>
                  <w:tcBorders>
                    <w:tl2br w:val="nil"/>
                    <w:tr2bl w:val="nil"/>
                  </w:tcBorders>
                  <w:noWrap w:val="0"/>
                  <w:vAlign w:val="center"/>
                </w:tcPr>
                <w:p w14:paraId="52D99B24">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rPr>
                  </w:pPr>
                  <w:r>
                    <w:rPr>
                      <w:rFonts w:hint="default" w:ascii="Times New Roman" w:hAnsi="Times New Roman" w:eastAsia="宋体" w:cs="Times New Roman"/>
                      <w:color w:val="auto"/>
                      <w:spacing w:val="-11"/>
                      <w:sz w:val="21"/>
                      <w:szCs w:val="21"/>
                      <w:highlight w:val="none"/>
                    </w:rPr>
                    <w:t>符合</w:t>
                  </w:r>
                </w:p>
              </w:tc>
            </w:tr>
            <w:tr w14:paraId="04A7AF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atLeast"/>
                <w:jc w:val="center"/>
              </w:trPr>
              <w:tc>
                <w:tcPr>
                  <w:tcW w:w="433" w:type="pct"/>
                  <w:vMerge w:val="continue"/>
                  <w:tcBorders>
                    <w:tl2br w:val="nil"/>
                    <w:tr2bl w:val="nil"/>
                  </w:tcBorders>
                  <w:noWrap w:val="0"/>
                  <w:vAlign w:val="center"/>
                </w:tcPr>
                <w:p w14:paraId="52CA4931">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val="en-US" w:eastAsia="zh-CN"/>
                    </w:rPr>
                  </w:pPr>
                </w:p>
              </w:tc>
              <w:tc>
                <w:tcPr>
                  <w:tcW w:w="266" w:type="pct"/>
                  <w:vMerge w:val="continue"/>
                  <w:tcBorders>
                    <w:tl2br w:val="nil"/>
                    <w:tr2bl w:val="nil"/>
                  </w:tcBorders>
                  <w:noWrap w:val="0"/>
                  <w:vAlign w:val="center"/>
                </w:tcPr>
                <w:p w14:paraId="7DB0B0B8">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val="en-US" w:eastAsia="zh-CN"/>
                    </w:rPr>
                  </w:pPr>
                </w:p>
              </w:tc>
              <w:tc>
                <w:tcPr>
                  <w:tcW w:w="398" w:type="pct"/>
                  <w:vMerge w:val="continue"/>
                  <w:tcBorders>
                    <w:tl2br w:val="nil"/>
                    <w:tr2bl w:val="nil"/>
                  </w:tcBorders>
                  <w:noWrap w:val="0"/>
                  <w:vAlign w:val="center"/>
                </w:tcPr>
                <w:p w14:paraId="08BE0388">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val="en-US" w:eastAsia="zh-CN"/>
                    </w:rPr>
                  </w:pPr>
                </w:p>
              </w:tc>
              <w:tc>
                <w:tcPr>
                  <w:tcW w:w="339" w:type="pct"/>
                  <w:vMerge w:val="continue"/>
                  <w:tcBorders>
                    <w:tl2br w:val="nil"/>
                    <w:tr2bl w:val="nil"/>
                  </w:tcBorders>
                  <w:noWrap w:val="0"/>
                  <w:vAlign w:val="center"/>
                </w:tcPr>
                <w:p w14:paraId="598073EC">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val="en-US" w:eastAsia="zh-CN"/>
                    </w:rPr>
                  </w:pPr>
                </w:p>
              </w:tc>
              <w:tc>
                <w:tcPr>
                  <w:tcW w:w="549" w:type="pct"/>
                  <w:vMerge w:val="continue"/>
                  <w:tcBorders>
                    <w:tl2br w:val="nil"/>
                    <w:tr2bl w:val="nil"/>
                  </w:tcBorders>
                  <w:noWrap w:val="0"/>
                  <w:vAlign w:val="center"/>
                </w:tcPr>
                <w:p w14:paraId="651F0907">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val="en-US" w:eastAsia="zh-CN"/>
                    </w:rPr>
                  </w:pPr>
                </w:p>
              </w:tc>
              <w:tc>
                <w:tcPr>
                  <w:tcW w:w="309" w:type="pct"/>
                  <w:tcBorders>
                    <w:tl2br w:val="nil"/>
                    <w:tr2bl w:val="nil"/>
                  </w:tcBorders>
                  <w:noWrap w:val="0"/>
                  <w:vAlign w:val="center"/>
                </w:tcPr>
                <w:p w14:paraId="690823E1">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val="en-US" w:eastAsia="zh-CN"/>
                    </w:rPr>
                  </w:pPr>
                  <w:r>
                    <w:rPr>
                      <w:rFonts w:hint="default" w:ascii="Times New Roman" w:hAnsi="Times New Roman" w:eastAsia="宋体" w:cs="Times New Roman"/>
                      <w:color w:val="auto"/>
                      <w:spacing w:val="-11"/>
                      <w:sz w:val="21"/>
                      <w:szCs w:val="21"/>
                      <w:highlight w:val="none"/>
                      <w:lang w:val="en-US" w:eastAsia="zh-CN"/>
                    </w:rPr>
                    <w:t>环境风险防控</w:t>
                  </w:r>
                </w:p>
              </w:tc>
              <w:tc>
                <w:tcPr>
                  <w:tcW w:w="1648" w:type="pct"/>
                  <w:tcBorders>
                    <w:tl2br w:val="nil"/>
                    <w:tr2bl w:val="nil"/>
                  </w:tcBorders>
                  <w:noWrap w:val="0"/>
                  <w:vAlign w:val="center"/>
                </w:tcPr>
                <w:p w14:paraId="3BD3E6F1">
                  <w:pPr>
                    <w:keepNext w:val="0"/>
                    <w:keepLines w:val="0"/>
                    <w:pageBreakBefore w:val="0"/>
                    <w:widowControl w:val="0"/>
                    <w:numPr>
                      <w:ilvl w:val="0"/>
                      <w:numId w:val="0"/>
                    </w:numPr>
                    <w:kinsoku/>
                    <w:wordWrap w:val="0"/>
                    <w:overflowPunct/>
                    <w:topLinePunct w:val="0"/>
                    <w:autoSpaceDE/>
                    <w:autoSpaceDN/>
                    <w:bidi w:val="0"/>
                    <w:adjustRightInd w:val="0"/>
                    <w:snapToGrid/>
                    <w:spacing w:line="240" w:lineRule="auto"/>
                    <w:ind w:left="0" w:leftChars="0" w:firstLine="0" w:firstLineChars="0"/>
                    <w:jc w:val="left"/>
                    <w:textAlignment w:val="baseline"/>
                    <w:rPr>
                      <w:rFonts w:hint="default" w:ascii="Times New Roman" w:hAnsi="Times New Roman" w:eastAsia="宋体" w:cs="Times New Roman"/>
                      <w:color w:val="auto"/>
                      <w:spacing w:val="0"/>
                      <w:kern w:val="0"/>
                      <w:sz w:val="21"/>
                      <w:szCs w:val="21"/>
                      <w:highlight w:val="none"/>
                      <w:lang w:val="en-US" w:eastAsia="zh-CN"/>
                    </w:rPr>
                  </w:pPr>
                  <w:r>
                    <w:rPr>
                      <w:rFonts w:hint="default" w:ascii="Times New Roman" w:hAnsi="Times New Roman" w:eastAsia="宋体" w:cs="Times New Roman"/>
                      <w:color w:val="auto"/>
                      <w:spacing w:val="0"/>
                      <w:kern w:val="0"/>
                      <w:sz w:val="21"/>
                      <w:szCs w:val="21"/>
                      <w:highlight w:val="none"/>
                      <w:lang w:val="en-US" w:eastAsia="zh-CN"/>
                    </w:rPr>
                    <w:t>1、石化产业基地应建设公共应急设施与企业三级防控体系相互连通，确保基地陆域事故废水不入海。</w:t>
                  </w:r>
                </w:p>
                <w:p w14:paraId="75E187EF">
                  <w:pPr>
                    <w:keepNext w:val="0"/>
                    <w:keepLines w:val="0"/>
                    <w:pageBreakBefore w:val="0"/>
                    <w:widowControl w:val="0"/>
                    <w:numPr>
                      <w:ilvl w:val="0"/>
                      <w:numId w:val="0"/>
                    </w:numPr>
                    <w:kinsoku/>
                    <w:wordWrap w:val="0"/>
                    <w:overflowPunct/>
                    <w:topLinePunct w:val="0"/>
                    <w:autoSpaceDE/>
                    <w:autoSpaceDN/>
                    <w:bidi w:val="0"/>
                    <w:adjustRightInd w:val="0"/>
                    <w:snapToGrid/>
                    <w:spacing w:line="240" w:lineRule="auto"/>
                    <w:ind w:left="0" w:leftChars="0" w:firstLine="0" w:firstLineChars="0"/>
                    <w:jc w:val="left"/>
                    <w:textAlignment w:val="baseline"/>
                    <w:rPr>
                      <w:rFonts w:hint="default" w:ascii="Times New Roman" w:hAnsi="Times New Roman" w:eastAsia="宋体" w:cs="Times New Roman"/>
                      <w:color w:val="auto"/>
                      <w:spacing w:val="0"/>
                      <w:kern w:val="0"/>
                      <w:sz w:val="21"/>
                      <w:szCs w:val="21"/>
                      <w:highlight w:val="none"/>
                      <w:lang w:val="en-US" w:eastAsia="zh-CN"/>
                    </w:rPr>
                  </w:pPr>
                  <w:r>
                    <w:rPr>
                      <w:rFonts w:hint="default" w:ascii="Times New Roman" w:hAnsi="Times New Roman" w:eastAsia="宋体" w:cs="Times New Roman"/>
                      <w:color w:val="auto"/>
                      <w:spacing w:val="0"/>
                      <w:kern w:val="0"/>
                      <w:sz w:val="21"/>
                      <w:szCs w:val="21"/>
                      <w:highlight w:val="none"/>
                      <w:lang w:val="en-US" w:eastAsia="zh-CN"/>
                    </w:rPr>
                    <w:t>2、石化产业基地光气及光气化产品项目生产区实行封闭式管理，采用“五重防护”措施，即工艺设计上确保光气安全和最小的光气在线量、一级安全隔离、二级安全隔离、监测监控与破坏体系、日常运行安全管理及风险应急体系等。</w:t>
                  </w:r>
                </w:p>
                <w:p w14:paraId="726A440F">
                  <w:pPr>
                    <w:keepNext w:val="0"/>
                    <w:keepLines w:val="0"/>
                    <w:pageBreakBefore w:val="0"/>
                    <w:widowControl w:val="0"/>
                    <w:numPr>
                      <w:ilvl w:val="0"/>
                      <w:numId w:val="0"/>
                    </w:numPr>
                    <w:kinsoku/>
                    <w:wordWrap w:val="0"/>
                    <w:overflowPunct/>
                    <w:topLinePunct w:val="0"/>
                    <w:autoSpaceDE/>
                    <w:autoSpaceDN/>
                    <w:bidi w:val="0"/>
                    <w:adjustRightInd w:val="0"/>
                    <w:snapToGrid/>
                    <w:spacing w:line="240" w:lineRule="auto"/>
                    <w:ind w:left="0" w:leftChars="0" w:firstLine="0" w:firstLineChars="0"/>
                    <w:jc w:val="left"/>
                    <w:textAlignment w:val="baseline"/>
                    <w:rPr>
                      <w:rFonts w:hint="default" w:ascii="Times New Roman" w:hAnsi="Times New Roman" w:eastAsia="宋体" w:cs="Times New Roman"/>
                      <w:color w:val="auto"/>
                      <w:spacing w:val="0"/>
                      <w:kern w:val="0"/>
                      <w:sz w:val="21"/>
                      <w:szCs w:val="21"/>
                      <w:highlight w:val="none"/>
                      <w:lang w:val="en-US" w:eastAsia="zh-CN"/>
                    </w:rPr>
                  </w:pPr>
                  <w:r>
                    <w:rPr>
                      <w:rFonts w:hint="default" w:ascii="Times New Roman" w:hAnsi="Times New Roman" w:eastAsia="宋体" w:cs="Times New Roman"/>
                      <w:color w:val="auto"/>
                      <w:spacing w:val="0"/>
                      <w:kern w:val="0"/>
                      <w:sz w:val="21"/>
                      <w:szCs w:val="21"/>
                      <w:highlight w:val="none"/>
                      <w:lang w:val="en-US" w:eastAsia="zh-CN"/>
                    </w:rPr>
                    <w:t>3、土壤污染重点监管单位应严格控制有毒有害物质排放，并按年度向所在地生态环境主管部门报告排放情况；建立土壤污染隐患排查制度，及时开展隐患排查，发现土壤污染隐患并采取措施消除或者降低污染隐患，保证持续有效防止有毒有害物质渗漏、流失、扬散；制定、实施自行监测方案，按照相关技术规范要求开展土壤、地下水环境监测，并将监测数据报所在地生态环境主管部门。</w:t>
                  </w:r>
                </w:p>
              </w:tc>
              <w:tc>
                <w:tcPr>
                  <w:tcW w:w="818" w:type="pct"/>
                  <w:tcBorders>
                    <w:tl2br w:val="nil"/>
                    <w:tr2bl w:val="nil"/>
                  </w:tcBorders>
                  <w:noWrap w:val="0"/>
                  <w:vAlign w:val="center"/>
                </w:tcPr>
                <w:p w14:paraId="7AEF868C">
                  <w:pPr>
                    <w:keepNext w:val="0"/>
                    <w:keepLines w:val="0"/>
                    <w:pageBreakBefore w:val="0"/>
                    <w:widowControl w:val="0"/>
                    <w:numPr>
                      <w:ilvl w:val="0"/>
                      <w:numId w:val="0"/>
                    </w:numPr>
                    <w:kinsoku/>
                    <w:wordWrap w:val="0"/>
                    <w:overflowPunct/>
                    <w:topLinePunct w:val="0"/>
                    <w:autoSpaceDE/>
                    <w:autoSpaceDN/>
                    <w:bidi w:val="0"/>
                    <w:adjustRightInd w:val="0"/>
                    <w:snapToGrid/>
                    <w:spacing w:line="240" w:lineRule="auto"/>
                    <w:ind w:left="0" w:leftChars="0" w:firstLine="0" w:firstLineChars="0"/>
                    <w:jc w:val="left"/>
                    <w:textAlignment w:val="baseline"/>
                    <w:rPr>
                      <w:rFonts w:hint="default" w:ascii="Times New Roman" w:hAnsi="Times New Roman" w:eastAsia="宋体" w:cs="Times New Roman"/>
                      <w:color w:val="auto"/>
                      <w:spacing w:val="0"/>
                      <w:kern w:val="0"/>
                      <w:sz w:val="21"/>
                      <w:szCs w:val="21"/>
                      <w:highlight w:val="none"/>
                      <w:lang w:val="en-US" w:eastAsia="zh-CN" w:bidi="ar-SA"/>
                    </w:rPr>
                  </w:pPr>
                  <w:r>
                    <w:rPr>
                      <w:rFonts w:hint="default" w:ascii="Times New Roman" w:hAnsi="Times New Roman" w:eastAsia="宋体" w:cs="Times New Roman"/>
                      <w:color w:val="auto"/>
                      <w:spacing w:val="0"/>
                      <w:kern w:val="0"/>
                      <w:sz w:val="21"/>
                      <w:szCs w:val="21"/>
                      <w:highlight w:val="none"/>
                    </w:rPr>
                    <w:t>本项目</w:t>
                  </w:r>
                  <w:r>
                    <w:rPr>
                      <w:rFonts w:hint="default" w:ascii="Times New Roman" w:hAnsi="Times New Roman" w:eastAsia="宋体" w:cs="Times New Roman"/>
                      <w:color w:val="auto"/>
                      <w:spacing w:val="0"/>
                      <w:kern w:val="0"/>
                      <w:sz w:val="21"/>
                      <w:szCs w:val="21"/>
                      <w:highlight w:val="none"/>
                      <w:lang w:eastAsia="zh-CN"/>
                    </w:rPr>
                    <w:t>不在石化产业基地内，</w:t>
                  </w:r>
                  <w:r>
                    <w:rPr>
                      <w:rFonts w:hint="default" w:ascii="Times New Roman" w:hAnsi="Times New Roman" w:eastAsia="宋体" w:cs="Times New Roman"/>
                      <w:color w:val="auto"/>
                      <w:spacing w:val="0"/>
                      <w:kern w:val="0"/>
                      <w:sz w:val="21"/>
                      <w:szCs w:val="21"/>
                      <w:highlight w:val="none"/>
                    </w:rPr>
                    <w:t>不涉及光气和光气化产品</w:t>
                  </w:r>
                  <w:r>
                    <w:rPr>
                      <w:rFonts w:hint="default" w:ascii="Times New Roman" w:hAnsi="Times New Roman" w:eastAsia="宋体" w:cs="Times New Roman"/>
                      <w:color w:val="auto"/>
                      <w:spacing w:val="0"/>
                      <w:kern w:val="0"/>
                      <w:sz w:val="21"/>
                      <w:szCs w:val="21"/>
                      <w:highlight w:val="none"/>
                      <w:lang w:eastAsia="zh-CN"/>
                    </w:rPr>
                    <w:t>。</w:t>
                  </w:r>
                </w:p>
              </w:tc>
              <w:tc>
                <w:tcPr>
                  <w:tcW w:w="235" w:type="pct"/>
                  <w:tcBorders>
                    <w:tl2br w:val="nil"/>
                    <w:tr2bl w:val="nil"/>
                  </w:tcBorders>
                  <w:noWrap w:val="0"/>
                  <w:vAlign w:val="center"/>
                </w:tcPr>
                <w:p w14:paraId="2F020E5F">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rPr>
                  </w:pPr>
                  <w:r>
                    <w:rPr>
                      <w:rFonts w:hint="default" w:ascii="Times New Roman" w:hAnsi="Times New Roman" w:eastAsia="宋体" w:cs="Times New Roman"/>
                      <w:color w:val="auto"/>
                      <w:spacing w:val="-11"/>
                      <w:sz w:val="21"/>
                      <w:szCs w:val="21"/>
                      <w:highlight w:val="none"/>
                    </w:rPr>
                    <w:t>符合</w:t>
                  </w:r>
                </w:p>
              </w:tc>
            </w:tr>
            <w:tr w14:paraId="7F10A5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atLeast"/>
                <w:jc w:val="center"/>
              </w:trPr>
              <w:tc>
                <w:tcPr>
                  <w:tcW w:w="433" w:type="pct"/>
                  <w:vMerge w:val="continue"/>
                  <w:tcBorders>
                    <w:tl2br w:val="nil"/>
                    <w:tr2bl w:val="nil"/>
                  </w:tcBorders>
                  <w:noWrap w:val="0"/>
                  <w:vAlign w:val="center"/>
                </w:tcPr>
                <w:p w14:paraId="1AF21533">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val="en-US" w:eastAsia="zh-CN"/>
                    </w:rPr>
                  </w:pPr>
                </w:p>
              </w:tc>
              <w:tc>
                <w:tcPr>
                  <w:tcW w:w="266" w:type="pct"/>
                  <w:vMerge w:val="continue"/>
                  <w:tcBorders>
                    <w:tl2br w:val="nil"/>
                    <w:tr2bl w:val="nil"/>
                  </w:tcBorders>
                  <w:noWrap w:val="0"/>
                  <w:vAlign w:val="center"/>
                </w:tcPr>
                <w:p w14:paraId="24EFA88B">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val="en-US" w:eastAsia="zh-CN"/>
                    </w:rPr>
                  </w:pPr>
                </w:p>
              </w:tc>
              <w:tc>
                <w:tcPr>
                  <w:tcW w:w="398" w:type="pct"/>
                  <w:vMerge w:val="continue"/>
                  <w:tcBorders>
                    <w:tl2br w:val="nil"/>
                    <w:tr2bl w:val="nil"/>
                  </w:tcBorders>
                  <w:noWrap w:val="0"/>
                  <w:vAlign w:val="center"/>
                </w:tcPr>
                <w:p w14:paraId="4387BAEB">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val="en-US" w:eastAsia="zh-CN"/>
                    </w:rPr>
                  </w:pPr>
                </w:p>
              </w:tc>
              <w:tc>
                <w:tcPr>
                  <w:tcW w:w="339" w:type="pct"/>
                  <w:vMerge w:val="continue"/>
                  <w:tcBorders>
                    <w:tl2br w:val="nil"/>
                    <w:tr2bl w:val="nil"/>
                  </w:tcBorders>
                  <w:noWrap w:val="0"/>
                  <w:vAlign w:val="center"/>
                </w:tcPr>
                <w:p w14:paraId="7217F1A3">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val="en-US" w:eastAsia="zh-CN"/>
                    </w:rPr>
                  </w:pPr>
                </w:p>
              </w:tc>
              <w:tc>
                <w:tcPr>
                  <w:tcW w:w="549" w:type="pct"/>
                  <w:vMerge w:val="continue"/>
                  <w:tcBorders>
                    <w:tl2br w:val="nil"/>
                    <w:tr2bl w:val="nil"/>
                  </w:tcBorders>
                  <w:noWrap w:val="0"/>
                  <w:vAlign w:val="center"/>
                </w:tcPr>
                <w:p w14:paraId="402F88AE">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val="en-US" w:eastAsia="zh-CN"/>
                    </w:rPr>
                  </w:pPr>
                </w:p>
              </w:tc>
              <w:tc>
                <w:tcPr>
                  <w:tcW w:w="309" w:type="pct"/>
                  <w:tcBorders>
                    <w:tl2br w:val="nil"/>
                    <w:tr2bl w:val="nil"/>
                  </w:tcBorders>
                  <w:noWrap w:val="0"/>
                  <w:vAlign w:val="center"/>
                </w:tcPr>
                <w:p w14:paraId="5B16459B">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lang w:val="en-US" w:eastAsia="zh-CN"/>
                    </w:rPr>
                  </w:pPr>
                  <w:r>
                    <w:rPr>
                      <w:rFonts w:hint="default" w:ascii="Times New Roman" w:hAnsi="Times New Roman" w:eastAsia="宋体" w:cs="Times New Roman"/>
                      <w:color w:val="auto"/>
                      <w:spacing w:val="-11"/>
                      <w:sz w:val="21"/>
                      <w:szCs w:val="21"/>
                      <w:highlight w:val="none"/>
                      <w:lang w:val="en-US" w:eastAsia="zh-CN"/>
                    </w:rPr>
                    <w:t>资源利用效率要求</w:t>
                  </w:r>
                </w:p>
              </w:tc>
              <w:tc>
                <w:tcPr>
                  <w:tcW w:w="1648" w:type="pct"/>
                  <w:tcBorders>
                    <w:tl2br w:val="nil"/>
                    <w:tr2bl w:val="nil"/>
                  </w:tcBorders>
                  <w:noWrap w:val="0"/>
                  <w:vAlign w:val="center"/>
                </w:tcPr>
                <w:p w14:paraId="13E00314">
                  <w:pPr>
                    <w:keepNext w:val="0"/>
                    <w:keepLines w:val="0"/>
                    <w:pageBreakBefore w:val="0"/>
                    <w:widowControl w:val="0"/>
                    <w:numPr>
                      <w:ilvl w:val="0"/>
                      <w:numId w:val="0"/>
                    </w:numPr>
                    <w:kinsoku/>
                    <w:wordWrap w:val="0"/>
                    <w:overflowPunct/>
                    <w:topLinePunct w:val="0"/>
                    <w:autoSpaceDE/>
                    <w:autoSpaceDN/>
                    <w:bidi w:val="0"/>
                    <w:adjustRightInd w:val="0"/>
                    <w:snapToGrid/>
                    <w:spacing w:line="240" w:lineRule="auto"/>
                    <w:ind w:left="0" w:leftChars="0" w:firstLine="0" w:firstLineChars="0"/>
                    <w:jc w:val="left"/>
                    <w:textAlignment w:val="baseline"/>
                    <w:rPr>
                      <w:rFonts w:hint="default" w:ascii="Times New Roman" w:hAnsi="Times New Roman" w:eastAsia="宋体" w:cs="Times New Roman"/>
                      <w:color w:val="auto"/>
                      <w:spacing w:val="0"/>
                      <w:kern w:val="0"/>
                      <w:sz w:val="21"/>
                      <w:szCs w:val="21"/>
                      <w:highlight w:val="none"/>
                      <w:lang w:val="en-US" w:eastAsia="zh-CN"/>
                    </w:rPr>
                  </w:pPr>
                  <w:r>
                    <w:rPr>
                      <w:rFonts w:hint="default" w:ascii="Times New Roman" w:hAnsi="Times New Roman" w:eastAsia="宋体" w:cs="Times New Roman"/>
                      <w:color w:val="auto"/>
                      <w:spacing w:val="0"/>
                      <w:kern w:val="0"/>
                      <w:sz w:val="21"/>
                      <w:szCs w:val="21"/>
                      <w:highlight w:val="none"/>
                      <w:lang w:val="en-US" w:eastAsia="zh-CN"/>
                    </w:rPr>
                    <w:t>1、禁燃区执行全市资源利用总体管控要求中禁燃区管控要求。</w:t>
                  </w:r>
                </w:p>
                <w:p w14:paraId="6D194544">
                  <w:pPr>
                    <w:keepNext w:val="0"/>
                    <w:keepLines w:val="0"/>
                    <w:pageBreakBefore w:val="0"/>
                    <w:widowControl w:val="0"/>
                    <w:numPr>
                      <w:ilvl w:val="0"/>
                      <w:numId w:val="0"/>
                    </w:numPr>
                    <w:kinsoku/>
                    <w:wordWrap w:val="0"/>
                    <w:overflowPunct/>
                    <w:topLinePunct w:val="0"/>
                    <w:autoSpaceDE/>
                    <w:autoSpaceDN/>
                    <w:bidi w:val="0"/>
                    <w:adjustRightInd w:val="0"/>
                    <w:snapToGrid/>
                    <w:spacing w:line="240" w:lineRule="auto"/>
                    <w:ind w:left="0" w:leftChars="0" w:firstLine="0" w:firstLineChars="0"/>
                    <w:jc w:val="left"/>
                    <w:textAlignment w:val="baseline"/>
                    <w:rPr>
                      <w:rFonts w:hint="default" w:ascii="Times New Roman" w:hAnsi="Times New Roman" w:eastAsia="宋体" w:cs="Times New Roman"/>
                      <w:color w:val="auto"/>
                      <w:spacing w:val="0"/>
                      <w:kern w:val="0"/>
                      <w:sz w:val="21"/>
                      <w:szCs w:val="21"/>
                      <w:highlight w:val="none"/>
                      <w:lang w:val="en-US" w:eastAsia="zh-CN"/>
                    </w:rPr>
                  </w:pPr>
                  <w:r>
                    <w:rPr>
                      <w:rFonts w:hint="default" w:ascii="Times New Roman" w:hAnsi="Times New Roman" w:eastAsia="宋体" w:cs="Times New Roman"/>
                      <w:color w:val="auto"/>
                      <w:spacing w:val="0"/>
                      <w:kern w:val="0"/>
                      <w:sz w:val="21"/>
                      <w:szCs w:val="21"/>
                      <w:highlight w:val="none"/>
                      <w:lang w:val="en-US" w:eastAsia="zh-CN"/>
                    </w:rPr>
                    <w:t>2、严控煤炭消费量，对钢铁、焦化、煤炭、电力等重点用煤行业加强煤耗管控，采取去产能、减少煤电机组出力和电煤消耗、推进可再生清洁能源代煤改造等综合性削煤措施，充分利用天然气等各种清洁能源，促进天然气产业上中下游协调发展。</w:t>
                  </w:r>
                </w:p>
                <w:p w14:paraId="5CF73AEC">
                  <w:pPr>
                    <w:keepNext w:val="0"/>
                    <w:keepLines w:val="0"/>
                    <w:pageBreakBefore w:val="0"/>
                    <w:widowControl w:val="0"/>
                    <w:numPr>
                      <w:ilvl w:val="0"/>
                      <w:numId w:val="0"/>
                    </w:numPr>
                    <w:kinsoku/>
                    <w:wordWrap w:val="0"/>
                    <w:overflowPunct/>
                    <w:topLinePunct w:val="0"/>
                    <w:autoSpaceDE/>
                    <w:autoSpaceDN/>
                    <w:bidi w:val="0"/>
                    <w:adjustRightInd w:val="0"/>
                    <w:snapToGrid/>
                    <w:spacing w:line="240" w:lineRule="auto"/>
                    <w:ind w:left="0" w:leftChars="0" w:firstLine="0" w:firstLineChars="0"/>
                    <w:jc w:val="left"/>
                    <w:textAlignment w:val="baseline"/>
                    <w:rPr>
                      <w:rFonts w:hint="default" w:ascii="Times New Roman" w:hAnsi="Times New Roman" w:eastAsia="宋体" w:cs="Times New Roman"/>
                      <w:color w:val="auto"/>
                      <w:spacing w:val="0"/>
                      <w:kern w:val="0"/>
                      <w:sz w:val="21"/>
                      <w:szCs w:val="21"/>
                      <w:highlight w:val="none"/>
                      <w:lang w:val="en-US" w:eastAsia="zh-CN"/>
                    </w:rPr>
                  </w:pPr>
                  <w:r>
                    <w:rPr>
                      <w:rFonts w:hint="default" w:ascii="Times New Roman" w:hAnsi="Times New Roman" w:eastAsia="宋体" w:cs="Times New Roman"/>
                      <w:color w:val="auto"/>
                      <w:spacing w:val="0"/>
                      <w:kern w:val="0"/>
                      <w:sz w:val="21"/>
                      <w:szCs w:val="21"/>
                      <w:highlight w:val="none"/>
                      <w:lang w:val="en-US" w:eastAsia="zh-CN"/>
                    </w:rPr>
                    <w:t>3、中山路街道位于深层地下水限采区，执行全市资源利用总体管控要求中地下水限采区管控要求。</w:t>
                  </w:r>
                </w:p>
                <w:p w14:paraId="16FFB9A5">
                  <w:pPr>
                    <w:keepNext w:val="0"/>
                    <w:keepLines w:val="0"/>
                    <w:pageBreakBefore w:val="0"/>
                    <w:widowControl w:val="0"/>
                    <w:numPr>
                      <w:ilvl w:val="0"/>
                      <w:numId w:val="0"/>
                    </w:numPr>
                    <w:kinsoku/>
                    <w:wordWrap w:val="0"/>
                    <w:overflowPunct/>
                    <w:topLinePunct w:val="0"/>
                    <w:autoSpaceDE/>
                    <w:autoSpaceDN/>
                    <w:bidi w:val="0"/>
                    <w:adjustRightInd w:val="0"/>
                    <w:snapToGrid/>
                    <w:spacing w:line="240" w:lineRule="auto"/>
                    <w:ind w:left="0" w:leftChars="0" w:firstLine="0" w:firstLineChars="0"/>
                    <w:jc w:val="left"/>
                    <w:textAlignment w:val="baseline"/>
                    <w:rPr>
                      <w:rFonts w:hint="default" w:ascii="Times New Roman" w:hAnsi="Times New Roman" w:eastAsia="宋体" w:cs="Times New Roman"/>
                      <w:color w:val="auto"/>
                      <w:spacing w:val="0"/>
                      <w:kern w:val="0"/>
                      <w:sz w:val="21"/>
                      <w:szCs w:val="21"/>
                      <w:highlight w:val="none"/>
                      <w:lang w:val="en-US" w:eastAsia="zh-CN"/>
                    </w:rPr>
                  </w:pPr>
                  <w:r>
                    <w:rPr>
                      <w:rFonts w:hint="default" w:ascii="Times New Roman" w:hAnsi="Times New Roman" w:eastAsia="宋体" w:cs="Times New Roman"/>
                      <w:color w:val="auto"/>
                      <w:spacing w:val="0"/>
                      <w:kern w:val="0"/>
                      <w:sz w:val="21"/>
                      <w:szCs w:val="21"/>
                      <w:highlight w:val="none"/>
                      <w:lang w:val="en-US" w:eastAsia="zh-CN"/>
                    </w:rPr>
                    <w:t>4、城镇开发边界外区域，暂不开发建设，待土地性质调整后方可开发利用。</w:t>
                  </w:r>
                </w:p>
              </w:tc>
              <w:tc>
                <w:tcPr>
                  <w:tcW w:w="818" w:type="pct"/>
                  <w:tcBorders>
                    <w:tl2br w:val="nil"/>
                    <w:tr2bl w:val="nil"/>
                  </w:tcBorders>
                  <w:noWrap w:val="0"/>
                  <w:vAlign w:val="center"/>
                </w:tcPr>
                <w:p w14:paraId="117CA734">
                  <w:pPr>
                    <w:keepNext w:val="0"/>
                    <w:keepLines w:val="0"/>
                    <w:pageBreakBefore w:val="0"/>
                    <w:widowControl w:val="0"/>
                    <w:numPr>
                      <w:ilvl w:val="0"/>
                      <w:numId w:val="0"/>
                    </w:numPr>
                    <w:kinsoku/>
                    <w:wordWrap w:val="0"/>
                    <w:overflowPunct/>
                    <w:topLinePunct w:val="0"/>
                    <w:autoSpaceDE/>
                    <w:autoSpaceDN/>
                    <w:bidi w:val="0"/>
                    <w:adjustRightInd w:val="0"/>
                    <w:snapToGrid/>
                    <w:spacing w:line="240" w:lineRule="auto"/>
                    <w:ind w:left="0" w:leftChars="0" w:firstLine="0" w:firstLineChars="0"/>
                    <w:jc w:val="left"/>
                    <w:textAlignment w:val="baseline"/>
                    <w:rPr>
                      <w:rFonts w:hint="default" w:ascii="Times New Roman" w:hAnsi="Times New Roman" w:eastAsia="宋体" w:cs="Times New Roman"/>
                      <w:color w:val="auto"/>
                      <w:spacing w:val="0"/>
                      <w:kern w:val="0"/>
                      <w:sz w:val="21"/>
                      <w:szCs w:val="21"/>
                      <w:highlight w:val="none"/>
                      <w:lang w:val="en-US" w:eastAsia="zh-CN" w:bidi="ar-SA"/>
                    </w:rPr>
                  </w:pPr>
                  <w:r>
                    <w:rPr>
                      <w:rFonts w:hint="default" w:ascii="Times New Roman" w:hAnsi="Times New Roman" w:eastAsia="宋体" w:cs="Times New Roman"/>
                      <w:color w:val="auto"/>
                      <w:spacing w:val="0"/>
                      <w:kern w:val="0"/>
                      <w:sz w:val="21"/>
                      <w:szCs w:val="21"/>
                      <w:highlight w:val="none"/>
                    </w:rPr>
                    <w:t>本项目用水</w:t>
                  </w:r>
                  <w:r>
                    <w:rPr>
                      <w:rFonts w:hint="default" w:ascii="Times New Roman" w:hAnsi="Times New Roman" w:eastAsia="宋体" w:cs="Times New Roman"/>
                      <w:sz w:val="21"/>
                      <w:szCs w:val="21"/>
                      <w:highlight w:val="none"/>
                      <w:lang w:val="en-US" w:eastAsia="zh-CN"/>
                    </w:rPr>
                    <w:t>由市政供水管网供水</w:t>
                  </w:r>
                  <w:r>
                    <w:rPr>
                      <w:rFonts w:hint="default" w:ascii="Times New Roman" w:hAnsi="Times New Roman" w:eastAsia="宋体" w:cs="Times New Roman"/>
                      <w:color w:val="auto"/>
                      <w:spacing w:val="0"/>
                      <w:kern w:val="0"/>
                      <w:sz w:val="21"/>
                      <w:szCs w:val="21"/>
                      <w:highlight w:val="none"/>
                    </w:rPr>
                    <w:t>，厂区不设取水井；不</w:t>
                  </w:r>
                  <w:r>
                    <w:rPr>
                      <w:rFonts w:hint="eastAsia" w:cs="Times New Roman"/>
                      <w:color w:val="auto"/>
                      <w:spacing w:val="0"/>
                      <w:kern w:val="0"/>
                      <w:sz w:val="21"/>
                      <w:szCs w:val="21"/>
                      <w:highlight w:val="none"/>
                      <w:lang w:eastAsia="zh-CN"/>
                    </w:rPr>
                    <w:t>使用</w:t>
                  </w:r>
                  <w:r>
                    <w:rPr>
                      <w:rFonts w:hint="default" w:ascii="Times New Roman" w:hAnsi="Times New Roman" w:eastAsia="宋体" w:cs="Times New Roman"/>
                      <w:color w:val="auto"/>
                      <w:spacing w:val="0"/>
                      <w:kern w:val="0"/>
                      <w:sz w:val="21"/>
                      <w:szCs w:val="21"/>
                      <w:highlight w:val="none"/>
                    </w:rPr>
                    <w:t>煤炭能源</w:t>
                  </w:r>
                  <w:r>
                    <w:rPr>
                      <w:rFonts w:hint="default" w:ascii="Times New Roman" w:hAnsi="Times New Roman" w:eastAsia="宋体" w:cs="Times New Roman"/>
                      <w:color w:val="auto"/>
                      <w:spacing w:val="0"/>
                      <w:kern w:val="0"/>
                      <w:sz w:val="21"/>
                      <w:szCs w:val="21"/>
                      <w:highlight w:val="none"/>
                      <w:lang w:eastAsia="zh-CN"/>
                    </w:rPr>
                    <w:t>。</w:t>
                  </w:r>
                </w:p>
              </w:tc>
              <w:tc>
                <w:tcPr>
                  <w:tcW w:w="235" w:type="pct"/>
                  <w:tcBorders>
                    <w:tl2br w:val="nil"/>
                    <w:tr2bl w:val="nil"/>
                  </w:tcBorders>
                  <w:noWrap w:val="0"/>
                  <w:vAlign w:val="center"/>
                </w:tcPr>
                <w:p w14:paraId="666812CB">
                  <w:pPr>
                    <w:keepNext w:val="0"/>
                    <w:keepLines w:val="0"/>
                    <w:pageBreakBefore w:val="0"/>
                    <w:widowControl w:val="0"/>
                    <w:kinsoku/>
                    <w:overflowPunct/>
                    <w:topLinePunct w:val="0"/>
                    <w:autoSpaceDE/>
                    <w:autoSpaceDN/>
                    <w:bidi w:val="0"/>
                    <w:adjustRightInd w:val="0"/>
                    <w:snapToGrid w:val="0"/>
                    <w:spacing w:line="240" w:lineRule="auto"/>
                    <w:jc w:val="center"/>
                    <w:rPr>
                      <w:rFonts w:hint="default" w:ascii="Times New Roman" w:hAnsi="Times New Roman" w:eastAsia="宋体" w:cs="Times New Roman"/>
                      <w:color w:val="auto"/>
                      <w:spacing w:val="-11"/>
                      <w:sz w:val="21"/>
                      <w:szCs w:val="21"/>
                      <w:highlight w:val="none"/>
                    </w:rPr>
                  </w:pPr>
                  <w:r>
                    <w:rPr>
                      <w:rFonts w:hint="default" w:ascii="Times New Roman" w:hAnsi="Times New Roman" w:eastAsia="宋体" w:cs="Times New Roman"/>
                      <w:color w:val="auto"/>
                      <w:spacing w:val="-11"/>
                      <w:sz w:val="21"/>
                      <w:szCs w:val="21"/>
                      <w:highlight w:val="none"/>
                    </w:rPr>
                    <w:t>符合</w:t>
                  </w:r>
                </w:p>
              </w:tc>
            </w:tr>
          </w:tbl>
          <w:p w14:paraId="7E05448A">
            <w:pPr>
              <w:adjustRightInd w:val="0"/>
              <w:snapToGrid w:val="0"/>
              <w:rPr>
                <w:rFonts w:ascii="宋体" w:hAnsi="宋体" w:cs="宋体"/>
                <w:bCs/>
                <w:spacing w:val="-10"/>
                <w:szCs w:val="21"/>
                <w:highlight w:val="none"/>
              </w:rPr>
            </w:pPr>
          </w:p>
        </w:tc>
      </w:tr>
    </w:tbl>
    <w:p w14:paraId="081C7518">
      <w:pPr>
        <w:spacing w:line="360" w:lineRule="auto"/>
        <w:outlineLvl w:val="0"/>
        <w:rPr>
          <w:rFonts w:eastAsia="黑体"/>
          <w:sz w:val="30"/>
          <w:highlight w:val="none"/>
        </w:rPr>
        <w:sectPr>
          <w:footerReference r:id="rId6" w:type="default"/>
          <w:pgSz w:w="16838" w:h="11906" w:orient="landscape"/>
          <w:pgMar w:top="1531" w:right="1701" w:bottom="1531" w:left="1701" w:header="851" w:footer="1077" w:gutter="0"/>
          <w:pgBorders>
            <w:top w:val="none" w:sz="0" w:space="0"/>
            <w:left w:val="none" w:sz="0" w:space="0"/>
            <w:bottom w:val="none" w:sz="0" w:space="0"/>
            <w:right w:val="none" w:sz="0" w:space="0"/>
          </w:pgBorders>
          <w:pgNumType w:fmt="decimal"/>
          <w:cols w:space="720" w:num="1"/>
          <w:docGrid w:linePitch="312" w:charSpace="0"/>
        </w:sectPr>
      </w:pPr>
    </w:p>
    <w:tbl>
      <w:tblPr>
        <w:tblStyle w:val="25"/>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083"/>
        <w:gridCol w:w="7787"/>
      </w:tblGrid>
      <w:tr w14:paraId="0B57EFD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158" w:hRule="atLeast"/>
          <w:jc w:val="center"/>
        </w:trPr>
        <w:tc>
          <w:tcPr>
            <w:tcW w:w="1083" w:type="dxa"/>
            <w:noWrap w:val="0"/>
            <w:vAlign w:val="center"/>
          </w:tcPr>
          <w:p w14:paraId="087C9489">
            <w:pPr>
              <w:autoSpaceDE w:val="0"/>
              <w:autoSpaceDN w:val="0"/>
              <w:adjustRightInd w:val="0"/>
              <w:snapToGrid w:val="0"/>
              <w:jc w:val="center"/>
              <w:rPr>
                <w:rFonts w:hint="default" w:ascii="Times New Roman" w:hAnsi="Times New Roman" w:cs="Times New Roman"/>
                <w:kern w:val="0"/>
                <w:sz w:val="24"/>
                <w:szCs w:val="24"/>
                <w:highlight w:val="none"/>
              </w:rPr>
            </w:pPr>
            <w:bookmarkStart w:id="4" w:name="_Toc29359"/>
          </w:p>
        </w:tc>
        <w:tc>
          <w:tcPr>
            <w:tcW w:w="7787" w:type="dxa"/>
            <w:noWrap w:val="0"/>
            <w:vAlign w:val="center"/>
          </w:tcPr>
          <w:p w14:paraId="4404A28F">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cs="Times New Roman"/>
                <w:b w:val="0"/>
                <w:bCs w:val="0"/>
                <w:color w:val="000000"/>
                <w:kern w:val="0"/>
                <w:sz w:val="24"/>
                <w:szCs w:val="24"/>
                <w:highlight w:val="none"/>
                <w:lang w:val="en-US" w:eastAsia="zh-CN" w:bidi="ar"/>
              </w:rPr>
            </w:pPr>
            <w:r>
              <w:rPr>
                <w:rFonts w:hint="default" w:ascii="Times New Roman" w:hAnsi="Times New Roman" w:cs="Times New Roman"/>
                <w:b w:val="0"/>
                <w:bCs w:val="0"/>
                <w:color w:val="000000"/>
                <w:kern w:val="0"/>
                <w:sz w:val="24"/>
                <w:szCs w:val="24"/>
                <w:highlight w:val="none"/>
                <w:lang w:val="en-US" w:eastAsia="zh-CN" w:bidi="ar"/>
              </w:rPr>
              <w:t>综上所述，本项目建设符合《唐山市人民政府关于实施“三线一单”生态环境分区管控的意见》（唐政字〔2021〕48号）及</w:t>
            </w:r>
            <w:r>
              <w:rPr>
                <w:rFonts w:hint="eastAsia" w:cs="Times New Roman"/>
                <w:b w:val="0"/>
                <w:bCs w:val="0"/>
                <w:color w:val="000000"/>
                <w:kern w:val="0"/>
                <w:sz w:val="24"/>
                <w:szCs w:val="24"/>
                <w:highlight w:val="none"/>
                <w:lang w:val="en-US" w:eastAsia="zh-CN" w:bidi="ar"/>
              </w:rPr>
              <w:t>《唐山市生态环境准入清单》（2023年版）</w:t>
            </w:r>
            <w:r>
              <w:rPr>
                <w:rFonts w:hint="default" w:ascii="Times New Roman" w:hAnsi="Times New Roman" w:cs="Times New Roman"/>
                <w:b w:val="0"/>
                <w:bCs w:val="0"/>
                <w:color w:val="000000"/>
                <w:kern w:val="0"/>
                <w:sz w:val="24"/>
                <w:szCs w:val="24"/>
                <w:highlight w:val="none"/>
                <w:lang w:val="en-US" w:eastAsia="zh-CN" w:bidi="ar"/>
              </w:rPr>
              <w:t>相关要求，符合“三线一单”的相关要求。</w:t>
            </w:r>
          </w:p>
          <w:p w14:paraId="499C27AA">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bCs/>
                <w:color w:val="000000"/>
                <w:kern w:val="0"/>
                <w:sz w:val="24"/>
                <w:szCs w:val="24"/>
                <w:highlight w:val="none"/>
                <w:lang w:val="en-US" w:eastAsia="zh-CN" w:bidi="ar"/>
              </w:rPr>
            </w:pPr>
            <w:r>
              <w:rPr>
                <w:rFonts w:hint="default" w:ascii="Times New Roman" w:hAnsi="Times New Roman" w:eastAsia="TimesNewRomanPSMT" w:cs="Times New Roman"/>
                <w:b/>
                <w:bCs/>
                <w:color w:val="000000"/>
                <w:kern w:val="0"/>
                <w:sz w:val="24"/>
                <w:szCs w:val="24"/>
                <w:highlight w:val="none"/>
                <w:lang w:val="en-US" w:eastAsia="zh-CN" w:bidi="ar"/>
              </w:rPr>
              <w:t>2</w:t>
            </w:r>
            <w:r>
              <w:rPr>
                <w:rFonts w:hint="default" w:ascii="Times New Roman" w:hAnsi="Times New Roman" w:eastAsia="宋体" w:cs="Times New Roman"/>
                <w:b/>
                <w:bCs/>
                <w:color w:val="000000"/>
                <w:kern w:val="0"/>
                <w:sz w:val="24"/>
                <w:szCs w:val="24"/>
                <w:highlight w:val="none"/>
                <w:lang w:val="en-US" w:eastAsia="zh-CN" w:bidi="ar"/>
              </w:rPr>
              <w:t>、产业政策的符合性</w:t>
            </w:r>
          </w:p>
          <w:p w14:paraId="04CD5938">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cs="Times New Roman"/>
                <w:sz w:val="24"/>
                <w:szCs w:val="24"/>
                <w:highlight w:val="none"/>
              </w:rPr>
            </w:pPr>
            <w:r>
              <w:rPr>
                <w:rFonts w:hint="default" w:ascii="Times New Roman" w:hAnsi="Times New Roman" w:cs="Times New Roman"/>
                <w:b w:val="0"/>
                <w:bCs w:val="0"/>
                <w:color w:val="000000"/>
                <w:kern w:val="0"/>
                <w:sz w:val="24"/>
                <w:szCs w:val="24"/>
                <w:highlight w:val="none"/>
                <w:lang w:val="en-US" w:eastAsia="zh-CN" w:bidi="ar"/>
              </w:rPr>
              <w:t>唐山曹妃甸区粤蒙盛物流有限公司</w:t>
            </w:r>
            <w:r>
              <w:rPr>
                <w:rFonts w:hint="default" w:ascii="Times New Roman" w:hAnsi="Times New Roman" w:eastAsia="宋体" w:cs="Times New Roman"/>
                <w:b w:val="0"/>
                <w:bCs w:val="0"/>
                <w:color w:val="000000"/>
                <w:kern w:val="0"/>
                <w:sz w:val="24"/>
                <w:szCs w:val="24"/>
                <w:highlight w:val="none"/>
                <w:lang w:val="en-US" w:eastAsia="zh-CN" w:bidi="ar"/>
              </w:rPr>
              <w:t>投资</w:t>
            </w:r>
            <w:r>
              <w:rPr>
                <w:rFonts w:hint="default" w:ascii="Times New Roman" w:hAnsi="Times New Roman" w:cs="Times New Roman"/>
                <w:sz w:val="24"/>
                <w:szCs w:val="24"/>
                <w:highlight w:val="none"/>
                <w:lang w:val="en-US" w:eastAsia="zh-CN"/>
              </w:rPr>
              <w:t>117108</w:t>
            </w:r>
            <w:r>
              <w:rPr>
                <w:rFonts w:hint="default" w:ascii="Times New Roman" w:hAnsi="Times New Roman" w:eastAsia="宋体" w:cs="Times New Roman"/>
                <w:b w:val="0"/>
                <w:bCs w:val="0"/>
                <w:color w:val="000000"/>
                <w:kern w:val="0"/>
                <w:sz w:val="24"/>
                <w:szCs w:val="24"/>
                <w:highlight w:val="none"/>
                <w:lang w:val="en-US" w:eastAsia="zh-CN" w:bidi="ar"/>
              </w:rPr>
              <w:t>万元建设</w:t>
            </w:r>
            <w:r>
              <w:rPr>
                <w:rFonts w:hint="default" w:ascii="Times New Roman" w:hAnsi="Times New Roman" w:cs="Times New Roman"/>
                <w:b w:val="0"/>
                <w:bCs w:val="0"/>
                <w:color w:val="000000"/>
                <w:kern w:val="0"/>
                <w:sz w:val="24"/>
                <w:szCs w:val="24"/>
                <w:highlight w:val="none"/>
                <w:lang w:val="en-US" w:eastAsia="zh-CN" w:bidi="ar"/>
              </w:rPr>
              <w:t>粤蒙盛现代物流项目</w:t>
            </w:r>
            <w:r>
              <w:rPr>
                <w:rFonts w:hint="default" w:ascii="Times New Roman" w:hAnsi="Times New Roman" w:eastAsia="宋体" w:cs="Times New Roman"/>
                <w:b w:val="0"/>
                <w:bCs w:val="0"/>
                <w:color w:val="000000"/>
                <w:kern w:val="0"/>
                <w:sz w:val="24"/>
                <w:szCs w:val="24"/>
                <w:highlight w:val="none"/>
                <w:lang w:val="en-US" w:eastAsia="zh-CN" w:bidi="ar"/>
              </w:rPr>
              <w:t>，根据《</w:t>
            </w:r>
            <w:r>
              <w:rPr>
                <w:rFonts w:hint="eastAsia" w:cs="Times New Roman"/>
                <w:b w:val="0"/>
                <w:bCs w:val="0"/>
                <w:color w:val="000000"/>
                <w:kern w:val="0"/>
                <w:sz w:val="24"/>
                <w:szCs w:val="24"/>
                <w:highlight w:val="none"/>
                <w:lang w:val="en-US" w:eastAsia="zh-CN" w:bidi="ar"/>
              </w:rPr>
              <w:t>产业结构调整指导目录（2024年本）</w:t>
            </w:r>
            <w:r>
              <w:rPr>
                <w:rFonts w:hint="default" w:ascii="Times New Roman" w:hAnsi="Times New Roman" w:eastAsia="宋体" w:cs="Times New Roman"/>
                <w:b w:val="0"/>
                <w:bCs w:val="0"/>
                <w:color w:val="000000"/>
                <w:kern w:val="0"/>
                <w:sz w:val="24"/>
                <w:szCs w:val="24"/>
                <w:highlight w:val="none"/>
                <w:lang w:val="en-US" w:eastAsia="zh-CN" w:bidi="ar"/>
              </w:rPr>
              <w:t>》中的相关规定，本项目产品、工艺、生产设备等均未被列入《</w:t>
            </w:r>
            <w:r>
              <w:rPr>
                <w:rFonts w:hint="eastAsia" w:cs="Times New Roman"/>
                <w:b w:val="0"/>
                <w:bCs w:val="0"/>
                <w:color w:val="000000"/>
                <w:kern w:val="0"/>
                <w:sz w:val="24"/>
                <w:szCs w:val="24"/>
                <w:highlight w:val="none"/>
                <w:lang w:val="en-US" w:eastAsia="zh-CN" w:bidi="ar"/>
              </w:rPr>
              <w:t>产业结构调整指导目录（2024年本）</w:t>
            </w:r>
            <w:r>
              <w:rPr>
                <w:rFonts w:hint="default" w:ascii="Times New Roman" w:hAnsi="Times New Roman" w:eastAsia="宋体" w:cs="Times New Roman"/>
                <w:b w:val="0"/>
                <w:bCs w:val="0"/>
                <w:color w:val="000000"/>
                <w:kern w:val="0"/>
                <w:sz w:val="24"/>
                <w:szCs w:val="24"/>
                <w:highlight w:val="none"/>
                <w:lang w:val="en-US" w:eastAsia="zh-CN" w:bidi="ar"/>
              </w:rPr>
              <w:t>》限制类和淘汰类，属于允许类，本项目已由</w:t>
            </w:r>
            <w:r>
              <w:rPr>
                <w:rFonts w:hint="default" w:ascii="Times New Roman" w:hAnsi="Times New Roman" w:eastAsia="宋体" w:cs="Times New Roman"/>
                <w:sz w:val="24"/>
                <w:szCs w:val="24"/>
                <w:highlight w:val="none"/>
                <w:lang w:val="en-US" w:eastAsia="zh-CN"/>
              </w:rPr>
              <w:t>唐山市曹妃甸区行政审批局</w:t>
            </w:r>
            <w:r>
              <w:rPr>
                <w:rFonts w:hint="default" w:ascii="Times New Roman" w:hAnsi="Times New Roman" w:cs="Times New Roman"/>
                <w:sz w:val="24"/>
                <w:szCs w:val="24"/>
                <w:highlight w:val="none"/>
                <w:lang w:val="en-US" w:eastAsia="zh-CN"/>
              </w:rPr>
              <w:t>备案</w:t>
            </w:r>
            <w:r>
              <w:rPr>
                <w:rFonts w:hint="default" w:ascii="Times New Roman" w:hAnsi="Times New Roman" w:eastAsia="宋体" w:cs="Times New Roman"/>
                <w:b w:val="0"/>
                <w:bCs w:val="0"/>
                <w:color w:val="000000"/>
                <w:kern w:val="0"/>
                <w:sz w:val="24"/>
                <w:szCs w:val="24"/>
                <w:highlight w:val="none"/>
                <w:lang w:val="en-US" w:eastAsia="zh-CN" w:bidi="ar"/>
              </w:rPr>
              <w:t>，备案编号：</w:t>
            </w:r>
            <w:r>
              <w:rPr>
                <w:rFonts w:hint="default" w:ascii="Times New Roman" w:hAnsi="Times New Roman" w:cs="Times New Roman"/>
                <w:sz w:val="24"/>
                <w:szCs w:val="24"/>
                <w:highlight w:val="none"/>
                <w:lang w:val="en-US" w:eastAsia="zh-CN"/>
              </w:rPr>
              <w:t>唐曹审批投资备</w:t>
            </w:r>
            <w:r>
              <w:rPr>
                <w:rFonts w:hint="default" w:ascii="Times New Roman" w:hAnsi="Times New Roman" w:eastAsia="宋体" w:cs="Times New Roman"/>
                <w:sz w:val="24"/>
                <w:szCs w:val="24"/>
                <w:highlight w:val="none"/>
                <w:lang w:val="en-US" w:eastAsia="zh-CN"/>
              </w:rPr>
              <w:t>〔</w:t>
            </w:r>
            <w:r>
              <w:rPr>
                <w:rFonts w:hint="default" w:ascii="Times New Roman" w:hAnsi="Times New Roman" w:cs="Times New Roman"/>
                <w:sz w:val="24"/>
                <w:szCs w:val="24"/>
                <w:highlight w:val="none"/>
                <w:lang w:val="en-US" w:eastAsia="zh-CN"/>
              </w:rPr>
              <w:t>2024</w:t>
            </w:r>
            <w:r>
              <w:rPr>
                <w:rFonts w:hint="default" w:ascii="Times New Roman" w:hAnsi="Times New Roman" w:eastAsia="宋体" w:cs="Times New Roman"/>
                <w:sz w:val="24"/>
                <w:szCs w:val="24"/>
                <w:highlight w:val="none"/>
                <w:lang w:val="en-US" w:eastAsia="zh-CN"/>
              </w:rPr>
              <w:t>〕</w:t>
            </w:r>
            <w:r>
              <w:rPr>
                <w:rFonts w:hint="default" w:ascii="Times New Roman" w:hAnsi="Times New Roman" w:cs="Times New Roman"/>
                <w:sz w:val="24"/>
                <w:szCs w:val="24"/>
                <w:highlight w:val="none"/>
                <w:lang w:val="en-US" w:eastAsia="zh-CN"/>
              </w:rPr>
              <w:t>105号</w:t>
            </w:r>
            <w:r>
              <w:rPr>
                <w:rFonts w:hint="default" w:ascii="Times New Roman" w:hAnsi="Times New Roman" w:eastAsia="宋体" w:cs="Times New Roman"/>
                <w:b w:val="0"/>
                <w:bCs w:val="0"/>
                <w:color w:val="000000"/>
                <w:kern w:val="0"/>
                <w:sz w:val="24"/>
                <w:szCs w:val="24"/>
                <w:highlight w:val="none"/>
                <w:lang w:val="en-US" w:eastAsia="zh-CN" w:bidi="ar"/>
              </w:rPr>
              <w:t>，项目符合国家产业政策。</w:t>
            </w:r>
          </w:p>
          <w:p w14:paraId="4393A016">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bCs/>
                <w:color w:val="000000"/>
                <w:kern w:val="0"/>
                <w:sz w:val="24"/>
                <w:szCs w:val="24"/>
                <w:highlight w:val="none"/>
                <w:lang w:val="en-US" w:eastAsia="zh-CN" w:bidi="ar"/>
              </w:rPr>
            </w:pPr>
            <w:r>
              <w:rPr>
                <w:rFonts w:hint="default" w:ascii="Times New Roman" w:hAnsi="Times New Roman" w:eastAsia="TimesNewRomanPSMT" w:cs="Times New Roman"/>
                <w:b/>
                <w:bCs/>
                <w:color w:val="000000"/>
                <w:kern w:val="0"/>
                <w:sz w:val="24"/>
                <w:szCs w:val="24"/>
                <w:highlight w:val="none"/>
                <w:lang w:val="en-US" w:eastAsia="zh-CN" w:bidi="ar"/>
              </w:rPr>
              <w:t>3</w:t>
            </w:r>
            <w:r>
              <w:rPr>
                <w:rFonts w:hint="default" w:ascii="Times New Roman" w:hAnsi="Times New Roman" w:eastAsia="宋体" w:cs="Times New Roman"/>
                <w:b/>
                <w:bCs/>
                <w:color w:val="000000"/>
                <w:kern w:val="0"/>
                <w:sz w:val="24"/>
                <w:szCs w:val="24"/>
                <w:highlight w:val="none"/>
                <w:lang w:val="en-US" w:eastAsia="zh-CN" w:bidi="ar"/>
              </w:rPr>
              <w:t>、项目选址合理性</w:t>
            </w:r>
          </w:p>
          <w:p w14:paraId="0614B139">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TimesNewRomanPSMT" w:cs="Times New Roman"/>
                <w:b w:val="0"/>
                <w:bCs w:val="0"/>
                <w:color w:val="000000"/>
                <w:kern w:val="0"/>
                <w:sz w:val="24"/>
                <w:szCs w:val="24"/>
                <w:highlight w:val="none"/>
                <w:lang w:val="en-US" w:eastAsia="zh-CN" w:bidi="ar"/>
              </w:rPr>
            </w:pPr>
            <w:r>
              <w:rPr>
                <w:rFonts w:hint="default" w:ascii="Times New Roman" w:hAnsi="Times New Roman" w:eastAsia="TimesNewRomanPSMT" w:cs="Times New Roman"/>
                <w:b w:val="0"/>
                <w:bCs w:val="0"/>
                <w:color w:val="000000"/>
                <w:kern w:val="0"/>
                <w:sz w:val="24"/>
                <w:szCs w:val="24"/>
                <w:highlight w:val="none"/>
                <w:lang w:val="en-US" w:eastAsia="zh-CN" w:bidi="ar"/>
              </w:rPr>
              <w:t>本项目位于曹妃甸循环经济示范区港口物流园区，根据本项目国有土地使用证可知，本项目为工业用地。本项目</w:t>
            </w:r>
            <w:r>
              <w:rPr>
                <w:rFonts w:hint="eastAsia" w:cs="Times New Roman"/>
                <w:bCs/>
                <w:kern w:val="2"/>
                <w:sz w:val="24"/>
                <w:szCs w:val="21"/>
                <w:highlight w:val="none"/>
                <w:vertAlign w:val="baseline"/>
                <w:lang w:val="en-US" w:eastAsia="zh-CN" w:bidi="ar-SA"/>
              </w:rPr>
              <w:t>北、南、西侧</w:t>
            </w:r>
            <w:r>
              <w:rPr>
                <w:rFonts w:hint="eastAsia" w:ascii="Times New Roman" w:hAnsi="Times New Roman" w:eastAsia="宋体" w:cs="Times New Roman"/>
                <w:bCs/>
                <w:kern w:val="2"/>
                <w:sz w:val="24"/>
                <w:szCs w:val="21"/>
                <w:highlight w:val="none"/>
                <w:vertAlign w:val="baseline"/>
                <w:lang w:val="en-US" w:eastAsia="zh-CN" w:bidi="ar-SA"/>
              </w:rPr>
              <w:t>均为空地</w:t>
            </w:r>
            <w:r>
              <w:rPr>
                <w:rFonts w:hint="eastAsia" w:cs="Times New Roman"/>
                <w:bCs/>
                <w:kern w:val="2"/>
                <w:sz w:val="24"/>
                <w:szCs w:val="21"/>
                <w:highlight w:val="none"/>
                <w:vertAlign w:val="baseline"/>
                <w:lang w:val="en-US" w:eastAsia="zh-CN" w:bidi="ar-SA"/>
              </w:rPr>
              <w:t>，东侧为冀东2-3平台</w:t>
            </w:r>
            <w:r>
              <w:rPr>
                <w:rFonts w:hint="default" w:ascii="Times New Roman" w:hAnsi="Times New Roman" w:eastAsia="TimesNewRomanPSMT" w:cs="Times New Roman"/>
                <w:b w:val="0"/>
                <w:bCs w:val="0"/>
                <w:color w:val="000000"/>
                <w:kern w:val="0"/>
                <w:sz w:val="24"/>
                <w:szCs w:val="24"/>
                <w:highlight w:val="none"/>
                <w:lang w:val="en-US" w:eastAsia="zh-CN" w:bidi="ar"/>
              </w:rPr>
              <w:t>。项目选址周围无珍稀动植物资源保护区、文物保护单位等特殊环境敏感点，同时本项目建设符合生态保护红线、环境质量底线、资源利用上线、环境准入负面清单的要求。因此，本项目符合相关选址要求，选址合理。</w:t>
            </w:r>
          </w:p>
          <w:p w14:paraId="3609DDCF">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2" w:firstLineChars="200"/>
              <w:textAlignment w:val="auto"/>
              <w:rPr>
                <w:rFonts w:hint="default" w:ascii="Times New Roman" w:hAnsi="Times New Roman" w:cs="Times New Roman"/>
                <w:b/>
                <w:bCs/>
                <w:sz w:val="24"/>
                <w:szCs w:val="32"/>
                <w:highlight w:val="none"/>
                <w:lang w:val="en-US" w:eastAsia="zh-CN"/>
              </w:rPr>
            </w:pPr>
            <w:r>
              <w:rPr>
                <w:rFonts w:hint="default" w:ascii="Times New Roman" w:hAnsi="Times New Roman" w:cs="Times New Roman"/>
                <w:b/>
                <w:bCs/>
                <w:color w:val="000000"/>
                <w:sz w:val="24"/>
                <w:szCs w:val="24"/>
                <w:highlight w:val="none"/>
                <w:lang w:val="en-US" w:eastAsia="zh-CN"/>
              </w:rPr>
              <w:t>4、</w:t>
            </w:r>
            <w:r>
              <w:rPr>
                <w:rFonts w:hint="default" w:ascii="Times New Roman" w:hAnsi="Times New Roman" w:cs="Times New Roman"/>
                <w:b/>
                <w:bCs/>
                <w:sz w:val="24"/>
                <w:szCs w:val="32"/>
                <w:highlight w:val="none"/>
                <w:lang w:val="en-US" w:eastAsia="zh-CN"/>
              </w:rPr>
              <w:t>与其他相关环保政策符合性分析</w:t>
            </w:r>
          </w:p>
          <w:p w14:paraId="29CF3B4F">
            <w:pPr>
              <w:adjustRightInd w:val="0"/>
              <w:snapToGrid w:val="0"/>
              <w:spacing w:line="400" w:lineRule="exact"/>
              <w:jc w:val="center"/>
              <w:rPr>
                <w:rFonts w:hint="eastAsia" w:ascii="Times New Roman" w:hAnsi="Times New Roman" w:cs="Times New Roman"/>
                <w:b/>
                <w:bCs/>
                <w:color w:val="auto"/>
                <w:sz w:val="24"/>
                <w:highlight w:val="none"/>
              </w:rPr>
            </w:pPr>
            <w:r>
              <w:rPr>
                <w:rFonts w:hint="default" w:ascii="Times New Roman" w:hAnsi="Times New Roman" w:cs="Times New Roman"/>
                <w:b/>
                <w:bCs/>
                <w:color w:val="auto"/>
                <w:sz w:val="24"/>
                <w:highlight w:val="none"/>
                <w:lang w:val="en-US" w:eastAsia="zh-CN"/>
              </w:rPr>
              <w:t>表</w:t>
            </w:r>
            <w:r>
              <w:rPr>
                <w:rFonts w:hint="eastAsia" w:ascii="Times New Roman" w:hAnsi="Times New Roman" w:cs="Times New Roman"/>
                <w:b/>
                <w:bCs/>
                <w:color w:val="auto"/>
                <w:sz w:val="24"/>
                <w:highlight w:val="none"/>
                <w:lang w:val="en-US" w:eastAsia="zh-CN"/>
              </w:rPr>
              <w:t>1-6</w:t>
            </w:r>
            <w:r>
              <w:rPr>
                <w:rFonts w:hint="default" w:ascii="Times New Roman" w:hAnsi="Times New Roman" w:cs="Times New Roman"/>
                <w:b/>
                <w:bCs/>
                <w:color w:val="auto"/>
                <w:sz w:val="24"/>
                <w:highlight w:val="none"/>
                <w:lang w:val="en-US" w:eastAsia="zh-CN"/>
              </w:rPr>
              <w:t xml:space="preserve"> </w:t>
            </w:r>
            <w:r>
              <w:rPr>
                <w:rFonts w:hint="eastAsia" w:ascii="Times New Roman" w:hAnsi="Times New Roman" w:cs="Times New Roman"/>
                <w:b/>
                <w:bCs/>
                <w:color w:val="auto"/>
                <w:sz w:val="24"/>
                <w:highlight w:val="none"/>
                <w:lang w:val="en-US" w:eastAsia="zh-CN"/>
              </w:rPr>
              <w:t>本项目与河北省《煤场、料场、渣场扬尘污染控制技术规范》（</w:t>
            </w:r>
            <w:r>
              <w:rPr>
                <w:rFonts w:hint="default" w:ascii="Times New Roman" w:hAnsi="Times New Roman" w:cs="Times New Roman"/>
                <w:b/>
                <w:bCs/>
                <w:color w:val="auto"/>
                <w:sz w:val="24"/>
                <w:highlight w:val="none"/>
                <w:lang w:val="en-US" w:eastAsia="zh-CN"/>
              </w:rPr>
              <w:t>DB13/T2352-2016</w:t>
            </w:r>
            <w:r>
              <w:rPr>
                <w:rFonts w:hint="eastAsia" w:ascii="Times New Roman" w:hAnsi="Times New Roman" w:cs="Times New Roman"/>
                <w:b/>
                <w:bCs/>
                <w:color w:val="auto"/>
                <w:sz w:val="24"/>
                <w:highlight w:val="none"/>
                <w:lang w:val="en-US" w:eastAsia="zh-CN"/>
              </w:rPr>
              <w:t>）符合性分析</w:t>
            </w:r>
          </w:p>
          <w:tbl>
            <w:tblPr>
              <w:tblStyle w:val="26"/>
              <w:tblW w:w="4998" w:type="pct"/>
              <w:tblInd w:w="0" w:type="dxa"/>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0" w:type="dxa"/>
                <w:left w:w="108" w:type="dxa"/>
                <w:bottom w:w="0" w:type="dxa"/>
                <w:right w:w="108" w:type="dxa"/>
              </w:tblCellMar>
            </w:tblPr>
            <w:tblGrid>
              <w:gridCol w:w="1193"/>
              <w:gridCol w:w="3592"/>
              <w:gridCol w:w="1786"/>
              <w:gridCol w:w="977"/>
            </w:tblGrid>
            <w:tr w14:paraId="62F6DCE8">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3169" w:type="pct"/>
                  <w:gridSpan w:val="2"/>
                  <w:tcBorders>
                    <w:tl2br w:val="nil"/>
                    <w:tr2bl w:val="nil"/>
                  </w:tcBorders>
                  <w:noWrap w:val="0"/>
                  <w:vAlign w:val="center"/>
                </w:tcPr>
                <w:p w14:paraId="538CB41E">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cs="Times New Roman"/>
                      <w:sz w:val="21"/>
                      <w:szCs w:val="21"/>
                      <w:highlight w:val="none"/>
                      <w:lang w:eastAsia="zh-CN"/>
                    </w:rPr>
                    <w:t>相关</w:t>
                  </w:r>
                  <w:r>
                    <w:rPr>
                      <w:rFonts w:hint="default" w:ascii="Times New Roman" w:hAnsi="Times New Roman" w:eastAsia="宋体" w:cs="Times New Roman"/>
                      <w:sz w:val="21"/>
                      <w:szCs w:val="21"/>
                      <w:highlight w:val="none"/>
                      <w:lang w:eastAsia="zh-CN"/>
                    </w:rPr>
                    <w:t>要求</w:t>
                  </w:r>
                </w:p>
              </w:tc>
              <w:tc>
                <w:tcPr>
                  <w:tcW w:w="1183" w:type="pct"/>
                  <w:tcBorders>
                    <w:tl2br w:val="nil"/>
                    <w:tr2bl w:val="nil"/>
                  </w:tcBorders>
                  <w:noWrap w:val="0"/>
                  <w:vAlign w:val="center"/>
                </w:tcPr>
                <w:p w14:paraId="4FBF5F33">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项目建设情况</w:t>
                  </w:r>
                </w:p>
              </w:tc>
              <w:tc>
                <w:tcPr>
                  <w:tcW w:w="647" w:type="pct"/>
                  <w:tcBorders>
                    <w:tl2br w:val="nil"/>
                    <w:tr2bl w:val="nil"/>
                  </w:tcBorders>
                  <w:noWrap w:val="0"/>
                  <w:vAlign w:val="center"/>
                </w:tcPr>
                <w:p w14:paraId="3F410DE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eastAsia="zh-CN"/>
                    </w:rPr>
                    <w:t>符合性</w:t>
                  </w:r>
                </w:p>
              </w:tc>
            </w:tr>
            <w:tr w14:paraId="2370C41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c>
                <w:tcPr>
                  <w:tcW w:w="790" w:type="pct"/>
                  <w:vMerge w:val="restart"/>
                  <w:tcBorders>
                    <w:tl2br w:val="nil"/>
                    <w:tr2bl w:val="nil"/>
                  </w:tcBorders>
                  <w:noWrap w:val="0"/>
                  <w:vAlign w:val="center"/>
                </w:tcPr>
                <w:p w14:paraId="49CC3593">
                  <w:pPr>
                    <w:keepNext w:val="0"/>
                    <w:keepLines w:val="0"/>
                    <w:pageBreakBefore w:val="0"/>
                    <w:widowControl w:val="0"/>
                    <w:numPr>
                      <w:ilvl w:val="0"/>
                      <w:numId w:val="0"/>
                    </w:numPr>
                    <w:kinsoku/>
                    <w:wordWrap w:val="0"/>
                    <w:overflowPunct/>
                    <w:topLinePunct w:val="0"/>
                    <w:autoSpaceDE/>
                    <w:autoSpaceDN/>
                    <w:bidi w:val="0"/>
                    <w:adjustRightInd w:val="0"/>
                    <w:snapToGrid/>
                    <w:spacing w:line="240" w:lineRule="auto"/>
                    <w:ind w:left="0" w:leftChars="0" w:firstLine="0" w:firstLineChars="0"/>
                    <w:jc w:val="left"/>
                    <w:textAlignment w:val="baseline"/>
                    <w:rPr>
                      <w:rFonts w:hint="default" w:ascii="Times New Roman" w:hAnsi="Times New Roman" w:eastAsia="宋体" w:cs="Times New Roman"/>
                      <w:color w:val="auto"/>
                      <w:spacing w:val="0"/>
                      <w:kern w:val="0"/>
                      <w:sz w:val="21"/>
                      <w:szCs w:val="21"/>
                      <w:highlight w:val="none"/>
                      <w:lang w:val="en-US" w:eastAsia="zh-CN"/>
                    </w:rPr>
                  </w:pPr>
                  <w:r>
                    <w:rPr>
                      <w:rFonts w:hint="default" w:ascii="Times New Roman" w:hAnsi="Times New Roman" w:eastAsia="宋体" w:cs="Times New Roman"/>
                      <w:color w:val="auto"/>
                      <w:spacing w:val="0"/>
                      <w:kern w:val="0"/>
                      <w:sz w:val="21"/>
                      <w:szCs w:val="21"/>
                      <w:highlight w:val="none"/>
                      <w:lang w:val="en-US" w:eastAsia="zh-CN"/>
                    </w:rPr>
                    <w:t>4.1.1物料运输、装卸</w:t>
                  </w:r>
                </w:p>
              </w:tc>
              <w:tc>
                <w:tcPr>
                  <w:tcW w:w="2379" w:type="pct"/>
                  <w:tcBorders>
                    <w:tl2br w:val="nil"/>
                    <w:tr2bl w:val="nil"/>
                  </w:tcBorders>
                  <w:noWrap w:val="0"/>
                  <w:vAlign w:val="top"/>
                </w:tcPr>
                <w:p w14:paraId="641FAD45">
                  <w:pPr>
                    <w:keepNext w:val="0"/>
                    <w:keepLines w:val="0"/>
                    <w:pageBreakBefore w:val="0"/>
                    <w:widowControl w:val="0"/>
                    <w:numPr>
                      <w:ilvl w:val="0"/>
                      <w:numId w:val="0"/>
                    </w:numPr>
                    <w:kinsoku/>
                    <w:wordWrap w:val="0"/>
                    <w:overflowPunct/>
                    <w:topLinePunct w:val="0"/>
                    <w:autoSpaceDE/>
                    <w:autoSpaceDN/>
                    <w:bidi w:val="0"/>
                    <w:adjustRightInd w:val="0"/>
                    <w:snapToGrid/>
                    <w:spacing w:line="240" w:lineRule="auto"/>
                    <w:ind w:left="0" w:leftChars="0" w:right="0" w:firstLine="0" w:firstLineChars="0"/>
                    <w:jc w:val="left"/>
                    <w:textAlignment w:val="baseline"/>
                    <w:rPr>
                      <w:rFonts w:hint="default" w:ascii="Times New Roman" w:hAnsi="Times New Roman" w:eastAsia="宋体" w:cs="Times New Roman"/>
                      <w:color w:val="auto"/>
                      <w:spacing w:val="0"/>
                      <w:kern w:val="0"/>
                      <w:sz w:val="21"/>
                      <w:szCs w:val="21"/>
                      <w:highlight w:val="none"/>
                      <w:lang w:val="en-US" w:eastAsia="zh-CN"/>
                    </w:rPr>
                  </w:pPr>
                  <w:r>
                    <w:rPr>
                      <w:rFonts w:hint="default" w:ascii="Times New Roman" w:hAnsi="Times New Roman" w:eastAsia="宋体" w:cs="Times New Roman"/>
                      <w:color w:val="auto"/>
                      <w:spacing w:val="0"/>
                      <w:kern w:val="0"/>
                      <w:sz w:val="21"/>
                      <w:szCs w:val="21"/>
                      <w:highlight w:val="none"/>
                      <w:lang w:val="en-US" w:eastAsia="zh-CN"/>
                    </w:rPr>
                    <w:t>4.1.1.1粉状物料(如铁精粉、生石灰粉等干料)运输车辆应采用密闭车斗或罐车</w:t>
                  </w:r>
                  <w:r>
                    <w:rPr>
                      <w:rFonts w:hint="default" w:ascii="Times New Roman" w:hAnsi="Times New Roman" w:cs="Times New Roman"/>
                      <w:color w:val="auto"/>
                      <w:spacing w:val="0"/>
                      <w:kern w:val="0"/>
                      <w:sz w:val="21"/>
                      <w:szCs w:val="21"/>
                      <w:highlight w:val="none"/>
                      <w:lang w:val="en-US" w:eastAsia="zh-CN"/>
                    </w:rPr>
                    <w:t>。</w:t>
                  </w:r>
                </w:p>
              </w:tc>
              <w:tc>
                <w:tcPr>
                  <w:tcW w:w="1183" w:type="pct"/>
                  <w:vMerge w:val="restart"/>
                  <w:tcBorders>
                    <w:tl2br w:val="nil"/>
                    <w:tr2bl w:val="nil"/>
                  </w:tcBorders>
                  <w:noWrap w:val="0"/>
                  <w:vAlign w:val="center"/>
                </w:tcPr>
                <w:p w14:paraId="74D7A3CB">
                  <w:pPr>
                    <w:keepNext w:val="0"/>
                    <w:keepLines w:val="0"/>
                    <w:pageBreakBefore w:val="0"/>
                    <w:widowControl/>
                    <w:suppressLineNumbers w:val="0"/>
                    <w:kinsoku/>
                    <w:overflowPunct/>
                    <w:topLinePunct w:val="0"/>
                    <w:autoSpaceDE/>
                    <w:autoSpaceDN/>
                    <w:bidi w:val="0"/>
                    <w:snapToGrid/>
                    <w:spacing w:line="240" w:lineRule="auto"/>
                    <w:ind w:right="0"/>
                    <w:jc w:val="left"/>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本项目物料运输车辆均苫盖篷布</w:t>
                  </w:r>
                  <w:r>
                    <w:rPr>
                      <w:rFonts w:hint="eastAsia" w:ascii="Times New Roman" w:hAnsi="Times New Roman" w:cs="Times New Roman"/>
                      <w:sz w:val="21"/>
                      <w:szCs w:val="21"/>
                      <w:highlight w:val="none"/>
                      <w:lang w:val="en-US" w:eastAsia="zh-CN"/>
                    </w:rPr>
                    <w:t>，</w:t>
                  </w:r>
                  <w:r>
                    <w:rPr>
                      <w:rFonts w:hint="default" w:ascii="Times New Roman" w:hAnsi="Times New Roman" w:cs="Times New Roman"/>
                      <w:sz w:val="21"/>
                      <w:szCs w:val="21"/>
                      <w:highlight w:val="none"/>
                      <w:lang w:val="en-US" w:eastAsia="zh-CN"/>
                    </w:rPr>
                    <w:t>装卸物料过程均在封闭车间内进行。</w:t>
                  </w:r>
                </w:p>
              </w:tc>
              <w:tc>
                <w:tcPr>
                  <w:tcW w:w="647" w:type="pct"/>
                  <w:tcBorders>
                    <w:tl2br w:val="nil"/>
                    <w:tr2bl w:val="nil"/>
                  </w:tcBorders>
                  <w:noWrap w:val="0"/>
                  <w:vAlign w:val="center"/>
                </w:tcPr>
                <w:p w14:paraId="66F61A2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符合</w:t>
                  </w:r>
                </w:p>
              </w:tc>
            </w:tr>
            <w:tr w14:paraId="38CC1F94">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c>
                <w:tcPr>
                  <w:tcW w:w="790" w:type="pct"/>
                  <w:vMerge w:val="continue"/>
                  <w:tcBorders>
                    <w:tl2br w:val="nil"/>
                    <w:tr2bl w:val="nil"/>
                  </w:tcBorders>
                  <w:noWrap w:val="0"/>
                  <w:vAlign w:val="center"/>
                </w:tcPr>
                <w:p w14:paraId="711213B7">
                  <w:pPr>
                    <w:keepNext w:val="0"/>
                    <w:keepLines w:val="0"/>
                    <w:pageBreakBefore w:val="0"/>
                    <w:widowControl w:val="0"/>
                    <w:numPr>
                      <w:ilvl w:val="0"/>
                      <w:numId w:val="0"/>
                    </w:numPr>
                    <w:kinsoku/>
                    <w:wordWrap w:val="0"/>
                    <w:overflowPunct/>
                    <w:topLinePunct w:val="0"/>
                    <w:autoSpaceDE/>
                    <w:autoSpaceDN/>
                    <w:bidi w:val="0"/>
                    <w:adjustRightInd w:val="0"/>
                    <w:snapToGrid/>
                    <w:spacing w:line="240" w:lineRule="auto"/>
                    <w:ind w:left="0" w:leftChars="0" w:firstLine="0" w:firstLineChars="0"/>
                    <w:jc w:val="left"/>
                    <w:textAlignment w:val="baseline"/>
                    <w:rPr>
                      <w:rFonts w:hint="default" w:ascii="Times New Roman" w:hAnsi="Times New Roman" w:eastAsia="宋体" w:cs="Times New Roman"/>
                      <w:color w:val="auto"/>
                      <w:spacing w:val="0"/>
                      <w:kern w:val="0"/>
                      <w:sz w:val="21"/>
                      <w:szCs w:val="21"/>
                      <w:highlight w:val="none"/>
                      <w:lang w:val="en-US" w:eastAsia="zh-CN"/>
                    </w:rPr>
                  </w:pPr>
                </w:p>
              </w:tc>
              <w:tc>
                <w:tcPr>
                  <w:tcW w:w="2379" w:type="pct"/>
                  <w:tcBorders>
                    <w:tl2br w:val="nil"/>
                    <w:tr2bl w:val="nil"/>
                  </w:tcBorders>
                  <w:noWrap w:val="0"/>
                  <w:vAlign w:val="center"/>
                </w:tcPr>
                <w:p w14:paraId="51AF57D1">
                  <w:pPr>
                    <w:keepNext w:val="0"/>
                    <w:keepLines w:val="0"/>
                    <w:pageBreakBefore w:val="0"/>
                    <w:widowControl w:val="0"/>
                    <w:numPr>
                      <w:ilvl w:val="0"/>
                      <w:numId w:val="0"/>
                    </w:numPr>
                    <w:kinsoku/>
                    <w:wordWrap w:val="0"/>
                    <w:overflowPunct/>
                    <w:topLinePunct w:val="0"/>
                    <w:autoSpaceDE/>
                    <w:autoSpaceDN/>
                    <w:bidi w:val="0"/>
                    <w:adjustRightInd w:val="0"/>
                    <w:snapToGrid/>
                    <w:spacing w:line="240" w:lineRule="auto"/>
                    <w:ind w:left="0" w:leftChars="0" w:right="0" w:firstLine="0" w:firstLineChars="0"/>
                    <w:jc w:val="left"/>
                    <w:textAlignment w:val="baseline"/>
                    <w:rPr>
                      <w:rFonts w:hint="default" w:ascii="Times New Roman" w:hAnsi="Times New Roman" w:eastAsia="宋体" w:cs="Times New Roman"/>
                      <w:color w:val="auto"/>
                      <w:spacing w:val="0"/>
                      <w:kern w:val="0"/>
                      <w:sz w:val="21"/>
                      <w:szCs w:val="21"/>
                      <w:highlight w:val="none"/>
                      <w:lang w:val="en-US" w:eastAsia="zh-CN"/>
                    </w:rPr>
                  </w:pPr>
                  <w:r>
                    <w:rPr>
                      <w:rFonts w:hint="default" w:ascii="Times New Roman" w:hAnsi="Times New Roman" w:eastAsia="宋体" w:cs="Times New Roman"/>
                      <w:color w:val="auto"/>
                      <w:spacing w:val="0"/>
                      <w:kern w:val="0"/>
                      <w:sz w:val="21"/>
                      <w:szCs w:val="21"/>
                      <w:highlight w:val="none"/>
                      <w:lang w:val="en-US" w:eastAsia="zh-CN"/>
                    </w:rPr>
                    <w:t>4.1.1.2块状物料(如烧结矿、球团矿、焦炭等物料)运输车辆装载高度最高点不得超过车辆槽帮上沿40cm，两侧边缘应当低于槽帮上缘10cm。车斗应用苫布覆盖，苫布边缘至少要遮住槽帮上沿以下15cm。物料转运时转运设施应采取密闭措施，转运站和落料点配套抽风收尘装置。</w:t>
                  </w:r>
                </w:p>
              </w:tc>
              <w:tc>
                <w:tcPr>
                  <w:tcW w:w="1183" w:type="pct"/>
                  <w:vMerge w:val="continue"/>
                  <w:tcBorders>
                    <w:tl2br w:val="nil"/>
                    <w:tr2bl w:val="nil"/>
                  </w:tcBorders>
                  <w:noWrap w:val="0"/>
                  <w:vAlign w:val="center"/>
                </w:tcPr>
                <w:p w14:paraId="65AAA7A2">
                  <w:pPr>
                    <w:keepNext w:val="0"/>
                    <w:keepLines w:val="0"/>
                    <w:pageBreakBefore w:val="0"/>
                    <w:widowControl/>
                    <w:suppressLineNumbers w:val="0"/>
                    <w:kinsoku/>
                    <w:overflowPunct/>
                    <w:topLinePunct w:val="0"/>
                    <w:autoSpaceDE/>
                    <w:autoSpaceDN/>
                    <w:bidi w:val="0"/>
                    <w:snapToGrid/>
                    <w:spacing w:line="240" w:lineRule="auto"/>
                    <w:ind w:right="0"/>
                    <w:jc w:val="left"/>
                    <w:rPr>
                      <w:rFonts w:hint="default" w:ascii="Times New Roman" w:hAnsi="Times New Roman" w:cs="Times New Roman"/>
                      <w:sz w:val="21"/>
                      <w:szCs w:val="21"/>
                      <w:highlight w:val="none"/>
                      <w:lang w:val="en-US" w:eastAsia="zh-CN"/>
                    </w:rPr>
                  </w:pPr>
                </w:p>
              </w:tc>
              <w:tc>
                <w:tcPr>
                  <w:tcW w:w="647" w:type="pct"/>
                  <w:tcBorders>
                    <w:tl2br w:val="nil"/>
                    <w:tr2bl w:val="nil"/>
                  </w:tcBorders>
                  <w:noWrap w:val="0"/>
                  <w:vAlign w:val="center"/>
                </w:tcPr>
                <w:p w14:paraId="366C692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符合</w:t>
                  </w:r>
                </w:p>
              </w:tc>
            </w:tr>
            <w:tr w14:paraId="4F76117F">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416" w:hRule="atLeast"/>
              </w:trPr>
              <w:tc>
                <w:tcPr>
                  <w:tcW w:w="790" w:type="pct"/>
                  <w:vMerge w:val="continue"/>
                  <w:tcBorders>
                    <w:tl2br w:val="nil"/>
                    <w:tr2bl w:val="nil"/>
                  </w:tcBorders>
                  <w:noWrap w:val="0"/>
                  <w:vAlign w:val="center"/>
                </w:tcPr>
                <w:p w14:paraId="3C4140F2">
                  <w:pPr>
                    <w:keepNext w:val="0"/>
                    <w:keepLines w:val="0"/>
                    <w:pageBreakBefore w:val="0"/>
                    <w:widowControl w:val="0"/>
                    <w:numPr>
                      <w:ilvl w:val="0"/>
                      <w:numId w:val="0"/>
                    </w:numPr>
                    <w:kinsoku/>
                    <w:wordWrap w:val="0"/>
                    <w:overflowPunct/>
                    <w:topLinePunct w:val="0"/>
                    <w:autoSpaceDE/>
                    <w:autoSpaceDN/>
                    <w:bidi w:val="0"/>
                    <w:adjustRightInd w:val="0"/>
                    <w:snapToGrid/>
                    <w:spacing w:line="240" w:lineRule="auto"/>
                    <w:ind w:left="0" w:leftChars="0" w:firstLine="0" w:firstLineChars="0"/>
                    <w:jc w:val="left"/>
                    <w:textAlignment w:val="baseline"/>
                    <w:rPr>
                      <w:rFonts w:hint="default" w:ascii="Times New Roman" w:hAnsi="Times New Roman" w:eastAsia="宋体" w:cs="Times New Roman"/>
                      <w:color w:val="auto"/>
                      <w:spacing w:val="0"/>
                      <w:kern w:val="0"/>
                      <w:sz w:val="21"/>
                      <w:szCs w:val="21"/>
                      <w:highlight w:val="none"/>
                      <w:lang w:val="en-US" w:eastAsia="zh-CN"/>
                    </w:rPr>
                  </w:pPr>
                </w:p>
              </w:tc>
              <w:tc>
                <w:tcPr>
                  <w:tcW w:w="2379" w:type="pct"/>
                  <w:tcBorders>
                    <w:tl2br w:val="nil"/>
                    <w:tr2bl w:val="nil"/>
                  </w:tcBorders>
                  <w:noWrap w:val="0"/>
                  <w:vAlign w:val="center"/>
                </w:tcPr>
                <w:p w14:paraId="77424B30">
                  <w:pPr>
                    <w:keepNext w:val="0"/>
                    <w:keepLines w:val="0"/>
                    <w:pageBreakBefore w:val="0"/>
                    <w:widowControl w:val="0"/>
                    <w:numPr>
                      <w:ilvl w:val="0"/>
                      <w:numId w:val="0"/>
                    </w:numPr>
                    <w:kinsoku/>
                    <w:wordWrap w:val="0"/>
                    <w:overflowPunct/>
                    <w:topLinePunct w:val="0"/>
                    <w:autoSpaceDE/>
                    <w:autoSpaceDN/>
                    <w:bidi w:val="0"/>
                    <w:adjustRightInd w:val="0"/>
                    <w:snapToGrid/>
                    <w:spacing w:line="240" w:lineRule="auto"/>
                    <w:ind w:left="0" w:leftChars="0" w:right="0" w:firstLine="0" w:firstLineChars="0"/>
                    <w:jc w:val="left"/>
                    <w:textAlignment w:val="baseline"/>
                    <w:rPr>
                      <w:rFonts w:hint="default" w:ascii="Times New Roman" w:hAnsi="Times New Roman" w:eastAsia="宋体" w:cs="Times New Roman"/>
                      <w:color w:val="auto"/>
                      <w:spacing w:val="0"/>
                      <w:kern w:val="0"/>
                      <w:sz w:val="21"/>
                      <w:szCs w:val="21"/>
                      <w:highlight w:val="none"/>
                      <w:lang w:val="en-US" w:eastAsia="zh-CN"/>
                    </w:rPr>
                  </w:pPr>
                  <w:r>
                    <w:rPr>
                      <w:rFonts w:hint="default" w:ascii="Times New Roman" w:hAnsi="Times New Roman" w:eastAsia="宋体" w:cs="Times New Roman"/>
                      <w:color w:val="auto"/>
                      <w:spacing w:val="0"/>
                      <w:kern w:val="0"/>
                      <w:sz w:val="21"/>
                      <w:szCs w:val="21"/>
                      <w:highlight w:val="none"/>
                      <w:lang w:val="en-US" w:eastAsia="zh-CN"/>
                    </w:rPr>
                    <w:t>4.1.1.3应设置洗车平台，完善排水设施，防止泥土粘带。运输车辆在煤场、料场出口内侧设置洗车平台，车辆驶离煤场、料场前，应在洗车平台清洗轮胎及车身，不得带泥上路。洗车平台四周应设置防溢座、废水导流渠、废水收集池、沉砂池及其它防治设施，收集洗车以及降水过程中产生的废水和泥浆。</w:t>
                  </w:r>
                </w:p>
              </w:tc>
              <w:tc>
                <w:tcPr>
                  <w:tcW w:w="1183" w:type="pct"/>
                  <w:tcBorders>
                    <w:tl2br w:val="nil"/>
                    <w:tr2bl w:val="nil"/>
                  </w:tcBorders>
                  <w:noWrap w:val="0"/>
                  <w:vAlign w:val="center"/>
                </w:tcPr>
                <w:p w14:paraId="2CEFAA00">
                  <w:pPr>
                    <w:keepNext w:val="0"/>
                    <w:keepLines w:val="0"/>
                    <w:pageBreakBefore w:val="0"/>
                    <w:widowControl/>
                    <w:suppressLineNumbers w:val="0"/>
                    <w:kinsoku/>
                    <w:overflowPunct/>
                    <w:topLinePunct w:val="0"/>
                    <w:autoSpaceDE/>
                    <w:autoSpaceDN/>
                    <w:bidi w:val="0"/>
                    <w:snapToGrid/>
                    <w:spacing w:line="240" w:lineRule="auto"/>
                    <w:ind w:right="0"/>
                    <w:jc w:val="left"/>
                    <w:rPr>
                      <w:rFonts w:hint="default" w:ascii="Times New Roman" w:hAnsi="Times New Roman" w:eastAsia="宋体" w:cs="Times New Roman"/>
                      <w:color w:val="auto"/>
                      <w:spacing w:val="0"/>
                      <w:kern w:val="0"/>
                      <w:sz w:val="21"/>
                      <w:szCs w:val="21"/>
                      <w:highlight w:val="none"/>
                      <w:lang w:val="en-US" w:eastAsia="zh-CN"/>
                    </w:rPr>
                  </w:pPr>
                  <w:r>
                    <w:rPr>
                      <w:rFonts w:hint="default" w:ascii="Times New Roman" w:hAnsi="Times New Roman" w:eastAsia="宋体" w:cs="Times New Roman"/>
                      <w:color w:val="auto"/>
                      <w:spacing w:val="0"/>
                      <w:kern w:val="0"/>
                      <w:sz w:val="21"/>
                      <w:szCs w:val="21"/>
                      <w:highlight w:val="none"/>
                      <w:lang w:val="en-US" w:eastAsia="zh-CN"/>
                    </w:rPr>
                    <w:t>本项目在出口内侧设置洗车平台，设置</w:t>
                  </w:r>
                  <w:r>
                    <w:rPr>
                      <w:rFonts w:hint="default" w:ascii="Times New Roman" w:hAnsi="Times New Roman" w:cs="Times New Roman"/>
                      <w:color w:val="auto"/>
                      <w:spacing w:val="0"/>
                      <w:kern w:val="0"/>
                      <w:sz w:val="21"/>
                      <w:szCs w:val="21"/>
                      <w:highlight w:val="none"/>
                      <w:lang w:val="en-US" w:eastAsia="zh-CN"/>
                    </w:rPr>
                    <w:t>沉淀池</w:t>
                  </w:r>
                  <w:r>
                    <w:rPr>
                      <w:rFonts w:hint="default" w:ascii="Times New Roman" w:hAnsi="Times New Roman" w:eastAsia="宋体" w:cs="Times New Roman"/>
                      <w:color w:val="auto"/>
                      <w:spacing w:val="0"/>
                      <w:kern w:val="0"/>
                      <w:sz w:val="21"/>
                      <w:szCs w:val="21"/>
                      <w:highlight w:val="none"/>
                      <w:lang w:val="en-US" w:eastAsia="zh-CN"/>
                    </w:rPr>
                    <w:t>，车辆冲洗废水</w:t>
                  </w:r>
                  <w:r>
                    <w:rPr>
                      <w:rFonts w:hint="eastAsia" w:cs="Times New Roman"/>
                      <w:color w:val="auto"/>
                      <w:spacing w:val="0"/>
                      <w:kern w:val="0"/>
                      <w:sz w:val="21"/>
                      <w:szCs w:val="21"/>
                      <w:highlight w:val="none"/>
                      <w:lang w:val="en-US" w:eastAsia="zh-CN"/>
                    </w:rPr>
                    <w:t>经沉淀池沉淀后</w:t>
                  </w:r>
                  <w:r>
                    <w:rPr>
                      <w:rFonts w:hint="default" w:ascii="Times New Roman" w:hAnsi="Times New Roman" w:eastAsia="宋体" w:cs="Times New Roman"/>
                      <w:color w:val="auto"/>
                      <w:spacing w:val="0"/>
                      <w:kern w:val="0"/>
                      <w:sz w:val="21"/>
                      <w:szCs w:val="21"/>
                      <w:highlight w:val="none"/>
                      <w:lang w:val="en-US" w:eastAsia="zh-CN"/>
                    </w:rPr>
                    <w:t>循环使用不外排。</w:t>
                  </w:r>
                </w:p>
              </w:tc>
              <w:tc>
                <w:tcPr>
                  <w:tcW w:w="647" w:type="pct"/>
                  <w:tcBorders>
                    <w:tl2br w:val="nil"/>
                    <w:tr2bl w:val="nil"/>
                  </w:tcBorders>
                  <w:noWrap w:val="0"/>
                  <w:vAlign w:val="center"/>
                </w:tcPr>
                <w:p w14:paraId="7BE81A96">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符合</w:t>
                  </w:r>
                </w:p>
              </w:tc>
            </w:tr>
            <w:tr w14:paraId="7DD3783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c>
                <w:tcPr>
                  <w:tcW w:w="790" w:type="pct"/>
                  <w:vMerge w:val="continue"/>
                  <w:tcBorders>
                    <w:tl2br w:val="nil"/>
                    <w:tr2bl w:val="nil"/>
                  </w:tcBorders>
                  <w:noWrap w:val="0"/>
                  <w:vAlign w:val="center"/>
                </w:tcPr>
                <w:p w14:paraId="2A378CF8">
                  <w:pPr>
                    <w:keepNext w:val="0"/>
                    <w:keepLines w:val="0"/>
                    <w:pageBreakBefore w:val="0"/>
                    <w:widowControl w:val="0"/>
                    <w:numPr>
                      <w:ilvl w:val="0"/>
                      <w:numId w:val="0"/>
                    </w:numPr>
                    <w:kinsoku/>
                    <w:wordWrap w:val="0"/>
                    <w:overflowPunct/>
                    <w:topLinePunct w:val="0"/>
                    <w:autoSpaceDE/>
                    <w:autoSpaceDN/>
                    <w:bidi w:val="0"/>
                    <w:adjustRightInd w:val="0"/>
                    <w:snapToGrid/>
                    <w:spacing w:line="240" w:lineRule="auto"/>
                    <w:ind w:left="0" w:leftChars="0" w:firstLine="0" w:firstLineChars="0"/>
                    <w:jc w:val="left"/>
                    <w:textAlignment w:val="baseline"/>
                    <w:rPr>
                      <w:rFonts w:hint="default" w:ascii="Times New Roman" w:hAnsi="Times New Roman" w:eastAsia="宋体" w:cs="Times New Roman"/>
                      <w:color w:val="auto"/>
                      <w:spacing w:val="0"/>
                      <w:kern w:val="0"/>
                      <w:sz w:val="21"/>
                      <w:szCs w:val="21"/>
                      <w:highlight w:val="none"/>
                      <w:lang w:val="en-US" w:eastAsia="zh-CN"/>
                    </w:rPr>
                  </w:pPr>
                </w:p>
              </w:tc>
              <w:tc>
                <w:tcPr>
                  <w:tcW w:w="2379" w:type="pct"/>
                  <w:tcBorders>
                    <w:tl2br w:val="nil"/>
                    <w:tr2bl w:val="nil"/>
                  </w:tcBorders>
                  <w:noWrap w:val="0"/>
                  <w:vAlign w:val="center"/>
                </w:tcPr>
                <w:p w14:paraId="2116A8AD">
                  <w:pPr>
                    <w:keepNext w:val="0"/>
                    <w:keepLines w:val="0"/>
                    <w:pageBreakBefore w:val="0"/>
                    <w:widowControl w:val="0"/>
                    <w:numPr>
                      <w:ilvl w:val="0"/>
                      <w:numId w:val="0"/>
                    </w:numPr>
                    <w:kinsoku/>
                    <w:wordWrap w:val="0"/>
                    <w:overflowPunct/>
                    <w:topLinePunct w:val="0"/>
                    <w:autoSpaceDE/>
                    <w:autoSpaceDN/>
                    <w:bidi w:val="0"/>
                    <w:adjustRightInd w:val="0"/>
                    <w:snapToGrid/>
                    <w:spacing w:line="240" w:lineRule="auto"/>
                    <w:ind w:left="0" w:leftChars="0" w:right="0" w:firstLine="0" w:firstLineChars="0"/>
                    <w:jc w:val="left"/>
                    <w:textAlignment w:val="baseline"/>
                    <w:rPr>
                      <w:rFonts w:hint="default" w:ascii="Times New Roman" w:hAnsi="Times New Roman" w:eastAsia="宋体" w:cs="Times New Roman"/>
                      <w:color w:val="auto"/>
                      <w:spacing w:val="0"/>
                      <w:kern w:val="0"/>
                      <w:sz w:val="21"/>
                      <w:szCs w:val="21"/>
                      <w:highlight w:val="none"/>
                      <w:lang w:val="en-US" w:eastAsia="zh-CN"/>
                    </w:rPr>
                  </w:pPr>
                  <w:r>
                    <w:rPr>
                      <w:rFonts w:hint="default" w:ascii="Times New Roman" w:hAnsi="Times New Roman" w:eastAsia="宋体" w:cs="Times New Roman"/>
                      <w:color w:val="auto"/>
                      <w:spacing w:val="0"/>
                      <w:kern w:val="0"/>
                      <w:sz w:val="21"/>
                      <w:szCs w:val="21"/>
                      <w:highlight w:val="none"/>
                      <w:lang w:val="en-US" w:eastAsia="zh-CN"/>
                    </w:rPr>
                    <w:t>4.1.1.4露天装卸物料应当采取洒水、喷淋等抑尘措施，密闭输送物料应在装卸处配备吸尘、喷淋等设施。</w:t>
                  </w:r>
                </w:p>
              </w:tc>
              <w:tc>
                <w:tcPr>
                  <w:tcW w:w="1183" w:type="pct"/>
                  <w:tcBorders>
                    <w:tl2br w:val="nil"/>
                    <w:tr2bl w:val="nil"/>
                  </w:tcBorders>
                  <w:noWrap w:val="0"/>
                  <w:vAlign w:val="center"/>
                </w:tcPr>
                <w:p w14:paraId="7F9EA2E6">
                  <w:pPr>
                    <w:keepNext w:val="0"/>
                    <w:keepLines w:val="0"/>
                    <w:pageBreakBefore w:val="0"/>
                    <w:widowControl/>
                    <w:suppressLineNumbers w:val="0"/>
                    <w:kinsoku/>
                    <w:overflowPunct/>
                    <w:topLinePunct w:val="0"/>
                    <w:autoSpaceDE/>
                    <w:autoSpaceDN/>
                    <w:bidi w:val="0"/>
                    <w:snapToGrid/>
                    <w:spacing w:line="240" w:lineRule="auto"/>
                    <w:ind w:right="0"/>
                    <w:jc w:val="left"/>
                    <w:rPr>
                      <w:rFonts w:hint="default" w:ascii="Times New Roman" w:hAnsi="Times New Roman" w:eastAsia="宋体" w:cs="Times New Roman"/>
                      <w:color w:val="auto"/>
                      <w:spacing w:val="0"/>
                      <w:kern w:val="0"/>
                      <w:sz w:val="21"/>
                      <w:szCs w:val="21"/>
                      <w:highlight w:val="none"/>
                      <w:lang w:val="en-US" w:eastAsia="zh-CN"/>
                    </w:rPr>
                  </w:pPr>
                  <w:r>
                    <w:rPr>
                      <w:rFonts w:hint="default" w:ascii="Times New Roman" w:hAnsi="Times New Roman" w:eastAsia="宋体" w:cs="Times New Roman"/>
                      <w:color w:val="auto"/>
                      <w:spacing w:val="0"/>
                      <w:kern w:val="0"/>
                      <w:sz w:val="21"/>
                      <w:szCs w:val="21"/>
                      <w:highlight w:val="none"/>
                      <w:lang w:val="en-US" w:eastAsia="zh-CN"/>
                    </w:rPr>
                    <w:t>本项目物料装卸过程均在密闭车间内进行，密闭输送</w:t>
                  </w:r>
                  <w:r>
                    <w:rPr>
                      <w:rFonts w:hint="eastAsia" w:ascii="Times New Roman" w:hAnsi="Times New Roman" w:cs="Times New Roman"/>
                      <w:color w:val="auto"/>
                      <w:spacing w:val="0"/>
                      <w:kern w:val="0"/>
                      <w:sz w:val="21"/>
                      <w:szCs w:val="21"/>
                      <w:highlight w:val="none"/>
                      <w:lang w:val="en-US" w:eastAsia="zh-CN"/>
                    </w:rPr>
                    <w:t>装卸处</w:t>
                  </w:r>
                  <w:r>
                    <w:rPr>
                      <w:rFonts w:hint="default" w:ascii="Times New Roman" w:hAnsi="Times New Roman" w:eastAsia="宋体" w:cs="Times New Roman"/>
                      <w:color w:val="auto"/>
                      <w:spacing w:val="0"/>
                      <w:kern w:val="0"/>
                      <w:sz w:val="21"/>
                      <w:szCs w:val="21"/>
                      <w:highlight w:val="none"/>
                      <w:lang w:val="en-US" w:eastAsia="zh-CN"/>
                    </w:rPr>
                    <w:t>设置喷淋抑尘装置。</w:t>
                  </w:r>
                </w:p>
              </w:tc>
              <w:tc>
                <w:tcPr>
                  <w:tcW w:w="647" w:type="pct"/>
                  <w:tcBorders>
                    <w:tl2br w:val="nil"/>
                    <w:tr2bl w:val="nil"/>
                  </w:tcBorders>
                  <w:noWrap w:val="0"/>
                  <w:vAlign w:val="center"/>
                </w:tcPr>
                <w:p w14:paraId="4EA125CB">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符合</w:t>
                  </w:r>
                </w:p>
              </w:tc>
            </w:tr>
            <w:tr w14:paraId="0AF10F8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c>
                <w:tcPr>
                  <w:tcW w:w="790" w:type="pct"/>
                  <w:vMerge w:val="restart"/>
                  <w:tcBorders>
                    <w:tl2br w:val="nil"/>
                    <w:tr2bl w:val="nil"/>
                  </w:tcBorders>
                  <w:noWrap w:val="0"/>
                  <w:vAlign w:val="center"/>
                </w:tcPr>
                <w:p w14:paraId="0B67311A">
                  <w:pPr>
                    <w:keepNext w:val="0"/>
                    <w:keepLines w:val="0"/>
                    <w:pageBreakBefore w:val="0"/>
                    <w:widowControl/>
                    <w:suppressLineNumbers w:val="0"/>
                    <w:kinsoku/>
                    <w:overflowPunct/>
                    <w:topLinePunct w:val="0"/>
                    <w:autoSpaceDE/>
                    <w:autoSpaceDN/>
                    <w:bidi w:val="0"/>
                    <w:snapToGrid/>
                    <w:spacing w:line="240" w:lineRule="auto"/>
                    <w:jc w:val="left"/>
                    <w:rPr>
                      <w:rFonts w:hint="default" w:ascii="Times New Roman" w:hAnsi="Times New Roman" w:eastAsia="宋体" w:cs="Times New Roman"/>
                      <w:color w:val="auto"/>
                      <w:spacing w:val="0"/>
                      <w:kern w:val="0"/>
                      <w:sz w:val="21"/>
                      <w:szCs w:val="21"/>
                      <w:highlight w:val="none"/>
                      <w:lang w:val="en-US" w:eastAsia="zh-CN"/>
                    </w:rPr>
                  </w:pPr>
                  <w:r>
                    <w:rPr>
                      <w:rFonts w:hint="default" w:ascii="Times New Roman" w:hAnsi="Times New Roman" w:eastAsia="宋体" w:cs="Times New Roman"/>
                      <w:color w:val="auto"/>
                      <w:spacing w:val="0"/>
                      <w:kern w:val="0"/>
                      <w:sz w:val="21"/>
                      <w:szCs w:val="21"/>
                      <w:highlight w:val="none"/>
                      <w:lang w:val="en-US" w:eastAsia="zh-CN"/>
                    </w:rPr>
                    <w:t>4.1.2物料存储</w:t>
                  </w:r>
                </w:p>
              </w:tc>
              <w:tc>
                <w:tcPr>
                  <w:tcW w:w="2379" w:type="pct"/>
                  <w:tcBorders>
                    <w:tl2br w:val="nil"/>
                    <w:tr2bl w:val="nil"/>
                  </w:tcBorders>
                  <w:noWrap w:val="0"/>
                  <w:vAlign w:val="top"/>
                </w:tcPr>
                <w:p w14:paraId="6A33EF93">
                  <w:pPr>
                    <w:keepNext w:val="0"/>
                    <w:keepLines w:val="0"/>
                    <w:pageBreakBefore w:val="0"/>
                    <w:widowControl w:val="0"/>
                    <w:numPr>
                      <w:ilvl w:val="0"/>
                      <w:numId w:val="0"/>
                    </w:numPr>
                    <w:kinsoku/>
                    <w:wordWrap w:val="0"/>
                    <w:overflowPunct/>
                    <w:topLinePunct w:val="0"/>
                    <w:autoSpaceDE/>
                    <w:autoSpaceDN/>
                    <w:bidi w:val="0"/>
                    <w:adjustRightInd w:val="0"/>
                    <w:snapToGrid/>
                    <w:spacing w:line="240" w:lineRule="auto"/>
                    <w:ind w:left="0" w:leftChars="0" w:right="0" w:firstLine="0" w:firstLineChars="0"/>
                    <w:jc w:val="left"/>
                    <w:textAlignment w:val="baseline"/>
                    <w:rPr>
                      <w:rFonts w:hint="default" w:ascii="Times New Roman" w:hAnsi="Times New Roman" w:eastAsia="宋体" w:cs="Times New Roman"/>
                      <w:color w:val="auto"/>
                      <w:spacing w:val="0"/>
                      <w:kern w:val="0"/>
                      <w:sz w:val="21"/>
                      <w:szCs w:val="21"/>
                      <w:highlight w:val="none"/>
                      <w:lang w:val="en-US" w:eastAsia="zh-CN"/>
                    </w:rPr>
                  </w:pPr>
                  <w:r>
                    <w:rPr>
                      <w:rFonts w:hint="default" w:ascii="Times New Roman" w:hAnsi="Times New Roman" w:eastAsia="宋体" w:cs="Times New Roman"/>
                      <w:color w:val="auto"/>
                      <w:spacing w:val="0"/>
                      <w:kern w:val="0"/>
                      <w:sz w:val="21"/>
                      <w:szCs w:val="21"/>
                      <w:highlight w:val="none"/>
                      <w:lang w:val="en-US" w:eastAsia="zh-CN"/>
                    </w:rPr>
                    <w:t>粉状物料(如铁精粉、生石灰粉等干料)储存应采用入棚、入仓储存，棚内应设有喷淋装置，在物料装卸时洒水降尘，棚内应设置横向防雨天窗</w:t>
                  </w:r>
                  <w:r>
                    <w:rPr>
                      <w:rFonts w:hint="default" w:ascii="Times New Roman" w:hAnsi="Times New Roman" w:cs="Times New Roman"/>
                      <w:color w:val="auto"/>
                      <w:spacing w:val="0"/>
                      <w:kern w:val="0"/>
                      <w:sz w:val="21"/>
                      <w:szCs w:val="21"/>
                      <w:highlight w:val="none"/>
                      <w:lang w:val="en-US" w:eastAsia="zh-CN"/>
                    </w:rPr>
                    <w:t>；</w:t>
                  </w:r>
                  <w:r>
                    <w:rPr>
                      <w:rFonts w:hint="default" w:ascii="Times New Roman" w:hAnsi="Times New Roman" w:eastAsia="宋体" w:cs="Times New Roman"/>
                      <w:color w:val="auto"/>
                      <w:spacing w:val="0"/>
                      <w:kern w:val="0"/>
                      <w:sz w:val="21"/>
                      <w:szCs w:val="21"/>
                      <w:highlight w:val="none"/>
                      <w:lang w:val="en-US" w:eastAsia="zh-CN"/>
                    </w:rPr>
                    <w:t>粉状物料(如外矿粉等湿料)储存可采用入棚、入仓存储，也可采用防风抑尘网+喷淋装置进行储存。</w:t>
                  </w:r>
                </w:p>
              </w:tc>
              <w:tc>
                <w:tcPr>
                  <w:tcW w:w="1183" w:type="pct"/>
                  <w:vMerge w:val="restart"/>
                  <w:tcBorders>
                    <w:tl2br w:val="nil"/>
                    <w:tr2bl w:val="nil"/>
                  </w:tcBorders>
                  <w:noWrap w:val="0"/>
                  <w:vAlign w:val="center"/>
                </w:tcPr>
                <w:p w14:paraId="182A6700">
                  <w:pPr>
                    <w:keepNext w:val="0"/>
                    <w:keepLines w:val="0"/>
                    <w:pageBreakBefore w:val="0"/>
                    <w:widowControl/>
                    <w:suppressLineNumbers w:val="0"/>
                    <w:kinsoku/>
                    <w:overflowPunct/>
                    <w:topLinePunct w:val="0"/>
                    <w:autoSpaceDE/>
                    <w:autoSpaceDN/>
                    <w:bidi w:val="0"/>
                    <w:snapToGrid/>
                    <w:spacing w:line="240" w:lineRule="auto"/>
                    <w:ind w:right="0"/>
                    <w:jc w:val="both"/>
                    <w:rPr>
                      <w:rFonts w:hint="default" w:ascii="Times New Roman" w:hAnsi="Times New Roman" w:eastAsia="宋体" w:cs="Times New Roman"/>
                      <w:color w:val="auto"/>
                      <w:spacing w:val="0"/>
                      <w:kern w:val="0"/>
                      <w:sz w:val="21"/>
                      <w:szCs w:val="21"/>
                      <w:highlight w:val="none"/>
                      <w:lang w:val="en-US" w:eastAsia="zh-CN"/>
                    </w:rPr>
                  </w:pPr>
                  <w:r>
                    <w:rPr>
                      <w:rFonts w:hint="default" w:ascii="Times New Roman" w:hAnsi="Times New Roman" w:eastAsia="宋体" w:cs="Times New Roman"/>
                      <w:color w:val="auto"/>
                      <w:spacing w:val="0"/>
                      <w:kern w:val="0"/>
                      <w:sz w:val="21"/>
                      <w:szCs w:val="21"/>
                      <w:highlight w:val="none"/>
                      <w:lang w:val="en-US" w:eastAsia="zh-CN"/>
                    </w:rPr>
                    <w:t>本项目物料均储存在封闭车间内，车间设置喷淋装置，在物料装卸过程中进行喷淋抑尘。</w:t>
                  </w:r>
                </w:p>
              </w:tc>
              <w:tc>
                <w:tcPr>
                  <w:tcW w:w="647" w:type="pct"/>
                  <w:tcBorders>
                    <w:tl2br w:val="nil"/>
                    <w:tr2bl w:val="nil"/>
                  </w:tcBorders>
                  <w:noWrap w:val="0"/>
                  <w:vAlign w:val="center"/>
                </w:tcPr>
                <w:p w14:paraId="4E1720D7">
                  <w:pPr>
                    <w:pStyle w:val="12"/>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13" w:right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cs="Times New Roman"/>
                      <w:sz w:val="21"/>
                      <w:szCs w:val="21"/>
                      <w:highlight w:val="none"/>
                      <w:lang w:val="en-US" w:eastAsia="zh-CN"/>
                    </w:rPr>
                    <w:t>符合</w:t>
                  </w:r>
                </w:p>
              </w:tc>
            </w:tr>
            <w:tr w14:paraId="3F5E0278">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4" w:hRule="atLeast"/>
              </w:trPr>
              <w:tc>
                <w:tcPr>
                  <w:tcW w:w="790" w:type="pct"/>
                  <w:vMerge w:val="continue"/>
                  <w:tcBorders>
                    <w:tl2br w:val="nil"/>
                    <w:tr2bl w:val="nil"/>
                  </w:tcBorders>
                  <w:noWrap w:val="0"/>
                  <w:vAlign w:val="center"/>
                </w:tcPr>
                <w:p w14:paraId="37F0DDE5">
                  <w:pPr>
                    <w:keepNext w:val="0"/>
                    <w:keepLines w:val="0"/>
                    <w:pageBreakBefore w:val="0"/>
                    <w:widowControl/>
                    <w:suppressLineNumbers w:val="0"/>
                    <w:kinsoku/>
                    <w:overflowPunct/>
                    <w:topLinePunct w:val="0"/>
                    <w:autoSpaceDE/>
                    <w:autoSpaceDN/>
                    <w:bidi w:val="0"/>
                    <w:snapToGrid/>
                    <w:spacing w:line="240" w:lineRule="auto"/>
                    <w:jc w:val="left"/>
                    <w:rPr>
                      <w:rFonts w:hint="default" w:ascii="Times New Roman" w:hAnsi="Times New Roman" w:eastAsia="宋体" w:cs="Times New Roman"/>
                      <w:color w:val="auto"/>
                      <w:spacing w:val="0"/>
                      <w:kern w:val="0"/>
                      <w:sz w:val="21"/>
                      <w:szCs w:val="21"/>
                      <w:highlight w:val="none"/>
                      <w:lang w:val="en-US" w:eastAsia="zh-CN"/>
                    </w:rPr>
                  </w:pPr>
                </w:p>
              </w:tc>
              <w:tc>
                <w:tcPr>
                  <w:tcW w:w="2379" w:type="pct"/>
                  <w:tcBorders>
                    <w:tl2br w:val="nil"/>
                    <w:tr2bl w:val="nil"/>
                  </w:tcBorders>
                  <w:noWrap w:val="0"/>
                  <w:vAlign w:val="center"/>
                </w:tcPr>
                <w:p w14:paraId="7FCFBA96">
                  <w:pPr>
                    <w:pStyle w:val="12"/>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rightChars="0"/>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块状物料(如烧结矿、球团矿、焦炭等物料)可采用入棚、入仓方式储存，也可采用防风抑尘网+喷淋装置储存，露天堆场贮存过程中，必须采取洒水、遮盖或喷洒抑尘剂等措施控制扬尘。</w:t>
                  </w:r>
                </w:p>
              </w:tc>
              <w:tc>
                <w:tcPr>
                  <w:tcW w:w="1183" w:type="pct"/>
                  <w:vMerge w:val="continue"/>
                  <w:tcBorders>
                    <w:tl2br w:val="nil"/>
                    <w:tr2bl w:val="nil"/>
                  </w:tcBorders>
                  <w:noWrap w:val="0"/>
                  <w:vAlign w:val="center"/>
                </w:tcPr>
                <w:p w14:paraId="47423A41">
                  <w:pPr>
                    <w:pStyle w:val="12"/>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rightChars="0"/>
                    <w:jc w:val="both"/>
                    <w:textAlignment w:val="auto"/>
                    <w:rPr>
                      <w:rFonts w:hint="default" w:ascii="Times New Roman" w:hAnsi="Times New Roman" w:eastAsia="宋体" w:cs="Times New Roman"/>
                      <w:sz w:val="21"/>
                      <w:szCs w:val="21"/>
                      <w:highlight w:val="none"/>
                      <w:vertAlign w:val="baseline"/>
                      <w:lang w:val="en-US" w:eastAsia="zh-CN"/>
                    </w:rPr>
                  </w:pPr>
                </w:p>
              </w:tc>
              <w:tc>
                <w:tcPr>
                  <w:tcW w:w="647" w:type="pct"/>
                  <w:tcBorders>
                    <w:tl2br w:val="nil"/>
                    <w:tr2bl w:val="nil"/>
                  </w:tcBorders>
                  <w:noWrap w:val="0"/>
                  <w:vAlign w:val="center"/>
                </w:tcPr>
                <w:p w14:paraId="28B7C7AD">
                  <w:pPr>
                    <w:pStyle w:val="12"/>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13" w:right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cs="Times New Roman"/>
                      <w:sz w:val="21"/>
                      <w:szCs w:val="21"/>
                      <w:highlight w:val="none"/>
                      <w:lang w:val="en-US" w:eastAsia="zh-CN"/>
                    </w:rPr>
                    <w:t>符合</w:t>
                  </w:r>
                </w:p>
              </w:tc>
            </w:tr>
            <w:tr w14:paraId="60086DC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4" w:hRule="atLeast"/>
              </w:trPr>
              <w:tc>
                <w:tcPr>
                  <w:tcW w:w="790" w:type="pct"/>
                  <w:tcBorders>
                    <w:tl2br w:val="nil"/>
                    <w:tr2bl w:val="nil"/>
                  </w:tcBorders>
                  <w:noWrap w:val="0"/>
                  <w:vAlign w:val="center"/>
                </w:tcPr>
                <w:p w14:paraId="462FDAAC">
                  <w:pPr>
                    <w:keepNext w:val="0"/>
                    <w:keepLines w:val="0"/>
                    <w:pageBreakBefore w:val="0"/>
                    <w:widowControl/>
                    <w:suppressLineNumbers w:val="0"/>
                    <w:kinsoku/>
                    <w:overflowPunct/>
                    <w:topLinePunct w:val="0"/>
                    <w:autoSpaceDE/>
                    <w:autoSpaceDN/>
                    <w:bidi w:val="0"/>
                    <w:snapToGrid/>
                    <w:spacing w:line="240" w:lineRule="auto"/>
                    <w:jc w:val="left"/>
                    <w:rPr>
                      <w:rFonts w:hint="default" w:ascii="Times New Roman" w:hAnsi="Times New Roman" w:eastAsia="宋体" w:cs="Times New Roman"/>
                      <w:color w:val="auto"/>
                      <w:spacing w:val="0"/>
                      <w:kern w:val="0"/>
                      <w:sz w:val="21"/>
                      <w:szCs w:val="21"/>
                      <w:highlight w:val="none"/>
                      <w:lang w:val="en-US" w:eastAsia="zh-CN"/>
                    </w:rPr>
                  </w:pPr>
                  <w:r>
                    <w:rPr>
                      <w:rFonts w:hint="eastAsia" w:cs="Times New Roman"/>
                      <w:color w:val="auto"/>
                      <w:spacing w:val="0"/>
                      <w:kern w:val="0"/>
                      <w:sz w:val="21"/>
                      <w:szCs w:val="21"/>
                      <w:highlight w:val="none"/>
                      <w:lang w:val="en-US" w:eastAsia="zh-CN"/>
                    </w:rPr>
                    <w:t>4.7厂区道路</w:t>
                  </w:r>
                </w:p>
              </w:tc>
              <w:tc>
                <w:tcPr>
                  <w:tcW w:w="2379" w:type="pct"/>
                  <w:tcBorders>
                    <w:tl2br w:val="nil"/>
                    <w:tr2bl w:val="nil"/>
                  </w:tcBorders>
                  <w:noWrap w:val="0"/>
                  <w:vAlign w:val="center"/>
                </w:tcPr>
                <w:p w14:paraId="0DC7D8B4">
                  <w:pPr>
                    <w:pStyle w:val="12"/>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rightChars="0"/>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各工业企业厂区道路应进行硬化，定期清扫、洒水，以保持道路积尘处于低负荷状态。</w:t>
                  </w:r>
                </w:p>
              </w:tc>
              <w:tc>
                <w:tcPr>
                  <w:tcW w:w="1183" w:type="pct"/>
                  <w:tcBorders>
                    <w:tl2br w:val="nil"/>
                    <w:tr2bl w:val="nil"/>
                  </w:tcBorders>
                  <w:noWrap w:val="0"/>
                  <w:vAlign w:val="center"/>
                </w:tcPr>
                <w:p w14:paraId="1F15C495">
                  <w:pPr>
                    <w:pStyle w:val="12"/>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rightChars="0"/>
                    <w:jc w:val="both"/>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lang w:val="en-US" w:eastAsia="zh-CN"/>
                    </w:rPr>
                    <w:t>本项目</w:t>
                  </w:r>
                  <w:r>
                    <w:rPr>
                      <w:rFonts w:hint="default" w:ascii="Times New Roman" w:hAnsi="Times New Roman" w:eastAsia="宋体" w:cs="Times New Roman"/>
                      <w:sz w:val="21"/>
                      <w:szCs w:val="21"/>
                      <w:highlight w:val="none"/>
                      <w:vertAlign w:val="baseline"/>
                      <w:lang w:val="en-US" w:eastAsia="zh-CN"/>
                    </w:rPr>
                    <w:t>厂区道路</w:t>
                  </w:r>
                  <w:r>
                    <w:rPr>
                      <w:rFonts w:hint="eastAsia" w:ascii="Times New Roman" w:hAnsi="Times New Roman" w:cs="Times New Roman"/>
                      <w:sz w:val="21"/>
                      <w:szCs w:val="21"/>
                      <w:highlight w:val="none"/>
                      <w:lang w:val="en-US" w:eastAsia="zh-CN"/>
                    </w:rPr>
                    <w:t>均</w:t>
                  </w:r>
                  <w:r>
                    <w:rPr>
                      <w:rFonts w:hint="eastAsia" w:ascii="Times New Roman" w:hAnsi="Times New Roman" w:eastAsia="宋体" w:cs="Times New Roman"/>
                      <w:sz w:val="21"/>
                      <w:szCs w:val="21"/>
                      <w:highlight w:val="none"/>
                      <w:lang w:val="en-US" w:eastAsia="zh-CN"/>
                    </w:rPr>
                    <w:t>采用水泥硬化处理</w:t>
                  </w:r>
                  <w:r>
                    <w:rPr>
                      <w:rFonts w:hint="eastAsia" w:cs="Times New Roman"/>
                      <w:sz w:val="21"/>
                      <w:szCs w:val="21"/>
                      <w:highlight w:val="none"/>
                      <w:lang w:val="en-US" w:eastAsia="zh-CN"/>
                    </w:rPr>
                    <w:t>，定期清扫、洒水。</w:t>
                  </w:r>
                </w:p>
              </w:tc>
              <w:tc>
                <w:tcPr>
                  <w:tcW w:w="647" w:type="pct"/>
                  <w:tcBorders>
                    <w:tl2br w:val="nil"/>
                    <w:tr2bl w:val="nil"/>
                  </w:tcBorders>
                  <w:noWrap w:val="0"/>
                  <w:vAlign w:val="center"/>
                </w:tcPr>
                <w:p w14:paraId="2C66B735">
                  <w:pPr>
                    <w:pStyle w:val="12"/>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13" w:rightChars="0"/>
                    <w:jc w:val="center"/>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符合</w:t>
                  </w:r>
                </w:p>
              </w:tc>
            </w:tr>
            <w:tr w14:paraId="740D993C">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4" w:hRule="atLeast"/>
              </w:trPr>
              <w:tc>
                <w:tcPr>
                  <w:tcW w:w="790" w:type="pct"/>
                  <w:vMerge w:val="restart"/>
                  <w:tcBorders>
                    <w:tl2br w:val="nil"/>
                    <w:tr2bl w:val="nil"/>
                  </w:tcBorders>
                  <w:noWrap w:val="0"/>
                  <w:vAlign w:val="center"/>
                </w:tcPr>
                <w:p w14:paraId="47A791FC">
                  <w:pPr>
                    <w:keepNext w:val="0"/>
                    <w:keepLines w:val="0"/>
                    <w:pageBreakBefore w:val="0"/>
                    <w:widowControl/>
                    <w:suppressLineNumbers w:val="0"/>
                    <w:kinsoku/>
                    <w:overflowPunct/>
                    <w:topLinePunct w:val="0"/>
                    <w:autoSpaceDE/>
                    <w:autoSpaceDN/>
                    <w:bidi w:val="0"/>
                    <w:snapToGrid/>
                    <w:spacing w:line="240" w:lineRule="auto"/>
                    <w:jc w:val="left"/>
                    <w:rPr>
                      <w:rFonts w:hint="default" w:cs="Times New Roman"/>
                      <w:color w:val="auto"/>
                      <w:spacing w:val="0"/>
                      <w:kern w:val="0"/>
                      <w:sz w:val="21"/>
                      <w:szCs w:val="21"/>
                      <w:highlight w:val="none"/>
                      <w:lang w:val="en-US" w:eastAsia="zh-CN"/>
                    </w:rPr>
                  </w:pPr>
                  <w:r>
                    <w:rPr>
                      <w:rFonts w:hint="eastAsia" w:cs="Times New Roman"/>
                      <w:color w:val="auto"/>
                      <w:spacing w:val="0"/>
                      <w:kern w:val="0"/>
                      <w:sz w:val="21"/>
                      <w:szCs w:val="21"/>
                      <w:highlight w:val="none"/>
                      <w:lang w:val="en-US" w:eastAsia="zh-CN"/>
                    </w:rPr>
                    <w:t>5监督管理措施</w:t>
                  </w:r>
                </w:p>
              </w:tc>
              <w:tc>
                <w:tcPr>
                  <w:tcW w:w="2379" w:type="pct"/>
                  <w:tcBorders>
                    <w:tl2br w:val="nil"/>
                    <w:tr2bl w:val="nil"/>
                  </w:tcBorders>
                  <w:noWrap w:val="0"/>
                  <w:vAlign w:val="center"/>
                </w:tcPr>
                <w:p w14:paraId="502F50C0">
                  <w:pPr>
                    <w:pStyle w:val="12"/>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rightChars="0"/>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5.1建立健全煤场、料场和渣场扬尘污染控制管理制度。包括</w:t>
                  </w:r>
                  <w:r>
                    <w:rPr>
                      <w:rFonts w:hint="eastAsia" w:cs="Times New Roman"/>
                      <w:sz w:val="21"/>
                      <w:szCs w:val="21"/>
                      <w:highlight w:val="none"/>
                      <w:vertAlign w:val="baseline"/>
                      <w:lang w:val="en-US" w:eastAsia="zh-CN"/>
                    </w:rPr>
                    <w:t>：</w:t>
                  </w:r>
                  <w:r>
                    <w:rPr>
                      <w:rFonts w:hint="default" w:ascii="Times New Roman" w:hAnsi="Times New Roman" w:eastAsia="宋体" w:cs="Times New Roman"/>
                      <w:sz w:val="21"/>
                      <w:szCs w:val="21"/>
                      <w:highlight w:val="none"/>
                      <w:vertAlign w:val="baseline"/>
                      <w:lang w:val="en-US" w:eastAsia="zh-CN"/>
                    </w:rPr>
                    <w:t>岗位责任，环保操作规程，扬尘控制管理，扬尘控制考核，扬尘污染源档案，扬尘控制设施运行记录台账，扬尘控制设施使用维修保养。</w:t>
                  </w:r>
                </w:p>
              </w:tc>
              <w:tc>
                <w:tcPr>
                  <w:tcW w:w="1183" w:type="pct"/>
                  <w:tcBorders>
                    <w:tl2br w:val="nil"/>
                    <w:tr2bl w:val="nil"/>
                  </w:tcBorders>
                  <w:noWrap w:val="0"/>
                  <w:vAlign w:val="center"/>
                </w:tcPr>
                <w:p w14:paraId="3262FAEC">
                  <w:pPr>
                    <w:pStyle w:val="12"/>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rightChars="0"/>
                    <w:jc w:val="both"/>
                    <w:textAlignment w:val="auto"/>
                    <w:rPr>
                      <w:rFonts w:hint="default" w:ascii="Times New Roman" w:hAnsi="Times New Roman" w:eastAsia="宋体" w:cs="Times New Roman"/>
                      <w:sz w:val="21"/>
                      <w:szCs w:val="21"/>
                      <w:highlight w:val="none"/>
                      <w:lang w:val="en-US" w:eastAsia="zh-CN"/>
                    </w:rPr>
                  </w:pPr>
                  <w:r>
                    <w:rPr>
                      <w:rFonts w:hint="eastAsia" w:cs="Times New Roman"/>
                      <w:sz w:val="21"/>
                      <w:szCs w:val="21"/>
                      <w:highlight w:val="none"/>
                      <w:lang w:val="en-US" w:eastAsia="zh-CN"/>
                    </w:rPr>
                    <w:t>本项目建立</w:t>
                  </w:r>
                  <w:r>
                    <w:rPr>
                      <w:rFonts w:hint="default" w:ascii="Times New Roman" w:hAnsi="Times New Roman" w:eastAsia="宋体" w:cs="Times New Roman"/>
                      <w:sz w:val="21"/>
                      <w:szCs w:val="21"/>
                      <w:highlight w:val="none"/>
                      <w:vertAlign w:val="baseline"/>
                      <w:lang w:val="en-US" w:eastAsia="zh-CN"/>
                    </w:rPr>
                    <w:t>扬尘污染控制管理制度</w:t>
                  </w:r>
                  <w:r>
                    <w:rPr>
                      <w:rFonts w:hint="eastAsia" w:cs="Times New Roman"/>
                      <w:sz w:val="21"/>
                      <w:szCs w:val="21"/>
                      <w:highlight w:val="none"/>
                      <w:vertAlign w:val="baseline"/>
                      <w:lang w:val="en-US" w:eastAsia="zh-CN"/>
                    </w:rPr>
                    <w:t>。</w:t>
                  </w:r>
                </w:p>
              </w:tc>
              <w:tc>
                <w:tcPr>
                  <w:tcW w:w="647" w:type="pct"/>
                  <w:tcBorders>
                    <w:tl2br w:val="nil"/>
                    <w:tr2bl w:val="nil"/>
                  </w:tcBorders>
                  <w:noWrap w:val="0"/>
                  <w:vAlign w:val="center"/>
                </w:tcPr>
                <w:p w14:paraId="00EE72B1">
                  <w:pPr>
                    <w:pStyle w:val="12"/>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13" w:rightChars="0"/>
                    <w:jc w:val="center"/>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符合</w:t>
                  </w:r>
                </w:p>
              </w:tc>
            </w:tr>
            <w:tr w14:paraId="7D7B6B69">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4" w:hRule="atLeast"/>
              </w:trPr>
              <w:tc>
                <w:tcPr>
                  <w:tcW w:w="790" w:type="pct"/>
                  <w:vMerge w:val="continue"/>
                  <w:tcBorders>
                    <w:tl2br w:val="nil"/>
                    <w:tr2bl w:val="nil"/>
                  </w:tcBorders>
                  <w:noWrap w:val="0"/>
                  <w:vAlign w:val="center"/>
                </w:tcPr>
                <w:p w14:paraId="1FD17A80">
                  <w:pPr>
                    <w:keepNext w:val="0"/>
                    <w:keepLines w:val="0"/>
                    <w:pageBreakBefore w:val="0"/>
                    <w:widowControl/>
                    <w:suppressLineNumbers w:val="0"/>
                    <w:kinsoku/>
                    <w:overflowPunct/>
                    <w:topLinePunct w:val="0"/>
                    <w:autoSpaceDE/>
                    <w:autoSpaceDN/>
                    <w:bidi w:val="0"/>
                    <w:snapToGrid/>
                    <w:spacing w:line="240" w:lineRule="auto"/>
                    <w:jc w:val="left"/>
                    <w:rPr>
                      <w:rFonts w:hint="eastAsia" w:cs="Times New Roman"/>
                      <w:color w:val="auto"/>
                      <w:spacing w:val="0"/>
                      <w:kern w:val="0"/>
                      <w:sz w:val="21"/>
                      <w:szCs w:val="21"/>
                      <w:highlight w:val="none"/>
                      <w:lang w:val="en-US" w:eastAsia="zh-CN"/>
                    </w:rPr>
                  </w:pPr>
                </w:p>
              </w:tc>
              <w:tc>
                <w:tcPr>
                  <w:tcW w:w="2379" w:type="pct"/>
                  <w:tcBorders>
                    <w:tl2br w:val="nil"/>
                    <w:tr2bl w:val="nil"/>
                  </w:tcBorders>
                  <w:noWrap w:val="0"/>
                  <w:vAlign w:val="center"/>
                </w:tcPr>
                <w:p w14:paraId="4AF1CE9C">
                  <w:pPr>
                    <w:pStyle w:val="12"/>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rightChars="0"/>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5.2扬尘治理设施属于大气污染控制环境保护设施，依据有关环保治理设施规定进行建设、验收、运行和管理</w:t>
                  </w:r>
                  <w:r>
                    <w:rPr>
                      <w:rFonts w:hint="eastAsia" w:cs="Times New Roman"/>
                      <w:sz w:val="21"/>
                      <w:szCs w:val="21"/>
                      <w:highlight w:val="none"/>
                      <w:vertAlign w:val="baseline"/>
                      <w:lang w:val="en-US" w:eastAsia="zh-CN"/>
                    </w:rPr>
                    <w:t>；</w:t>
                  </w:r>
                  <w:r>
                    <w:rPr>
                      <w:rFonts w:hint="default" w:ascii="Times New Roman" w:hAnsi="Times New Roman" w:eastAsia="宋体" w:cs="Times New Roman"/>
                      <w:sz w:val="21"/>
                      <w:szCs w:val="21"/>
                      <w:highlight w:val="none"/>
                      <w:vertAlign w:val="baseline"/>
                      <w:lang w:val="en-US" w:eastAsia="zh-CN"/>
                    </w:rPr>
                    <w:t>企业应按《大气污染物综合排放标准》颗粒物无组织排放布点，应对防尘治理设施的运行管理效果进行自行监测，并按照当地环保部门的要求进行检测、上报。</w:t>
                  </w:r>
                </w:p>
              </w:tc>
              <w:tc>
                <w:tcPr>
                  <w:tcW w:w="1183" w:type="pct"/>
                  <w:tcBorders>
                    <w:tl2br w:val="nil"/>
                    <w:tr2bl w:val="nil"/>
                  </w:tcBorders>
                  <w:noWrap w:val="0"/>
                  <w:vAlign w:val="center"/>
                </w:tcPr>
                <w:p w14:paraId="7B2A54B5">
                  <w:pPr>
                    <w:pStyle w:val="12"/>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rightChars="0"/>
                    <w:jc w:val="both"/>
                    <w:textAlignment w:val="auto"/>
                    <w:rPr>
                      <w:rFonts w:hint="eastAsia" w:cs="Times New Roman"/>
                      <w:sz w:val="21"/>
                      <w:szCs w:val="21"/>
                      <w:highlight w:val="none"/>
                      <w:lang w:val="en-US" w:eastAsia="zh-CN"/>
                    </w:rPr>
                  </w:pPr>
                  <w:r>
                    <w:rPr>
                      <w:rFonts w:hint="eastAsia" w:cs="Times New Roman"/>
                      <w:sz w:val="21"/>
                      <w:szCs w:val="21"/>
                      <w:highlight w:val="none"/>
                      <w:lang w:val="en-US" w:eastAsia="zh-CN"/>
                    </w:rPr>
                    <w:t>本项目</w:t>
                  </w:r>
                  <w:r>
                    <w:rPr>
                      <w:rFonts w:hint="default" w:ascii="Times New Roman" w:hAnsi="Times New Roman" w:eastAsia="宋体" w:cs="Times New Roman"/>
                      <w:sz w:val="21"/>
                      <w:szCs w:val="21"/>
                      <w:highlight w:val="none"/>
                      <w:vertAlign w:val="baseline"/>
                      <w:lang w:val="en-US" w:eastAsia="zh-CN"/>
                    </w:rPr>
                    <w:t>扬尘治理设施</w:t>
                  </w:r>
                  <w:r>
                    <w:rPr>
                      <w:rFonts w:hint="eastAsia" w:cs="Times New Roman"/>
                      <w:sz w:val="21"/>
                      <w:szCs w:val="21"/>
                      <w:highlight w:val="none"/>
                      <w:lang w:val="en-US" w:eastAsia="zh-CN"/>
                    </w:rPr>
                    <w:t>按</w:t>
                  </w:r>
                  <w:r>
                    <w:rPr>
                      <w:rFonts w:hint="default" w:ascii="Times New Roman" w:hAnsi="Times New Roman" w:eastAsia="宋体" w:cs="Times New Roman"/>
                      <w:sz w:val="21"/>
                      <w:szCs w:val="21"/>
                      <w:highlight w:val="none"/>
                      <w:vertAlign w:val="baseline"/>
                      <w:lang w:val="en-US" w:eastAsia="zh-CN"/>
                    </w:rPr>
                    <w:t>颗粒物无组织排放布点</w:t>
                  </w:r>
                  <w:r>
                    <w:rPr>
                      <w:rFonts w:hint="eastAsia" w:cs="Times New Roman"/>
                      <w:sz w:val="21"/>
                      <w:szCs w:val="21"/>
                      <w:highlight w:val="none"/>
                      <w:vertAlign w:val="baseline"/>
                      <w:lang w:val="en-US" w:eastAsia="zh-CN"/>
                    </w:rPr>
                    <w:t>，厂房内喷淋抑尘装置符合要求。</w:t>
                  </w:r>
                </w:p>
              </w:tc>
              <w:tc>
                <w:tcPr>
                  <w:tcW w:w="647" w:type="pct"/>
                  <w:tcBorders>
                    <w:tl2br w:val="nil"/>
                    <w:tr2bl w:val="nil"/>
                  </w:tcBorders>
                  <w:noWrap w:val="0"/>
                  <w:vAlign w:val="center"/>
                </w:tcPr>
                <w:p w14:paraId="6B171098">
                  <w:pPr>
                    <w:pStyle w:val="12"/>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13" w:rightChars="0"/>
                    <w:jc w:val="center"/>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符合</w:t>
                  </w:r>
                </w:p>
              </w:tc>
            </w:tr>
            <w:tr w14:paraId="74803C78">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4" w:hRule="atLeast"/>
              </w:trPr>
              <w:tc>
                <w:tcPr>
                  <w:tcW w:w="790" w:type="pct"/>
                  <w:vMerge w:val="continue"/>
                  <w:tcBorders>
                    <w:tl2br w:val="nil"/>
                    <w:tr2bl w:val="nil"/>
                  </w:tcBorders>
                  <w:noWrap w:val="0"/>
                  <w:vAlign w:val="center"/>
                </w:tcPr>
                <w:p w14:paraId="78C7EC80">
                  <w:pPr>
                    <w:keepNext w:val="0"/>
                    <w:keepLines w:val="0"/>
                    <w:pageBreakBefore w:val="0"/>
                    <w:widowControl/>
                    <w:suppressLineNumbers w:val="0"/>
                    <w:kinsoku/>
                    <w:overflowPunct/>
                    <w:topLinePunct w:val="0"/>
                    <w:autoSpaceDE/>
                    <w:autoSpaceDN/>
                    <w:bidi w:val="0"/>
                    <w:snapToGrid/>
                    <w:spacing w:line="240" w:lineRule="auto"/>
                    <w:jc w:val="left"/>
                    <w:rPr>
                      <w:rFonts w:hint="eastAsia" w:cs="Times New Roman"/>
                      <w:color w:val="auto"/>
                      <w:spacing w:val="0"/>
                      <w:kern w:val="0"/>
                      <w:sz w:val="21"/>
                      <w:szCs w:val="21"/>
                      <w:highlight w:val="none"/>
                      <w:lang w:val="en-US" w:eastAsia="zh-CN"/>
                    </w:rPr>
                  </w:pPr>
                </w:p>
              </w:tc>
              <w:tc>
                <w:tcPr>
                  <w:tcW w:w="2379" w:type="pct"/>
                  <w:tcBorders>
                    <w:tl2br w:val="nil"/>
                    <w:tr2bl w:val="nil"/>
                  </w:tcBorders>
                  <w:noWrap w:val="0"/>
                  <w:vAlign w:val="center"/>
                </w:tcPr>
                <w:p w14:paraId="3360B393">
                  <w:pPr>
                    <w:pStyle w:val="12"/>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rightChars="0"/>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5.3按照环境管理部门要求对敏感地区的煤场、料场、渣场安装在线监控装置。</w:t>
                  </w:r>
                </w:p>
              </w:tc>
              <w:tc>
                <w:tcPr>
                  <w:tcW w:w="1183" w:type="pct"/>
                  <w:tcBorders>
                    <w:tl2br w:val="nil"/>
                    <w:tr2bl w:val="nil"/>
                  </w:tcBorders>
                  <w:noWrap w:val="0"/>
                  <w:vAlign w:val="center"/>
                </w:tcPr>
                <w:p w14:paraId="55930558">
                  <w:pPr>
                    <w:pStyle w:val="12"/>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rightChars="0"/>
                    <w:jc w:val="both"/>
                    <w:textAlignment w:val="auto"/>
                    <w:rPr>
                      <w:rFonts w:hint="eastAsia" w:cs="Times New Roman"/>
                      <w:sz w:val="21"/>
                      <w:szCs w:val="21"/>
                      <w:highlight w:val="none"/>
                      <w:lang w:val="en-US" w:eastAsia="zh-CN"/>
                    </w:rPr>
                  </w:pPr>
                  <w:r>
                    <w:rPr>
                      <w:rFonts w:hint="eastAsia" w:cs="Times New Roman"/>
                      <w:sz w:val="21"/>
                      <w:szCs w:val="21"/>
                      <w:highlight w:val="none"/>
                      <w:lang w:val="en-US" w:eastAsia="zh-CN"/>
                    </w:rPr>
                    <w:t>本项目不属于敏感地区。</w:t>
                  </w:r>
                </w:p>
              </w:tc>
              <w:tc>
                <w:tcPr>
                  <w:tcW w:w="647" w:type="pct"/>
                  <w:tcBorders>
                    <w:tl2br w:val="nil"/>
                    <w:tr2bl w:val="nil"/>
                  </w:tcBorders>
                  <w:noWrap w:val="0"/>
                  <w:vAlign w:val="center"/>
                </w:tcPr>
                <w:p w14:paraId="49A0BC23">
                  <w:pPr>
                    <w:pStyle w:val="12"/>
                    <w:keepNext w:val="0"/>
                    <w:keepLines w:val="0"/>
                    <w:pageBreakBefore w:val="0"/>
                    <w:widowControl w:val="0"/>
                    <w:numPr>
                      <w:ilvl w:val="0"/>
                      <w:numId w:val="0"/>
                    </w:numPr>
                    <w:kinsoku/>
                    <w:wordWrap/>
                    <w:overflowPunct/>
                    <w:topLinePunct w:val="0"/>
                    <w:autoSpaceDE/>
                    <w:autoSpaceDN/>
                    <w:bidi w:val="0"/>
                    <w:adjustRightInd/>
                    <w:snapToGrid/>
                    <w:spacing w:line="240" w:lineRule="auto"/>
                    <w:ind w:right="113" w:rightChars="0"/>
                    <w:jc w:val="center"/>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符合</w:t>
                  </w:r>
                </w:p>
              </w:tc>
            </w:tr>
          </w:tbl>
          <w:p w14:paraId="213BB788">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eastAsia" w:ascii="Times New Roman" w:hAnsi="Times New Roman" w:eastAsia="TimesNewRomanPSMT" w:cs="Times New Roman"/>
                <w:b w:val="0"/>
                <w:bCs w:val="0"/>
                <w:color w:val="000000"/>
                <w:kern w:val="0"/>
                <w:sz w:val="24"/>
                <w:szCs w:val="24"/>
                <w:highlight w:val="none"/>
                <w:lang w:val="en-US" w:eastAsia="zh-CN" w:bidi="ar"/>
              </w:rPr>
            </w:pPr>
            <w:r>
              <w:rPr>
                <w:rFonts w:hint="eastAsia" w:ascii="Times New Roman" w:hAnsi="Times New Roman" w:eastAsia="TimesNewRomanPSMT" w:cs="Times New Roman"/>
                <w:b w:val="0"/>
                <w:bCs w:val="0"/>
                <w:color w:val="000000"/>
                <w:kern w:val="0"/>
                <w:sz w:val="24"/>
                <w:szCs w:val="24"/>
                <w:highlight w:val="none"/>
                <w:lang w:val="en-US" w:eastAsia="zh-CN" w:bidi="ar"/>
              </w:rPr>
              <w:t>综上所述，本项目符合河北省《煤场、料场、渣场扬尘污染控制技术规范》（</w:t>
            </w:r>
            <w:r>
              <w:rPr>
                <w:rFonts w:hint="default" w:ascii="Times New Roman" w:hAnsi="Times New Roman" w:eastAsia="TimesNewRomanPSMT" w:cs="Times New Roman"/>
                <w:b w:val="0"/>
                <w:bCs w:val="0"/>
                <w:color w:val="000000"/>
                <w:kern w:val="0"/>
                <w:sz w:val="24"/>
                <w:szCs w:val="24"/>
                <w:highlight w:val="none"/>
                <w:lang w:val="en-US" w:eastAsia="zh-CN" w:bidi="ar"/>
              </w:rPr>
              <w:t>DB13/T2352-2016</w:t>
            </w:r>
            <w:r>
              <w:rPr>
                <w:rFonts w:hint="eastAsia" w:ascii="Times New Roman" w:hAnsi="Times New Roman" w:eastAsia="TimesNewRomanPSMT" w:cs="Times New Roman"/>
                <w:b w:val="0"/>
                <w:bCs w:val="0"/>
                <w:color w:val="000000"/>
                <w:kern w:val="0"/>
                <w:sz w:val="24"/>
                <w:szCs w:val="24"/>
                <w:highlight w:val="none"/>
                <w:lang w:val="en-US" w:eastAsia="zh-CN" w:bidi="ar"/>
              </w:rPr>
              <w:t>）中相关政策要求。</w:t>
            </w:r>
          </w:p>
          <w:p w14:paraId="1334F175">
            <w:pPr>
              <w:adjustRightInd w:val="0"/>
              <w:snapToGrid w:val="0"/>
              <w:spacing w:line="400" w:lineRule="exact"/>
              <w:jc w:val="center"/>
              <w:rPr>
                <w:rFonts w:hint="eastAsia" w:ascii="Times New Roman" w:hAnsi="Times New Roman" w:cs="Times New Roman"/>
                <w:b/>
                <w:bCs/>
                <w:color w:val="auto"/>
                <w:sz w:val="24"/>
                <w:highlight w:val="none"/>
              </w:rPr>
            </w:pPr>
            <w:r>
              <w:rPr>
                <w:rFonts w:hint="default" w:ascii="Times New Roman" w:hAnsi="Times New Roman" w:cs="Times New Roman"/>
                <w:b/>
                <w:bCs/>
                <w:color w:val="auto"/>
                <w:sz w:val="24"/>
                <w:highlight w:val="none"/>
                <w:lang w:val="en-US" w:eastAsia="zh-CN"/>
              </w:rPr>
              <w:t>表</w:t>
            </w:r>
            <w:r>
              <w:rPr>
                <w:rFonts w:hint="eastAsia" w:ascii="Times New Roman" w:hAnsi="Times New Roman" w:cs="Times New Roman"/>
                <w:b/>
                <w:bCs/>
                <w:color w:val="auto"/>
                <w:sz w:val="24"/>
                <w:highlight w:val="none"/>
                <w:lang w:val="en-US" w:eastAsia="zh-CN"/>
              </w:rPr>
              <w:t>1-7</w:t>
            </w:r>
            <w:r>
              <w:rPr>
                <w:rFonts w:hint="default" w:ascii="Times New Roman" w:hAnsi="Times New Roman" w:cs="Times New Roman"/>
                <w:b/>
                <w:bCs/>
                <w:color w:val="auto"/>
                <w:sz w:val="24"/>
                <w:highlight w:val="none"/>
                <w:lang w:val="en-US" w:eastAsia="zh-CN"/>
              </w:rPr>
              <w:t xml:space="preserve"> </w:t>
            </w:r>
            <w:r>
              <w:rPr>
                <w:rFonts w:hint="eastAsia" w:ascii="Times New Roman" w:hAnsi="Times New Roman" w:cs="Times New Roman"/>
                <w:b/>
                <w:bCs/>
                <w:color w:val="auto"/>
                <w:sz w:val="24"/>
                <w:highlight w:val="none"/>
                <w:lang w:val="en-US" w:eastAsia="zh-CN"/>
              </w:rPr>
              <w:t>本项目与</w:t>
            </w:r>
            <w:r>
              <w:rPr>
                <w:rFonts w:hint="eastAsia" w:ascii="Times New Roman" w:hAnsi="Times New Roman" w:eastAsia="宋体" w:cs="Times New Roman"/>
                <w:b/>
                <w:bCs/>
                <w:color w:val="auto"/>
                <w:sz w:val="24"/>
                <w:highlight w:val="none"/>
                <w:lang w:val="en-US" w:eastAsia="zh-CN"/>
              </w:rPr>
              <w:t>《煤炭洗选工程设计规范》（GB</w:t>
            </w:r>
            <w:r>
              <w:rPr>
                <w:rFonts w:hint="default" w:ascii="Times New Roman" w:hAnsi="Times New Roman" w:eastAsia="宋体" w:cs="Times New Roman"/>
                <w:b/>
                <w:bCs/>
                <w:color w:val="auto"/>
                <w:sz w:val="24"/>
                <w:highlight w:val="none"/>
                <w:lang w:val="en-US" w:eastAsia="zh-CN"/>
              </w:rPr>
              <w:t>50359-2016</w:t>
            </w:r>
            <w:r>
              <w:rPr>
                <w:rFonts w:hint="eastAsia" w:ascii="Times New Roman" w:hAnsi="Times New Roman" w:eastAsia="宋体" w:cs="Times New Roman"/>
                <w:b/>
                <w:bCs/>
                <w:color w:val="auto"/>
                <w:sz w:val="24"/>
                <w:highlight w:val="none"/>
                <w:lang w:val="en-US" w:eastAsia="zh-CN"/>
              </w:rPr>
              <w:t>）符合性分</w:t>
            </w:r>
            <w:r>
              <w:rPr>
                <w:rFonts w:hint="eastAsia" w:ascii="Times New Roman" w:hAnsi="Times New Roman" w:cs="Times New Roman"/>
                <w:b/>
                <w:bCs/>
                <w:color w:val="auto"/>
                <w:sz w:val="24"/>
                <w:highlight w:val="none"/>
                <w:lang w:val="en-US" w:eastAsia="zh-CN"/>
              </w:rPr>
              <w:t>析</w:t>
            </w:r>
          </w:p>
          <w:tbl>
            <w:tblPr>
              <w:tblStyle w:val="26"/>
              <w:tblW w:w="4998" w:type="pct"/>
              <w:tblInd w:w="0" w:type="dxa"/>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0" w:type="dxa"/>
                <w:left w:w="108" w:type="dxa"/>
                <w:bottom w:w="0" w:type="dxa"/>
                <w:right w:w="108" w:type="dxa"/>
              </w:tblCellMar>
            </w:tblPr>
            <w:tblGrid>
              <w:gridCol w:w="1199"/>
              <w:gridCol w:w="3586"/>
              <w:gridCol w:w="1786"/>
              <w:gridCol w:w="977"/>
            </w:tblGrid>
            <w:tr w14:paraId="20DE1AE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3169" w:type="pct"/>
                  <w:gridSpan w:val="2"/>
                  <w:tcBorders>
                    <w:tl2br w:val="nil"/>
                    <w:tr2bl w:val="nil"/>
                  </w:tcBorders>
                  <w:noWrap w:val="0"/>
                  <w:vAlign w:val="center"/>
                </w:tcPr>
                <w:p w14:paraId="408F9DBE">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cs="Times New Roman"/>
                      <w:sz w:val="21"/>
                      <w:szCs w:val="21"/>
                      <w:highlight w:val="none"/>
                      <w:lang w:eastAsia="zh-CN"/>
                    </w:rPr>
                    <w:t>相关</w:t>
                  </w:r>
                  <w:r>
                    <w:rPr>
                      <w:rFonts w:hint="default" w:ascii="Times New Roman" w:hAnsi="Times New Roman" w:eastAsia="宋体" w:cs="Times New Roman"/>
                      <w:sz w:val="21"/>
                      <w:szCs w:val="21"/>
                      <w:highlight w:val="none"/>
                      <w:lang w:eastAsia="zh-CN"/>
                    </w:rPr>
                    <w:t>要求</w:t>
                  </w:r>
                </w:p>
              </w:tc>
              <w:tc>
                <w:tcPr>
                  <w:tcW w:w="1183" w:type="pct"/>
                  <w:tcBorders>
                    <w:tl2br w:val="nil"/>
                    <w:tr2bl w:val="nil"/>
                  </w:tcBorders>
                  <w:noWrap w:val="0"/>
                  <w:vAlign w:val="center"/>
                </w:tcPr>
                <w:p w14:paraId="25B59345">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项目建设情况</w:t>
                  </w:r>
                </w:p>
              </w:tc>
              <w:tc>
                <w:tcPr>
                  <w:tcW w:w="647" w:type="pct"/>
                  <w:tcBorders>
                    <w:tl2br w:val="nil"/>
                    <w:tr2bl w:val="nil"/>
                  </w:tcBorders>
                  <w:noWrap w:val="0"/>
                  <w:vAlign w:val="center"/>
                </w:tcPr>
                <w:p w14:paraId="15D70B1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eastAsia="zh-CN"/>
                    </w:rPr>
                    <w:t>符合性</w:t>
                  </w:r>
                </w:p>
              </w:tc>
            </w:tr>
            <w:tr w14:paraId="3BA42B76">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794" w:type="pct"/>
                  <w:tcBorders>
                    <w:tl2br w:val="nil"/>
                    <w:tr2bl w:val="nil"/>
                  </w:tcBorders>
                  <w:noWrap w:val="0"/>
                  <w:vAlign w:val="center"/>
                </w:tcPr>
                <w:p w14:paraId="3DD19DC4">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2基本规定</w:t>
                  </w:r>
                </w:p>
              </w:tc>
              <w:tc>
                <w:tcPr>
                  <w:tcW w:w="2375" w:type="pct"/>
                  <w:tcBorders>
                    <w:tl2br w:val="nil"/>
                    <w:tr2bl w:val="nil"/>
                  </w:tcBorders>
                  <w:shd w:val="clear" w:color="auto" w:fill="auto"/>
                  <w:noWrap w:val="0"/>
                  <w:vAlign w:val="center"/>
                </w:tcPr>
                <w:p w14:paraId="483E5167">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eastAsia="宋体" w:cs="Times New Roman"/>
                      <w:kern w:val="2"/>
                      <w:sz w:val="21"/>
                      <w:szCs w:val="21"/>
                      <w:highlight w:val="none"/>
                      <w:lang w:val="en-US" w:eastAsia="zh-CN" w:bidi="ar-SA"/>
                    </w:rPr>
                  </w:pPr>
                  <w:r>
                    <w:rPr>
                      <w:rFonts w:hint="eastAsia" w:ascii="Times New Roman" w:hAnsi="Times New Roman" w:cs="Times New Roman"/>
                      <w:sz w:val="21"/>
                      <w:szCs w:val="21"/>
                      <w:highlight w:val="none"/>
                      <w:lang w:val="en-US" w:eastAsia="zh-CN"/>
                    </w:rPr>
                    <w:t>2.0.7选煤厂必须实现洗水闭路循环。</w:t>
                  </w:r>
                </w:p>
              </w:tc>
              <w:tc>
                <w:tcPr>
                  <w:tcW w:w="1183" w:type="pct"/>
                  <w:tcBorders>
                    <w:tl2br w:val="nil"/>
                    <w:tr2bl w:val="nil"/>
                  </w:tcBorders>
                  <w:noWrap w:val="0"/>
                  <w:vAlign w:val="center"/>
                </w:tcPr>
                <w:p w14:paraId="74F4632B">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本项目配煤加工用水部分物料吸附损耗，部分流入清水池</w:t>
                  </w:r>
                  <w:r>
                    <w:rPr>
                      <w:rFonts w:hint="default" w:ascii="Times New Roman" w:hAnsi="Times New Roman" w:eastAsia="宋体" w:cs="Times New Roman"/>
                      <w:sz w:val="21"/>
                      <w:szCs w:val="21"/>
                      <w:highlight w:val="none"/>
                      <w:lang w:val="en-US" w:eastAsia="zh-CN"/>
                    </w:rPr>
                    <w:t>经沉淀处理后回用</w:t>
                  </w:r>
                  <w:r>
                    <w:rPr>
                      <w:rFonts w:hint="eastAsia" w:ascii="Times New Roman" w:hAnsi="Times New Roman" w:eastAsia="宋体" w:cs="Times New Roman"/>
                      <w:sz w:val="21"/>
                      <w:szCs w:val="21"/>
                      <w:highlight w:val="none"/>
                      <w:lang w:val="en-US" w:eastAsia="zh-CN"/>
                    </w:rPr>
                    <w:t>，无废水外排。</w:t>
                  </w:r>
                </w:p>
              </w:tc>
              <w:tc>
                <w:tcPr>
                  <w:tcW w:w="647" w:type="pct"/>
                  <w:tcBorders>
                    <w:tl2br w:val="nil"/>
                    <w:tr2bl w:val="nil"/>
                  </w:tcBorders>
                  <w:noWrap w:val="0"/>
                  <w:vAlign w:val="center"/>
                </w:tcPr>
                <w:p w14:paraId="6FF6060B">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sz w:val="21"/>
                      <w:szCs w:val="21"/>
                      <w:highlight w:val="none"/>
                      <w:lang w:eastAsia="zh-CN"/>
                    </w:rPr>
                  </w:pPr>
                  <w:r>
                    <w:rPr>
                      <w:rFonts w:hint="eastAsia" w:ascii="Times New Roman" w:hAnsi="Times New Roman" w:cs="Times New Roman"/>
                      <w:sz w:val="21"/>
                      <w:szCs w:val="21"/>
                      <w:highlight w:val="none"/>
                      <w:lang w:eastAsia="zh-CN"/>
                    </w:rPr>
                    <w:t>符合</w:t>
                  </w:r>
                </w:p>
              </w:tc>
            </w:tr>
            <w:tr w14:paraId="58B83347">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794" w:type="pct"/>
                  <w:tcBorders>
                    <w:tl2br w:val="nil"/>
                    <w:tr2bl w:val="nil"/>
                  </w:tcBorders>
                  <w:noWrap w:val="0"/>
                  <w:vAlign w:val="center"/>
                </w:tcPr>
                <w:p w14:paraId="5CC95D05">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3受煤与原煤储存</w:t>
                  </w:r>
                </w:p>
              </w:tc>
              <w:tc>
                <w:tcPr>
                  <w:tcW w:w="2375" w:type="pct"/>
                  <w:tcBorders>
                    <w:tl2br w:val="nil"/>
                    <w:tr2bl w:val="nil"/>
                  </w:tcBorders>
                  <w:shd w:val="clear" w:color="auto" w:fill="auto"/>
                  <w:noWrap w:val="0"/>
                  <w:vAlign w:val="center"/>
                </w:tcPr>
                <w:p w14:paraId="718B417E">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cs="Times New Roman"/>
                      <w:sz w:val="21"/>
                      <w:szCs w:val="21"/>
                      <w:highlight w:val="none"/>
                      <w:lang w:eastAsia="zh-CN"/>
                    </w:rPr>
                    <w:t>3.2.4选煤厂、储配煤场应减少露天储存原煤</w:t>
                  </w:r>
                  <w:r>
                    <w:rPr>
                      <w:rFonts w:hint="eastAsia" w:ascii="Times New Roman" w:hAnsi="Times New Roman" w:cs="Times New Roman"/>
                      <w:sz w:val="21"/>
                      <w:szCs w:val="21"/>
                      <w:highlight w:val="none"/>
                      <w:lang w:eastAsia="zh-CN"/>
                    </w:rPr>
                    <w:t>；</w:t>
                  </w:r>
                  <w:r>
                    <w:rPr>
                      <w:rFonts w:hint="default" w:ascii="Times New Roman" w:hAnsi="Times New Roman" w:cs="Times New Roman"/>
                      <w:sz w:val="21"/>
                      <w:szCs w:val="21"/>
                      <w:highlight w:val="none"/>
                      <w:lang w:eastAsia="zh-CN"/>
                    </w:rPr>
                    <w:t>在人口集中的城镇附近的选煤厂、储配煤场</w:t>
                  </w:r>
                  <w:r>
                    <w:rPr>
                      <w:rFonts w:hint="eastAsia" w:ascii="Times New Roman" w:hAnsi="Times New Roman" w:cs="Times New Roman"/>
                      <w:sz w:val="21"/>
                      <w:szCs w:val="21"/>
                      <w:highlight w:val="none"/>
                      <w:lang w:eastAsia="zh-CN"/>
                    </w:rPr>
                    <w:t>，</w:t>
                  </w:r>
                  <w:r>
                    <w:rPr>
                      <w:rFonts w:hint="default" w:ascii="Times New Roman" w:hAnsi="Times New Roman" w:cs="Times New Roman"/>
                      <w:sz w:val="21"/>
                      <w:szCs w:val="21"/>
                      <w:highlight w:val="none"/>
                      <w:lang w:eastAsia="zh-CN"/>
                    </w:rPr>
                    <w:t>应采用封闭方式储存原煤</w:t>
                  </w:r>
                  <w:r>
                    <w:rPr>
                      <w:rFonts w:hint="eastAsia" w:ascii="Times New Roman" w:hAnsi="Times New Roman" w:cs="Times New Roman"/>
                      <w:sz w:val="21"/>
                      <w:szCs w:val="21"/>
                      <w:highlight w:val="none"/>
                      <w:lang w:eastAsia="zh-CN"/>
                    </w:rPr>
                    <w:t>；</w:t>
                  </w:r>
                  <w:r>
                    <w:rPr>
                      <w:rFonts w:hint="default" w:ascii="Times New Roman" w:hAnsi="Times New Roman" w:cs="Times New Roman"/>
                      <w:sz w:val="21"/>
                      <w:szCs w:val="21"/>
                      <w:highlight w:val="none"/>
                      <w:lang w:eastAsia="zh-CN"/>
                    </w:rPr>
                    <w:t>其他选煤厂、储配煤场在露天储存原煤时</w:t>
                  </w:r>
                  <w:r>
                    <w:rPr>
                      <w:rFonts w:hint="eastAsia" w:ascii="Times New Roman" w:hAnsi="Times New Roman" w:cs="Times New Roman"/>
                      <w:sz w:val="21"/>
                      <w:szCs w:val="21"/>
                      <w:highlight w:val="none"/>
                      <w:lang w:eastAsia="zh-CN"/>
                    </w:rPr>
                    <w:t>，</w:t>
                  </w:r>
                  <w:r>
                    <w:rPr>
                      <w:rFonts w:hint="default" w:ascii="Times New Roman" w:hAnsi="Times New Roman" w:cs="Times New Roman"/>
                      <w:sz w:val="21"/>
                      <w:szCs w:val="21"/>
                      <w:highlight w:val="none"/>
                      <w:lang w:eastAsia="zh-CN"/>
                    </w:rPr>
                    <w:t>应采取防风抑尘措施。</w:t>
                  </w:r>
                </w:p>
              </w:tc>
              <w:tc>
                <w:tcPr>
                  <w:tcW w:w="1183" w:type="pct"/>
                  <w:tcBorders>
                    <w:tl2br w:val="nil"/>
                    <w:tr2bl w:val="nil"/>
                  </w:tcBorders>
                  <w:noWrap w:val="0"/>
                  <w:vAlign w:val="center"/>
                </w:tcPr>
                <w:p w14:paraId="4EEDD486">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本项目在煤炭储存在封闭厂房，</w:t>
                  </w:r>
                  <w:r>
                    <w:rPr>
                      <w:rFonts w:hint="eastAsia" w:cs="Times New Roman"/>
                      <w:sz w:val="21"/>
                      <w:szCs w:val="21"/>
                      <w:highlight w:val="none"/>
                      <w:vertAlign w:val="baseline"/>
                      <w:lang w:val="en-US" w:eastAsia="zh-CN"/>
                    </w:rPr>
                    <w:t>厂房内喷淋抑尘装置。</w:t>
                  </w:r>
                </w:p>
              </w:tc>
              <w:tc>
                <w:tcPr>
                  <w:tcW w:w="647" w:type="pct"/>
                  <w:tcBorders>
                    <w:tl2br w:val="nil"/>
                    <w:tr2bl w:val="nil"/>
                  </w:tcBorders>
                  <w:noWrap w:val="0"/>
                  <w:vAlign w:val="center"/>
                </w:tcPr>
                <w:p w14:paraId="7911B11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sz w:val="21"/>
                      <w:szCs w:val="21"/>
                      <w:highlight w:val="none"/>
                      <w:lang w:eastAsia="zh-CN"/>
                    </w:rPr>
                  </w:pPr>
                  <w:r>
                    <w:rPr>
                      <w:rFonts w:hint="eastAsia" w:ascii="Times New Roman" w:hAnsi="Times New Roman" w:cs="Times New Roman"/>
                      <w:sz w:val="21"/>
                      <w:szCs w:val="21"/>
                      <w:highlight w:val="none"/>
                      <w:lang w:eastAsia="zh-CN"/>
                    </w:rPr>
                    <w:t>符合</w:t>
                  </w:r>
                </w:p>
              </w:tc>
            </w:tr>
            <w:tr w14:paraId="225F1BA5">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794" w:type="pct"/>
                  <w:vMerge w:val="restart"/>
                  <w:tcBorders>
                    <w:tl2br w:val="nil"/>
                    <w:tr2bl w:val="nil"/>
                  </w:tcBorders>
                  <w:noWrap w:val="0"/>
                  <w:vAlign w:val="center"/>
                </w:tcPr>
                <w:p w14:paraId="3CB50AB5">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4筛分、除杂与破碎</w:t>
                  </w:r>
                </w:p>
              </w:tc>
              <w:tc>
                <w:tcPr>
                  <w:tcW w:w="2375" w:type="pct"/>
                  <w:tcBorders>
                    <w:tl2br w:val="nil"/>
                    <w:tr2bl w:val="nil"/>
                  </w:tcBorders>
                  <w:noWrap w:val="0"/>
                  <w:vAlign w:val="center"/>
                </w:tcPr>
                <w:p w14:paraId="0BA8197F">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4.1.1最终筛分的粒度应根据煤质、选煤工艺和用户要求</w:t>
                  </w:r>
                  <w:r>
                    <w:rPr>
                      <w:rFonts w:hint="eastAsia" w:ascii="Times New Roman" w:hAnsi="Times New Roman" w:cs="Times New Roman"/>
                      <w:sz w:val="21"/>
                      <w:szCs w:val="21"/>
                      <w:highlight w:val="none"/>
                      <w:lang w:eastAsia="zh-CN"/>
                    </w:rPr>
                    <w:t>，</w:t>
                  </w:r>
                  <w:r>
                    <w:rPr>
                      <w:rFonts w:hint="default" w:ascii="Times New Roman" w:hAnsi="Times New Roman" w:cs="Times New Roman"/>
                      <w:sz w:val="21"/>
                      <w:szCs w:val="21"/>
                      <w:highlight w:val="none"/>
                      <w:lang w:eastAsia="zh-CN"/>
                    </w:rPr>
                    <w:t>经综合技术经济比较后确定</w:t>
                  </w:r>
                  <w:r>
                    <w:rPr>
                      <w:rFonts w:hint="eastAsia" w:ascii="Times New Roman" w:hAnsi="Times New Roman" w:cs="Times New Roman"/>
                      <w:sz w:val="21"/>
                      <w:szCs w:val="21"/>
                      <w:highlight w:val="none"/>
                      <w:lang w:eastAsia="zh-CN"/>
                    </w:rPr>
                    <w:t>，</w:t>
                  </w:r>
                  <w:r>
                    <w:rPr>
                      <w:rFonts w:hint="default" w:ascii="Times New Roman" w:hAnsi="Times New Roman" w:cs="Times New Roman"/>
                      <w:sz w:val="21"/>
                      <w:szCs w:val="21"/>
                      <w:highlight w:val="none"/>
                      <w:lang w:eastAsia="zh-CN"/>
                    </w:rPr>
                    <w:t>并应符合现行国家标准《煤炭产品品种和等级划分》GB/T 17608的规定。预先筛分、准备筛分的粒度和效率应根据工艺需要确定。</w:t>
                  </w:r>
                </w:p>
              </w:tc>
              <w:tc>
                <w:tcPr>
                  <w:tcW w:w="1183" w:type="pct"/>
                  <w:tcBorders>
                    <w:tl2br w:val="nil"/>
                    <w:tr2bl w:val="nil"/>
                  </w:tcBorders>
                  <w:noWrap w:val="0"/>
                  <w:vAlign w:val="center"/>
                </w:tcPr>
                <w:p w14:paraId="177527E8">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本项目选用的筛分工序及筛分后粒度符合相关标准规定。</w:t>
                  </w:r>
                </w:p>
              </w:tc>
              <w:tc>
                <w:tcPr>
                  <w:tcW w:w="647" w:type="pct"/>
                  <w:tcBorders>
                    <w:tl2br w:val="nil"/>
                    <w:tr2bl w:val="nil"/>
                  </w:tcBorders>
                  <w:noWrap w:val="0"/>
                  <w:vAlign w:val="center"/>
                </w:tcPr>
                <w:p w14:paraId="65EF05D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sz w:val="21"/>
                      <w:szCs w:val="21"/>
                      <w:highlight w:val="none"/>
                      <w:lang w:eastAsia="zh-CN"/>
                    </w:rPr>
                  </w:pPr>
                  <w:r>
                    <w:rPr>
                      <w:rFonts w:hint="eastAsia" w:ascii="Times New Roman" w:hAnsi="Times New Roman" w:cs="Times New Roman"/>
                      <w:sz w:val="21"/>
                      <w:szCs w:val="21"/>
                      <w:highlight w:val="none"/>
                      <w:lang w:eastAsia="zh-CN"/>
                    </w:rPr>
                    <w:t>符合</w:t>
                  </w:r>
                </w:p>
              </w:tc>
            </w:tr>
            <w:tr w14:paraId="3008120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794" w:type="pct"/>
                  <w:vMerge w:val="continue"/>
                  <w:tcBorders>
                    <w:tl2br w:val="nil"/>
                    <w:tr2bl w:val="nil"/>
                  </w:tcBorders>
                  <w:noWrap w:val="0"/>
                  <w:vAlign w:val="center"/>
                </w:tcPr>
                <w:p w14:paraId="06F1B059">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cs="Times New Roman"/>
                      <w:sz w:val="21"/>
                      <w:szCs w:val="21"/>
                      <w:highlight w:val="none"/>
                      <w:lang w:eastAsia="zh-CN"/>
                    </w:rPr>
                  </w:pPr>
                </w:p>
              </w:tc>
              <w:tc>
                <w:tcPr>
                  <w:tcW w:w="2375" w:type="pct"/>
                  <w:tcBorders>
                    <w:tl2br w:val="nil"/>
                    <w:tr2bl w:val="nil"/>
                  </w:tcBorders>
                  <w:noWrap w:val="0"/>
                  <w:vAlign w:val="center"/>
                </w:tcPr>
                <w:p w14:paraId="63E25A16">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default"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4.3.2破碎机入料口前必须设置除铁装置。</w:t>
                  </w:r>
                </w:p>
              </w:tc>
              <w:tc>
                <w:tcPr>
                  <w:tcW w:w="1183" w:type="pct"/>
                  <w:tcBorders>
                    <w:tl2br w:val="nil"/>
                    <w:tr2bl w:val="nil"/>
                  </w:tcBorders>
                  <w:noWrap w:val="0"/>
                  <w:vAlign w:val="center"/>
                </w:tcPr>
                <w:p w14:paraId="74F08987">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本项目固定破碎机及移动式破碎机均</w:t>
                  </w:r>
                  <w:r>
                    <w:rPr>
                      <w:rFonts w:hint="eastAsia" w:ascii="Times New Roman" w:hAnsi="Times New Roman" w:cs="Times New Roman"/>
                      <w:sz w:val="21"/>
                      <w:szCs w:val="21"/>
                      <w:highlight w:val="none"/>
                      <w:lang w:val="en-US" w:eastAsia="zh-CN"/>
                    </w:rPr>
                    <w:t>设置除铁装置。</w:t>
                  </w:r>
                </w:p>
              </w:tc>
              <w:tc>
                <w:tcPr>
                  <w:tcW w:w="647" w:type="pct"/>
                  <w:tcBorders>
                    <w:tl2br w:val="nil"/>
                    <w:tr2bl w:val="nil"/>
                  </w:tcBorders>
                  <w:noWrap w:val="0"/>
                  <w:vAlign w:val="center"/>
                </w:tcPr>
                <w:p w14:paraId="1A86EDA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sz w:val="21"/>
                      <w:szCs w:val="21"/>
                      <w:highlight w:val="none"/>
                      <w:lang w:eastAsia="zh-CN"/>
                    </w:rPr>
                  </w:pPr>
                  <w:r>
                    <w:rPr>
                      <w:rFonts w:hint="eastAsia" w:ascii="Times New Roman" w:hAnsi="Times New Roman" w:cs="Times New Roman"/>
                      <w:sz w:val="21"/>
                      <w:szCs w:val="21"/>
                      <w:highlight w:val="none"/>
                      <w:lang w:eastAsia="zh-CN"/>
                    </w:rPr>
                    <w:t>符合</w:t>
                  </w:r>
                </w:p>
              </w:tc>
            </w:tr>
            <w:tr w14:paraId="1089559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794" w:type="pct"/>
                  <w:tcBorders>
                    <w:tl2br w:val="nil"/>
                    <w:tr2bl w:val="nil"/>
                  </w:tcBorders>
                  <w:noWrap w:val="0"/>
                  <w:vAlign w:val="center"/>
                </w:tcPr>
                <w:p w14:paraId="1B4EAB9E">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5选煤</w:t>
                  </w:r>
                </w:p>
              </w:tc>
              <w:tc>
                <w:tcPr>
                  <w:tcW w:w="2375" w:type="pct"/>
                  <w:tcBorders>
                    <w:tl2br w:val="nil"/>
                    <w:tr2bl w:val="nil"/>
                  </w:tcBorders>
                  <w:noWrap w:val="0"/>
                  <w:vAlign w:val="center"/>
                </w:tcPr>
                <w:p w14:paraId="22A30900">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5.1.9工艺设备选型应符合下列规定：</w:t>
                  </w:r>
                </w:p>
                <w:p w14:paraId="3F868DB0">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1应技术先进、性能可靠。</w:t>
                  </w:r>
                </w:p>
                <w:p w14:paraId="135D7640">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2应经济实用，并应综合节能、使用寿命和备品备件等因素。</w:t>
                  </w:r>
                </w:p>
                <w:p w14:paraId="166BCB89">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3噪声宜小于85dB。</w:t>
                  </w:r>
                </w:p>
              </w:tc>
              <w:tc>
                <w:tcPr>
                  <w:tcW w:w="1183" w:type="pct"/>
                  <w:tcBorders>
                    <w:tl2br w:val="nil"/>
                    <w:tr2bl w:val="nil"/>
                  </w:tcBorders>
                  <w:noWrap w:val="0"/>
                  <w:vAlign w:val="center"/>
                </w:tcPr>
                <w:p w14:paraId="55266564">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本项目工艺设备选型符合规定。</w:t>
                  </w:r>
                </w:p>
              </w:tc>
              <w:tc>
                <w:tcPr>
                  <w:tcW w:w="647" w:type="pct"/>
                  <w:tcBorders>
                    <w:tl2br w:val="nil"/>
                    <w:tr2bl w:val="nil"/>
                  </w:tcBorders>
                  <w:noWrap w:val="0"/>
                  <w:vAlign w:val="center"/>
                </w:tcPr>
                <w:p w14:paraId="646EE48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sz w:val="21"/>
                      <w:szCs w:val="21"/>
                      <w:highlight w:val="none"/>
                      <w:lang w:eastAsia="zh-CN"/>
                    </w:rPr>
                  </w:pPr>
                  <w:r>
                    <w:rPr>
                      <w:rFonts w:hint="eastAsia" w:ascii="Times New Roman" w:hAnsi="Times New Roman" w:cs="Times New Roman"/>
                      <w:sz w:val="21"/>
                      <w:szCs w:val="21"/>
                      <w:highlight w:val="none"/>
                      <w:lang w:eastAsia="zh-CN"/>
                    </w:rPr>
                    <w:t>符合</w:t>
                  </w:r>
                </w:p>
              </w:tc>
            </w:tr>
            <w:tr w14:paraId="70BE8CE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794" w:type="pct"/>
                  <w:tcBorders>
                    <w:tl2br w:val="nil"/>
                    <w:tr2bl w:val="nil"/>
                  </w:tcBorders>
                  <w:noWrap w:val="0"/>
                  <w:vAlign w:val="center"/>
                </w:tcPr>
                <w:p w14:paraId="270B2908">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6脱水、防冻与干燥</w:t>
                  </w:r>
                </w:p>
              </w:tc>
              <w:tc>
                <w:tcPr>
                  <w:tcW w:w="2375" w:type="pct"/>
                  <w:tcBorders>
                    <w:tl2br w:val="nil"/>
                    <w:tr2bl w:val="nil"/>
                  </w:tcBorders>
                  <w:noWrap w:val="0"/>
                  <w:vAlign w:val="center"/>
                </w:tcPr>
                <w:p w14:paraId="1A4EAE86">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6.1.1产品脱水可采用脱水筛，脱水筛前可设弧形筛或固定筛预脱水。</w:t>
                  </w:r>
                </w:p>
              </w:tc>
              <w:tc>
                <w:tcPr>
                  <w:tcW w:w="1183" w:type="pct"/>
                  <w:tcBorders>
                    <w:tl2br w:val="nil"/>
                    <w:tr2bl w:val="nil"/>
                  </w:tcBorders>
                  <w:noWrap w:val="0"/>
                  <w:vAlign w:val="center"/>
                </w:tcPr>
                <w:p w14:paraId="17BAC728">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本项目精煤脱水筛前设置弧形筛。</w:t>
                  </w:r>
                </w:p>
              </w:tc>
              <w:tc>
                <w:tcPr>
                  <w:tcW w:w="647" w:type="pct"/>
                  <w:tcBorders>
                    <w:tl2br w:val="nil"/>
                    <w:tr2bl w:val="nil"/>
                  </w:tcBorders>
                  <w:noWrap w:val="0"/>
                  <w:vAlign w:val="center"/>
                </w:tcPr>
                <w:p w14:paraId="3D845A5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sz w:val="21"/>
                      <w:szCs w:val="21"/>
                      <w:highlight w:val="none"/>
                      <w:lang w:eastAsia="zh-CN"/>
                    </w:rPr>
                  </w:pPr>
                  <w:r>
                    <w:rPr>
                      <w:rFonts w:hint="eastAsia" w:ascii="Times New Roman" w:hAnsi="Times New Roman" w:cs="Times New Roman"/>
                      <w:sz w:val="21"/>
                      <w:szCs w:val="21"/>
                      <w:highlight w:val="none"/>
                      <w:lang w:eastAsia="zh-CN"/>
                    </w:rPr>
                    <w:t>符合</w:t>
                  </w:r>
                </w:p>
              </w:tc>
            </w:tr>
            <w:tr w14:paraId="4E4872C9">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794" w:type="pct"/>
                  <w:tcBorders>
                    <w:tl2br w:val="nil"/>
                    <w:tr2bl w:val="nil"/>
                  </w:tcBorders>
                  <w:noWrap w:val="0"/>
                  <w:vAlign w:val="center"/>
                </w:tcPr>
                <w:p w14:paraId="1A17F23E">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7煤泥水处理</w:t>
                  </w:r>
                </w:p>
              </w:tc>
              <w:tc>
                <w:tcPr>
                  <w:tcW w:w="2375" w:type="pct"/>
                  <w:tcBorders>
                    <w:tl2br w:val="nil"/>
                    <w:tr2bl w:val="nil"/>
                  </w:tcBorders>
                  <w:noWrap w:val="0"/>
                  <w:vAlign w:val="center"/>
                </w:tcPr>
                <w:p w14:paraId="5EE0BFBE">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7.1.6选煤厂的生产废水应汇集后进入煤泥水系统，并应经沉淀处理后循环使用。</w:t>
                  </w:r>
                </w:p>
              </w:tc>
              <w:tc>
                <w:tcPr>
                  <w:tcW w:w="1183" w:type="pct"/>
                  <w:tcBorders>
                    <w:tl2br w:val="nil"/>
                    <w:tr2bl w:val="nil"/>
                  </w:tcBorders>
                  <w:noWrap w:val="0"/>
                  <w:vAlign w:val="center"/>
                </w:tcPr>
                <w:p w14:paraId="382E0443">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本项目配煤加工用水部分物料吸附损耗，部分流入清水池</w:t>
                  </w:r>
                  <w:r>
                    <w:rPr>
                      <w:rFonts w:hint="default" w:ascii="Times New Roman" w:hAnsi="Times New Roman" w:eastAsia="宋体" w:cs="Times New Roman"/>
                      <w:sz w:val="21"/>
                      <w:szCs w:val="21"/>
                      <w:highlight w:val="none"/>
                      <w:lang w:val="en-US" w:eastAsia="zh-CN"/>
                    </w:rPr>
                    <w:t>经沉淀处理后回用</w:t>
                  </w:r>
                  <w:r>
                    <w:rPr>
                      <w:rFonts w:hint="eastAsia" w:ascii="Times New Roman" w:hAnsi="Times New Roman" w:eastAsia="宋体" w:cs="Times New Roman"/>
                      <w:sz w:val="21"/>
                      <w:szCs w:val="21"/>
                      <w:highlight w:val="none"/>
                      <w:lang w:val="en-US" w:eastAsia="zh-CN"/>
                    </w:rPr>
                    <w:t>。</w:t>
                  </w:r>
                </w:p>
              </w:tc>
              <w:tc>
                <w:tcPr>
                  <w:tcW w:w="647" w:type="pct"/>
                  <w:tcBorders>
                    <w:tl2br w:val="nil"/>
                    <w:tr2bl w:val="nil"/>
                  </w:tcBorders>
                  <w:noWrap w:val="0"/>
                  <w:vAlign w:val="center"/>
                </w:tcPr>
                <w:p w14:paraId="21FF784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sz w:val="21"/>
                      <w:szCs w:val="21"/>
                      <w:highlight w:val="none"/>
                      <w:lang w:eastAsia="zh-CN"/>
                    </w:rPr>
                  </w:pPr>
                  <w:r>
                    <w:rPr>
                      <w:rFonts w:hint="eastAsia" w:ascii="Times New Roman" w:hAnsi="Times New Roman" w:cs="Times New Roman"/>
                      <w:sz w:val="21"/>
                      <w:szCs w:val="21"/>
                      <w:highlight w:val="none"/>
                      <w:lang w:eastAsia="zh-CN"/>
                    </w:rPr>
                    <w:t>符合</w:t>
                  </w:r>
                </w:p>
              </w:tc>
            </w:tr>
            <w:tr w14:paraId="2648C50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794" w:type="pct"/>
                  <w:tcBorders>
                    <w:tl2br w:val="nil"/>
                    <w:tr2bl w:val="nil"/>
                  </w:tcBorders>
                  <w:noWrap w:val="0"/>
                  <w:vAlign w:val="center"/>
                </w:tcPr>
                <w:p w14:paraId="46C2B398">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8</w:t>
                  </w:r>
                </w:p>
              </w:tc>
              <w:tc>
                <w:tcPr>
                  <w:tcW w:w="2375" w:type="pct"/>
                  <w:tcBorders>
                    <w:tl2br w:val="nil"/>
                    <w:tr2bl w:val="nil"/>
                  </w:tcBorders>
                  <w:noWrap w:val="0"/>
                  <w:vAlign w:val="center"/>
                </w:tcPr>
                <w:p w14:paraId="3FE5469A">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8.0.1选后产品储存应采用煤仓或封闭式储煤场。产品储存形式和装车方式应根据地形、工程地质、运输量，运输方式及产品品种等条件，经过技术经济比较后确定。</w:t>
                  </w:r>
                </w:p>
              </w:tc>
              <w:tc>
                <w:tcPr>
                  <w:tcW w:w="1183" w:type="pct"/>
                  <w:tcBorders>
                    <w:tl2br w:val="nil"/>
                    <w:tr2bl w:val="nil"/>
                  </w:tcBorders>
                  <w:noWrap w:val="0"/>
                  <w:vAlign w:val="center"/>
                </w:tcPr>
                <w:p w14:paraId="70C99027">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本项目成品煤炭在1#</w:t>
                  </w:r>
                  <w:r>
                    <w:rPr>
                      <w:rFonts w:hint="eastAsia"/>
                      <w:color w:val="auto"/>
                      <w:sz w:val="21"/>
                      <w:szCs w:val="21"/>
                      <w:lang w:eastAsia="zh-CN"/>
                    </w:rPr>
                    <w:t>封闭</w:t>
                  </w:r>
                  <w:r>
                    <w:rPr>
                      <w:rFonts w:hint="eastAsia" w:ascii="Times New Roman" w:hAnsi="Times New Roman" w:eastAsia="宋体" w:cs="Times New Roman"/>
                      <w:color w:val="auto"/>
                      <w:sz w:val="21"/>
                      <w:szCs w:val="21"/>
                      <w:highlight w:val="none"/>
                      <w:lang w:val="en-US" w:eastAsia="zh-CN"/>
                    </w:rPr>
                    <w:t>厂房内成品堆存区储存。</w:t>
                  </w:r>
                </w:p>
              </w:tc>
              <w:tc>
                <w:tcPr>
                  <w:tcW w:w="647" w:type="pct"/>
                  <w:tcBorders>
                    <w:tl2br w:val="nil"/>
                    <w:tr2bl w:val="nil"/>
                  </w:tcBorders>
                  <w:noWrap w:val="0"/>
                  <w:vAlign w:val="center"/>
                </w:tcPr>
                <w:p w14:paraId="27678FE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sz w:val="21"/>
                      <w:szCs w:val="21"/>
                      <w:highlight w:val="none"/>
                      <w:lang w:eastAsia="zh-CN"/>
                    </w:rPr>
                  </w:pPr>
                  <w:r>
                    <w:rPr>
                      <w:rFonts w:hint="eastAsia" w:ascii="Times New Roman" w:hAnsi="Times New Roman" w:cs="Times New Roman"/>
                      <w:sz w:val="21"/>
                      <w:szCs w:val="21"/>
                      <w:highlight w:val="none"/>
                      <w:lang w:eastAsia="zh-CN"/>
                    </w:rPr>
                    <w:t>符合</w:t>
                  </w:r>
                </w:p>
              </w:tc>
            </w:tr>
            <w:tr w14:paraId="172A6024">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794" w:type="pct"/>
                  <w:vMerge w:val="restart"/>
                  <w:tcBorders>
                    <w:tl2br w:val="nil"/>
                    <w:tr2bl w:val="nil"/>
                  </w:tcBorders>
                  <w:noWrap w:val="0"/>
                  <w:vAlign w:val="center"/>
                </w:tcPr>
                <w:p w14:paraId="35889572">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12工业场地总面积</w:t>
                  </w:r>
                </w:p>
              </w:tc>
              <w:tc>
                <w:tcPr>
                  <w:tcW w:w="2375" w:type="pct"/>
                  <w:tcBorders>
                    <w:tl2br w:val="nil"/>
                    <w:tr2bl w:val="nil"/>
                  </w:tcBorders>
                  <w:noWrap w:val="0"/>
                  <w:vAlign w:val="center"/>
                </w:tcPr>
                <w:p w14:paraId="3299C18E">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12.0.2选煤厂厂址选择应符合下列规定：</w:t>
                  </w:r>
                </w:p>
                <w:p w14:paraId="310DC5F1">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1应根据国家的工业布局、城镇(乡)总体规划、土地利用总体规划以及矿区总体规划的要求，按项目建设前期工作的有关规定进行。</w:t>
                  </w:r>
                </w:p>
                <w:p w14:paraId="695B7738">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2厂址应靠近原料基地，应有便利和经济的交通运输条件，并应与厂外铁路、公路连接便捷、工程量小。</w:t>
                  </w:r>
                </w:p>
                <w:p w14:paraId="50C92E23">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3厂址应具有满足生产、生活及发展所必需的水源和电源。水源和电源与厂址之间的管线连接应短捷。</w:t>
                  </w:r>
                </w:p>
                <w:p w14:paraId="7FB9AE5B">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4厂址应具有满足建设工程需要的工程地质条件和水文地质条件。在抗震设防烈度6度及以上的地震区，应避开抗震不利地段，当无法避开时，应采取地基处理及抗震措施。</w:t>
                  </w:r>
                </w:p>
                <w:p w14:paraId="0B18F8A8">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5厂址应具有满足近期建设所必需的场地面积和适宜的建厂地形，并应根据选煤厂远期发展规划的需要，留有适当的发展余地。</w:t>
                  </w:r>
                </w:p>
                <w:p w14:paraId="10938E30">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6厂址应有适宜的地形坡度，应避开自然地形复杂、坡度大的地段，并应避免将盆地、集水洼地作为厂址。</w:t>
                  </w:r>
                </w:p>
                <w:p w14:paraId="2F5EAD65">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7在山区建厂时，当厂址位于山坡或山脚处时，应对场地的稳定性等做出地质灾害危险性评估报告。</w:t>
                  </w:r>
                </w:p>
                <w:p w14:paraId="09ACAA59">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8厂址应不占或少占农田、林地以及基本农田，并应不压和少压煤炭和有开采价值的矿产资源。</w:t>
                  </w:r>
                </w:p>
              </w:tc>
              <w:tc>
                <w:tcPr>
                  <w:tcW w:w="1183" w:type="pct"/>
                  <w:tcBorders>
                    <w:tl2br w:val="nil"/>
                    <w:tr2bl w:val="nil"/>
                  </w:tcBorders>
                  <w:noWrap w:val="0"/>
                  <w:vAlign w:val="center"/>
                </w:tcPr>
                <w:p w14:paraId="4AD4E281">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本项目选址场地符合要求。</w:t>
                  </w:r>
                </w:p>
              </w:tc>
              <w:tc>
                <w:tcPr>
                  <w:tcW w:w="647" w:type="pct"/>
                  <w:tcBorders>
                    <w:tl2br w:val="nil"/>
                    <w:tr2bl w:val="nil"/>
                  </w:tcBorders>
                  <w:noWrap w:val="0"/>
                  <w:vAlign w:val="center"/>
                </w:tcPr>
                <w:p w14:paraId="54D1421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sz w:val="21"/>
                      <w:szCs w:val="21"/>
                      <w:highlight w:val="none"/>
                      <w:lang w:eastAsia="zh-CN"/>
                    </w:rPr>
                  </w:pPr>
                  <w:r>
                    <w:rPr>
                      <w:rFonts w:hint="eastAsia" w:ascii="Times New Roman" w:hAnsi="Times New Roman" w:cs="Times New Roman"/>
                      <w:sz w:val="21"/>
                      <w:szCs w:val="21"/>
                      <w:highlight w:val="none"/>
                      <w:lang w:eastAsia="zh-CN"/>
                    </w:rPr>
                    <w:t>符合</w:t>
                  </w:r>
                </w:p>
              </w:tc>
            </w:tr>
            <w:tr w14:paraId="6C8E8A7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794" w:type="pct"/>
                  <w:vMerge w:val="continue"/>
                  <w:tcBorders>
                    <w:tl2br w:val="nil"/>
                    <w:tr2bl w:val="nil"/>
                  </w:tcBorders>
                  <w:noWrap w:val="0"/>
                  <w:vAlign w:val="center"/>
                </w:tcPr>
                <w:p w14:paraId="18F30A22">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eastAsia" w:ascii="Times New Roman" w:hAnsi="Times New Roman" w:cs="Times New Roman"/>
                      <w:sz w:val="21"/>
                      <w:szCs w:val="21"/>
                      <w:highlight w:val="none"/>
                      <w:lang w:val="en-US" w:eastAsia="zh-CN"/>
                    </w:rPr>
                  </w:pPr>
                </w:p>
              </w:tc>
              <w:tc>
                <w:tcPr>
                  <w:tcW w:w="2375" w:type="pct"/>
                  <w:tcBorders>
                    <w:tl2br w:val="nil"/>
                    <w:tr2bl w:val="nil"/>
                  </w:tcBorders>
                  <w:noWrap w:val="0"/>
                  <w:vAlign w:val="center"/>
                </w:tcPr>
                <w:p w14:paraId="28079301">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12.0.9变电所的位置应便于进出高压输电线路和靠近用电负荷中心，并应按全年风向频率，布置在受粉尘污染较小的位置。室外变电装置与翻车机房、装车仓、受煤坑、储煤场等粉尘源的距离不宜小于30m，在不利风向位置时，不宜小于50m。</w:t>
                  </w:r>
                </w:p>
              </w:tc>
              <w:tc>
                <w:tcPr>
                  <w:tcW w:w="1183" w:type="pct"/>
                  <w:tcBorders>
                    <w:tl2br w:val="nil"/>
                    <w:tr2bl w:val="nil"/>
                  </w:tcBorders>
                  <w:noWrap w:val="0"/>
                  <w:vAlign w:val="center"/>
                </w:tcPr>
                <w:p w14:paraId="3CEAB912">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本项目变电所位置设置符合要求。</w:t>
                  </w:r>
                </w:p>
              </w:tc>
              <w:tc>
                <w:tcPr>
                  <w:tcW w:w="647" w:type="pct"/>
                  <w:tcBorders>
                    <w:tl2br w:val="nil"/>
                    <w:tr2bl w:val="nil"/>
                  </w:tcBorders>
                  <w:noWrap w:val="0"/>
                  <w:vAlign w:val="center"/>
                </w:tcPr>
                <w:p w14:paraId="13BBB64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sz w:val="21"/>
                      <w:szCs w:val="21"/>
                      <w:highlight w:val="none"/>
                      <w:lang w:eastAsia="zh-CN"/>
                    </w:rPr>
                  </w:pPr>
                  <w:r>
                    <w:rPr>
                      <w:rFonts w:hint="eastAsia" w:ascii="Times New Roman" w:hAnsi="Times New Roman" w:cs="Times New Roman"/>
                      <w:sz w:val="21"/>
                      <w:szCs w:val="21"/>
                      <w:highlight w:val="none"/>
                      <w:lang w:eastAsia="zh-CN"/>
                    </w:rPr>
                    <w:t>符合</w:t>
                  </w:r>
                </w:p>
              </w:tc>
            </w:tr>
            <w:tr w14:paraId="1A5486A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794" w:type="pct"/>
                  <w:tcBorders>
                    <w:tl2br w:val="nil"/>
                    <w:tr2bl w:val="nil"/>
                  </w:tcBorders>
                  <w:noWrap w:val="0"/>
                  <w:vAlign w:val="center"/>
                </w:tcPr>
                <w:p w14:paraId="3B8BE73F">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lang w:val="en-US" w:eastAsia="zh-CN"/>
                    </w:rPr>
                  </w:pPr>
                  <w:r>
                    <w:rPr>
                      <w:rFonts w:hint="eastAsia" w:ascii="Times New Roman" w:hAnsi="Times New Roman" w:cs="Times New Roman"/>
                      <w:sz w:val="21"/>
                      <w:szCs w:val="21"/>
                      <w:highlight w:val="none"/>
                      <w:lang w:val="en-US" w:eastAsia="zh-CN"/>
                    </w:rPr>
                    <w:t>13地面运输</w:t>
                  </w:r>
                </w:p>
              </w:tc>
              <w:tc>
                <w:tcPr>
                  <w:tcW w:w="2375" w:type="pct"/>
                  <w:tcBorders>
                    <w:tl2br w:val="nil"/>
                    <w:tr2bl w:val="nil"/>
                  </w:tcBorders>
                  <w:noWrap w:val="0"/>
                  <w:vAlign w:val="center"/>
                </w:tcPr>
                <w:p w14:paraId="733BB96C">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13.1.1选煤厂的内、外部运输，包括装卸、运输设备的选择、物料输送线路的选择、最小库存等，应统一设计、全面规划。</w:t>
                  </w:r>
                </w:p>
                <w:p w14:paraId="40C17422">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13.1.2选煤厂外部运输宜采用单一运输方式。当采用联合运输方式时，应协调不同运输方式之间的衔接。内部运输可采用多种方式。</w:t>
                  </w:r>
                </w:p>
              </w:tc>
              <w:tc>
                <w:tcPr>
                  <w:tcW w:w="1183" w:type="pct"/>
                  <w:tcBorders>
                    <w:tl2br w:val="nil"/>
                    <w:tr2bl w:val="nil"/>
                  </w:tcBorders>
                  <w:noWrap w:val="0"/>
                  <w:vAlign w:val="center"/>
                </w:tcPr>
                <w:p w14:paraId="3D20F2E1">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本项目采用汽运，运输方式及规划符合要求。</w:t>
                  </w:r>
                </w:p>
              </w:tc>
              <w:tc>
                <w:tcPr>
                  <w:tcW w:w="647" w:type="pct"/>
                  <w:tcBorders>
                    <w:tl2br w:val="nil"/>
                    <w:tr2bl w:val="nil"/>
                  </w:tcBorders>
                  <w:noWrap w:val="0"/>
                  <w:vAlign w:val="center"/>
                </w:tcPr>
                <w:p w14:paraId="18703ED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sz w:val="21"/>
                      <w:szCs w:val="21"/>
                      <w:highlight w:val="none"/>
                      <w:lang w:eastAsia="zh-CN"/>
                    </w:rPr>
                  </w:pPr>
                  <w:r>
                    <w:rPr>
                      <w:rFonts w:hint="eastAsia" w:ascii="Times New Roman" w:hAnsi="Times New Roman" w:cs="Times New Roman"/>
                      <w:sz w:val="21"/>
                      <w:szCs w:val="21"/>
                      <w:highlight w:val="none"/>
                      <w:lang w:eastAsia="zh-CN"/>
                    </w:rPr>
                    <w:t>符合</w:t>
                  </w:r>
                </w:p>
              </w:tc>
            </w:tr>
            <w:tr w14:paraId="62F0F41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794" w:type="pct"/>
                  <w:vMerge w:val="restart"/>
                  <w:tcBorders>
                    <w:tl2br w:val="nil"/>
                    <w:tr2bl w:val="nil"/>
                  </w:tcBorders>
                  <w:noWrap w:val="0"/>
                  <w:vAlign w:val="center"/>
                </w:tcPr>
                <w:p w14:paraId="184E51A3">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15给水与排水</w:t>
                  </w:r>
                </w:p>
              </w:tc>
              <w:tc>
                <w:tcPr>
                  <w:tcW w:w="2375" w:type="pct"/>
                  <w:tcBorders>
                    <w:tl2br w:val="nil"/>
                    <w:tr2bl w:val="nil"/>
                  </w:tcBorders>
                  <w:noWrap w:val="0"/>
                  <w:vAlign w:val="center"/>
                </w:tcPr>
                <w:p w14:paraId="6E7CBF10">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15.2.12选煤厂的生活污水宜设计成分流系统，其处理深度应根据污水的数量和性质、污水排放地点、排放标准和污水回收利用等情况，经技术经济比较后确定。自选煤厂工业场地外排的污水，其水质应符合现行国家标准《污水综合排放标准》GB8978和《煤炭工业污染物排放标准》GB20426的相关规定。矿井、群矿和用户选煤厂生活污水宜与矿井或主体工程生活污水统一处理。中心、矿区选煤厂生活污水应单独处理后回用。</w:t>
                  </w:r>
                </w:p>
              </w:tc>
              <w:tc>
                <w:tcPr>
                  <w:tcW w:w="1183" w:type="pct"/>
                  <w:tcBorders>
                    <w:tl2br w:val="nil"/>
                    <w:tr2bl w:val="nil"/>
                  </w:tcBorders>
                  <w:noWrap w:val="0"/>
                  <w:vAlign w:val="center"/>
                </w:tcPr>
                <w:p w14:paraId="7440B758">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本项目生活污水水质符合标准要求。</w:t>
                  </w:r>
                </w:p>
              </w:tc>
              <w:tc>
                <w:tcPr>
                  <w:tcW w:w="647" w:type="pct"/>
                  <w:tcBorders>
                    <w:tl2br w:val="nil"/>
                    <w:tr2bl w:val="nil"/>
                  </w:tcBorders>
                  <w:noWrap w:val="0"/>
                  <w:vAlign w:val="center"/>
                </w:tcPr>
                <w:p w14:paraId="421458D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sz w:val="21"/>
                      <w:szCs w:val="21"/>
                      <w:highlight w:val="none"/>
                      <w:lang w:eastAsia="zh-CN"/>
                    </w:rPr>
                  </w:pPr>
                  <w:r>
                    <w:rPr>
                      <w:rFonts w:hint="eastAsia" w:ascii="Times New Roman" w:hAnsi="Times New Roman" w:cs="Times New Roman"/>
                      <w:sz w:val="21"/>
                      <w:szCs w:val="21"/>
                      <w:highlight w:val="none"/>
                      <w:lang w:eastAsia="zh-CN"/>
                    </w:rPr>
                    <w:t>符合</w:t>
                  </w:r>
                </w:p>
              </w:tc>
            </w:tr>
            <w:tr w14:paraId="21FB9F44">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794" w:type="pct"/>
                  <w:vMerge w:val="continue"/>
                  <w:tcBorders>
                    <w:tl2br w:val="nil"/>
                    <w:tr2bl w:val="nil"/>
                  </w:tcBorders>
                  <w:noWrap w:val="0"/>
                  <w:vAlign w:val="center"/>
                </w:tcPr>
                <w:p w14:paraId="66023253">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eastAsia" w:ascii="Times New Roman" w:hAnsi="Times New Roman" w:cs="Times New Roman"/>
                      <w:sz w:val="21"/>
                      <w:szCs w:val="21"/>
                      <w:highlight w:val="none"/>
                      <w:lang w:val="en-US" w:eastAsia="zh-CN"/>
                    </w:rPr>
                  </w:pPr>
                </w:p>
              </w:tc>
              <w:tc>
                <w:tcPr>
                  <w:tcW w:w="2375" w:type="pct"/>
                  <w:tcBorders>
                    <w:tl2br w:val="nil"/>
                    <w:tr2bl w:val="nil"/>
                  </w:tcBorders>
                  <w:noWrap w:val="0"/>
                  <w:vAlign w:val="center"/>
                </w:tcPr>
                <w:p w14:paraId="5E782C5B">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15.2.13选煤厂工业场地地面排水方式应采用排水沟不宜采用排水管。</w:t>
                  </w:r>
                </w:p>
              </w:tc>
              <w:tc>
                <w:tcPr>
                  <w:tcW w:w="1183" w:type="pct"/>
                  <w:tcBorders>
                    <w:tl2br w:val="nil"/>
                    <w:tr2bl w:val="nil"/>
                  </w:tcBorders>
                  <w:noWrap w:val="0"/>
                  <w:vAlign w:val="center"/>
                </w:tcPr>
                <w:p w14:paraId="2219299B">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本项目地面设置排水沟。</w:t>
                  </w:r>
                </w:p>
              </w:tc>
              <w:tc>
                <w:tcPr>
                  <w:tcW w:w="647" w:type="pct"/>
                  <w:tcBorders>
                    <w:tl2br w:val="nil"/>
                    <w:tr2bl w:val="nil"/>
                  </w:tcBorders>
                  <w:noWrap w:val="0"/>
                  <w:vAlign w:val="center"/>
                </w:tcPr>
                <w:p w14:paraId="2236541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sz w:val="21"/>
                      <w:szCs w:val="21"/>
                      <w:highlight w:val="none"/>
                      <w:lang w:eastAsia="zh-CN"/>
                    </w:rPr>
                  </w:pPr>
                  <w:r>
                    <w:rPr>
                      <w:rFonts w:hint="eastAsia" w:ascii="Times New Roman" w:hAnsi="Times New Roman" w:cs="Times New Roman"/>
                      <w:sz w:val="21"/>
                      <w:szCs w:val="21"/>
                      <w:highlight w:val="none"/>
                      <w:lang w:eastAsia="zh-CN"/>
                    </w:rPr>
                    <w:t>符合</w:t>
                  </w:r>
                </w:p>
              </w:tc>
            </w:tr>
          </w:tbl>
          <w:p w14:paraId="5302D7BA">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eastAsia" w:ascii="Times New Roman" w:hAnsi="Times New Roman" w:eastAsia="TimesNewRomanPSMT" w:cs="Times New Roman"/>
                <w:b w:val="0"/>
                <w:bCs w:val="0"/>
                <w:color w:val="000000"/>
                <w:kern w:val="0"/>
                <w:sz w:val="24"/>
                <w:szCs w:val="24"/>
                <w:highlight w:val="none"/>
                <w:lang w:val="en-US" w:eastAsia="zh-CN" w:bidi="ar"/>
              </w:rPr>
            </w:pPr>
            <w:r>
              <w:rPr>
                <w:rFonts w:hint="eastAsia" w:ascii="Times New Roman" w:hAnsi="Times New Roman" w:eastAsia="TimesNewRomanPSMT" w:cs="Times New Roman"/>
                <w:b w:val="0"/>
                <w:bCs w:val="0"/>
                <w:color w:val="000000"/>
                <w:kern w:val="0"/>
                <w:sz w:val="24"/>
                <w:szCs w:val="24"/>
                <w:highlight w:val="none"/>
                <w:lang w:val="en-US" w:eastAsia="zh-CN" w:bidi="ar"/>
              </w:rPr>
              <w:t>综上所述，本项目符合《煤炭洗选工程设计规范》（GB</w:t>
            </w:r>
            <w:r>
              <w:rPr>
                <w:rFonts w:hint="default" w:ascii="Times New Roman" w:hAnsi="Times New Roman" w:eastAsia="TimesNewRomanPSMT" w:cs="Times New Roman"/>
                <w:b w:val="0"/>
                <w:bCs w:val="0"/>
                <w:color w:val="000000"/>
                <w:kern w:val="0"/>
                <w:sz w:val="24"/>
                <w:szCs w:val="24"/>
                <w:highlight w:val="none"/>
                <w:lang w:val="en-US" w:eastAsia="zh-CN" w:bidi="ar"/>
              </w:rPr>
              <w:t>50359-2016</w:t>
            </w:r>
            <w:r>
              <w:rPr>
                <w:rFonts w:hint="eastAsia" w:ascii="Times New Roman" w:hAnsi="Times New Roman" w:eastAsia="TimesNewRomanPSMT" w:cs="Times New Roman"/>
                <w:b w:val="0"/>
                <w:bCs w:val="0"/>
                <w:color w:val="000000"/>
                <w:kern w:val="0"/>
                <w:sz w:val="24"/>
                <w:szCs w:val="24"/>
                <w:highlight w:val="none"/>
                <w:lang w:val="en-US" w:eastAsia="zh-CN" w:bidi="ar"/>
              </w:rPr>
              <w:t>）中相关政策要求。</w:t>
            </w:r>
          </w:p>
          <w:p w14:paraId="4EAA3761">
            <w:pPr>
              <w:adjustRightInd w:val="0"/>
              <w:snapToGrid w:val="0"/>
              <w:spacing w:line="400" w:lineRule="exact"/>
              <w:jc w:val="center"/>
              <w:rPr>
                <w:rFonts w:hint="eastAsia" w:ascii="Times New Roman" w:hAnsi="Times New Roman" w:eastAsia="宋体" w:cs="Times New Roman"/>
                <w:b/>
                <w:bCs/>
                <w:color w:val="auto"/>
                <w:sz w:val="24"/>
                <w:highlight w:val="none"/>
                <w:lang w:val="en-US" w:eastAsia="zh-CN"/>
              </w:rPr>
            </w:pPr>
            <w:r>
              <w:rPr>
                <w:rFonts w:hint="default" w:ascii="Times New Roman" w:hAnsi="Times New Roman" w:eastAsia="宋体" w:cs="Times New Roman"/>
                <w:b/>
                <w:bCs/>
                <w:color w:val="auto"/>
                <w:sz w:val="24"/>
                <w:highlight w:val="none"/>
                <w:lang w:val="en-US" w:eastAsia="zh-CN"/>
              </w:rPr>
              <w:t>表</w:t>
            </w:r>
            <w:r>
              <w:rPr>
                <w:rFonts w:hint="eastAsia" w:ascii="Times New Roman" w:hAnsi="Times New Roman" w:eastAsia="宋体" w:cs="Times New Roman"/>
                <w:b/>
                <w:bCs/>
                <w:color w:val="auto"/>
                <w:sz w:val="24"/>
                <w:highlight w:val="none"/>
                <w:lang w:val="en-US" w:eastAsia="zh-CN"/>
              </w:rPr>
              <w:t>1-8</w:t>
            </w:r>
            <w:r>
              <w:rPr>
                <w:rFonts w:hint="default" w:ascii="Times New Roman" w:hAnsi="Times New Roman" w:eastAsia="宋体" w:cs="Times New Roman"/>
                <w:b/>
                <w:bCs/>
                <w:color w:val="auto"/>
                <w:sz w:val="24"/>
                <w:highlight w:val="none"/>
                <w:lang w:val="en-US" w:eastAsia="zh-CN"/>
              </w:rPr>
              <w:t xml:space="preserve"> </w:t>
            </w:r>
            <w:r>
              <w:rPr>
                <w:rFonts w:hint="eastAsia" w:ascii="Times New Roman" w:hAnsi="Times New Roman" w:eastAsia="宋体" w:cs="Times New Roman"/>
                <w:b/>
                <w:bCs/>
                <w:color w:val="auto"/>
                <w:sz w:val="24"/>
                <w:highlight w:val="none"/>
                <w:lang w:val="en-US" w:eastAsia="zh-CN"/>
              </w:rPr>
              <w:t>本项目与</w:t>
            </w:r>
            <w:r>
              <w:rPr>
                <w:rFonts w:hint="eastAsia" w:ascii="Times New Roman" w:hAnsi="Times New Roman" w:eastAsia="TimesNewRomanPSMT" w:cs="Times New Roman"/>
                <w:b/>
                <w:bCs/>
                <w:color w:val="auto"/>
                <w:kern w:val="0"/>
                <w:sz w:val="24"/>
                <w:szCs w:val="24"/>
                <w:highlight w:val="none"/>
                <w:lang w:val="en-US" w:eastAsia="zh-CN" w:bidi="ar"/>
              </w:rPr>
              <w:t>《</w:t>
            </w:r>
            <w:r>
              <w:rPr>
                <w:rFonts w:hint="eastAsia" w:ascii="Times New Roman" w:hAnsi="Times New Roman" w:eastAsia="宋体" w:cs="Times New Roman"/>
                <w:b/>
                <w:bCs/>
                <w:color w:val="auto"/>
                <w:sz w:val="24"/>
                <w:highlight w:val="none"/>
                <w:lang w:val="en-US" w:eastAsia="zh-CN"/>
              </w:rPr>
              <w:t>清洁生产标准 煤炭采选业</w:t>
            </w:r>
            <w:r>
              <w:rPr>
                <w:rFonts w:hint="eastAsia" w:ascii="Times New Roman" w:hAnsi="Times New Roman" w:eastAsia="TimesNewRomanPSMT" w:cs="Times New Roman"/>
                <w:b/>
                <w:bCs/>
                <w:color w:val="auto"/>
                <w:kern w:val="0"/>
                <w:sz w:val="24"/>
                <w:szCs w:val="24"/>
                <w:highlight w:val="none"/>
                <w:lang w:val="en-US" w:eastAsia="zh-CN" w:bidi="ar"/>
              </w:rPr>
              <w:t>》</w:t>
            </w:r>
            <w:r>
              <w:rPr>
                <w:rFonts w:hint="eastAsia" w:ascii="Times New Roman" w:hAnsi="Times New Roman" w:eastAsia="TimesNewRomanPSMT" w:cs="Times New Roman"/>
                <w:b w:val="0"/>
                <w:bCs w:val="0"/>
                <w:color w:val="auto"/>
                <w:kern w:val="0"/>
                <w:sz w:val="24"/>
                <w:szCs w:val="24"/>
                <w:highlight w:val="none"/>
                <w:lang w:val="en-US" w:eastAsia="zh-CN" w:bidi="ar"/>
              </w:rPr>
              <w:t>（</w:t>
            </w:r>
            <w:r>
              <w:rPr>
                <w:rFonts w:hint="eastAsia" w:ascii="Times New Roman" w:hAnsi="Times New Roman" w:eastAsia="宋体" w:cs="Times New Roman"/>
                <w:b/>
                <w:bCs/>
                <w:color w:val="auto"/>
                <w:sz w:val="24"/>
                <w:highlight w:val="none"/>
                <w:lang w:val="en-US" w:eastAsia="zh-CN"/>
              </w:rPr>
              <w:t>HJ 446-2008）符合性分析</w:t>
            </w:r>
          </w:p>
          <w:tbl>
            <w:tblPr>
              <w:tblStyle w:val="26"/>
              <w:tblW w:w="4998" w:type="pct"/>
              <w:tblInd w:w="0" w:type="dxa"/>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0" w:type="dxa"/>
                <w:left w:w="108" w:type="dxa"/>
                <w:bottom w:w="0" w:type="dxa"/>
                <w:right w:w="108" w:type="dxa"/>
              </w:tblCellMar>
            </w:tblPr>
            <w:tblGrid>
              <w:gridCol w:w="1201"/>
              <w:gridCol w:w="1134"/>
              <w:gridCol w:w="2451"/>
              <w:gridCol w:w="1841"/>
              <w:gridCol w:w="921"/>
            </w:tblGrid>
            <w:tr w14:paraId="1F0F45DA">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3170" w:type="pct"/>
                  <w:gridSpan w:val="3"/>
                  <w:tcBorders>
                    <w:tl2br w:val="nil"/>
                    <w:tr2bl w:val="nil"/>
                  </w:tcBorders>
                  <w:noWrap w:val="0"/>
                  <w:vAlign w:val="center"/>
                </w:tcPr>
                <w:p w14:paraId="336D150D">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cs="Times New Roman"/>
                      <w:sz w:val="21"/>
                      <w:szCs w:val="21"/>
                      <w:highlight w:val="none"/>
                      <w:lang w:eastAsia="zh-CN"/>
                    </w:rPr>
                    <w:t>相关</w:t>
                  </w:r>
                  <w:r>
                    <w:rPr>
                      <w:rFonts w:hint="default" w:ascii="Times New Roman" w:hAnsi="Times New Roman" w:eastAsia="宋体" w:cs="Times New Roman"/>
                      <w:sz w:val="21"/>
                      <w:szCs w:val="21"/>
                      <w:highlight w:val="none"/>
                      <w:lang w:eastAsia="zh-CN"/>
                    </w:rPr>
                    <w:t>要求</w:t>
                  </w:r>
                </w:p>
              </w:tc>
              <w:tc>
                <w:tcPr>
                  <w:tcW w:w="1219" w:type="pct"/>
                  <w:tcBorders>
                    <w:tl2br w:val="nil"/>
                    <w:tr2bl w:val="nil"/>
                  </w:tcBorders>
                  <w:noWrap w:val="0"/>
                  <w:vAlign w:val="center"/>
                </w:tcPr>
                <w:p w14:paraId="2C2CCE14">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项目建设情况</w:t>
                  </w:r>
                </w:p>
              </w:tc>
              <w:tc>
                <w:tcPr>
                  <w:tcW w:w="610" w:type="pct"/>
                  <w:tcBorders>
                    <w:tl2br w:val="nil"/>
                    <w:tr2bl w:val="nil"/>
                  </w:tcBorders>
                  <w:noWrap w:val="0"/>
                  <w:vAlign w:val="center"/>
                </w:tcPr>
                <w:p w14:paraId="2091D3F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eastAsia="zh-CN"/>
                    </w:rPr>
                    <w:t>符合性</w:t>
                  </w:r>
                </w:p>
              </w:tc>
            </w:tr>
            <w:tr w14:paraId="6018264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796" w:type="pct"/>
                  <w:vMerge w:val="restart"/>
                  <w:tcBorders>
                    <w:tl2br w:val="nil"/>
                    <w:tr2bl w:val="nil"/>
                  </w:tcBorders>
                  <w:noWrap w:val="0"/>
                  <w:vAlign w:val="center"/>
                </w:tcPr>
                <w:p w14:paraId="2FD83494">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eastAsia="zh-CN"/>
                    </w:rPr>
                    <w:t>4.2指标要求</w:t>
                  </w:r>
                  <w:r>
                    <w:rPr>
                      <w:rFonts w:hint="eastAsia" w:ascii="Times New Roman" w:hAnsi="Times New Roman" w:cs="Times New Roman"/>
                      <w:sz w:val="21"/>
                      <w:szCs w:val="21"/>
                      <w:highlight w:val="none"/>
                      <w:lang w:val="en-US" w:eastAsia="zh-CN"/>
                    </w:rPr>
                    <w:t xml:space="preserve"> 表1煤炭采选业清洁生产指标要求 </w:t>
                  </w:r>
                  <w:r>
                    <w:rPr>
                      <w:rFonts w:hint="default" w:ascii="Times New Roman" w:hAnsi="Times New Roman" w:cs="Times New Roman"/>
                      <w:sz w:val="21"/>
                      <w:szCs w:val="21"/>
                      <w:highlight w:val="none"/>
                      <w:lang w:eastAsia="zh-CN"/>
                    </w:rPr>
                    <w:t>（二）选煤生产工艺与装备要求</w:t>
                  </w:r>
                </w:p>
              </w:tc>
              <w:tc>
                <w:tcPr>
                  <w:tcW w:w="751" w:type="pct"/>
                  <w:tcBorders>
                    <w:tl2br w:val="nil"/>
                    <w:tr2bl w:val="nil"/>
                  </w:tcBorders>
                  <w:noWrap w:val="0"/>
                  <w:vAlign w:val="center"/>
                </w:tcPr>
                <w:p w14:paraId="5324A2DE">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1.总体要求</w:t>
                  </w:r>
                </w:p>
              </w:tc>
              <w:tc>
                <w:tcPr>
                  <w:tcW w:w="1622" w:type="pct"/>
                  <w:tcBorders>
                    <w:tl2br w:val="nil"/>
                    <w:tr2bl w:val="nil"/>
                  </w:tcBorders>
                  <w:shd w:val="clear" w:color="auto" w:fill="auto"/>
                  <w:noWrap w:val="0"/>
                  <w:vAlign w:val="center"/>
                </w:tcPr>
                <w:p w14:paraId="2C1FC2B8">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cs="Times New Roman"/>
                      <w:sz w:val="21"/>
                      <w:szCs w:val="21"/>
                      <w:highlight w:val="none"/>
                      <w:lang w:eastAsia="zh-CN"/>
                    </w:rPr>
                    <w:t>符合国家环保、产业政策要求，采用国内外先进的煤炭洗选、选煤水闭路循环、煤炭储运生产工艺和技术设备</w:t>
                  </w:r>
                  <w:r>
                    <w:rPr>
                      <w:rFonts w:hint="eastAsia" w:ascii="Times New Roman" w:hAnsi="Times New Roman" w:cs="Times New Roman"/>
                      <w:sz w:val="21"/>
                      <w:szCs w:val="21"/>
                      <w:highlight w:val="none"/>
                      <w:lang w:eastAsia="zh-CN"/>
                    </w:rPr>
                    <w:t>。</w:t>
                  </w:r>
                </w:p>
              </w:tc>
              <w:tc>
                <w:tcPr>
                  <w:tcW w:w="1219" w:type="pct"/>
                  <w:tcBorders>
                    <w:tl2br w:val="nil"/>
                    <w:tr2bl w:val="nil"/>
                  </w:tcBorders>
                  <w:noWrap w:val="0"/>
                  <w:vAlign w:val="center"/>
                </w:tcPr>
                <w:p w14:paraId="5FAAB78F">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eastAsia="宋体" w:cs="Times New Roman"/>
                      <w:sz w:val="21"/>
                      <w:szCs w:val="21"/>
                      <w:highlight w:val="none"/>
                      <w:lang w:eastAsia="zh-CN"/>
                    </w:rPr>
                  </w:pPr>
                  <w:r>
                    <w:rPr>
                      <w:rFonts w:hint="eastAsia" w:ascii="Times New Roman" w:hAnsi="Times New Roman" w:eastAsia="宋体" w:cs="Times New Roman"/>
                      <w:sz w:val="21"/>
                      <w:szCs w:val="21"/>
                      <w:highlight w:val="none"/>
                      <w:lang w:eastAsia="zh-CN"/>
                    </w:rPr>
                    <w:t>本项目</w:t>
                  </w:r>
                  <w:r>
                    <w:rPr>
                      <w:rFonts w:hint="default" w:ascii="Times New Roman" w:hAnsi="Times New Roman" w:cs="Times New Roman"/>
                      <w:sz w:val="21"/>
                      <w:szCs w:val="21"/>
                      <w:highlight w:val="none"/>
                      <w:lang w:eastAsia="zh-CN"/>
                    </w:rPr>
                    <w:t>符合国家环保、产业政策要求</w:t>
                  </w:r>
                  <w:r>
                    <w:rPr>
                      <w:rFonts w:hint="eastAsia" w:ascii="Times New Roman" w:hAnsi="Times New Roman" w:cs="Times New Roman"/>
                      <w:sz w:val="21"/>
                      <w:szCs w:val="21"/>
                      <w:highlight w:val="none"/>
                      <w:lang w:eastAsia="zh-CN"/>
                    </w:rPr>
                    <w:t>。</w:t>
                  </w:r>
                </w:p>
              </w:tc>
              <w:tc>
                <w:tcPr>
                  <w:tcW w:w="610" w:type="pct"/>
                  <w:tcBorders>
                    <w:tl2br w:val="nil"/>
                    <w:tr2bl w:val="nil"/>
                  </w:tcBorders>
                  <w:shd w:val="clear" w:color="auto" w:fill="auto"/>
                  <w:noWrap w:val="0"/>
                  <w:vAlign w:val="center"/>
                </w:tcPr>
                <w:p w14:paraId="1B561D36">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cs="Times New Roman"/>
                      <w:sz w:val="21"/>
                      <w:szCs w:val="21"/>
                      <w:highlight w:val="none"/>
                      <w:lang w:eastAsia="zh-CN"/>
                    </w:rPr>
                    <w:t>符合</w:t>
                  </w:r>
                </w:p>
              </w:tc>
            </w:tr>
            <w:tr w14:paraId="5D710A0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796" w:type="pct"/>
                  <w:vMerge w:val="continue"/>
                  <w:tcBorders>
                    <w:tl2br w:val="nil"/>
                    <w:tr2bl w:val="nil"/>
                  </w:tcBorders>
                  <w:noWrap w:val="0"/>
                  <w:vAlign w:val="center"/>
                </w:tcPr>
                <w:p w14:paraId="22F9782C">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cs="Times New Roman"/>
                      <w:sz w:val="21"/>
                      <w:szCs w:val="21"/>
                      <w:highlight w:val="none"/>
                      <w:lang w:eastAsia="zh-CN"/>
                    </w:rPr>
                  </w:pPr>
                </w:p>
              </w:tc>
              <w:tc>
                <w:tcPr>
                  <w:tcW w:w="751" w:type="pct"/>
                  <w:vMerge w:val="restart"/>
                  <w:tcBorders>
                    <w:tl2br w:val="nil"/>
                    <w:tr2bl w:val="nil"/>
                  </w:tcBorders>
                  <w:noWrap w:val="0"/>
                  <w:vAlign w:val="center"/>
                </w:tcPr>
                <w:p w14:paraId="2EDED760">
                  <w:pPr>
                    <w:pStyle w:val="12"/>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right="0" w:rightChars="0"/>
                    <w:jc w:val="center"/>
                    <w:textAlignment w:val="auto"/>
                    <w:rPr>
                      <w:rFonts w:hint="default"/>
                      <w:lang w:val="en-US" w:eastAsia="zh-CN"/>
                    </w:rPr>
                  </w:pPr>
                  <w:r>
                    <w:rPr>
                      <w:rFonts w:hint="eastAsia" w:ascii="Times New Roman" w:hAnsi="Times New Roman" w:cs="Times New Roman"/>
                      <w:sz w:val="21"/>
                      <w:szCs w:val="21"/>
                      <w:highlight w:val="none"/>
                      <w:lang w:val="en-US" w:eastAsia="zh-CN"/>
                    </w:rPr>
                    <w:t>2</w:t>
                  </w:r>
                  <w:r>
                    <w:rPr>
                      <w:rFonts w:hint="default" w:ascii="Times New Roman" w:hAnsi="Times New Roman" w:cs="Times New Roman"/>
                      <w:sz w:val="21"/>
                      <w:szCs w:val="21"/>
                      <w:highlight w:val="none"/>
                      <w:lang w:eastAsia="zh-CN"/>
                    </w:rPr>
                    <w:t>.备煤工艺及装备</w:t>
                  </w:r>
                </w:p>
              </w:tc>
              <w:tc>
                <w:tcPr>
                  <w:tcW w:w="1622" w:type="pct"/>
                  <w:tcBorders>
                    <w:tl2br w:val="nil"/>
                    <w:tr2bl w:val="nil"/>
                  </w:tcBorders>
                  <w:shd w:val="clear" w:color="auto" w:fill="auto"/>
                  <w:noWrap w:val="0"/>
                  <w:vAlign w:val="center"/>
                </w:tcPr>
                <w:p w14:paraId="3A433B7D">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eastAsia="宋体" w:cs="Times New Roman"/>
                      <w:kern w:val="2"/>
                      <w:sz w:val="21"/>
                      <w:szCs w:val="21"/>
                      <w:highlight w:val="none"/>
                      <w:lang w:val="en-US" w:eastAsia="zh-CN" w:bidi="ar-SA"/>
                    </w:rPr>
                  </w:pPr>
                  <w:r>
                    <w:rPr>
                      <w:rFonts w:hint="eastAsia" w:ascii="Times New Roman" w:hAnsi="Times New Roman" w:cs="Times New Roman"/>
                      <w:sz w:val="21"/>
                      <w:szCs w:val="21"/>
                      <w:highlight w:val="none"/>
                      <w:lang w:val="en-US" w:eastAsia="zh-CN"/>
                    </w:rPr>
                    <w:t>筒仓或全封闭的储煤场及挡风抑尘措施和洒水喷淋装置的储煤场。</w:t>
                  </w:r>
                </w:p>
              </w:tc>
              <w:tc>
                <w:tcPr>
                  <w:tcW w:w="1219" w:type="pct"/>
                  <w:tcBorders>
                    <w:tl2br w:val="nil"/>
                    <w:tr2bl w:val="nil"/>
                  </w:tcBorders>
                  <w:shd w:val="clear" w:color="auto" w:fill="auto"/>
                  <w:noWrap w:val="0"/>
                  <w:vAlign w:val="center"/>
                </w:tcPr>
                <w:p w14:paraId="0197BE85">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本项目在原煤储存在封闭厂房，</w:t>
                  </w:r>
                  <w:r>
                    <w:rPr>
                      <w:rFonts w:hint="eastAsia" w:cs="Times New Roman"/>
                      <w:sz w:val="21"/>
                      <w:szCs w:val="21"/>
                      <w:highlight w:val="none"/>
                      <w:vertAlign w:val="baseline"/>
                      <w:lang w:val="en-US" w:eastAsia="zh-CN"/>
                    </w:rPr>
                    <w:t>厂房内喷淋抑尘装置，门口设置自动感应门，</w:t>
                  </w:r>
                  <w:r>
                    <w:rPr>
                      <w:rFonts w:hint="eastAsia" w:ascii="Times New Roman" w:hAnsi="Times New Roman" w:eastAsia="宋体" w:cs="Times New Roman"/>
                      <w:sz w:val="21"/>
                      <w:szCs w:val="21"/>
                      <w:highlight w:val="none"/>
                      <w:lang w:eastAsia="zh-CN"/>
                    </w:rPr>
                    <w:t>符合清洁生产二级技术指标</w:t>
                  </w:r>
                  <w:r>
                    <w:rPr>
                      <w:rFonts w:hint="eastAsia" w:cs="Times New Roman"/>
                      <w:sz w:val="21"/>
                      <w:szCs w:val="21"/>
                      <w:highlight w:val="none"/>
                      <w:vertAlign w:val="baseline"/>
                      <w:lang w:val="en-US" w:eastAsia="zh-CN"/>
                    </w:rPr>
                    <w:t>。</w:t>
                  </w:r>
                </w:p>
              </w:tc>
              <w:tc>
                <w:tcPr>
                  <w:tcW w:w="610" w:type="pct"/>
                  <w:tcBorders>
                    <w:tl2br w:val="nil"/>
                    <w:tr2bl w:val="nil"/>
                  </w:tcBorders>
                  <w:shd w:val="clear" w:color="auto" w:fill="auto"/>
                  <w:noWrap w:val="0"/>
                  <w:vAlign w:val="center"/>
                </w:tcPr>
                <w:p w14:paraId="54F6B93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cs="Times New Roman"/>
                      <w:sz w:val="21"/>
                      <w:szCs w:val="21"/>
                      <w:highlight w:val="none"/>
                      <w:lang w:eastAsia="zh-CN"/>
                    </w:rPr>
                    <w:t>符合</w:t>
                  </w:r>
                </w:p>
              </w:tc>
            </w:tr>
            <w:tr w14:paraId="19EFDB5A">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27" w:hRule="atLeast"/>
              </w:trPr>
              <w:tc>
                <w:tcPr>
                  <w:tcW w:w="796" w:type="pct"/>
                  <w:vMerge w:val="continue"/>
                  <w:tcBorders>
                    <w:tl2br w:val="nil"/>
                    <w:tr2bl w:val="nil"/>
                  </w:tcBorders>
                  <w:noWrap w:val="0"/>
                  <w:vAlign w:val="center"/>
                </w:tcPr>
                <w:p w14:paraId="7144358C">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cs="Times New Roman"/>
                      <w:sz w:val="21"/>
                      <w:szCs w:val="21"/>
                      <w:highlight w:val="none"/>
                      <w:lang w:eastAsia="zh-CN"/>
                    </w:rPr>
                  </w:pPr>
                </w:p>
              </w:tc>
              <w:tc>
                <w:tcPr>
                  <w:tcW w:w="751" w:type="pct"/>
                  <w:vMerge w:val="continue"/>
                  <w:tcBorders>
                    <w:tl2br w:val="nil"/>
                    <w:tr2bl w:val="nil"/>
                  </w:tcBorders>
                  <w:noWrap w:val="0"/>
                  <w:vAlign w:val="center"/>
                </w:tcPr>
                <w:p w14:paraId="29377D7E">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cs="Times New Roman"/>
                      <w:sz w:val="21"/>
                      <w:szCs w:val="21"/>
                      <w:highlight w:val="none"/>
                      <w:lang w:eastAsia="zh-CN"/>
                    </w:rPr>
                  </w:pPr>
                </w:p>
              </w:tc>
              <w:tc>
                <w:tcPr>
                  <w:tcW w:w="1622" w:type="pct"/>
                  <w:tcBorders>
                    <w:tl2br w:val="nil"/>
                    <w:tr2bl w:val="nil"/>
                  </w:tcBorders>
                  <w:noWrap w:val="0"/>
                  <w:vAlign w:val="center"/>
                </w:tcPr>
                <w:p w14:paraId="1A94440A">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破碎机、筛分机采用先进的减振技术，橡胶筛板溜槽转载部位采用橡胶铺垫，设立隔音操作间</w:t>
                  </w:r>
                  <w:r>
                    <w:rPr>
                      <w:rFonts w:hint="eastAsia" w:ascii="Times New Roman" w:hAnsi="Times New Roman" w:cs="Times New Roman"/>
                      <w:sz w:val="21"/>
                      <w:szCs w:val="21"/>
                      <w:highlight w:val="none"/>
                      <w:lang w:eastAsia="zh-CN"/>
                    </w:rPr>
                    <w:t>。</w:t>
                  </w:r>
                </w:p>
              </w:tc>
              <w:tc>
                <w:tcPr>
                  <w:tcW w:w="1219" w:type="pct"/>
                  <w:tcBorders>
                    <w:tl2br w:val="nil"/>
                    <w:tr2bl w:val="nil"/>
                  </w:tcBorders>
                  <w:noWrap w:val="0"/>
                  <w:vAlign w:val="center"/>
                </w:tcPr>
                <w:p w14:paraId="267AE443">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val="en-US" w:eastAsia="zh-CN"/>
                    </w:rPr>
                    <w:t>本项目采取低噪声设备，</w:t>
                  </w:r>
                  <w:r>
                    <w:rPr>
                      <w:rFonts w:hint="default" w:ascii="Times New Roman" w:hAnsi="Times New Roman" w:cs="Times New Roman"/>
                      <w:sz w:val="21"/>
                      <w:szCs w:val="21"/>
                      <w:highlight w:val="none"/>
                      <w:lang w:eastAsia="zh-CN"/>
                    </w:rPr>
                    <w:t>转载部位采用橡胶铺垫，设立隔音操作间</w:t>
                  </w:r>
                  <w:r>
                    <w:rPr>
                      <w:rFonts w:hint="eastAsia" w:cs="Times New Roman"/>
                      <w:sz w:val="21"/>
                      <w:szCs w:val="21"/>
                      <w:highlight w:val="none"/>
                      <w:lang w:val="en-US" w:eastAsia="zh-CN"/>
                    </w:rPr>
                    <w:t>。</w:t>
                  </w:r>
                </w:p>
              </w:tc>
              <w:tc>
                <w:tcPr>
                  <w:tcW w:w="610" w:type="pct"/>
                  <w:tcBorders>
                    <w:tl2br w:val="nil"/>
                    <w:tr2bl w:val="nil"/>
                  </w:tcBorders>
                  <w:noWrap w:val="0"/>
                  <w:vAlign w:val="center"/>
                </w:tcPr>
                <w:p w14:paraId="0E0F268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sz w:val="21"/>
                      <w:szCs w:val="21"/>
                      <w:highlight w:val="none"/>
                      <w:lang w:eastAsia="zh-CN"/>
                    </w:rPr>
                  </w:pPr>
                  <w:r>
                    <w:rPr>
                      <w:rFonts w:hint="eastAsia" w:ascii="Times New Roman" w:hAnsi="Times New Roman" w:cs="Times New Roman"/>
                      <w:sz w:val="21"/>
                      <w:szCs w:val="21"/>
                      <w:highlight w:val="none"/>
                      <w:lang w:eastAsia="zh-CN"/>
                    </w:rPr>
                    <w:t>符合</w:t>
                  </w:r>
                </w:p>
              </w:tc>
            </w:tr>
            <w:tr w14:paraId="24E2745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796" w:type="pct"/>
                  <w:vMerge w:val="continue"/>
                  <w:tcBorders>
                    <w:tl2br w:val="nil"/>
                    <w:tr2bl w:val="nil"/>
                  </w:tcBorders>
                  <w:noWrap w:val="0"/>
                  <w:vAlign w:val="center"/>
                </w:tcPr>
                <w:p w14:paraId="65F6539C">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cs="Times New Roman"/>
                      <w:sz w:val="21"/>
                      <w:szCs w:val="21"/>
                      <w:highlight w:val="none"/>
                      <w:lang w:eastAsia="zh-CN"/>
                    </w:rPr>
                  </w:pPr>
                </w:p>
              </w:tc>
              <w:tc>
                <w:tcPr>
                  <w:tcW w:w="751" w:type="pct"/>
                  <w:vMerge w:val="continue"/>
                  <w:tcBorders>
                    <w:tl2br w:val="nil"/>
                    <w:tr2bl w:val="nil"/>
                  </w:tcBorders>
                  <w:noWrap w:val="0"/>
                  <w:vAlign w:val="center"/>
                </w:tcPr>
                <w:p w14:paraId="31C9CF78">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cs="Times New Roman"/>
                      <w:sz w:val="21"/>
                      <w:szCs w:val="21"/>
                      <w:highlight w:val="none"/>
                      <w:lang w:eastAsia="zh-CN"/>
                    </w:rPr>
                  </w:pPr>
                </w:p>
              </w:tc>
              <w:tc>
                <w:tcPr>
                  <w:tcW w:w="1622" w:type="pct"/>
                  <w:tcBorders>
                    <w:tl2br w:val="nil"/>
                    <w:tr2bl w:val="nil"/>
                  </w:tcBorders>
                  <w:noWrap w:val="0"/>
                  <w:vAlign w:val="center"/>
                </w:tcPr>
                <w:p w14:paraId="47B99DEA">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破碎机、筛分机加集尘罩并设有除尘机组，带式运输机、转载点设喷雾降尘系统</w:t>
                  </w:r>
                </w:p>
              </w:tc>
              <w:tc>
                <w:tcPr>
                  <w:tcW w:w="1219" w:type="pct"/>
                  <w:tcBorders>
                    <w:tl2br w:val="nil"/>
                    <w:tr2bl w:val="nil"/>
                  </w:tcBorders>
                  <w:noWrap w:val="0"/>
                  <w:vAlign w:val="center"/>
                </w:tcPr>
                <w:p w14:paraId="3D618A78">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eastAsia="zh-CN"/>
                    </w:rPr>
                    <w:t>本项目上料、破碎、筛分工序设置集尘罩</w:t>
                  </w:r>
                  <w:r>
                    <w:rPr>
                      <w:rFonts w:hint="eastAsia" w:ascii="Times New Roman" w:hAnsi="Times New Roman" w:eastAsia="宋体" w:cs="Times New Roman"/>
                      <w:sz w:val="21"/>
                      <w:szCs w:val="21"/>
                      <w:highlight w:val="none"/>
                      <w:lang w:val="en-US" w:eastAsia="zh-CN"/>
                    </w:rPr>
                    <w:t>+脉冲布袋式除尘器，带式输送机采用封闭式，</w:t>
                  </w:r>
                  <w:r>
                    <w:rPr>
                      <w:rFonts w:hint="eastAsia" w:ascii="Times New Roman" w:hAnsi="Times New Roman" w:eastAsia="宋体" w:cs="Times New Roman"/>
                      <w:sz w:val="21"/>
                      <w:szCs w:val="21"/>
                      <w:highlight w:val="none"/>
                      <w:lang w:eastAsia="zh-CN"/>
                    </w:rPr>
                    <w:t>符合清洁生产二级技术指标。</w:t>
                  </w:r>
                </w:p>
              </w:tc>
              <w:tc>
                <w:tcPr>
                  <w:tcW w:w="610" w:type="pct"/>
                  <w:tcBorders>
                    <w:tl2br w:val="nil"/>
                    <w:tr2bl w:val="nil"/>
                  </w:tcBorders>
                  <w:noWrap w:val="0"/>
                  <w:vAlign w:val="center"/>
                </w:tcPr>
                <w:p w14:paraId="16EB9DBB">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sz w:val="21"/>
                      <w:szCs w:val="21"/>
                      <w:highlight w:val="none"/>
                      <w:lang w:eastAsia="zh-CN"/>
                    </w:rPr>
                  </w:pPr>
                  <w:r>
                    <w:rPr>
                      <w:rFonts w:hint="eastAsia" w:ascii="Times New Roman" w:hAnsi="Times New Roman" w:cs="Times New Roman"/>
                      <w:sz w:val="21"/>
                      <w:szCs w:val="21"/>
                      <w:highlight w:val="none"/>
                      <w:lang w:eastAsia="zh-CN"/>
                    </w:rPr>
                    <w:t>符合</w:t>
                  </w:r>
                </w:p>
              </w:tc>
            </w:tr>
            <w:tr w14:paraId="7775311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796" w:type="pct"/>
                  <w:vMerge w:val="continue"/>
                  <w:tcBorders>
                    <w:tl2br w:val="nil"/>
                    <w:tr2bl w:val="nil"/>
                  </w:tcBorders>
                  <w:noWrap w:val="0"/>
                  <w:vAlign w:val="center"/>
                </w:tcPr>
                <w:p w14:paraId="55333105">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cs="Times New Roman"/>
                      <w:sz w:val="21"/>
                      <w:szCs w:val="21"/>
                      <w:highlight w:val="none"/>
                      <w:lang w:eastAsia="zh-CN"/>
                    </w:rPr>
                  </w:pPr>
                </w:p>
              </w:tc>
              <w:tc>
                <w:tcPr>
                  <w:tcW w:w="751" w:type="pct"/>
                  <w:tcBorders>
                    <w:tl2br w:val="nil"/>
                    <w:tr2bl w:val="nil"/>
                  </w:tcBorders>
                  <w:noWrap w:val="0"/>
                  <w:vAlign w:val="center"/>
                </w:tcPr>
                <w:p w14:paraId="358BAA3D">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3.精煤、中煤、矸石、煤泥贮存</w:t>
                  </w:r>
                </w:p>
              </w:tc>
              <w:tc>
                <w:tcPr>
                  <w:tcW w:w="1622" w:type="pct"/>
                  <w:tcBorders>
                    <w:tl2br w:val="nil"/>
                    <w:tr2bl w:val="nil"/>
                  </w:tcBorders>
                  <w:noWrap w:val="0"/>
                  <w:vAlign w:val="center"/>
                </w:tcPr>
                <w:p w14:paraId="454D03EB">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default" w:ascii="Times New Roman" w:hAnsi="Times New Roman" w:cs="Times New Roman"/>
                      <w:color w:val="auto"/>
                      <w:sz w:val="21"/>
                      <w:szCs w:val="21"/>
                      <w:highlight w:val="none"/>
                      <w:lang w:eastAsia="zh-CN"/>
                    </w:rPr>
                  </w:pPr>
                  <w:r>
                    <w:rPr>
                      <w:rFonts w:hint="default" w:ascii="Times New Roman" w:hAnsi="Times New Roman" w:cs="Times New Roman"/>
                      <w:color w:val="auto"/>
                      <w:sz w:val="21"/>
                      <w:szCs w:val="21"/>
                      <w:highlight w:val="none"/>
                      <w:lang w:eastAsia="zh-CN"/>
                    </w:rPr>
                    <w:t>精煤、中煤、矸石分别进入封闭的精煤仓、中煤仓、矸石仓或封闭的储场，多余矸石进入排矸场处置，煤泥经压滤处理后进入封闭的煤泥储存场</w:t>
                  </w:r>
                </w:p>
              </w:tc>
              <w:tc>
                <w:tcPr>
                  <w:tcW w:w="1219" w:type="pct"/>
                  <w:tcBorders>
                    <w:tl2br w:val="nil"/>
                    <w:tr2bl w:val="nil"/>
                  </w:tcBorders>
                  <w:noWrap w:val="0"/>
                  <w:vAlign w:val="center"/>
                </w:tcPr>
                <w:p w14:paraId="5CF232DE">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default" w:ascii="Times New Roman" w:hAnsi="Times New Roman" w:eastAsia="宋体" w:cs="Times New Roman"/>
                      <w:color w:val="auto"/>
                      <w:sz w:val="21"/>
                      <w:szCs w:val="21"/>
                      <w:highlight w:val="none"/>
                      <w:lang w:val="en-US"/>
                    </w:rPr>
                  </w:pPr>
                  <w:r>
                    <w:rPr>
                      <w:rFonts w:hint="eastAsia" w:ascii="Times New Roman" w:hAnsi="Times New Roman" w:eastAsia="宋体" w:cs="Times New Roman"/>
                      <w:color w:val="auto"/>
                      <w:sz w:val="21"/>
                      <w:szCs w:val="21"/>
                      <w:highlight w:val="none"/>
                      <w:lang w:eastAsia="zh-CN"/>
                    </w:rPr>
                    <w:t>本项目原煤、成品煤炭及经压滤处理的煤泥分区域储存在</w:t>
                  </w:r>
                  <w:r>
                    <w:rPr>
                      <w:rFonts w:hint="eastAsia" w:ascii="Times New Roman" w:hAnsi="Times New Roman" w:eastAsia="宋体" w:cs="Times New Roman"/>
                      <w:color w:val="auto"/>
                      <w:sz w:val="21"/>
                      <w:szCs w:val="21"/>
                      <w:highlight w:val="none"/>
                      <w:lang w:val="en-US" w:eastAsia="zh-CN"/>
                    </w:rPr>
                    <w:t>1#厂房内，厂房封闭，设有</w:t>
                  </w:r>
                  <w:r>
                    <w:rPr>
                      <w:rFonts w:hint="eastAsia" w:cs="Times New Roman"/>
                      <w:color w:val="auto"/>
                      <w:sz w:val="21"/>
                      <w:szCs w:val="21"/>
                      <w:highlight w:val="none"/>
                      <w:vertAlign w:val="baseline"/>
                      <w:lang w:val="en-US" w:eastAsia="zh-CN"/>
                    </w:rPr>
                    <w:t>喷淋抑尘装置，</w:t>
                  </w:r>
                  <w:r>
                    <w:rPr>
                      <w:rFonts w:hint="eastAsia" w:ascii="Times New Roman" w:hAnsi="Times New Roman" w:eastAsia="宋体" w:cs="Times New Roman"/>
                      <w:color w:val="auto"/>
                      <w:sz w:val="21"/>
                      <w:szCs w:val="21"/>
                      <w:highlight w:val="none"/>
                      <w:lang w:eastAsia="zh-CN"/>
                    </w:rPr>
                    <w:t>符合清洁生产</w:t>
                  </w:r>
                  <w:r>
                    <w:rPr>
                      <w:rFonts w:hint="eastAsia" w:cs="Times New Roman"/>
                      <w:color w:val="auto"/>
                      <w:sz w:val="21"/>
                      <w:szCs w:val="21"/>
                      <w:highlight w:val="none"/>
                      <w:lang w:eastAsia="zh-CN"/>
                    </w:rPr>
                    <w:t>二</w:t>
                  </w:r>
                  <w:r>
                    <w:rPr>
                      <w:rFonts w:hint="eastAsia" w:ascii="Times New Roman" w:hAnsi="Times New Roman" w:eastAsia="宋体" w:cs="Times New Roman"/>
                      <w:color w:val="auto"/>
                      <w:sz w:val="21"/>
                      <w:szCs w:val="21"/>
                      <w:highlight w:val="none"/>
                      <w:lang w:eastAsia="zh-CN"/>
                    </w:rPr>
                    <w:t>级技术指标。</w:t>
                  </w:r>
                </w:p>
              </w:tc>
              <w:tc>
                <w:tcPr>
                  <w:tcW w:w="610" w:type="pct"/>
                  <w:tcBorders>
                    <w:tl2br w:val="nil"/>
                    <w:tr2bl w:val="nil"/>
                  </w:tcBorders>
                  <w:noWrap w:val="0"/>
                  <w:vAlign w:val="center"/>
                </w:tcPr>
                <w:p w14:paraId="23C9C73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sz w:val="21"/>
                      <w:szCs w:val="21"/>
                      <w:highlight w:val="none"/>
                      <w:lang w:eastAsia="zh-CN"/>
                    </w:rPr>
                  </w:pPr>
                  <w:r>
                    <w:rPr>
                      <w:rFonts w:hint="eastAsia" w:ascii="Times New Roman" w:hAnsi="Times New Roman" w:cs="Times New Roman"/>
                      <w:sz w:val="21"/>
                      <w:szCs w:val="21"/>
                      <w:highlight w:val="none"/>
                      <w:lang w:eastAsia="zh-CN"/>
                    </w:rPr>
                    <w:t>符合</w:t>
                  </w:r>
                </w:p>
              </w:tc>
            </w:tr>
            <w:tr w14:paraId="138D4249">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796" w:type="pct"/>
                  <w:vMerge w:val="continue"/>
                  <w:tcBorders>
                    <w:tl2br w:val="nil"/>
                    <w:tr2bl w:val="nil"/>
                  </w:tcBorders>
                  <w:noWrap w:val="0"/>
                  <w:vAlign w:val="center"/>
                </w:tcPr>
                <w:p w14:paraId="0E51B69B">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cs="Times New Roman"/>
                      <w:sz w:val="21"/>
                      <w:szCs w:val="21"/>
                      <w:highlight w:val="none"/>
                      <w:lang w:eastAsia="zh-CN"/>
                    </w:rPr>
                  </w:pPr>
                </w:p>
              </w:tc>
              <w:tc>
                <w:tcPr>
                  <w:tcW w:w="751" w:type="pct"/>
                  <w:tcBorders>
                    <w:tl2br w:val="nil"/>
                    <w:tr2bl w:val="nil"/>
                  </w:tcBorders>
                  <w:noWrap w:val="0"/>
                  <w:vAlign w:val="center"/>
                </w:tcPr>
                <w:p w14:paraId="2D3F9635">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4.选煤工艺装备</w:t>
                  </w:r>
                </w:p>
              </w:tc>
              <w:tc>
                <w:tcPr>
                  <w:tcW w:w="1622" w:type="pct"/>
                  <w:tcBorders>
                    <w:tl2br w:val="nil"/>
                    <w:tr2bl w:val="nil"/>
                  </w:tcBorders>
                  <w:noWrap w:val="0"/>
                  <w:vAlign w:val="center"/>
                </w:tcPr>
                <w:p w14:paraId="43564F6F">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default" w:ascii="Times New Roman" w:hAnsi="Times New Roman" w:cs="Times New Roman"/>
                      <w:color w:val="auto"/>
                      <w:sz w:val="21"/>
                      <w:szCs w:val="21"/>
                      <w:highlight w:val="none"/>
                      <w:lang w:eastAsia="zh-CN"/>
                    </w:rPr>
                  </w:pPr>
                  <w:r>
                    <w:rPr>
                      <w:rFonts w:hint="default" w:ascii="Times New Roman" w:hAnsi="Times New Roman" w:cs="Times New Roman"/>
                      <w:color w:val="auto"/>
                      <w:sz w:val="21"/>
                      <w:szCs w:val="21"/>
                      <w:highlight w:val="none"/>
                      <w:lang w:eastAsia="zh-CN"/>
                    </w:rPr>
                    <w:t>全过程均实现数量、质量自动监测控制，并设有自动机械采样系统，洗炼焦煤配备浮选系统</w:t>
                  </w:r>
                </w:p>
              </w:tc>
              <w:tc>
                <w:tcPr>
                  <w:tcW w:w="1219" w:type="pct"/>
                  <w:tcBorders>
                    <w:tl2br w:val="nil"/>
                    <w:tr2bl w:val="nil"/>
                  </w:tcBorders>
                  <w:noWrap w:val="0"/>
                  <w:vAlign w:val="center"/>
                </w:tcPr>
                <w:p w14:paraId="72952600">
                  <w:pPr>
                    <w:pStyle w:val="12"/>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rPr>
                      <w:rFonts w:hint="eastAsia" w:ascii="Times New Roman" w:hAnsi="Times New Roman" w:eastAsia="宋体" w:cs="Times New Roman"/>
                      <w:color w:val="auto"/>
                      <w:sz w:val="21"/>
                      <w:szCs w:val="21"/>
                      <w:highlight w:val="none"/>
                      <w:lang w:eastAsia="zh-CN"/>
                    </w:rPr>
                  </w:pPr>
                  <w:r>
                    <w:rPr>
                      <w:rFonts w:hint="eastAsia" w:ascii="Times New Roman" w:hAnsi="Times New Roman" w:eastAsia="宋体" w:cs="Times New Roman"/>
                      <w:color w:val="auto"/>
                      <w:sz w:val="21"/>
                      <w:szCs w:val="21"/>
                      <w:highlight w:val="none"/>
                      <w:lang w:eastAsia="zh-CN"/>
                    </w:rPr>
                    <w:t>本项目实现操作程序自动化，并设置</w:t>
                  </w:r>
                  <w:r>
                    <w:rPr>
                      <w:rFonts w:hint="eastAsia" w:ascii="Times New Roman" w:hAnsi="Times New Roman" w:cs="Times New Roman"/>
                      <w:b w:val="0"/>
                      <w:bCs w:val="0"/>
                      <w:color w:val="auto"/>
                      <w:kern w:val="0"/>
                      <w:sz w:val="21"/>
                      <w:szCs w:val="21"/>
                      <w:highlight w:val="none"/>
                      <w:vertAlign w:val="baseline"/>
                      <w:lang w:val="en-US" w:eastAsia="zh-CN" w:bidi="ar"/>
                    </w:rPr>
                    <w:t>智慧监控平台，</w:t>
                  </w:r>
                  <w:r>
                    <w:rPr>
                      <w:rFonts w:hint="eastAsia" w:ascii="Times New Roman" w:hAnsi="Times New Roman" w:eastAsia="宋体" w:cs="Times New Roman"/>
                      <w:color w:val="auto"/>
                      <w:sz w:val="21"/>
                      <w:szCs w:val="21"/>
                      <w:highlight w:val="none"/>
                      <w:lang w:eastAsia="zh-CN"/>
                    </w:rPr>
                    <w:t>符合清洁生产</w:t>
                  </w:r>
                  <w:r>
                    <w:rPr>
                      <w:rFonts w:hint="eastAsia" w:cs="Times New Roman"/>
                      <w:color w:val="auto"/>
                      <w:sz w:val="21"/>
                      <w:szCs w:val="21"/>
                      <w:highlight w:val="none"/>
                      <w:lang w:eastAsia="zh-CN"/>
                    </w:rPr>
                    <w:t>二</w:t>
                  </w:r>
                  <w:r>
                    <w:rPr>
                      <w:rFonts w:hint="eastAsia" w:ascii="Times New Roman" w:hAnsi="Times New Roman" w:eastAsia="宋体" w:cs="Times New Roman"/>
                      <w:color w:val="auto"/>
                      <w:sz w:val="21"/>
                      <w:szCs w:val="21"/>
                      <w:highlight w:val="none"/>
                      <w:lang w:eastAsia="zh-CN"/>
                    </w:rPr>
                    <w:t>级技术指标</w:t>
                  </w:r>
                  <w:r>
                    <w:rPr>
                      <w:rFonts w:hint="eastAsia" w:ascii="Times New Roman" w:hAnsi="Times New Roman" w:cs="Times New Roman"/>
                      <w:b w:val="0"/>
                      <w:bCs w:val="0"/>
                      <w:color w:val="auto"/>
                      <w:kern w:val="0"/>
                      <w:sz w:val="21"/>
                      <w:szCs w:val="21"/>
                      <w:highlight w:val="none"/>
                      <w:vertAlign w:val="baseline"/>
                      <w:lang w:val="en-US" w:eastAsia="zh-CN" w:bidi="ar"/>
                    </w:rPr>
                    <w:t>。</w:t>
                  </w:r>
                </w:p>
              </w:tc>
              <w:tc>
                <w:tcPr>
                  <w:tcW w:w="610" w:type="pct"/>
                  <w:tcBorders>
                    <w:tl2br w:val="nil"/>
                    <w:tr2bl w:val="nil"/>
                  </w:tcBorders>
                  <w:noWrap w:val="0"/>
                  <w:vAlign w:val="center"/>
                </w:tcPr>
                <w:p w14:paraId="10AA244B">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sz w:val="21"/>
                      <w:szCs w:val="21"/>
                      <w:highlight w:val="none"/>
                      <w:lang w:eastAsia="zh-CN"/>
                    </w:rPr>
                  </w:pPr>
                  <w:r>
                    <w:rPr>
                      <w:rFonts w:hint="eastAsia" w:ascii="Times New Roman" w:hAnsi="Times New Roman" w:cs="Times New Roman"/>
                      <w:sz w:val="21"/>
                      <w:szCs w:val="21"/>
                      <w:highlight w:val="none"/>
                      <w:lang w:eastAsia="zh-CN"/>
                    </w:rPr>
                    <w:t>符合</w:t>
                  </w:r>
                </w:p>
              </w:tc>
            </w:tr>
          </w:tbl>
          <w:p w14:paraId="5C12BD09">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eastAsia" w:ascii="Times New Roman" w:hAnsi="Times New Roman" w:eastAsia="TimesNewRomanPSMT" w:cs="Times New Roman"/>
                <w:b w:val="0"/>
                <w:bCs w:val="0"/>
                <w:color w:val="000000"/>
                <w:kern w:val="0"/>
                <w:sz w:val="24"/>
                <w:szCs w:val="24"/>
                <w:highlight w:val="none"/>
                <w:lang w:val="en-US" w:eastAsia="zh-CN" w:bidi="ar"/>
              </w:rPr>
            </w:pPr>
            <w:r>
              <w:rPr>
                <w:rFonts w:hint="eastAsia" w:ascii="Times New Roman" w:hAnsi="Times New Roman" w:eastAsia="TimesNewRomanPSMT" w:cs="Times New Roman"/>
                <w:b w:val="0"/>
                <w:bCs w:val="0"/>
                <w:color w:val="000000"/>
                <w:kern w:val="0"/>
                <w:sz w:val="24"/>
                <w:szCs w:val="24"/>
                <w:highlight w:val="none"/>
                <w:lang w:val="en-US" w:eastAsia="zh-CN" w:bidi="ar"/>
              </w:rPr>
              <w:t>综上所述，本项目符合《</w:t>
            </w:r>
            <w:r>
              <w:rPr>
                <w:rFonts w:hint="eastAsia" w:ascii="Times New Roman" w:hAnsi="Times New Roman" w:eastAsia="宋体" w:cs="Times New Roman"/>
                <w:b w:val="0"/>
                <w:bCs w:val="0"/>
                <w:color w:val="auto"/>
                <w:sz w:val="24"/>
                <w:highlight w:val="none"/>
                <w:lang w:val="en-US" w:eastAsia="zh-CN"/>
              </w:rPr>
              <w:t>清洁生产标准煤炭采选业</w:t>
            </w:r>
            <w:r>
              <w:rPr>
                <w:rFonts w:hint="eastAsia" w:ascii="Times New Roman" w:hAnsi="Times New Roman" w:eastAsia="TimesNewRomanPSMT" w:cs="Times New Roman"/>
                <w:b w:val="0"/>
                <w:bCs w:val="0"/>
                <w:color w:val="000000"/>
                <w:kern w:val="0"/>
                <w:sz w:val="24"/>
                <w:szCs w:val="24"/>
                <w:highlight w:val="none"/>
                <w:lang w:val="en-US" w:eastAsia="zh-CN" w:bidi="ar"/>
              </w:rPr>
              <w:t>》</w:t>
            </w:r>
            <w:r>
              <w:rPr>
                <w:rFonts w:hint="eastAsia" w:ascii="Times New Roman" w:hAnsi="Times New Roman" w:eastAsia="宋体" w:cs="Times New Roman"/>
                <w:b w:val="0"/>
                <w:bCs w:val="0"/>
                <w:color w:val="auto"/>
                <w:sz w:val="24"/>
                <w:highlight w:val="none"/>
                <w:lang w:val="en-US" w:eastAsia="zh-CN"/>
              </w:rPr>
              <w:t>（HJ 446-2008）</w:t>
            </w:r>
            <w:r>
              <w:rPr>
                <w:rFonts w:hint="eastAsia" w:ascii="Times New Roman" w:hAnsi="Times New Roman" w:eastAsia="TimesNewRomanPSMT" w:cs="Times New Roman"/>
                <w:b w:val="0"/>
                <w:bCs w:val="0"/>
                <w:color w:val="000000"/>
                <w:kern w:val="0"/>
                <w:sz w:val="24"/>
                <w:szCs w:val="24"/>
                <w:highlight w:val="none"/>
                <w:lang w:val="en-US" w:eastAsia="zh-CN" w:bidi="ar"/>
              </w:rPr>
              <w:t>中相关政策要求。</w:t>
            </w:r>
          </w:p>
          <w:p w14:paraId="05A2B171">
            <w:pPr>
              <w:adjustRightInd w:val="0"/>
              <w:snapToGrid w:val="0"/>
              <w:spacing w:line="400" w:lineRule="exact"/>
              <w:jc w:val="center"/>
              <w:rPr>
                <w:rFonts w:hint="eastAsia" w:ascii="Times New Roman" w:hAnsi="Times New Roman" w:eastAsia="宋体" w:cs="Times New Roman"/>
                <w:b/>
                <w:bCs/>
                <w:color w:val="auto"/>
                <w:sz w:val="24"/>
                <w:highlight w:val="none"/>
                <w:lang w:val="en-US" w:eastAsia="zh-CN"/>
              </w:rPr>
            </w:pPr>
            <w:r>
              <w:rPr>
                <w:rFonts w:hint="default" w:ascii="Times New Roman" w:hAnsi="Times New Roman" w:eastAsia="宋体" w:cs="Times New Roman"/>
                <w:b/>
                <w:bCs/>
                <w:color w:val="auto"/>
                <w:sz w:val="24"/>
                <w:highlight w:val="none"/>
                <w:lang w:val="en-US" w:eastAsia="zh-CN"/>
              </w:rPr>
              <w:t>表</w:t>
            </w:r>
            <w:r>
              <w:rPr>
                <w:rFonts w:hint="eastAsia" w:ascii="Times New Roman" w:hAnsi="Times New Roman" w:eastAsia="宋体" w:cs="Times New Roman"/>
                <w:b/>
                <w:bCs/>
                <w:color w:val="auto"/>
                <w:sz w:val="24"/>
                <w:highlight w:val="none"/>
                <w:lang w:val="en-US" w:eastAsia="zh-CN"/>
              </w:rPr>
              <w:t>1-9</w:t>
            </w:r>
            <w:r>
              <w:rPr>
                <w:rFonts w:hint="default" w:ascii="Times New Roman" w:hAnsi="Times New Roman" w:eastAsia="宋体" w:cs="Times New Roman"/>
                <w:b/>
                <w:bCs/>
                <w:color w:val="auto"/>
                <w:sz w:val="24"/>
                <w:highlight w:val="none"/>
                <w:lang w:val="en-US" w:eastAsia="zh-CN"/>
              </w:rPr>
              <w:t xml:space="preserve"> </w:t>
            </w:r>
            <w:r>
              <w:rPr>
                <w:rFonts w:hint="eastAsia" w:ascii="Times New Roman" w:hAnsi="Times New Roman" w:eastAsia="宋体" w:cs="Times New Roman"/>
                <w:b/>
                <w:bCs/>
                <w:color w:val="auto"/>
                <w:sz w:val="24"/>
                <w:highlight w:val="none"/>
                <w:lang w:val="en-US" w:eastAsia="zh-CN"/>
              </w:rPr>
              <w:t>本项目与</w:t>
            </w:r>
            <w:r>
              <w:rPr>
                <w:rFonts w:hint="eastAsia" w:ascii="Times New Roman" w:hAnsi="Times New Roman" w:eastAsia="TimesNewRomanPSMT" w:cs="Times New Roman"/>
                <w:b/>
                <w:bCs/>
                <w:color w:val="auto"/>
                <w:kern w:val="0"/>
                <w:sz w:val="24"/>
                <w:szCs w:val="24"/>
                <w:highlight w:val="none"/>
                <w:lang w:val="en-US" w:eastAsia="zh-CN" w:bidi="ar"/>
              </w:rPr>
              <w:t>《</w:t>
            </w:r>
            <w:r>
              <w:rPr>
                <w:rFonts w:hint="eastAsia" w:ascii="Times New Roman" w:hAnsi="Times New Roman" w:eastAsia="宋体" w:cs="Times New Roman"/>
                <w:b/>
                <w:bCs/>
                <w:color w:val="auto"/>
                <w:sz w:val="24"/>
                <w:highlight w:val="none"/>
                <w:lang w:val="en-US" w:eastAsia="zh-CN"/>
              </w:rPr>
              <w:t>煤炭采选建设项目环境影响评价文件审批原则</w:t>
            </w:r>
            <w:r>
              <w:rPr>
                <w:rFonts w:hint="eastAsia" w:ascii="Times New Roman" w:hAnsi="Times New Roman" w:eastAsia="TimesNewRomanPSMT" w:cs="Times New Roman"/>
                <w:b/>
                <w:bCs/>
                <w:color w:val="auto"/>
                <w:kern w:val="0"/>
                <w:sz w:val="24"/>
                <w:szCs w:val="24"/>
                <w:highlight w:val="none"/>
                <w:lang w:val="en-US" w:eastAsia="zh-CN" w:bidi="ar"/>
              </w:rPr>
              <w:t>》（试行）</w:t>
            </w:r>
            <w:r>
              <w:rPr>
                <w:rFonts w:hint="eastAsia" w:ascii="Times New Roman" w:hAnsi="Times New Roman" w:eastAsia="宋体" w:cs="Times New Roman"/>
                <w:b/>
                <w:bCs/>
                <w:color w:val="auto"/>
                <w:sz w:val="24"/>
                <w:highlight w:val="none"/>
                <w:lang w:val="en-US" w:eastAsia="zh-CN"/>
              </w:rPr>
              <w:t>符合性分析</w:t>
            </w:r>
          </w:p>
          <w:tbl>
            <w:tblPr>
              <w:tblStyle w:val="26"/>
              <w:tblW w:w="4998" w:type="pct"/>
              <w:tblInd w:w="0" w:type="dxa"/>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0" w:type="dxa"/>
                <w:left w:w="108" w:type="dxa"/>
                <w:bottom w:w="0" w:type="dxa"/>
                <w:right w:w="108" w:type="dxa"/>
              </w:tblCellMar>
            </w:tblPr>
            <w:tblGrid>
              <w:gridCol w:w="4363"/>
              <w:gridCol w:w="2208"/>
              <w:gridCol w:w="977"/>
            </w:tblGrid>
            <w:tr w14:paraId="2251F3D5">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2890" w:type="pct"/>
                  <w:tcBorders>
                    <w:tl2br w:val="nil"/>
                    <w:tr2bl w:val="nil"/>
                  </w:tcBorders>
                  <w:noWrap w:val="0"/>
                  <w:vAlign w:val="center"/>
                </w:tcPr>
                <w:p w14:paraId="1B88D481">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cs="Times New Roman"/>
                      <w:color w:val="auto"/>
                      <w:sz w:val="21"/>
                      <w:szCs w:val="21"/>
                      <w:highlight w:val="none"/>
                      <w:lang w:eastAsia="zh-CN"/>
                    </w:rPr>
                    <w:t>相关</w:t>
                  </w:r>
                  <w:r>
                    <w:rPr>
                      <w:rFonts w:hint="default" w:ascii="Times New Roman" w:hAnsi="Times New Roman" w:eastAsia="宋体" w:cs="Times New Roman"/>
                      <w:color w:val="auto"/>
                      <w:sz w:val="21"/>
                      <w:szCs w:val="21"/>
                      <w:highlight w:val="none"/>
                      <w:lang w:eastAsia="zh-CN"/>
                    </w:rPr>
                    <w:t>要求</w:t>
                  </w:r>
                </w:p>
              </w:tc>
              <w:tc>
                <w:tcPr>
                  <w:tcW w:w="1462" w:type="pct"/>
                  <w:tcBorders>
                    <w:tl2br w:val="nil"/>
                    <w:tr2bl w:val="nil"/>
                  </w:tcBorders>
                  <w:noWrap w:val="0"/>
                  <w:vAlign w:val="center"/>
                </w:tcPr>
                <w:p w14:paraId="5CB6E9EE">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sz w:val="21"/>
                      <w:szCs w:val="21"/>
                      <w:highlight w:val="none"/>
                    </w:rPr>
                    <w:t>项目建设情况</w:t>
                  </w:r>
                </w:p>
              </w:tc>
              <w:tc>
                <w:tcPr>
                  <w:tcW w:w="647" w:type="pct"/>
                  <w:tcBorders>
                    <w:tl2br w:val="nil"/>
                    <w:tr2bl w:val="nil"/>
                  </w:tcBorders>
                  <w:noWrap w:val="0"/>
                  <w:vAlign w:val="center"/>
                </w:tcPr>
                <w:p w14:paraId="49347A0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 w:val="21"/>
                      <w:szCs w:val="21"/>
                      <w:highlight w:val="none"/>
                      <w:lang w:val="en-US" w:eastAsia="zh-CN"/>
                    </w:rPr>
                  </w:pPr>
                  <w:r>
                    <w:rPr>
                      <w:rFonts w:hint="default" w:ascii="Times New Roman" w:hAnsi="Times New Roman" w:cs="Times New Roman"/>
                      <w:color w:val="auto"/>
                      <w:sz w:val="21"/>
                      <w:szCs w:val="21"/>
                      <w:highlight w:val="none"/>
                      <w:lang w:eastAsia="zh-CN"/>
                    </w:rPr>
                    <w:t>符合性</w:t>
                  </w:r>
                </w:p>
              </w:tc>
            </w:tr>
            <w:tr w14:paraId="3D7286F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2890" w:type="pct"/>
                  <w:tcBorders>
                    <w:tl2br w:val="nil"/>
                    <w:tr2bl w:val="nil"/>
                  </w:tcBorders>
                  <w:noWrap w:val="0"/>
                  <w:vAlign w:val="center"/>
                </w:tcPr>
                <w:p w14:paraId="66857397">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both"/>
                    <w:textAlignment w:val="auto"/>
                    <w:rPr>
                      <w:rFonts w:hint="default" w:ascii="Times New Roman" w:hAnsi="Times New Roman" w:cs="Times New Roman"/>
                      <w:color w:val="auto"/>
                      <w:sz w:val="21"/>
                      <w:szCs w:val="21"/>
                      <w:highlight w:val="none"/>
                      <w:lang w:eastAsia="zh-CN"/>
                    </w:rPr>
                  </w:pPr>
                  <w:r>
                    <w:rPr>
                      <w:rFonts w:hint="eastAsia" w:cs="Times New Roman"/>
                      <w:color w:val="auto"/>
                      <w:sz w:val="21"/>
                      <w:szCs w:val="21"/>
                      <w:highlight w:val="none"/>
                      <w:lang w:eastAsia="zh-CN"/>
                    </w:rPr>
                    <w:t>第三条</w:t>
                  </w:r>
                  <w:r>
                    <w:rPr>
                      <w:rFonts w:hint="eastAsia" w:cs="Times New Roman"/>
                      <w:color w:val="auto"/>
                      <w:sz w:val="21"/>
                      <w:szCs w:val="21"/>
                      <w:highlight w:val="none"/>
                      <w:lang w:val="en-US" w:eastAsia="zh-CN"/>
                    </w:rPr>
                    <w:t xml:space="preserve"> </w:t>
                  </w:r>
                  <w:r>
                    <w:rPr>
                      <w:rFonts w:hint="default" w:ascii="Times New Roman" w:hAnsi="Times New Roman" w:cs="Times New Roman"/>
                      <w:color w:val="auto"/>
                      <w:sz w:val="21"/>
                      <w:szCs w:val="21"/>
                      <w:highlight w:val="none"/>
                      <w:lang w:eastAsia="zh-CN"/>
                    </w:rPr>
                    <w:t>项目符合所在煤炭矿区总体规划、规划环评及其审查意见的相关要求，符合项目所在区域生态保护红线要求。井（矿）田开采范围、各类占地范围不得涉及自然保护区、风景名胜区、饮用水水源保护区等法律法规明令禁止采矿和占用的区域。</w:t>
                  </w:r>
                </w:p>
              </w:tc>
              <w:tc>
                <w:tcPr>
                  <w:tcW w:w="1462" w:type="pct"/>
                  <w:tcBorders>
                    <w:tl2br w:val="nil"/>
                    <w:tr2bl w:val="nil"/>
                  </w:tcBorders>
                  <w:noWrap w:val="0"/>
                  <w:vAlign w:val="center"/>
                </w:tcPr>
                <w:p w14:paraId="4A8619F1">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both"/>
                    <w:textAlignment w:val="auto"/>
                    <w:rPr>
                      <w:rFonts w:hint="eastAsia" w:ascii="Times New Roman" w:hAnsi="Times New Roman" w:eastAsia="宋体" w:cs="Times New Roman"/>
                      <w:color w:val="auto"/>
                      <w:sz w:val="21"/>
                      <w:szCs w:val="21"/>
                      <w:highlight w:val="none"/>
                      <w:lang w:eastAsia="zh-CN"/>
                    </w:rPr>
                  </w:pPr>
                  <w:r>
                    <w:rPr>
                      <w:rFonts w:hint="eastAsia" w:cs="Times New Roman"/>
                      <w:color w:val="auto"/>
                      <w:sz w:val="21"/>
                      <w:szCs w:val="21"/>
                      <w:highlight w:val="none"/>
                      <w:lang w:eastAsia="zh-CN"/>
                    </w:rPr>
                    <w:t>本项目未在煤炭矿区，符合所在区域生态红线要求，占地范围不</w:t>
                  </w:r>
                  <w:r>
                    <w:rPr>
                      <w:rFonts w:hint="default" w:ascii="Times New Roman" w:hAnsi="Times New Roman" w:cs="Times New Roman"/>
                      <w:color w:val="auto"/>
                      <w:sz w:val="21"/>
                      <w:szCs w:val="21"/>
                      <w:highlight w:val="none"/>
                      <w:lang w:eastAsia="zh-CN"/>
                    </w:rPr>
                    <w:t>涉及自然保护区、风景名胜区、饮用水水源保护区等法律法规明令禁止采矿和占用的区域</w:t>
                  </w:r>
                  <w:r>
                    <w:rPr>
                      <w:rFonts w:hint="eastAsia" w:cs="Times New Roman"/>
                      <w:color w:val="auto"/>
                      <w:sz w:val="21"/>
                      <w:szCs w:val="21"/>
                      <w:highlight w:val="none"/>
                      <w:lang w:eastAsia="zh-CN"/>
                    </w:rPr>
                    <w:t>。</w:t>
                  </w:r>
                </w:p>
              </w:tc>
              <w:tc>
                <w:tcPr>
                  <w:tcW w:w="647" w:type="pct"/>
                  <w:tcBorders>
                    <w:tl2br w:val="nil"/>
                    <w:tr2bl w:val="nil"/>
                  </w:tcBorders>
                  <w:noWrap w:val="0"/>
                  <w:vAlign w:val="center"/>
                </w:tcPr>
                <w:p w14:paraId="5E93427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color w:val="auto"/>
                      <w:sz w:val="21"/>
                      <w:szCs w:val="21"/>
                      <w:highlight w:val="none"/>
                      <w:lang w:eastAsia="zh-CN"/>
                    </w:rPr>
                  </w:pPr>
                  <w:r>
                    <w:rPr>
                      <w:rFonts w:hint="eastAsia" w:ascii="Times New Roman" w:hAnsi="Times New Roman" w:cs="Times New Roman"/>
                      <w:color w:val="auto"/>
                      <w:sz w:val="21"/>
                      <w:szCs w:val="21"/>
                      <w:highlight w:val="none"/>
                      <w:lang w:eastAsia="zh-CN"/>
                    </w:rPr>
                    <w:t>符合</w:t>
                  </w:r>
                </w:p>
              </w:tc>
            </w:tr>
            <w:tr w14:paraId="57E40BE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2890" w:type="pct"/>
                  <w:tcBorders>
                    <w:tl2br w:val="nil"/>
                    <w:tr2bl w:val="nil"/>
                  </w:tcBorders>
                  <w:noWrap w:val="0"/>
                  <w:vAlign w:val="center"/>
                </w:tcPr>
                <w:p w14:paraId="0389A4CD">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both"/>
                    <w:textAlignment w:val="auto"/>
                    <w:rPr>
                      <w:rFonts w:hint="default" w:ascii="Times New Roman" w:hAnsi="Times New Roman" w:cs="Times New Roman"/>
                      <w:color w:val="auto"/>
                      <w:sz w:val="21"/>
                      <w:szCs w:val="21"/>
                      <w:highlight w:val="none"/>
                      <w:lang w:eastAsia="zh-CN"/>
                    </w:rPr>
                  </w:pPr>
                  <w:r>
                    <w:rPr>
                      <w:rFonts w:hint="default" w:ascii="Times New Roman" w:hAnsi="Times New Roman" w:cs="Times New Roman"/>
                      <w:color w:val="auto"/>
                      <w:sz w:val="21"/>
                      <w:szCs w:val="21"/>
                      <w:highlight w:val="none"/>
                      <w:lang w:eastAsia="zh-CN"/>
                    </w:rPr>
                    <w:t>第四条 新建、改扩建项目应满足《清洁生产标准煤炭采选业》（HJ446）要求。主要污染物排放总量满足国家和地方相关要求。</w:t>
                  </w:r>
                </w:p>
              </w:tc>
              <w:tc>
                <w:tcPr>
                  <w:tcW w:w="1462" w:type="pct"/>
                  <w:tcBorders>
                    <w:tl2br w:val="nil"/>
                    <w:tr2bl w:val="nil"/>
                  </w:tcBorders>
                  <w:noWrap w:val="0"/>
                  <w:vAlign w:val="center"/>
                </w:tcPr>
                <w:p w14:paraId="6E96DF9E">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both"/>
                    <w:textAlignment w:val="auto"/>
                    <w:rPr>
                      <w:rFonts w:hint="eastAsia" w:ascii="Times New Roman" w:hAnsi="Times New Roman" w:eastAsia="宋体" w:cs="Times New Roman"/>
                      <w:color w:val="auto"/>
                      <w:sz w:val="21"/>
                      <w:szCs w:val="21"/>
                      <w:highlight w:val="none"/>
                      <w:lang w:eastAsia="zh-CN"/>
                    </w:rPr>
                  </w:pPr>
                  <w:r>
                    <w:rPr>
                      <w:rFonts w:hint="eastAsia" w:ascii="Times New Roman" w:hAnsi="Times New Roman" w:eastAsia="宋体" w:cs="Times New Roman"/>
                      <w:color w:val="auto"/>
                      <w:sz w:val="21"/>
                      <w:szCs w:val="21"/>
                      <w:highlight w:val="none"/>
                      <w:lang w:eastAsia="zh-CN"/>
                    </w:rPr>
                    <w:t>本项目</w:t>
                  </w:r>
                  <w:r>
                    <w:rPr>
                      <w:rFonts w:hint="default" w:ascii="Times New Roman" w:hAnsi="Times New Roman" w:cs="Times New Roman"/>
                      <w:color w:val="auto"/>
                      <w:sz w:val="21"/>
                      <w:szCs w:val="21"/>
                      <w:highlight w:val="none"/>
                      <w:lang w:eastAsia="zh-CN"/>
                    </w:rPr>
                    <w:t>满足《清洁生产标准煤炭采选业》（HJ446）要求</w:t>
                  </w:r>
                  <w:r>
                    <w:rPr>
                      <w:rFonts w:hint="eastAsia" w:ascii="Times New Roman" w:hAnsi="Times New Roman" w:cs="Times New Roman"/>
                      <w:color w:val="auto"/>
                      <w:sz w:val="21"/>
                      <w:szCs w:val="21"/>
                      <w:highlight w:val="none"/>
                      <w:lang w:eastAsia="zh-CN"/>
                    </w:rPr>
                    <w:t>，</w:t>
                  </w:r>
                  <w:r>
                    <w:rPr>
                      <w:rFonts w:hint="default" w:ascii="Times New Roman" w:hAnsi="Times New Roman" w:cs="Times New Roman"/>
                      <w:color w:val="auto"/>
                      <w:sz w:val="21"/>
                      <w:szCs w:val="21"/>
                      <w:highlight w:val="none"/>
                      <w:lang w:eastAsia="zh-CN"/>
                    </w:rPr>
                    <w:t>主要污染物排放总量满足国家和地方相关要求</w:t>
                  </w:r>
                  <w:r>
                    <w:rPr>
                      <w:rFonts w:hint="eastAsia" w:ascii="Times New Roman" w:hAnsi="Times New Roman" w:cs="Times New Roman"/>
                      <w:color w:val="auto"/>
                      <w:sz w:val="21"/>
                      <w:szCs w:val="21"/>
                      <w:highlight w:val="none"/>
                      <w:lang w:eastAsia="zh-CN"/>
                    </w:rPr>
                    <w:t>。</w:t>
                  </w:r>
                </w:p>
              </w:tc>
              <w:tc>
                <w:tcPr>
                  <w:tcW w:w="647" w:type="pct"/>
                  <w:tcBorders>
                    <w:tl2br w:val="nil"/>
                    <w:tr2bl w:val="nil"/>
                  </w:tcBorders>
                  <w:noWrap w:val="0"/>
                  <w:vAlign w:val="center"/>
                </w:tcPr>
                <w:p w14:paraId="76B4DFD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 w:val="21"/>
                      <w:szCs w:val="21"/>
                      <w:highlight w:val="none"/>
                      <w:lang w:eastAsia="zh-CN"/>
                    </w:rPr>
                  </w:pPr>
                  <w:r>
                    <w:rPr>
                      <w:rFonts w:hint="eastAsia" w:ascii="Times New Roman" w:hAnsi="Times New Roman" w:cs="Times New Roman"/>
                      <w:color w:val="auto"/>
                      <w:sz w:val="21"/>
                      <w:szCs w:val="21"/>
                      <w:highlight w:val="none"/>
                      <w:lang w:eastAsia="zh-CN"/>
                    </w:rPr>
                    <w:t>符合</w:t>
                  </w:r>
                </w:p>
              </w:tc>
            </w:tr>
            <w:tr w14:paraId="34477DD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2890" w:type="pct"/>
                  <w:tcBorders>
                    <w:tl2br w:val="nil"/>
                    <w:tr2bl w:val="nil"/>
                  </w:tcBorders>
                  <w:noWrap w:val="0"/>
                  <w:vAlign w:val="center"/>
                </w:tcPr>
                <w:p w14:paraId="5C78567C">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both"/>
                    <w:textAlignment w:val="auto"/>
                    <w:rPr>
                      <w:rFonts w:hint="default" w:ascii="Times New Roman" w:hAnsi="Times New Roman" w:cs="Times New Roman"/>
                      <w:color w:val="auto"/>
                      <w:sz w:val="21"/>
                      <w:szCs w:val="21"/>
                      <w:highlight w:val="none"/>
                      <w:lang w:eastAsia="zh-CN"/>
                    </w:rPr>
                  </w:pPr>
                  <w:r>
                    <w:rPr>
                      <w:rFonts w:hint="eastAsia" w:cs="Times New Roman"/>
                      <w:color w:val="auto"/>
                      <w:sz w:val="21"/>
                      <w:szCs w:val="21"/>
                      <w:highlight w:val="none"/>
                      <w:lang w:eastAsia="zh-CN"/>
                    </w:rPr>
                    <w:t>第七条</w:t>
                  </w:r>
                  <w:r>
                    <w:rPr>
                      <w:rFonts w:hint="eastAsia" w:cs="Times New Roman"/>
                      <w:color w:val="auto"/>
                      <w:sz w:val="21"/>
                      <w:szCs w:val="21"/>
                      <w:highlight w:val="none"/>
                      <w:lang w:val="en-US" w:eastAsia="zh-CN"/>
                    </w:rPr>
                    <w:t xml:space="preserve"> </w:t>
                  </w:r>
                  <w:r>
                    <w:rPr>
                      <w:rFonts w:hint="default" w:ascii="Times New Roman" w:hAnsi="Times New Roman" w:cs="Times New Roman"/>
                      <w:color w:val="auto"/>
                      <w:sz w:val="21"/>
                      <w:szCs w:val="21"/>
                      <w:highlight w:val="none"/>
                      <w:lang w:eastAsia="zh-CN"/>
                    </w:rPr>
                    <w:t>项目应配套建设矿井（坑）水、生活污水、生产废水处理设施，处理后的废水应立足综合利用，生活污水、生产废水等原则上不得外排。选煤厂煤泥水应实现闭路循环，工业场地初期雨水应收集处理。无法全部综合利用的废水，应满足相关排放标准要求后排放。</w:t>
                  </w:r>
                </w:p>
              </w:tc>
              <w:tc>
                <w:tcPr>
                  <w:tcW w:w="1462" w:type="pct"/>
                  <w:tcBorders>
                    <w:tl2br w:val="nil"/>
                    <w:tr2bl w:val="nil"/>
                  </w:tcBorders>
                  <w:noWrap w:val="0"/>
                  <w:vAlign w:val="center"/>
                </w:tcPr>
                <w:p w14:paraId="4E226709">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both"/>
                    <w:textAlignment w:val="auto"/>
                    <w:rPr>
                      <w:rFonts w:hint="eastAsia" w:ascii="Times New Roman" w:hAnsi="Times New Roman" w:eastAsia="宋体" w:cs="Times New Roman"/>
                      <w:color w:val="auto"/>
                      <w:sz w:val="21"/>
                      <w:szCs w:val="21"/>
                      <w:highlight w:val="none"/>
                      <w:lang w:eastAsia="zh-CN"/>
                    </w:rPr>
                  </w:pPr>
                  <w:r>
                    <w:rPr>
                      <w:rFonts w:hint="eastAsia" w:cs="Times New Roman"/>
                      <w:color w:val="auto"/>
                      <w:sz w:val="21"/>
                      <w:szCs w:val="21"/>
                      <w:highlight w:val="none"/>
                      <w:lang w:eastAsia="zh-CN"/>
                    </w:rPr>
                    <w:t>本项目配煤加工废水循环使用，设置初期雨水沉淀池收集初期雨水。</w:t>
                  </w:r>
                </w:p>
              </w:tc>
              <w:tc>
                <w:tcPr>
                  <w:tcW w:w="647" w:type="pct"/>
                  <w:tcBorders>
                    <w:tl2br w:val="nil"/>
                    <w:tr2bl w:val="nil"/>
                  </w:tcBorders>
                  <w:noWrap w:val="0"/>
                  <w:vAlign w:val="center"/>
                </w:tcPr>
                <w:p w14:paraId="672A13B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color w:val="auto"/>
                      <w:sz w:val="21"/>
                      <w:szCs w:val="21"/>
                      <w:highlight w:val="none"/>
                      <w:lang w:eastAsia="zh-CN"/>
                    </w:rPr>
                  </w:pPr>
                  <w:r>
                    <w:rPr>
                      <w:rFonts w:hint="eastAsia" w:ascii="Times New Roman" w:hAnsi="Times New Roman" w:cs="Times New Roman"/>
                      <w:color w:val="auto"/>
                      <w:sz w:val="21"/>
                      <w:szCs w:val="21"/>
                      <w:highlight w:val="none"/>
                      <w:lang w:eastAsia="zh-CN"/>
                    </w:rPr>
                    <w:t>符合</w:t>
                  </w:r>
                </w:p>
              </w:tc>
            </w:tr>
            <w:tr w14:paraId="19822D5C">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2890" w:type="pct"/>
                  <w:tcBorders>
                    <w:tl2br w:val="nil"/>
                    <w:tr2bl w:val="nil"/>
                  </w:tcBorders>
                  <w:noWrap w:val="0"/>
                  <w:vAlign w:val="center"/>
                </w:tcPr>
                <w:p w14:paraId="3EB57957">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both"/>
                    <w:textAlignment w:val="auto"/>
                    <w:rPr>
                      <w:rFonts w:hint="eastAsia" w:cs="Times New Roman"/>
                      <w:color w:val="auto"/>
                      <w:sz w:val="21"/>
                      <w:szCs w:val="21"/>
                      <w:highlight w:val="none"/>
                      <w:lang w:eastAsia="zh-CN"/>
                    </w:rPr>
                  </w:pPr>
                  <w:r>
                    <w:rPr>
                      <w:rFonts w:hint="eastAsia" w:cs="Times New Roman"/>
                      <w:color w:val="auto"/>
                      <w:sz w:val="21"/>
                      <w:szCs w:val="21"/>
                      <w:highlight w:val="none"/>
                      <w:lang w:eastAsia="zh-CN"/>
                    </w:rPr>
                    <w:t>第九条</w:t>
                  </w:r>
                  <w:r>
                    <w:rPr>
                      <w:rFonts w:hint="eastAsia" w:cs="Times New Roman"/>
                      <w:color w:val="auto"/>
                      <w:sz w:val="21"/>
                      <w:szCs w:val="21"/>
                      <w:highlight w:val="none"/>
                      <w:lang w:val="en-US" w:eastAsia="zh-CN"/>
                    </w:rPr>
                    <w:t xml:space="preserve"> </w:t>
                  </w:r>
                  <w:r>
                    <w:rPr>
                      <w:rFonts w:hint="eastAsia" w:cs="Times New Roman"/>
                      <w:color w:val="auto"/>
                      <w:sz w:val="21"/>
                      <w:szCs w:val="21"/>
                      <w:highlight w:val="none"/>
                      <w:lang w:eastAsia="zh-CN"/>
                    </w:rPr>
                    <w:t>煤矿地面储、装、运及生产系统各产尘环节应采取有效抑尘措施。涉及环境敏感区或区域颗粒物超标地区的项目，应封闭储煤，厂界无组织排放满足相关标准要求。优先采用依托热源、水源热泵、气源热泵、清洁能源等供热形式，确需建设燃煤锅炉的，应符合《大气污染防治行动计划》等相关要求，采取高效烟气脱硫、脱硝和除尘措施，并安装烟气在线监测系统，污染物排放应满足相关排放标准要求。高浓度瓦斯禁止排放，应配套建设瓦斯利用设施或提出瓦斯综合利用方案；积极开展低浓度瓦斯综合利用工作，鼓励风排瓦斯综合利用。瓦斯排放应满足《煤层气（煤矿瓦斯）排放标准（暂行）》要求。</w:t>
                  </w:r>
                </w:p>
              </w:tc>
              <w:tc>
                <w:tcPr>
                  <w:tcW w:w="1462" w:type="pct"/>
                  <w:tcBorders>
                    <w:tl2br w:val="nil"/>
                    <w:tr2bl w:val="nil"/>
                  </w:tcBorders>
                  <w:noWrap w:val="0"/>
                  <w:vAlign w:val="center"/>
                </w:tcPr>
                <w:p w14:paraId="51F9D738">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both"/>
                    <w:textAlignment w:val="auto"/>
                    <w:rPr>
                      <w:rFonts w:hint="default"/>
                      <w:color w:val="auto"/>
                      <w:lang w:val="en-US" w:eastAsia="zh-CN"/>
                    </w:rPr>
                  </w:pPr>
                  <w:r>
                    <w:rPr>
                      <w:rFonts w:hint="eastAsia" w:cs="Times New Roman"/>
                      <w:color w:val="auto"/>
                      <w:sz w:val="21"/>
                      <w:szCs w:val="21"/>
                      <w:highlight w:val="none"/>
                      <w:lang w:eastAsia="zh-CN"/>
                    </w:rPr>
                    <w:t>本项目煤炭储存在</w:t>
                  </w:r>
                  <w:r>
                    <w:rPr>
                      <w:rFonts w:hint="eastAsia" w:cs="Times New Roman"/>
                      <w:color w:val="auto"/>
                      <w:sz w:val="21"/>
                      <w:szCs w:val="21"/>
                      <w:highlight w:val="none"/>
                      <w:lang w:val="en-US" w:eastAsia="zh-CN"/>
                    </w:rPr>
                    <w:t>1#封闭厂房内，</w:t>
                  </w:r>
                  <w:r>
                    <w:rPr>
                      <w:rFonts w:hint="eastAsia" w:ascii="Times New Roman" w:hAnsi="Times New Roman" w:eastAsia="宋体" w:cs="Times New Roman"/>
                      <w:color w:val="auto"/>
                      <w:sz w:val="21"/>
                      <w:szCs w:val="21"/>
                      <w:highlight w:val="none"/>
                      <w:lang w:val="en-US" w:eastAsia="zh-CN"/>
                    </w:rPr>
                    <w:t>设置封闭自动感应门</w:t>
                  </w:r>
                  <w:r>
                    <w:rPr>
                      <w:rFonts w:hint="eastAsia" w:cs="Times New Roman"/>
                      <w:color w:val="auto"/>
                      <w:sz w:val="21"/>
                      <w:szCs w:val="21"/>
                      <w:highlight w:val="none"/>
                      <w:lang w:val="en-US" w:eastAsia="zh-CN"/>
                    </w:rPr>
                    <w:t>，厂房内</w:t>
                  </w:r>
                  <w:r>
                    <w:rPr>
                      <w:rFonts w:hint="eastAsia" w:ascii="Times New Roman" w:hAnsi="Times New Roman" w:eastAsia="宋体" w:cs="Times New Roman"/>
                      <w:color w:val="auto"/>
                      <w:sz w:val="21"/>
                      <w:szCs w:val="21"/>
                      <w:highlight w:val="none"/>
                      <w:lang w:val="en-US" w:eastAsia="zh-CN"/>
                    </w:rPr>
                    <w:t>设置喷淋抑尘装置，</w:t>
                  </w:r>
                  <w:r>
                    <w:rPr>
                      <w:rFonts w:hint="eastAsia" w:cs="Times New Roman"/>
                      <w:color w:val="auto"/>
                      <w:sz w:val="21"/>
                      <w:szCs w:val="21"/>
                      <w:highlight w:val="none"/>
                      <w:lang w:val="en-US" w:eastAsia="zh-CN"/>
                    </w:rPr>
                    <w:t>各产尘环节设置集气罩收集废气，经脉冲式布袋除尘器处理后，由25米高排气筒排放。厂界无组织排放满足相关标准要求。</w:t>
                  </w:r>
                </w:p>
              </w:tc>
              <w:tc>
                <w:tcPr>
                  <w:tcW w:w="647" w:type="pct"/>
                  <w:tcBorders>
                    <w:tl2br w:val="nil"/>
                    <w:tr2bl w:val="nil"/>
                  </w:tcBorders>
                  <w:noWrap w:val="0"/>
                  <w:vAlign w:val="center"/>
                </w:tcPr>
                <w:p w14:paraId="3E505BE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color w:val="auto"/>
                      <w:sz w:val="21"/>
                      <w:szCs w:val="21"/>
                      <w:highlight w:val="none"/>
                      <w:lang w:eastAsia="zh-CN"/>
                    </w:rPr>
                  </w:pPr>
                  <w:r>
                    <w:rPr>
                      <w:rFonts w:hint="eastAsia" w:ascii="Times New Roman" w:hAnsi="Times New Roman" w:cs="Times New Roman"/>
                      <w:color w:val="auto"/>
                      <w:sz w:val="21"/>
                      <w:szCs w:val="21"/>
                      <w:highlight w:val="none"/>
                      <w:lang w:eastAsia="zh-CN"/>
                    </w:rPr>
                    <w:t>符合</w:t>
                  </w:r>
                </w:p>
              </w:tc>
            </w:tr>
            <w:tr w14:paraId="0D29BF5A">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35" w:hRule="atLeast"/>
              </w:trPr>
              <w:tc>
                <w:tcPr>
                  <w:tcW w:w="2890" w:type="pct"/>
                  <w:tcBorders>
                    <w:tl2br w:val="nil"/>
                    <w:tr2bl w:val="nil"/>
                  </w:tcBorders>
                  <w:noWrap w:val="0"/>
                  <w:vAlign w:val="center"/>
                </w:tcPr>
                <w:p w14:paraId="7750F87C">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both"/>
                    <w:textAlignment w:val="auto"/>
                    <w:rPr>
                      <w:rFonts w:hint="default" w:ascii="Times New Roman" w:hAnsi="Times New Roman" w:cs="Times New Roman"/>
                      <w:color w:val="auto"/>
                      <w:sz w:val="21"/>
                      <w:szCs w:val="21"/>
                      <w:highlight w:val="none"/>
                      <w:lang w:eastAsia="zh-CN"/>
                    </w:rPr>
                  </w:pPr>
                  <w:r>
                    <w:rPr>
                      <w:rFonts w:hint="default" w:ascii="Times New Roman" w:hAnsi="Times New Roman" w:cs="Times New Roman"/>
                      <w:color w:val="auto"/>
                      <w:sz w:val="21"/>
                      <w:szCs w:val="21"/>
                      <w:highlight w:val="none"/>
                      <w:lang w:eastAsia="zh-CN"/>
                    </w:rPr>
                    <w:t>第十条</w:t>
                  </w:r>
                  <w:r>
                    <w:rPr>
                      <w:rFonts w:hint="eastAsia" w:ascii="Times New Roman" w:hAnsi="Times New Roman" w:cs="Times New Roman"/>
                      <w:color w:val="auto"/>
                      <w:sz w:val="21"/>
                      <w:szCs w:val="21"/>
                      <w:highlight w:val="none"/>
                      <w:lang w:val="en-US" w:eastAsia="zh-CN"/>
                    </w:rPr>
                    <w:t xml:space="preserve"> </w:t>
                  </w:r>
                  <w:r>
                    <w:rPr>
                      <w:rFonts w:hint="default" w:ascii="Times New Roman" w:hAnsi="Times New Roman" w:cs="Times New Roman"/>
                      <w:color w:val="auto"/>
                      <w:sz w:val="21"/>
                      <w:szCs w:val="21"/>
                      <w:highlight w:val="none"/>
                      <w:lang w:eastAsia="zh-CN"/>
                    </w:rPr>
                    <w:t>选择低噪声设备、优化场地布局并采取隔声、消声、减振等措施有效控制噪声影响，厂界噪声应满足《工业企业厂界环境噪声排放标准》（GB12348）要求。</w:t>
                  </w:r>
                </w:p>
              </w:tc>
              <w:tc>
                <w:tcPr>
                  <w:tcW w:w="1462" w:type="pct"/>
                  <w:tcBorders>
                    <w:tl2br w:val="nil"/>
                    <w:tr2bl w:val="nil"/>
                  </w:tcBorders>
                  <w:noWrap w:val="0"/>
                  <w:vAlign w:val="center"/>
                </w:tcPr>
                <w:p w14:paraId="27DA53D2">
                  <w:pPr>
                    <w:pStyle w:val="12"/>
                    <w:keepNext w:val="0"/>
                    <w:keepLines w:val="0"/>
                    <w:pageBreakBefore w:val="0"/>
                    <w:widowControl w:val="0"/>
                    <w:kinsoku/>
                    <w:wordWrap/>
                    <w:overflowPunct/>
                    <w:topLinePunct w:val="0"/>
                    <w:autoSpaceDE/>
                    <w:autoSpaceDN/>
                    <w:bidi w:val="0"/>
                    <w:adjustRightInd/>
                    <w:snapToGrid/>
                    <w:spacing w:line="240" w:lineRule="auto"/>
                    <w:ind w:left="0" w:leftChars="0" w:right="113" w:rightChars="0" w:firstLine="0" w:firstLineChars="0"/>
                    <w:jc w:val="both"/>
                    <w:textAlignment w:val="auto"/>
                    <w:rPr>
                      <w:rFonts w:hint="eastAsia" w:ascii="Times New Roman" w:hAnsi="Times New Roman" w:eastAsia="宋体" w:cs="Times New Roman"/>
                      <w:color w:val="auto"/>
                      <w:sz w:val="21"/>
                      <w:szCs w:val="21"/>
                      <w:highlight w:val="none"/>
                      <w:lang w:eastAsia="zh-CN"/>
                    </w:rPr>
                  </w:pPr>
                  <w:r>
                    <w:rPr>
                      <w:rFonts w:hint="eastAsia" w:ascii="Times New Roman" w:hAnsi="Times New Roman" w:eastAsia="宋体" w:cs="Times New Roman"/>
                      <w:color w:val="auto"/>
                      <w:sz w:val="21"/>
                      <w:szCs w:val="21"/>
                      <w:highlight w:val="none"/>
                      <w:lang w:val="en-US" w:eastAsia="zh-CN"/>
                    </w:rPr>
                    <w:t>本项目采取低噪声设备+基础减振+厂房隔声</w:t>
                  </w:r>
                  <w:r>
                    <w:rPr>
                      <w:rFonts w:hint="eastAsia" w:cs="Times New Roman"/>
                      <w:color w:val="auto"/>
                      <w:sz w:val="21"/>
                      <w:szCs w:val="21"/>
                      <w:highlight w:val="none"/>
                      <w:lang w:val="en-US" w:eastAsia="zh-CN"/>
                    </w:rPr>
                    <w:t>。</w:t>
                  </w:r>
                </w:p>
              </w:tc>
              <w:tc>
                <w:tcPr>
                  <w:tcW w:w="647" w:type="pct"/>
                  <w:tcBorders>
                    <w:tl2br w:val="nil"/>
                    <w:tr2bl w:val="nil"/>
                  </w:tcBorders>
                  <w:noWrap w:val="0"/>
                  <w:vAlign w:val="center"/>
                </w:tcPr>
                <w:p w14:paraId="1801E4C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color w:val="auto"/>
                      <w:sz w:val="21"/>
                      <w:szCs w:val="21"/>
                      <w:highlight w:val="none"/>
                      <w:lang w:eastAsia="zh-CN"/>
                    </w:rPr>
                  </w:pPr>
                  <w:r>
                    <w:rPr>
                      <w:rFonts w:hint="eastAsia" w:ascii="Times New Roman" w:hAnsi="Times New Roman" w:cs="Times New Roman"/>
                      <w:color w:val="auto"/>
                      <w:sz w:val="21"/>
                      <w:szCs w:val="21"/>
                      <w:highlight w:val="none"/>
                      <w:lang w:eastAsia="zh-CN"/>
                    </w:rPr>
                    <w:t>符合</w:t>
                  </w:r>
                </w:p>
              </w:tc>
            </w:tr>
          </w:tbl>
          <w:p w14:paraId="67159248">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eastAsia" w:ascii="Times New Roman" w:hAnsi="Times New Roman" w:eastAsia="TimesNewRomanPSMT" w:cs="Times New Roman"/>
                <w:b w:val="0"/>
                <w:bCs w:val="0"/>
                <w:color w:val="000000"/>
                <w:kern w:val="0"/>
                <w:sz w:val="24"/>
                <w:szCs w:val="24"/>
                <w:highlight w:val="none"/>
                <w:lang w:val="en-US" w:eastAsia="zh-CN" w:bidi="ar"/>
              </w:rPr>
            </w:pPr>
            <w:r>
              <w:rPr>
                <w:rFonts w:hint="eastAsia" w:ascii="Times New Roman" w:hAnsi="Times New Roman" w:eastAsia="TimesNewRomanPSMT" w:cs="Times New Roman"/>
                <w:b w:val="0"/>
                <w:bCs w:val="0"/>
                <w:color w:val="000000"/>
                <w:kern w:val="0"/>
                <w:sz w:val="24"/>
                <w:szCs w:val="24"/>
                <w:highlight w:val="none"/>
                <w:lang w:val="en-US" w:eastAsia="zh-CN" w:bidi="ar"/>
              </w:rPr>
              <w:t>综上所述，本项目符合《</w:t>
            </w:r>
            <w:r>
              <w:rPr>
                <w:rFonts w:hint="eastAsia" w:ascii="Times New Roman" w:hAnsi="Times New Roman" w:eastAsia="宋体" w:cs="Times New Roman"/>
                <w:b w:val="0"/>
                <w:bCs w:val="0"/>
                <w:color w:val="auto"/>
                <w:sz w:val="24"/>
                <w:highlight w:val="none"/>
                <w:lang w:val="en-US" w:eastAsia="zh-CN"/>
              </w:rPr>
              <w:t>煤炭采选建设项目环境影响评价文件审批原则</w:t>
            </w:r>
            <w:r>
              <w:rPr>
                <w:rFonts w:hint="eastAsia" w:ascii="Times New Roman" w:hAnsi="Times New Roman" w:eastAsia="TimesNewRomanPSMT" w:cs="Times New Roman"/>
                <w:b w:val="0"/>
                <w:bCs w:val="0"/>
                <w:color w:val="000000"/>
                <w:kern w:val="0"/>
                <w:sz w:val="24"/>
                <w:szCs w:val="24"/>
                <w:highlight w:val="none"/>
                <w:lang w:val="en-US" w:eastAsia="zh-CN" w:bidi="ar"/>
              </w:rPr>
              <w:t>》（试行）中相关政策要求。</w:t>
            </w:r>
          </w:p>
          <w:p w14:paraId="28B1BF99">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eastAsia" w:ascii="Times New Roman" w:hAnsi="Times New Roman" w:eastAsia="TimesNewRomanPSMT" w:cs="Times New Roman"/>
                <w:b w:val="0"/>
                <w:bCs w:val="0"/>
                <w:color w:val="000000"/>
                <w:kern w:val="0"/>
                <w:sz w:val="24"/>
                <w:szCs w:val="24"/>
                <w:highlight w:val="none"/>
                <w:lang w:val="en-US" w:eastAsia="zh-CN" w:bidi="ar"/>
              </w:rPr>
            </w:pPr>
          </w:p>
          <w:p w14:paraId="1541ACE4">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eastAsia" w:ascii="Times New Roman" w:hAnsi="Times New Roman" w:eastAsia="TimesNewRomanPSMT" w:cs="Times New Roman"/>
                <w:b w:val="0"/>
                <w:bCs w:val="0"/>
                <w:color w:val="000000"/>
                <w:kern w:val="0"/>
                <w:sz w:val="24"/>
                <w:szCs w:val="24"/>
                <w:highlight w:val="none"/>
                <w:lang w:val="en-US" w:eastAsia="zh-CN" w:bidi="ar"/>
              </w:rPr>
            </w:pPr>
          </w:p>
          <w:p w14:paraId="3F724151">
            <w:pPr>
              <w:autoSpaceDE w:val="0"/>
              <w:autoSpaceDN w:val="0"/>
              <w:adjustRightInd w:val="0"/>
              <w:snapToGrid w:val="0"/>
              <w:jc w:val="both"/>
              <w:rPr>
                <w:rFonts w:hint="eastAsia" w:ascii="Times New Roman" w:hAnsi="Times New Roman" w:cs="Times New Roman"/>
                <w:sz w:val="24"/>
                <w:szCs w:val="32"/>
                <w:highlight w:val="none"/>
                <w:lang w:val="en-US" w:eastAsia="zh-CN"/>
              </w:rPr>
            </w:pPr>
          </w:p>
        </w:tc>
      </w:tr>
    </w:tbl>
    <w:p w14:paraId="21682F51">
      <w:pPr>
        <w:pStyle w:val="22"/>
        <w:jc w:val="center"/>
        <w:outlineLvl w:val="0"/>
        <w:rPr>
          <w:rFonts w:hint="eastAsia" w:ascii="黑体" w:hAnsi="黑体" w:eastAsia="黑体"/>
          <w:snapToGrid w:val="0"/>
          <w:sz w:val="30"/>
          <w:szCs w:val="30"/>
          <w:highlight w:val="none"/>
        </w:rPr>
        <w:sectPr>
          <w:footerReference r:id="rId7" w:type="default"/>
          <w:pgSz w:w="11906" w:h="16838"/>
          <w:pgMar w:top="1701" w:right="1531" w:bottom="1701" w:left="1531" w:header="851" w:footer="851" w:gutter="0"/>
          <w:pgBorders>
            <w:top w:val="none" w:sz="0" w:space="0"/>
            <w:left w:val="none" w:sz="0" w:space="0"/>
            <w:bottom w:val="none" w:sz="0" w:space="0"/>
            <w:right w:val="none" w:sz="0" w:space="0"/>
          </w:pgBorders>
          <w:pgNumType w:fmt="decimal"/>
          <w:cols w:space="720" w:num="1"/>
          <w:docGrid w:linePitch="312" w:charSpace="0"/>
        </w:sectPr>
      </w:pPr>
    </w:p>
    <w:p w14:paraId="1B2AFD93">
      <w:pPr>
        <w:pStyle w:val="22"/>
        <w:jc w:val="center"/>
        <w:outlineLvl w:val="0"/>
        <w:rPr>
          <w:rFonts w:ascii="黑体" w:hAnsi="黑体" w:eastAsia="黑体"/>
          <w:snapToGrid w:val="0"/>
          <w:sz w:val="30"/>
          <w:szCs w:val="30"/>
          <w:highlight w:val="none"/>
        </w:rPr>
      </w:pPr>
      <w:r>
        <w:rPr>
          <w:rFonts w:hint="eastAsia" w:ascii="黑体" w:hAnsi="黑体" w:eastAsia="黑体"/>
          <w:snapToGrid w:val="0"/>
          <w:sz w:val="30"/>
          <w:szCs w:val="30"/>
          <w:highlight w:val="none"/>
        </w:rPr>
        <w:t>二、建设项目工程分析</w:t>
      </w:r>
      <w:bookmarkEnd w:id="4"/>
    </w:p>
    <w:tbl>
      <w:tblPr>
        <w:tblStyle w:val="25"/>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452"/>
        <w:gridCol w:w="8608"/>
      </w:tblGrid>
      <w:tr w14:paraId="76B6E98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52" w:type="dxa"/>
            <w:noWrap w:val="0"/>
            <w:vAlign w:val="center"/>
          </w:tcPr>
          <w:p w14:paraId="37DF1D1D">
            <w:pPr>
              <w:pStyle w:val="22"/>
              <w:adjustRightInd w:val="0"/>
              <w:snapToGrid w:val="0"/>
              <w:spacing w:before="0" w:beforeAutospacing="0" w:after="0" w:afterAutospacing="0"/>
              <w:jc w:val="center"/>
              <w:rPr>
                <w:rFonts w:cs="宋体"/>
                <w:sz w:val="21"/>
                <w:szCs w:val="21"/>
                <w:highlight w:val="none"/>
              </w:rPr>
            </w:pPr>
            <w:r>
              <w:rPr>
                <w:rFonts w:hint="eastAsia" w:cs="宋体"/>
                <w:sz w:val="21"/>
                <w:szCs w:val="21"/>
                <w:highlight w:val="none"/>
              </w:rPr>
              <w:t>建设内容</w:t>
            </w:r>
          </w:p>
        </w:tc>
        <w:tc>
          <w:tcPr>
            <w:tcW w:w="8608" w:type="dxa"/>
            <w:noWrap w:val="0"/>
            <w:vAlign w:val="top"/>
          </w:tcPr>
          <w:p w14:paraId="6E17FF7D">
            <w:pPr>
              <w:keepNext w:val="0"/>
              <w:keepLines w:val="0"/>
              <w:pageBreakBefore w:val="0"/>
              <w:widowControl/>
              <w:suppressLineNumbers w:val="0"/>
              <w:kinsoku/>
              <w:wordWrap/>
              <w:overflowPunct/>
              <w:topLinePunct w:val="0"/>
              <w:autoSpaceDE/>
              <w:autoSpaceDN/>
              <w:bidi w:val="0"/>
              <w:adjustRightInd/>
              <w:snapToGrid/>
              <w:spacing w:line="500" w:lineRule="exact"/>
              <w:ind w:firstLine="482" w:firstLineChars="200"/>
              <w:jc w:val="left"/>
              <w:textAlignment w:val="auto"/>
              <w:rPr>
                <w:color w:val="auto"/>
                <w:highlight w:val="none"/>
              </w:rPr>
            </w:pPr>
            <w:r>
              <w:rPr>
                <w:rFonts w:ascii="宋体" w:hAnsi="宋体" w:eastAsia="宋体" w:cs="宋体"/>
                <w:b/>
                <w:bCs/>
                <w:color w:val="auto"/>
                <w:kern w:val="0"/>
                <w:sz w:val="24"/>
                <w:szCs w:val="24"/>
                <w:highlight w:val="none"/>
                <w:lang w:val="en-US" w:eastAsia="zh-CN" w:bidi="ar"/>
              </w:rPr>
              <w:t>一、项目由来</w:t>
            </w:r>
          </w:p>
          <w:p w14:paraId="3EAE6942">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sz w:val="24"/>
                <w:szCs w:val="24"/>
                <w:highlight w:val="none"/>
                <w:lang w:val="en-US" w:eastAsia="zh-CN"/>
              </w:rPr>
            </w:pPr>
            <w:r>
              <w:rPr>
                <w:rFonts w:hint="eastAsia" w:ascii="Times New Roman" w:hAnsi="Times New Roman" w:eastAsia="宋体" w:cs="Times New Roman"/>
                <w:sz w:val="24"/>
                <w:szCs w:val="24"/>
                <w:highlight w:val="none"/>
                <w:lang w:val="en-US" w:eastAsia="zh-CN"/>
              </w:rPr>
              <w:t>曹妃甸港作为环渤海地区唯一的天然深水港，是河北沿海的地区性重要港口和我国北方沿海地区煤炭外运、外贸矿石进口及原油运输系统的重要组成部分。《唐山港总体规划》将曹妃甸港区定位为服务我国北方大宗物资转运和环渤海新型工业化基地的大型综合性港区，利用深水岸线资源优势，发展油气、铁矿石等大宗能源、原材料转运、储备、贸易功能，承担“北煤南运”的重要任务。</w:t>
            </w:r>
          </w:p>
          <w:p w14:paraId="4013B962">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sz w:val="24"/>
                <w:szCs w:val="24"/>
                <w:highlight w:val="none"/>
                <w:lang w:val="en-US" w:eastAsia="zh-CN"/>
              </w:rPr>
            </w:pPr>
            <w:r>
              <w:rPr>
                <w:rFonts w:hint="eastAsia" w:ascii="Times New Roman" w:hAnsi="Times New Roman" w:eastAsia="宋体" w:cs="Times New Roman"/>
                <w:sz w:val="24"/>
                <w:szCs w:val="24"/>
                <w:highlight w:val="none"/>
                <w:lang w:val="en-US" w:eastAsia="zh-CN"/>
              </w:rPr>
              <w:t>港口物流园区共包括东港区、西港区、港池岛区、甸头区和化学区五个部分组成，总面积</w:t>
            </w:r>
            <w:r>
              <w:rPr>
                <w:rFonts w:hint="default" w:ascii="Times New Roman" w:hAnsi="Times New Roman" w:eastAsia="宋体" w:cs="Times New Roman"/>
                <w:sz w:val="24"/>
                <w:szCs w:val="24"/>
                <w:highlight w:val="none"/>
                <w:lang w:val="en-US" w:eastAsia="zh-CN"/>
              </w:rPr>
              <w:t>60.57km</w:t>
            </w:r>
            <w:r>
              <w:rPr>
                <w:rFonts w:hint="default" w:ascii="Times New Roman" w:hAnsi="Times New Roman" w:eastAsia="宋体" w:cs="Times New Roman"/>
                <w:sz w:val="24"/>
                <w:szCs w:val="24"/>
                <w:highlight w:val="none"/>
                <w:vertAlign w:val="superscript"/>
                <w:lang w:val="en-US" w:eastAsia="zh-CN"/>
              </w:rPr>
              <w:t>2</w:t>
            </w:r>
            <w:r>
              <w:rPr>
                <w:rFonts w:hint="eastAsia" w:ascii="Times New Roman" w:hAnsi="Times New Roman" w:eastAsia="宋体" w:cs="Times New Roman"/>
                <w:sz w:val="24"/>
                <w:szCs w:val="24"/>
                <w:highlight w:val="none"/>
                <w:lang w:val="en-US" w:eastAsia="zh-CN"/>
              </w:rPr>
              <w:t>。西港区位于中区二港池西岸，面积</w:t>
            </w:r>
            <w:r>
              <w:rPr>
                <w:rFonts w:hint="default" w:ascii="Times New Roman" w:hAnsi="Times New Roman" w:eastAsia="宋体" w:cs="Times New Roman"/>
                <w:sz w:val="24"/>
                <w:szCs w:val="24"/>
                <w:highlight w:val="none"/>
                <w:lang w:val="en-US" w:eastAsia="zh-CN"/>
              </w:rPr>
              <w:t>10.257km</w:t>
            </w:r>
            <w:r>
              <w:rPr>
                <w:rFonts w:hint="default" w:ascii="Times New Roman" w:hAnsi="Times New Roman" w:eastAsia="宋体" w:cs="Times New Roman"/>
                <w:sz w:val="24"/>
                <w:szCs w:val="24"/>
                <w:highlight w:val="none"/>
                <w:vertAlign w:val="superscript"/>
                <w:lang w:val="en-US" w:eastAsia="zh-CN"/>
              </w:rPr>
              <w:t>2</w:t>
            </w:r>
            <w:r>
              <w:rPr>
                <w:rFonts w:hint="eastAsia" w:ascii="Times New Roman" w:hAnsi="Times New Roman" w:eastAsia="宋体" w:cs="Times New Roman"/>
                <w:sz w:val="24"/>
                <w:szCs w:val="24"/>
                <w:highlight w:val="none"/>
                <w:lang w:val="en-US" w:eastAsia="zh-CN"/>
              </w:rPr>
              <w:t>，岸线总长</w:t>
            </w:r>
            <w:r>
              <w:rPr>
                <w:rFonts w:hint="default" w:ascii="Times New Roman" w:hAnsi="Times New Roman" w:eastAsia="宋体" w:cs="Times New Roman"/>
                <w:sz w:val="24"/>
                <w:szCs w:val="24"/>
                <w:highlight w:val="none"/>
                <w:lang w:val="en-US" w:eastAsia="zh-CN"/>
              </w:rPr>
              <w:t>45</w:t>
            </w:r>
            <w:r>
              <w:rPr>
                <w:rFonts w:hint="eastAsia" w:cs="Times New Roman"/>
                <w:sz w:val="24"/>
                <w:szCs w:val="24"/>
                <w:highlight w:val="none"/>
                <w:lang w:val="en-US" w:eastAsia="zh-CN"/>
              </w:rPr>
              <w:t>25m</w:t>
            </w:r>
            <w:r>
              <w:rPr>
                <w:rFonts w:hint="eastAsia" w:ascii="Times New Roman" w:hAnsi="Times New Roman" w:eastAsia="宋体" w:cs="Times New Roman"/>
                <w:sz w:val="24"/>
                <w:szCs w:val="24"/>
                <w:highlight w:val="none"/>
                <w:lang w:val="en-US" w:eastAsia="zh-CN"/>
              </w:rPr>
              <w:t>，岸线中段现状已建设</w:t>
            </w:r>
            <w:r>
              <w:rPr>
                <w:rFonts w:hint="default" w:ascii="Times New Roman" w:hAnsi="Times New Roman" w:eastAsia="宋体" w:cs="Times New Roman"/>
                <w:sz w:val="24"/>
                <w:szCs w:val="24"/>
                <w:highlight w:val="none"/>
                <w:lang w:val="en-US" w:eastAsia="zh-CN"/>
              </w:rPr>
              <w:t>6</w:t>
            </w:r>
            <w:r>
              <w:rPr>
                <w:rFonts w:hint="eastAsia" w:ascii="Times New Roman" w:hAnsi="Times New Roman" w:eastAsia="宋体" w:cs="Times New Roman"/>
                <w:sz w:val="24"/>
                <w:szCs w:val="24"/>
                <w:highlight w:val="none"/>
                <w:lang w:val="en-US" w:eastAsia="zh-CN"/>
              </w:rPr>
              <w:t>个</w:t>
            </w:r>
            <w:r>
              <w:rPr>
                <w:rFonts w:hint="default" w:ascii="Times New Roman" w:hAnsi="Times New Roman" w:eastAsia="宋体" w:cs="Times New Roman"/>
                <w:sz w:val="24"/>
                <w:szCs w:val="24"/>
                <w:highlight w:val="none"/>
                <w:lang w:val="en-US" w:eastAsia="zh-CN"/>
              </w:rPr>
              <w:t>5</w:t>
            </w:r>
            <w:r>
              <w:rPr>
                <w:rFonts w:hint="eastAsia" w:ascii="Times New Roman" w:hAnsi="Times New Roman" w:eastAsia="宋体" w:cs="Times New Roman"/>
                <w:sz w:val="24"/>
                <w:szCs w:val="24"/>
                <w:highlight w:val="none"/>
                <w:lang w:val="en-US" w:eastAsia="zh-CN"/>
              </w:rPr>
              <w:t>万吨级件杂货泊位，岸线长度</w:t>
            </w:r>
            <w:r>
              <w:rPr>
                <w:rFonts w:hint="default" w:ascii="Times New Roman" w:hAnsi="Times New Roman" w:eastAsia="宋体" w:cs="Times New Roman"/>
                <w:sz w:val="24"/>
                <w:szCs w:val="24"/>
                <w:highlight w:val="none"/>
                <w:lang w:val="en-US" w:eastAsia="zh-CN"/>
              </w:rPr>
              <w:t>1513m</w:t>
            </w:r>
            <w:r>
              <w:rPr>
                <w:rFonts w:hint="eastAsia" w:ascii="Times New Roman" w:hAnsi="Times New Roman" w:eastAsia="宋体" w:cs="Times New Roman"/>
                <w:sz w:val="24"/>
                <w:szCs w:val="24"/>
                <w:highlight w:val="none"/>
                <w:lang w:val="en-US" w:eastAsia="zh-CN"/>
              </w:rPr>
              <w:t>；剩余</w:t>
            </w:r>
            <w:r>
              <w:rPr>
                <w:rFonts w:hint="default" w:ascii="Times New Roman" w:hAnsi="Times New Roman" w:eastAsia="宋体" w:cs="Times New Roman"/>
                <w:sz w:val="24"/>
                <w:szCs w:val="24"/>
                <w:highlight w:val="none"/>
                <w:lang w:val="en-US" w:eastAsia="zh-CN"/>
              </w:rPr>
              <w:t>3103m</w:t>
            </w:r>
            <w:r>
              <w:rPr>
                <w:rFonts w:hint="eastAsia" w:ascii="Times New Roman" w:hAnsi="Times New Roman" w:eastAsia="宋体" w:cs="Times New Roman"/>
                <w:sz w:val="24"/>
                <w:szCs w:val="24"/>
                <w:highlight w:val="none"/>
                <w:lang w:val="en-US" w:eastAsia="zh-CN"/>
              </w:rPr>
              <w:t>岸线为远景预留岸线。其功能定位为以发展件杂货装卸及物流仓储、粮糖和冷链物流及加工、以及石油开采等为主要功能。</w:t>
            </w:r>
          </w:p>
          <w:p w14:paraId="06409D68">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b w:val="0"/>
                <w:bCs w:val="0"/>
                <w:color w:val="000000"/>
                <w:kern w:val="0"/>
                <w:sz w:val="24"/>
                <w:szCs w:val="24"/>
                <w:highlight w:val="none"/>
                <w:lang w:val="en-US" w:eastAsia="zh-CN" w:bidi="ar"/>
              </w:rPr>
            </w:pPr>
            <w:r>
              <w:rPr>
                <w:rFonts w:hint="eastAsia" w:ascii="Times New Roman" w:hAnsi="Times New Roman" w:eastAsia="宋体" w:cs="Times New Roman"/>
                <w:b w:val="0"/>
                <w:bCs w:val="0"/>
                <w:color w:val="000000"/>
                <w:kern w:val="0"/>
                <w:sz w:val="24"/>
                <w:szCs w:val="24"/>
                <w:highlight w:val="none"/>
                <w:lang w:val="en-US" w:eastAsia="zh-CN" w:bidi="ar"/>
              </w:rPr>
              <w:t>目前，煤炭主要用于发电用煤、建材用煤、冶金用煤、生活用煤、一般工业锅炉用煤及其他。发电用煤即为电煤，所占比例最大，电厂利用煤的热值把热量转化为电能，把一次能源煤炭转化为二次清洁能源电力，占比约</w:t>
            </w:r>
            <w:r>
              <w:rPr>
                <w:rFonts w:hint="default" w:ascii="Times New Roman" w:hAnsi="Times New Roman" w:eastAsia="宋体" w:cs="Times New Roman"/>
                <w:b w:val="0"/>
                <w:bCs w:val="0"/>
                <w:color w:val="000000"/>
                <w:kern w:val="0"/>
                <w:sz w:val="24"/>
                <w:szCs w:val="24"/>
                <w:highlight w:val="none"/>
                <w:lang w:val="en-US" w:eastAsia="zh-CN" w:bidi="ar"/>
              </w:rPr>
              <w:t>40%</w:t>
            </w:r>
            <w:r>
              <w:rPr>
                <w:rFonts w:hint="eastAsia" w:ascii="Times New Roman" w:hAnsi="Times New Roman" w:eastAsia="宋体" w:cs="Times New Roman"/>
                <w:b w:val="0"/>
                <w:bCs w:val="0"/>
                <w:color w:val="000000"/>
                <w:kern w:val="0"/>
                <w:sz w:val="24"/>
                <w:szCs w:val="24"/>
                <w:highlight w:val="none"/>
                <w:lang w:val="en-US" w:eastAsia="zh-CN" w:bidi="ar"/>
              </w:rPr>
              <w:t>。由于我国原煤主要出自山西、陕西、内蒙等西部地区，而消费结构主要为长江中下游地区和东南沿海地区，形成的西煤东运，北煤南运的格局长期存在，致使煤炭从地下采出到终端消费，运输环节较多，费用较高。采用铁水联合运输方式将取代原有的公路长距离调运的粗放式局面，节约运输成本的同时对生态环境及交通运输环境负面影响极小。</w:t>
            </w:r>
          </w:p>
          <w:p w14:paraId="5EC088C4">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b w:val="0"/>
                <w:bCs w:val="0"/>
                <w:color w:val="000000"/>
                <w:kern w:val="0"/>
                <w:sz w:val="24"/>
                <w:szCs w:val="24"/>
                <w:highlight w:val="none"/>
                <w:lang w:val="en-US" w:eastAsia="zh-CN" w:bidi="ar"/>
              </w:rPr>
            </w:pPr>
            <w:r>
              <w:rPr>
                <w:rFonts w:hint="eastAsia" w:ascii="Times New Roman" w:hAnsi="Times New Roman" w:eastAsia="宋体" w:cs="Times New Roman"/>
                <w:b w:val="0"/>
                <w:bCs w:val="0"/>
                <w:color w:val="000000"/>
                <w:kern w:val="0"/>
                <w:sz w:val="24"/>
                <w:szCs w:val="24"/>
                <w:highlight w:val="none"/>
                <w:lang w:val="en-US" w:eastAsia="zh-CN" w:bidi="ar"/>
              </w:rPr>
              <w:t>将山西、内蒙、陕西地区的煤炭通过铁路运输至曹妃甸港区，依托曹妃甸西港码头下水为广东、福建、浙江、江苏等沿海城市电厂提供专业煤炭，项目建设是填补曹妃甸港作为“北煤南运”重要枢纽的建设需要，也是促进腹地产业发展、推动港口产业集聚的必然选择。本项目建设符合国家的产业政策，符合国家、省、市政策，也符合曹妃甸区、港口物流园区总体规划，有利于促进城市经济和社会发展，项目建设是必要的，对园区发展具有正效益。</w:t>
            </w:r>
          </w:p>
          <w:p w14:paraId="21E37460">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cs="Times New Roman"/>
                <w:b w:val="0"/>
                <w:bCs w:val="0"/>
                <w:color w:val="000000"/>
                <w:kern w:val="0"/>
                <w:sz w:val="24"/>
                <w:szCs w:val="24"/>
                <w:highlight w:val="none"/>
                <w:vertAlign w:val="baseline"/>
                <w:lang w:val="en-US" w:eastAsia="zh-CN" w:bidi="ar"/>
              </w:rPr>
            </w:pPr>
            <w:r>
              <w:rPr>
                <w:rFonts w:hint="default" w:ascii="Times New Roman" w:hAnsi="Times New Roman" w:cs="Times New Roman"/>
                <w:b w:val="0"/>
                <w:bCs w:val="0"/>
                <w:color w:val="000000"/>
                <w:kern w:val="0"/>
                <w:sz w:val="24"/>
                <w:szCs w:val="24"/>
                <w:highlight w:val="none"/>
                <w:lang w:val="en-US" w:eastAsia="zh-CN" w:bidi="ar"/>
              </w:rPr>
              <w:t>唐山曹妃甸区粤蒙盛物流有限公司</w:t>
            </w:r>
            <w:r>
              <w:rPr>
                <w:rFonts w:hint="default" w:ascii="Times New Roman" w:hAnsi="Times New Roman" w:eastAsia="宋体" w:cs="Times New Roman"/>
                <w:b w:val="0"/>
                <w:bCs w:val="0"/>
                <w:color w:val="000000"/>
                <w:kern w:val="0"/>
                <w:sz w:val="24"/>
                <w:szCs w:val="24"/>
                <w:highlight w:val="none"/>
                <w:lang w:val="en-US" w:eastAsia="zh-CN" w:bidi="ar"/>
              </w:rPr>
              <w:t>，</w:t>
            </w:r>
            <w:r>
              <w:rPr>
                <w:rFonts w:hint="default" w:ascii="Times New Roman" w:hAnsi="Times New Roman" w:cs="Times New Roman"/>
                <w:b w:val="0"/>
                <w:bCs w:val="0"/>
                <w:color w:val="000000"/>
                <w:kern w:val="0"/>
                <w:sz w:val="24"/>
                <w:szCs w:val="24"/>
                <w:highlight w:val="none"/>
                <w:lang w:val="en-US" w:eastAsia="zh-CN" w:bidi="ar"/>
              </w:rPr>
              <w:t>成立于2022年，在</w:t>
            </w:r>
            <w:r>
              <w:rPr>
                <w:rFonts w:hint="default" w:ascii="Times New Roman" w:hAnsi="Times New Roman" w:cs="Times New Roman"/>
                <w:sz w:val="24"/>
                <w:szCs w:val="24"/>
                <w:highlight w:val="none"/>
                <w:lang w:val="en-US" w:eastAsia="zh-CN"/>
              </w:rPr>
              <w:t>唐山市曹妃甸港口物流园区投资117108万元，</w:t>
            </w:r>
            <w:r>
              <w:rPr>
                <w:rFonts w:hint="eastAsia" w:cs="Times New Roman"/>
                <w:b w:val="0"/>
                <w:bCs w:val="0"/>
                <w:color w:val="000000"/>
                <w:kern w:val="0"/>
                <w:sz w:val="24"/>
                <w:szCs w:val="24"/>
                <w:highlight w:val="none"/>
                <w:lang w:val="en-US" w:eastAsia="zh-CN" w:bidi="ar"/>
              </w:rPr>
              <w:t>建设</w:t>
            </w:r>
            <w:r>
              <w:rPr>
                <w:rFonts w:hint="eastAsia" w:cs="Times New Roman"/>
                <w:sz w:val="24"/>
                <w:szCs w:val="24"/>
                <w:highlight w:val="none"/>
                <w:lang w:val="en-US" w:eastAsia="zh-CN"/>
              </w:rPr>
              <w:t>综合楼、办公楼、仓储车间、配煤车间、破碎车间、检测楼及其相关配套辅助设施</w:t>
            </w:r>
            <w:r>
              <w:rPr>
                <w:rFonts w:hint="default" w:ascii="Times New Roman" w:hAnsi="Times New Roman" w:cs="Times New Roman"/>
                <w:sz w:val="24"/>
                <w:szCs w:val="24"/>
                <w:highlight w:val="none"/>
                <w:lang w:val="en-US" w:eastAsia="zh-CN"/>
              </w:rPr>
              <w:t>，购置吊车、电动铲车、</w:t>
            </w:r>
            <w:r>
              <w:rPr>
                <w:rFonts w:hint="eastAsia" w:cs="Times New Roman"/>
                <w:sz w:val="24"/>
                <w:szCs w:val="24"/>
                <w:highlight w:val="none"/>
                <w:lang w:val="en-US" w:eastAsia="zh-CN"/>
              </w:rPr>
              <w:t>叉车、</w:t>
            </w:r>
            <w:r>
              <w:rPr>
                <w:rFonts w:hint="default" w:ascii="Times New Roman" w:hAnsi="Times New Roman" w:cs="Times New Roman"/>
                <w:sz w:val="24"/>
                <w:szCs w:val="24"/>
                <w:highlight w:val="none"/>
                <w:lang w:val="en-US" w:eastAsia="zh-CN"/>
              </w:rPr>
              <w:t>新能源电动牵引车及电动翻斗车等设备及相关配套辅助设备等，项目建成后最大存储量可达100万吨，年周转量500万吨、其中钢材等杂货年周转量</w:t>
            </w:r>
            <w:r>
              <w:rPr>
                <w:rFonts w:hint="default" w:ascii="Times New Roman" w:hAnsi="Times New Roman" w:cs="Times New Roman"/>
                <w:b w:val="0"/>
                <w:bCs w:val="0"/>
                <w:color w:val="000000"/>
                <w:kern w:val="0"/>
                <w:sz w:val="24"/>
                <w:szCs w:val="24"/>
                <w:highlight w:val="none"/>
                <w:vertAlign w:val="baseline"/>
                <w:lang w:val="en-US" w:eastAsia="zh-CN" w:bidi="ar"/>
              </w:rPr>
              <w:t>400万吨，煤炭、矿建材料等散货年周转量100万吨的规模。</w:t>
            </w:r>
          </w:p>
          <w:p w14:paraId="6E186C60">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cs="Times New Roman"/>
                <w:b w:val="0"/>
                <w:bCs w:val="0"/>
                <w:color w:val="000000"/>
                <w:kern w:val="0"/>
                <w:sz w:val="24"/>
                <w:szCs w:val="24"/>
                <w:highlight w:val="none"/>
                <w:vertAlign w:val="baseline"/>
                <w:lang w:val="en-US" w:eastAsia="zh-CN" w:bidi="ar"/>
              </w:rPr>
            </w:pPr>
            <w:r>
              <w:rPr>
                <w:rFonts w:hint="default" w:ascii="Times New Roman" w:hAnsi="Times New Roman" w:cs="Times New Roman"/>
                <w:b w:val="0"/>
                <w:bCs w:val="0"/>
                <w:color w:val="000000"/>
                <w:kern w:val="0"/>
                <w:sz w:val="24"/>
                <w:szCs w:val="24"/>
                <w:highlight w:val="none"/>
                <w:vertAlign w:val="baseline"/>
                <w:lang w:val="en-US" w:eastAsia="zh-CN" w:bidi="ar"/>
              </w:rPr>
              <w:t>根据《中华人民共和国环境影响评价法》、《建设项目环境保护管理条例》（国务院第682号令）、《建设项目环境影响评价分类管理名录（2021年版）》的有关规定，该项目属于《建设项目环境影响评价分类管理名录（2021年版）》中“四、煤炭开采和洗选业</w:t>
            </w:r>
            <w:r>
              <w:rPr>
                <w:rFonts w:hint="eastAsia" w:cs="Times New Roman"/>
                <w:b w:val="0"/>
                <w:bCs w:val="0"/>
                <w:color w:val="000000"/>
                <w:kern w:val="0"/>
                <w:sz w:val="24"/>
                <w:szCs w:val="24"/>
                <w:highlight w:val="none"/>
                <w:vertAlign w:val="baseline"/>
                <w:lang w:val="en-US" w:eastAsia="zh-CN" w:bidi="ar"/>
              </w:rPr>
              <w:t xml:space="preserve"> </w:t>
            </w:r>
            <w:r>
              <w:rPr>
                <w:rFonts w:hint="default" w:ascii="Times New Roman" w:hAnsi="Times New Roman" w:cs="Times New Roman"/>
                <w:b w:val="0"/>
                <w:bCs w:val="0"/>
                <w:color w:val="000000"/>
                <w:kern w:val="0"/>
                <w:sz w:val="24"/>
                <w:szCs w:val="24"/>
                <w:highlight w:val="none"/>
                <w:vertAlign w:val="baseline"/>
                <w:lang w:val="en-US" w:eastAsia="zh-CN" w:bidi="ar"/>
              </w:rPr>
              <w:t>06</w:t>
            </w:r>
            <w:r>
              <w:rPr>
                <w:rFonts w:hint="eastAsia" w:cs="Times New Roman"/>
                <w:b w:val="0"/>
                <w:bCs w:val="0"/>
                <w:color w:val="000000"/>
                <w:kern w:val="0"/>
                <w:sz w:val="24"/>
                <w:szCs w:val="24"/>
                <w:highlight w:val="none"/>
                <w:vertAlign w:val="baseline"/>
                <w:lang w:val="en-US" w:eastAsia="zh-CN" w:bidi="ar"/>
              </w:rPr>
              <w:t xml:space="preserve"> </w:t>
            </w:r>
            <w:r>
              <w:rPr>
                <w:rFonts w:hint="default" w:ascii="Times New Roman" w:hAnsi="Times New Roman" w:cs="Times New Roman"/>
                <w:b w:val="0"/>
                <w:bCs w:val="0"/>
                <w:color w:val="000000"/>
                <w:kern w:val="0"/>
                <w:sz w:val="24"/>
                <w:szCs w:val="24"/>
                <w:highlight w:val="none"/>
                <w:vertAlign w:val="baseline"/>
                <w:lang w:val="en-US" w:eastAsia="zh-CN" w:bidi="ar"/>
              </w:rPr>
              <w:t>烟煤和无烟煤开采洗选</w:t>
            </w:r>
            <w:r>
              <w:rPr>
                <w:rFonts w:hint="eastAsia" w:cs="Times New Roman"/>
                <w:b w:val="0"/>
                <w:bCs w:val="0"/>
                <w:color w:val="000000"/>
                <w:kern w:val="0"/>
                <w:sz w:val="24"/>
                <w:szCs w:val="24"/>
                <w:highlight w:val="none"/>
                <w:vertAlign w:val="baseline"/>
                <w:lang w:val="en-US" w:eastAsia="zh-CN" w:bidi="ar"/>
              </w:rPr>
              <w:t xml:space="preserve"> </w:t>
            </w:r>
            <w:r>
              <w:rPr>
                <w:rFonts w:hint="default" w:ascii="Times New Roman" w:hAnsi="Times New Roman" w:cs="Times New Roman"/>
                <w:b w:val="0"/>
                <w:bCs w:val="0"/>
                <w:color w:val="000000"/>
                <w:kern w:val="0"/>
                <w:sz w:val="24"/>
                <w:szCs w:val="24"/>
                <w:highlight w:val="none"/>
                <w:vertAlign w:val="baseline"/>
                <w:lang w:val="en-US" w:eastAsia="zh-CN" w:bidi="ar"/>
              </w:rPr>
              <w:t>061</w:t>
            </w:r>
            <w:r>
              <w:rPr>
                <w:rFonts w:hint="eastAsia" w:cs="Times New Roman"/>
                <w:b w:val="0"/>
                <w:bCs w:val="0"/>
                <w:color w:val="000000"/>
                <w:kern w:val="0"/>
                <w:sz w:val="24"/>
                <w:szCs w:val="24"/>
                <w:highlight w:val="none"/>
                <w:vertAlign w:val="baseline"/>
                <w:lang w:val="en-US" w:eastAsia="zh-CN" w:bidi="ar"/>
              </w:rPr>
              <w:t xml:space="preserve"> </w:t>
            </w:r>
            <w:r>
              <w:rPr>
                <w:rFonts w:hint="default" w:ascii="Times New Roman" w:hAnsi="Times New Roman" w:cs="Times New Roman"/>
                <w:b w:val="0"/>
                <w:bCs w:val="0"/>
                <w:color w:val="000000"/>
                <w:kern w:val="0"/>
                <w:sz w:val="24"/>
                <w:szCs w:val="24"/>
                <w:highlight w:val="none"/>
                <w:vertAlign w:val="baseline"/>
                <w:lang w:val="en-US" w:eastAsia="zh-CN" w:bidi="ar"/>
              </w:rPr>
              <w:t>“</w:t>
            </w:r>
            <w:r>
              <w:rPr>
                <w:rFonts w:hint="eastAsia" w:cs="Times New Roman"/>
                <w:b w:val="0"/>
                <w:bCs w:val="0"/>
                <w:color w:val="000000"/>
                <w:kern w:val="0"/>
                <w:sz w:val="24"/>
                <w:szCs w:val="24"/>
                <w:highlight w:val="none"/>
                <w:vertAlign w:val="baseline"/>
                <w:lang w:val="en-US" w:eastAsia="zh-CN" w:bidi="ar"/>
              </w:rPr>
              <w:t>煤炭洗选、配煤；煤炭储存、集运</w:t>
            </w:r>
            <w:r>
              <w:rPr>
                <w:rFonts w:hint="default" w:ascii="Times New Roman" w:hAnsi="Times New Roman" w:cs="Times New Roman"/>
                <w:b w:val="0"/>
                <w:bCs w:val="0"/>
                <w:color w:val="000000"/>
                <w:kern w:val="0"/>
                <w:sz w:val="24"/>
                <w:szCs w:val="24"/>
                <w:highlight w:val="none"/>
                <w:vertAlign w:val="baseline"/>
                <w:lang w:val="en-US" w:eastAsia="zh-CN" w:bidi="ar"/>
              </w:rPr>
              <w:t>”</w:t>
            </w:r>
            <w:r>
              <w:rPr>
                <w:rFonts w:hint="eastAsia"/>
                <w:lang w:eastAsia="zh-CN"/>
              </w:rPr>
              <w:t>，</w:t>
            </w:r>
            <w:r>
              <w:rPr>
                <w:rFonts w:hint="default" w:ascii="Times New Roman" w:hAnsi="Times New Roman" w:cs="Times New Roman"/>
                <w:b w:val="0"/>
                <w:bCs w:val="0"/>
                <w:color w:val="000000"/>
                <w:kern w:val="0"/>
                <w:sz w:val="24"/>
                <w:szCs w:val="24"/>
                <w:highlight w:val="none"/>
                <w:vertAlign w:val="baseline"/>
                <w:lang w:val="en-US" w:eastAsia="zh-CN" w:bidi="ar"/>
              </w:rPr>
              <w:t>应编制环境影响报告表。</w:t>
            </w:r>
          </w:p>
          <w:p w14:paraId="5A0A3ED7">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ascii="宋体" w:hAnsi="宋体" w:eastAsia="宋体" w:cs="宋体"/>
                <w:b w:val="0"/>
                <w:bCs w:val="0"/>
                <w:color w:val="000000"/>
                <w:kern w:val="0"/>
                <w:sz w:val="24"/>
                <w:szCs w:val="24"/>
                <w:highlight w:val="none"/>
                <w:lang w:val="en-US" w:eastAsia="zh-CN" w:bidi="ar"/>
              </w:rPr>
            </w:pPr>
            <w:r>
              <w:rPr>
                <w:rFonts w:hint="default" w:ascii="Times New Roman" w:hAnsi="Times New Roman" w:cs="Times New Roman"/>
                <w:b w:val="0"/>
                <w:bCs w:val="0"/>
                <w:color w:val="000000"/>
                <w:kern w:val="0"/>
                <w:sz w:val="24"/>
                <w:szCs w:val="24"/>
                <w:highlight w:val="none"/>
                <w:vertAlign w:val="baseline"/>
                <w:lang w:val="en-US" w:eastAsia="zh-CN" w:bidi="ar"/>
              </w:rPr>
              <w:t>根据《中华人民共和国环境影响评价法》和《建设项目环境保护管理条例》，唐山曹妃甸区粤蒙盛物流有限公司委托唐山谛炜环保科技有限公司对该项目进行环境影响评价。评价单位</w:t>
            </w:r>
            <w:r>
              <w:rPr>
                <w:rFonts w:hint="default" w:ascii="Times New Roman" w:hAnsi="Times New Roman" w:eastAsia="宋体" w:cs="Times New Roman"/>
                <w:b w:val="0"/>
                <w:bCs w:val="0"/>
                <w:color w:val="000000"/>
                <w:kern w:val="0"/>
                <w:sz w:val="24"/>
                <w:szCs w:val="24"/>
                <w:highlight w:val="none"/>
                <w:lang w:val="en-US" w:eastAsia="zh-CN" w:bidi="ar"/>
              </w:rPr>
              <w:t>接受委托后，公司人员立即对项目建设地进行现场踏勘、收集资料及其他相关工作，根据《建设项目环境影响报告表编制技术指南（污染影响类）（试行）》及相关技术规范，编制完成了本项目的环境影响报告表。</w:t>
            </w:r>
          </w:p>
          <w:p w14:paraId="512718D2">
            <w:pPr>
              <w:keepNext w:val="0"/>
              <w:keepLines w:val="0"/>
              <w:pageBreakBefore w:val="0"/>
              <w:widowControl/>
              <w:suppressLineNumbers w:val="0"/>
              <w:kinsoku/>
              <w:wordWrap/>
              <w:overflowPunct/>
              <w:topLinePunct w:val="0"/>
              <w:autoSpaceDE/>
              <w:autoSpaceDN/>
              <w:bidi w:val="0"/>
              <w:adjustRightInd/>
              <w:snapToGrid/>
              <w:spacing w:line="500" w:lineRule="exact"/>
              <w:ind w:firstLine="482" w:firstLineChars="200"/>
              <w:jc w:val="both"/>
              <w:textAlignment w:val="auto"/>
              <w:rPr>
                <w:rFonts w:hint="default" w:ascii="Times New Roman" w:hAnsi="Times New Roman" w:eastAsia="宋体" w:cs="Times New Roman"/>
                <w:b/>
                <w:bCs/>
                <w:color w:val="000000"/>
                <w:kern w:val="0"/>
                <w:sz w:val="24"/>
                <w:szCs w:val="24"/>
                <w:highlight w:val="none"/>
                <w:lang w:val="en-US" w:eastAsia="zh-CN" w:bidi="ar"/>
              </w:rPr>
            </w:pPr>
            <w:r>
              <w:rPr>
                <w:rFonts w:hint="eastAsia" w:ascii="宋体" w:hAnsi="宋体" w:cs="宋体"/>
                <w:b/>
                <w:bCs/>
                <w:color w:val="000000"/>
                <w:kern w:val="0"/>
                <w:sz w:val="24"/>
                <w:szCs w:val="24"/>
                <w:highlight w:val="none"/>
                <w:lang w:val="en-US" w:eastAsia="zh-CN" w:bidi="ar"/>
              </w:rPr>
              <w:t>二</w:t>
            </w:r>
            <w:r>
              <w:rPr>
                <w:rFonts w:hint="eastAsia" w:ascii="宋体" w:hAnsi="宋体" w:eastAsia="宋体" w:cs="宋体"/>
                <w:b/>
                <w:bCs/>
                <w:color w:val="000000"/>
                <w:kern w:val="0"/>
                <w:sz w:val="24"/>
                <w:szCs w:val="24"/>
                <w:highlight w:val="none"/>
                <w:lang w:val="en-US" w:eastAsia="zh-CN" w:bidi="ar"/>
              </w:rPr>
              <w:t>、</w:t>
            </w:r>
            <w:r>
              <w:rPr>
                <w:rFonts w:hint="eastAsia" w:cs="Times New Roman"/>
                <w:b/>
                <w:bCs/>
                <w:color w:val="000000"/>
                <w:kern w:val="0"/>
                <w:sz w:val="24"/>
                <w:szCs w:val="24"/>
                <w:highlight w:val="none"/>
                <w:lang w:val="en-US" w:eastAsia="zh-CN" w:bidi="ar"/>
              </w:rPr>
              <w:t>基本情况</w:t>
            </w:r>
          </w:p>
          <w:p w14:paraId="5E46032D">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eastAsia" w:cs="Times New Roman"/>
                <w:sz w:val="24"/>
                <w:szCs w:val="24"/>
                <w:highlight w:val="none"/>
                <w:lang w:val="en-US" w:eastAsia="zh-CN"/>
              </w:rPr>
            </w:pPr>
            <w:r>
              <w:rPr>
                <w:rFonts w:hint="eastAsia" w:cs="Times New Roman"/>
                <w:sz w:val="24"/>
                <w:szCs w:val="24"/>
                <w:highlight w:val="none"/>
                <w:lang w:val="en-US" w:eastAsia="zh-CN"/>
              </w:rPr>
              <w:t>（1）项目名称：粤蒙盛现代物流项目</w:t>
            </w:r>
          </w:p>
          <w:p w14:paraId="0F84AA14">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eastAsia" w:cs="Times New Roman"/>
                <w:sz w:val="24"/>
                <w:szCs w:val="24"/>
                <w:highlight w:val="none"/>
                <w:lang w:val="en-US" w:eastAsia="zh-CN"/>
              </w:rPr>
            </w:pPr>
            <w:r>
              <w:rPr>
                <w:rFonts w:hint="eastAsia" w:cs="Times New Roman"/>
                <w:sz w:val="24"/>
                <w:szCs w:val="24"/>
                <w:highlight w:val="none"/>
                <w:lang w:val="en-US" w:eastAsia="zh-CN"/>
              </w:rPr>
              <w:t>（2）建设单位</w:t>
            </w:r>
            <w:r>
              <w:rPr>
                <w:rFonts w:hint="default" w:cs="Times New Roman"/>
                <w:sz w:val="24"/>
                <w:szCs w:val="24"/>
                <w:highlight w:val="none"/>
                <w:lang w:val="en-US" w:eastAsia="zh-CN"/>
              </w:rPr>
              <w:t>：</w:t>
            </w:r>
            <w:r>
              <w:rPr>
                <w:rFonts w:hint="eastAsia" w:cs="Times New Roman"/>
                <w:sz w:val="24"/>
                <w:szCs w:val="24"/>
                <w:highlight w:val="none"/>
                <w:lang w:val="en-US" w:eastAsia="zh-CN"/>
              </w:rPr>
              <w:t>唐山市曹妃甸港口物流园区</w:t>
            </w:r>
          </w:p>
          <w:p w14:paraId="1CE7717E">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eastAsia" w:cs="Times New Roman"/>
                <w:sz w:val="24"/>
                <w:szCs w:val="24"/>
                <w:highlight w:val="none"/>
                <w:lang w:val="en-US" w:eastAsia="zh-CN"/>
              </w:rPr>
            </w:pPr>
            <w:r>
              <w:rPr>
                <w:rFonts w:hint="eastAsia" w:cs="Times New Roman"/>
                <w:sz w:val="24"/>
                <w:szCs w:val="24"/>
                <w:highlight w:val="none"/>
                <w:lang w:val="en-US" w:eastAsia="zh-CN"/>
              </w:rPr>
              <w:t>（3）建设性质：新建</w:t>
            </w:r>
          </w:p>
          <w:p w14:paraId="3FA21B7F">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eastAsia" w:cs="Times New Roman"/>
                <w:sz w:val="24"/>
                <w:szCs w:val="24"/>
                <w:highlight w:val="none"/>
                <w:lang w:val="en-US" w:eastAsia="zh-CN"/>
              </w:rPr>
            </w:pPr>
            <w:r>
              <w:rPr>
                <w:rFonts w:hint="eastAsia" w:cs="Times New Roman"/>
                <w:sz w:val="24"/>
                <w:szCs w:val="24"/>
                <w:highlight w:val="none"/>
                <w:lang w:val="en-US" w:eastAsia="zh-CN"/>
              </w:rPr>
              <w:t>（4）建设地点：唐山市曹妃甸港口物流园区，厂址中心地理坐标为</w:t>
            </w:r>
            <w:r>
              <w:rPr>
                <w:rFonts w:hint="default" w:ascii="Times New Roman" w:hAnsi="Times New Roman" w:eastAsia="宋体" w:cs="Times New Roman"/>
                <w:sz w:val="24"/>
                <w:szCs w:val="24"/>
                <w:highlight w:val="none"/>
                <w:lang w:val="en-US" w:eastAsia="zh-CN"/>
              </w:rPr>
              <w:t>东经118°23′27.72″，北纬38°5</w:t>
            </w:r>
            <w:r>
              <w:rPr>
                <w:rFonts w:hint="default" w:ascii="Times New Roman" w:hAnsi="Times New Roman" w:eastAsia="TimesNewRomanPSMT" w:cs="Times New Roman"/>
                <w:b w:val="0"/>
                <w:bCs w:val="0"/>
                <w:color w:val="000000"/>
                <w:sz w:val="24"/>
                <w:szCs w:val="24"/>
                <w:highlight w:val="none"/>
              </w:rPr>
              <w:t>8′57.98″</w:t>
            </w:r>
            <w:r>
              <w:rPr>
                <w:rFonts w:hint="default" w:cs="Times New Roman"/>
                <w:sz w:val="24"/>
                <w:szCs w:val="24"/>
                <w:highlight w:val="none"/>
                <w:lang w:val="en-US" w:eastAsia="zh-CN"/>
              </w:rPr>
              <w:t>；</w:t>
            </w:r>
          </w:p>
          <w:p w14:paraId="13770D8B">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cs="Times New Roman"/>
                <w:sz w:val="24"/>
                <w:szCs w:val="24"/>
                <w:highlight w:val="none"/>
                <w:lang w:val="en-US" w:eastAsia="zh-CN"/>
              </w:rPr>
            </w:pPr>
            <w:r>
              <w:rPr>
                <w:rFonts w:hint="eastAsia" w:cs="Times New Roman"/>
                <w:sz w:val="24"/>
                <w:szCs w:val="24"/>
                <w:highlight w:val="none"/>
                <w:lang w:val="en-US" w:eastAsia="zh-CN"/>
              </w:rPr>
              <w:t>（5）占地面积：238668.22</w:t>
            </w:r>
            <w:r>
              <w:rPr>
                <w:rFonts w:hint="default" w:cs="Times New Roman"/>
                <w:sz w:val="24"/>
                <w:szCs w:val="24"/>
                <w:highlight w:val="none"/>
                <w:lang w:val="en-US" w:eastAsia="zh-CN"/>
              </w:rPr>
              <w:t>m</w:t>
            </w:r>
            <w:r>
              <w:rPr>
                <w:rFonts w:hint="default" w:cs="Times New Roman"/>
                <w:sz w:val="24"/>
                <w:szCs w:val="24"/>
                <w:highlight w:val="none"/>
                <w:vertAlign w:val="superscript"/>
                <w:lang w:val="en-US" w:eastAsia="zh-CN"/>
              </w:rPr>
              <w:t>2</w:t>
            </w:r>
            <w:r>
              <w:rPr>
                <w:rFonts w:hint="eastAsia" w:cs="Times New Roman"/>
                <w:sz w:val="24"/>
                <w:szCs w:val="24"/>
                <w:highlight w:val="none"/>
                <w:lang w:val="en-US" w:eastAsia="zh-CN"/>
              </w:rPr>
              <w:t>。</w:t>
            </w:r>
          </w:p>
          <w:p w14:paraId="5BBE60F9">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cs="Times New Roman"/>
                <w:b w:val="0"/>
                <w:bCs w:val="0"/>
                <w:color w:val="000000"/>
                <w:kern w:val="0"/>
                <w:sz w:val="24"/>
                <w:szCs w:val="24"/>
                <w:highlight w:val="none"/>
                <w:lang w:val="en-US" w:eastAsia="zh-CN" w:bidi="ar"/>
              </w:rPr>
            </w:pPr>
            <w:r>
              <w:rPr>
                <w:rFonts w:hint="eastAsia" w:cs="Times New Roman"/>
                <w:b w:val="0"/>
                <w:bCs w:val="0"/>
                <w:color w:val="000000"/>
                <w:kern w:val="0"/>
                <w:sz w:val="24"/>
                <w:szCs w:val="24"/>
                <w:highlight w:val="none"/>
                <w:lang w:val="en-US" w:eastAsia="zh-CN" w:bidi="ar"/>
              </w:rPr>
              <w:t>（6）</w:t>
            </w:r>
            <w:r>
              <w:rPr>
                <w:rFonts w:hint="eastAsia" w:ascii="Times New Roman" w:hAnsi="Times New Roman" w:cs="Times New Roman"/>
                <w:b w:val="0"/>
                <w:bCs w:val="0"/>
                <w:color w:val="000000"/>
                <w:kern w:val="0"/>
                <w:sz w:val="24"/>
                <w:szCs w:val="24"/>
                <w:highlight w:val="none"/>
                <w:lang w:val="en-US" w:eastAsia="zh-CN" w:bidi="ar"/>
              </w:rPr>
              <w:t>项目投资：本项目总投资117108万元，其中环保投资2342.16万元，占总投资的</w:t>
            </w:r>
            <w:r>
              <w:rPr>
                <w:rFonts w:hint="eastAsia" w:cs="Times New Roman"/>
                <w:b w:val="0"/>
                <w:bCs w:val="0"/>
                <w:color w:val="000000"/>
                <w:kern w:val="0"/>
                <w:sz w:val="24"/>
                <w:szCs w:val="24"/>
                <w:highlight w:val="none"/>
                <w:lang w:val="en-US" w:eastAsia="zh-CN" w:bidi="ar"/>
              </w:rPr>
              <w:t>2</w:t>
            </w:r>
            <w:r>
              <w:rPr>
                <w:rFonts w:hint="eastAsia" w:ascii="Times New Roman" w:hAnsi="Times New Roman" w:cs="Times New Roman"/>
                <w:b w:val="0"/>
                <w:bCs w:val="0"/>
                <w:color w:val="000000"/>
                <w:kern w:val="0"/>
                <w:sz w:val="24"/>
                <w:szCs w:val="24"/>
                <w:highlight w:val="none"/>
                <w:lang w:val="en-US" w:eastAsia="zh-CN" w:bidi="ar"/>
              </w:rPr>
              <w:t>%。</w:t>
            </w:r>
          </w:p>
          <w:p w14:paraId="303C4D86">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eastAsia" w:cs="Times New Roman"/>
                <w:b w:val="0"/>
                <w:bCs w:val="0"/>
                <w:color w:val="000000"/>
                <w:kern w:val="0"/>
                <w:sz w:val="24"/>
                <w:szCs w:val="24"/>
                <w:highlight w:val="none"/>
                <w:lang w:val="en-US" w:eastAsia="zh-CN" w:bidi="ar"/>
              </w:rPr>
            </w:pPr>
            <w:r>
              <w:rPr>
                <w:rFonts w:hint="eastAsia" w:cs="Times New Roman"/>
                <w:b w:val="0"/>
                <w:bCs w:val="0"/>
                <w:color w:val="000000"/>
                <w:kern w:val="0"/>
                <w:sz w:val="24"/>
                <w:szCs w:val="24"/>
                <w:highlight w:val="none"/>
                <w:lang w:val="en-US" w:eastAsia="zh-CN" w:bidi="ar"/>
              </w:rPr>
              <w:t>（7）</w:t>
            </w:r>
            <w:r>
              <w:rPr>
                <w:rFonts w:hint="default" w:ascii="Times New Roman" w:hAnsi="Times New Roman" w:eastAsia="宋体" w:cs="Times New Roman"/>
                <w:b w:val="0"/>
                <w:bCs w:val="0"/>
                <w:color w:val="000000"/>
                <w:kern w:val="0"/>
                <w:sz w:val="24"/>
                <w:szCs w:val="24"/>
                <w:highlight w:val="none"/>
                <w:lang w:val="en-US" w:eastAsia="zh-CN" w:bidi="ar"/>
              </w:rPr>
              <w:t>工作制度及劳动定员：</w:t>
            </w:r>
            <w:r>
              <w:rPr>
                <w:rFonts w:hint="eastAsia" w:cs="Times New Roman"/>
                <w:b w:val="0"/>
                <w:bCs w:val="0"/>
                <w:color w:val="000000"/>
                <w:kern w:val="0"/>
                <w:sz w:val="24"/>
                <w:szCs w:val="24"/>
                <w:highlight w:val="none"/>
                <w:lang w:val="en-US" w:eastAsia="zh-CN" w:bidi="ar"/>
              </w:rPr>
              <w:t>本项目劳动定员为150人，年工作300天，实行三班制，每班8小时。</w:t>
            </w:r>
          </w:p>
          <w:p w14:paraId="2BA7F583">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cs="Times New Roman"/>
                <w:b w:val="0"/>
                <w:bCs w:val="0"/>
                <w:color w:val="auto"/>
                <w:kern w:val="0"/>
                <w:sz w:val="24"/>
                <w:szCs w:val="24"/>
                <w:highlight w:val="none"/>
                <w:vertAlign w:val="baseline"/>
                <w:lang w:val="en-US" w:eastAsia="zh-CN" w:bidi="ar"/>
              </w:rPr>
            </w:pPr>
            <w:r>
              <w:rPr>
                <w:rFonts w:hint="eastAsia" w:cs="Times New Roman"/>
                <w:b w:val="0"/>
                <w:bCs w:val="0"/>
                <w:color w:val="000000"/>
                <w:kern w:val="0"/>
                <w:sz w:val="24"/>
                <w:szCs w:val="24"/>
                <w:highlight w:val="none"/>
                <w:lang w:val="en-US" w:eastAsia="zh-CN" w:bidi="ar"/>
              </w:rPr>
              <w:t>（8）建设内容及规模</w:t>
            </w:r>
            <w:r>
              <w:rPr>
                <w:rFonts w:hint="default" w:ascii="Times New Roman" w:hAnsi="Times New Roman" w:eastAsia="宋体" w:cs="Times New Roman"/>
                <w:b w:val="0"/>
                <w:bCs w:val="0"/>
                <w:color w:val="000000"/>
                <w:kern w:val="0"/>
                <w:sz w:val="24"/>
                <w:szCs w:val="24"/>
                <w:highlight w:val="none"/>
                <w:lang w:val="en-US" w:eastAsia="zh-CN" w:bidi="ar"/>
              </w:rPr>
              <w:t>：</w:t>
            </w:r>
            <w:r>
              <w:rPr>
                <w:rFonts w:hint="eastAsia" w:ascii="Times New Roman" w:hAnsi="Times New Roman" w:eastAsia="宋体" w:cs="Times New Roman"/>
                <w:b w:val="0"/>
                <w:bCs w:val="0"/>
                <w:color w:val="000000"/>
                <w:kern w:val="0"/>
                <w:sz w:val="24"/>
                <w:szCs w:val="24"/>
                <w:highlight w:val="none"/>
                <w:lang w:val="en-US" w:eastAsia="zh-CN" w:bidi="ar"/>
              </w:rPr>
              <w:t>项目总占地</w:t>
            </w:r>
            <w:r>
              <w:rPr>
                <w:rFonts w:hint="eastAsia" w:cs="Times New Roman"/>
                <w:sz w:val="24"/>
                <w:szCs w:val="24"/>
                <w:highlight w:val="none"/>
                <w:lang w:val="en-US" w:eastAsia="zh-CN"/>
              </w:rPr>
              <w:t>面积238668.22</w:t>
            </w:r>
            <w:r>
              <w:rPr>
                <w:rFonts w:hint="default" w:cs="Times New Roman"/>
                <w:sz w:val="24"/>
                <w:szCs w:val="24"/>
                <w:highlight w:val="none"/>
                <w:lang w:val="en-US" w:eastAsia="zh-CN"/>
              </w:rPr>
              <w:t>m</w:t>
            </w:r>
            <w:r>
              <w:rPr>
                <w:rFonts w:hint="default" w:cs="Times New Roman"/>
                <w:sz w:val="24"/>
                <w:szCs w:val="24"/>
                <w:highlight w:val="none"/>
                <w:vertAlign w:val="superscript"/>
                <w:lang w:val="en-US" w:eastAsia="zh-CN"/>
              </w:rPr>
              <w:t>2</w:t>
            </w:r>
            <w:r>
              <w:rPr>
                <w:rFonts w:hint="eastAsia" w:ascii="Times New Roman" w:hAnsi="Times New Roman" w:eastAsia="宋体" w:cs="Times New Roman"/>
                <w:b w:val="0"/>
                <w:bCs w:val="0"/>
                <w:color w:val="000000"/>
                <w:kern w:val="0"/>
                <w:sz w:val="24"/>
                <w:szCs w:val="24"/>
                <w:highlight w:val="none"/>
                <w:lang w:val="en-US" w:eastAsia="zh-CN" w:bidi="ar"/>
              </w:rPr>
              <w:t>。</w:t>
            </w:r>
            <w:r>
              <w:rPr>
                <w:rFonts w:hint="eastAsia" w:cs="Times New Roman"/>
                <w:b w:val="0"/>
                <w:bCs w:val="0"/>
                <w:color w:val="000000"/>
                <w:kern w:val="0"/>
                <w:sz w:val="24"/>
                <w:szCs w:val="24"/>
                <w:highlight w:val="none"/>
                <w:lang w:val="en-US" w:eastAsia="zh-CN" w:bidi="ar"/>
              </w:rPr>
              <w:t>建设</w:t>
            </w:r>
            <w:r>
              <w:rPr>
                <w:rFonts w:hint="eastAsia" w:cs="Times New Roman"/>
                <w:sz w:val="24"/>
                <w:szCs w:val="24"/>
                <w:highlight w:val="none"/>
                <w:lang w:val="en-US" w:eastAsia="zh-CN"/>
              </w:rPr>
              <w:t>综合楼、办公楼、仓储车间、配煤车间、破碎车间、检测楼及其相关配套辅助设施</w:t>
            </w:r>
            <w:r>
              <w:rPr>
                <w:rFonts w:hint="eastAsia" w:ascii="Times New Roman" w:hAnsi="Times New Roman" w:eastAsia="宋体" w:cs="Times New Roman"/>
                <w:b w:val="0"/>
                <w:bCs w:val="0"/>
                <w:color w:val="000000"/>
                <w:kern w:val="0"/>
                <w:sz w:val="24"/>
                <w:szCs w:val="24"/>
                <w:highlight w:val="none"/>
                <w:lang w:val="en-US" w:eastAsia="zh-CN" w:bidi="ar"/>
              </w:rPr>
              <w:t>。</w:t>
            </w:r>
            <w:r>
              <w:rPr>
                <w:rFonts w:hint="eastAsia" w:cs="Times New Roman"/>
                <w:b w:val="0"/>
                <w:bCs w:val="0"/>
                <w:color w:val="000000"/>
                <w:kern w:val="0"/>
                <w:sz w:val="24"/>
                <w:szCs w:val="24"/>
                <w:highlight w:val="none"/>
                <w:lang w:val="en-US" w:eastAsia="zh-CN" w:bidi="ar"/>
              </w:rPr>
              <w:t>项目建成后</w:t>
            </w:r>
            <w:r>
              <w:rPr>
                <w:rFonts w:hint="eastAsia" w:cs="Times New Roman"/>
                <w:sz w:val="24"/>
                <w:szCs w:val="24"/>
                <w:highlight w:val="none"/>
                <w:lang w:val="en-US" w:eastAsia="zh-CN"/>
              </w:rPr>
              <w:t>最大存储量可达</w:t>
            </w:r>
            <w:r>
              <w:rPr>
                <w:rFonts w:hint="eastAsia" w:cs="Times New Roman"/>
                <w:color w:val="auto"/>
                <w:sz w:val="24"/>
                <w:szCs w:val="24"/>
                <w:highlight w:val="none"/>
                <w:lang w:val="en-US" w:eastAsia="zh-CN"/>
              </w:rPr>
              <w:t>100万吨，年周转量500万吨、其中钢材等杂货年周转量</w:t>
            </w:r>
            <w:r>
              <w:rPr>
                <w:rFonts w:hint="eastAsia" w:cs="Times New Roman"/>
                <w:b w:val="0"/>
                <w:bCs w:val="0"/>
                <w:color w:val="auto"/>
                <w:kern w:val="0"/>
                <w:sz w:val="24"/>
                <w:szCs w:val="24"/>
                <w:highlight w:val="none"/>
                <w:vertAlign w:val="baseline"/>
                <w:lang w:val="en-US" w:eastAsia="zh-CN" w:bidi="ar"/>
              </w:rPr>
              <w:t>400万吨，煤炭、矿建材料等散货年周转量100万吨的规模。（矿建材料年周转量为10万吨，煤炭年周转量为90万吨，其中80万吨煤炭仅仓储，10万吨煤炭需进行加工）</w:t>
            </w:r>
          </w:p>
          <w:p w14:paraId="2800F817">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color w:val="auto"/>
                <w:lang w:val="zh-CN"/>
              </w:rPr>
            </w:pPr>
            <w:r>
              <w:rPr>
                <w:rFonts w:hint="eastAsia" w:cs="Times New Roman"/>
                <w:b w:val="0"/>
                <w:bCs w:val="0"/>
                <w:color w:val="auto"/>
                <w:kern w:val="0"/>
                <w:sz w:val="24"/>
                <w:szCs w:val="24"/>
                <w:highlight w:val="none"/>
                <w:lang w:val="en-US" w:eastAsia="zh-CN" w:bidi="ar"/>
              </w:rPr>
              <w:t>1#厂房内设置配煤车间及破碎车间，建设2#~5#库房作为仓储车间，未设置杂货堆场，所有原辅材料及成品均储存在封闭厂房及库房内。</w:t>
            </w:r>
          </w:p>
          <w:p w14:paraId="58DB1C6D">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eastAsia" w:ascii="Times New Roman" w:hAnsi="Times New Roman" w:eastAsia="宋体" w:cs="Times New Roman"/>
                <w:b w:val="0"/>
                <w:bCs w:val="0"/>
                <w:color w:val="auto"/>
                <w:kern w:val="0"/>
                <w:sz w:val="24"/>
                <w:szCs w:val="24"/>
                <w:highlight w:val="none"/>
                <w:lang w:val="en-US" w:eastAsia="zh-CN" w:bidi="ar"/>
              </w:rPr>
            </w:pPr>
            <w:r>
              <w:rPr>
                <w:rFonts w:hint="eastAsia" w:cs="Times New Roman"/>
                <w:b w:val="0"/>
                <w:bCs w:val="0"/>
                <w:color w:val="auto"/>
                <w:kern w:val="0"/>
                <w:sz w:val="24"/>
                <w:szCs w:val="24"/>
                <w:highlight w:val="none"/>
                <w:lang w:val="en-US" w:eastAsia="zh-CN" w:bidi="ar"/>
              </w:rPr>
              <w:t>项目</w:t>
            </w:r>
            <w:r>
              <w:rPr>
                <w:rFonts w:hint="eastAsia" w:ascii="Times New Roman" w:hAnsi="Times New Roman" w:eastAsia="宋体" w:cs="Times New Roman"/>
                <w:b w:val="0"/>
                <w:bCs w:val="0"/>
                <w:color w:val="auto"/>
                <w:kern w:val="0"/>
                <w:sz w:val="24"/>
                <w:szCs w:val="24"/>
                <w:highlight w:val="none"/>
                <w:lang w:val="en-US" w:eastAsia="zh-CN" w:bidi="ar"/>
              </w:rPr>
              <w:t>工程组成情况见下表。</w:t>
            </w:r>
          </w:p>
          <w:p w14:paraId="52799754">
            <w:pPr>
              <w:keepNext w:val="0"/>
              <w:keepLines w:val="0"/>
              <w:pageBreakBefore w:val="0"/>
              <w:widowControl/>
              <w:suppressLineNumbers w:val="0"/>
              <w:kinsoku/>
              <w:wordWrap/>
              <w:overflowPunct/>
              <w:topLinePunct w:val="0"/>
              <w:autoSpaceDE/>
              <w:autoSpaceDN/>
              <w:bidi w:val="0"/>
              <w:adjustRightInd/>
              <w:snapToGrid/>
              <w:spacing w:line="480" w:lineRule="exact"/>
              <w:ind w:firstLine="482" w:firstLineChars="200"/>
              <w:jc w:val="center"/>
              <w:textAlignment w:val="auto"/>
              <w:rPr>
                <w:rFonts w:hint="eastAsia" w:ascii="Times New Roman" w:hAnsi="Times New Roman" w:eastAsia="宋体" w:cs="Times New Roman"/>
                <w:b/>
                <w:bCs/>
                <w:color w:val="000000"/>
                <w:kern w:val="0"/>
                <w:sz w:val="24"/>
                <w:szCs w:val="24"/>
                <w:highlight w:val="none"/>
                <w:lang w:val="en-US" w:eastAsia="zh-CN" w:bidi="ar"/>
              </w:rPr>
            </w:pPr>
            <w:r>
              <w:rPr>
                <w:rFonts w:hint="eastAsia" w:ascii="Times New Roman" w:hAnsi="Times New Roman" w:eastAsia="宋体" w:cs="Times New Roman"/>
                <w:b/>
                <w:bCs/>
                <w:color w:val="000000"/>
                <w:kern w:val="0"/>
                <w:sz w:val="24"/>
                <w:szCs w:val="24"/>
                <w:highlight w:val="none"/>
                <w:lang w:val="en-US" w:eastAsia="zh-CN" w:bidi="ar"/>
              </w:rPr>
              <w:t xml:space="preserve">表2-1 </w:t>
            </w:r>
            <w:r>
              <w:rPr>
                <w:rFonts w:hint="eastAsia" w:cs="Times New Roman"/>
                <w:b/>
                <w:bCs/>
                <w:color w:val="000000"/>
                <w:kern w:val="0"/>
                <w:sz w:val="24"/>
                <w:szCs w:val="24"/>
                <w:highlight w:val="none"/>
                <w:lang w:val="en-US" w:eastAsia="zh-CN" w:bidi="ar"/>
              </w:rPr>
              <w:t>项目</w:t>
            </w:r>
            <w:r>
              <w:rPr>
                <w:rFonts w:hint="eastAsia" w:ascii="Times New Roman" w:hAnsi="Times New Roman" w:eastAsia="宋体" w:cs="Times New Roman"/>
                <w:b/>
                <w:bCs/>
                <w:color w:val="000000"/>
                <w:kern w:val="0"/>
                <w:sz w:val="24"/>
                <w:szCs w:val="24"/>
                <w:highlight w:val="none"/>
                <w:lang w:val="en-US" w:eastAsia="zh-CN" w:bidi="ar"/>
              </w:rPr>
              <w:t>工程组成一览表</w:t>
            </w:r>
          </w:p>
          <w:tbl>
            <w:tblPr>
              <w:tblStyle w:val="26"/>
              <w:tblW w:w="4998"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262"/>
              <w:gridCol w:w="1326"/>
              <w:gridCol w:w="5781"/>
            </w:tblGrid>
            <w:tr w14:paraId="5A90932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4" w:type="pct"/>
                  <w:tcBorders>
                    <w:tl2br w:val="nil"/>
                    <w:tr2bl w:val="nil"/>
                  </w:tcBorders>
                  <w:noWrap w:val="0"/>
                  <w:vAlign w:val="center"/>
                </w:tcPr>
                <w:p w14:paraId="7D15D548">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r>
                    <w:rPr>
                      <w:rFonts w:hint="default"/>
                      <w:sz w:val="21"/>
                      <w:szCs w:val="21"/>
                      <w:highlight w:val="none"/>
                      <w:lang w:val="en-US" w:eastAsia="zh-CN"/>
                    </w:rPr>
                    <w:t>项目</w:t>
                  </w:r>
                </w:p>
              </w:tc>
              <w:tc>
                <w:tcPr>
                  <w:tcW w:w="792" w:type="pct"/>
                  <w:tcBorders>
                    <w:tl2br w:val="nil"/>
                    <w:tr2bl w:val="nil"/>
                  </w:tcBorders>
                  <w:noWrap w:val="0"/>
                  <w:vAlign w:val="center"/>
                </w:tcPr>
                <w:p w14:paraId="25A2A328">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r>
                    <w:rPr>
                      <w:rFonts w:hint="default"/>
                      <w:sz w:val="21"/>
                      <w:szCs w:val="21"/>
                      <w:highlight w:val="none"/>
                      <w:lang w:val="en-US" w:eastAsia="zh-CN"/>
                    </w:rPr>
                    <w:t>主要内容</w:t>
                  </w:r>
                </w:p>
              </w:tc>
              <w:tc>
                <w:tcPr>
                  <w:tcW w:w="3453" w:type="pct"/>
                  <w:tcBorders>
                    <w:tl2br w:val="nil"/>
                    <w:tr2bl w:val="nil"/>
                  </w:tcBorders>
                  <w:noWrap w:val="0"/>
                  <w:vAlign w:val="center"/>
                </w:tcPr>
                <w:p w14:paraId="6F07904C">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r>
                    <w:rPr>
                      <w:rFonts w:hint="default"/>
                      <w:sz w:val="21"/>
                      <w:szCs w:val="21"/>
                      <w:highlight w:val="none"/>
                      <w:lang w:val="en-US" w:eastAsia="zh-CN"/>
                    </w:rPr>
                    <w:t>工程内容</w:t>
                  </w:r>
                </w:p>
              </w:tc>
            </w:tr>
            <w:tr w14:paraId="183A677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45" w:hRule="atLeast"/>
                <w:jc w:val="center"/>
              </w:trPr>
              <w:tc>
                <w:tcPr>
                  <w:tcW w:w="754" w:type="pct"/>
                  <w:tcBorders>
                    <w:tl2br w:val="nil"/>
                    <w:tr2bl w:val="nil"/>
                  </w:tcBorders>
                  <w:noWrap w:val="0"/>
                  <w:vAlign w:val="center"/>
                </w:tcPr>
                <w:p w14:paraId="56F64AE3">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r>
                    <w:rPr>
                      <w:rFonts w:hint="default"/>
                      <w:sz w:val="21"/>
                      <w:szCs w:val="21"/>
                      <w:highlight w:val="none"/>
                      <w:lang w:val="en-US" w:eastAsia="zh-CN"/>
                    </w:rPr>
                    <w:t>主体工程</w:t>
                  </w:r>
                </w:p>
              </w:tc>
              <w:tc>
                <w:tcPr>
                  <w:tcW w:w="792" w:type="pct"/>
                  <w:tcBorders>
                    <w:tl2br w:val="nil"/>
                    <w:tr2bl w:val="nil"/>
                  </w:tcBorders>
                  <w:noWrap w:val="0"/>
                  <w:vAlign w:val="center"/>
                </w:tcPr>
                <w:p w14:paraId="51A6CC39">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r>
                    <w:rPr>
                      <w:rFonts w:hint="eastAsia"/>
                      <w:sz w:val="21"/>
                      <w:szCs w:val="21"/>
                      <w:highlight w:val="none"/>
                      <w:lang w:val="en-US" w:eastAsia="zh-CN"/>
                    </w:rPr>
                    <w:t>1#厂房</w:t>
                  </w:r>
                </w:p>
              </w:tc>
              <w:tc>
                <w:tcPr>
                  <w:tcW w:w="3453" w:type="pct"/>
                  <w:tcBorders>
                    <w:tl2br w:val="nil"/>
                    <w:tr2bl w:val="nil"/>
                  </w:tcBorders>
                  <w:noWrap w:val="0"/>
                  <w:vAlign w:val="center"/>
                </w:tcPr>
                <w:p w14:paraId="125599A3">
                  <w:pPr>
                    <w:keepNext w:val="0"/>
                    <w:keepLines w:val="0"/>
                    <w:pageBreakBefore w:val="0"/>
                    <w:kinsoku/>
                    <w:wordWrap/>
                    <w:overflowPunct/>
                    <w:topLinePunct w:val="0"/>
                    <w:autoSpaceDE/>
                    <w:autoSpaceDN/>
                    <w:bidi w:val="0"/>
                    <w:adjustRightInd/>
                    <w:snapToGrid/>
                    <w:jc w:val="left"/>
                    <w:textAlignment w:val="auto"/>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1#厂房为“</w:t>
                  </w:r>
                  <w:r>
                    <w:rPr>
                      <w:rFonts w:hint="default" w:ascii="Times New Roman" w:hAnsi="Times New Roman" w:eastAsia="宋体" w:cs="Times New Roman"/>
                      <w:sz w:val="21"/>
                      <w:szCs w:val="21"/>
                      <w:highlight w:val="none"/>
                      <w:lang w:val="en-US" w:eastAsia="zh-CN"/>
                    </w:rPr>
                    <w:t>L</w:t>
                  </w:r>
                  <w:r>
                    <w:rPr>
                      <w:rFonts w:hint="eastAsia" w:ascii="Times New Roman" w:hAnsi="Times New Roman" w:eastAsia="宋体" w:cs="Times New Roman"/>
                      <w:sz w:val="21"/>
                      <w:szCs w:val="21"/>
                      <w:highlight w:val="none"/>
                      <w:lang w:val="en-US" w:eastAsia="zh-CN"/>
                    </w:rPr>
                    <w:t>”型，北侧为</w:t>
                  </w:r>
                  <w:r>
                    <w:rPr>
                      <w:rFonts w:hint="eastAsia" w:cs="Times New Roman"/>
                      <w:sz w:val="21"/>
                      <w:szCs w:val="21"/>
                      <w:highlight w:val="none"/>
                      <w:lang w:val="en-US" w:eastAsia="zh-CN"/>
                    </w:rPr>
                    <w:t>生产</w:t>
                  </w:r>
                  <w:r>
                    <w:rPr>
                      <w:rFonts w:hint="eastAsia" w:ascii="Times New Roman" w:hAnsi="Times New Roman" w:eastAsia="宋体" w:cs="Times New Roman"/>
                      <w:sz w:val="21"/>
                      <w:szCs w:val="21"/>
                      <w:highlight w:val="none"/>
                      <w:lang w:val="en-US" w:eastAsia="zh-CN"/>
                    </w:rPr>
                    <w:t>车间</w:t>
                  </w:r>
                  <w:r>
                    <w:rPr>
                      <w:rFonts w:hint="eastAsia" w:cs="Times New Roman"/>
                      <w:sz w:val="21"/>
                      <w:szCs w:val="21"/>
                      <w:highlight w:val="none"/>
                      <w:lang w:val="en-US" w:eastAsia="zh-CN"/>
                    </w:rPr>
                    <w:t>（</w:t>
                  </w:r>
                  <w:r>
                    <w:rPr>
                      <w:rFonts w:hint="eastAsia" w:ascii="Times New Roman" w:hAnsi="Times New Roman" w:eastAsia="宋体" w:cs="Times New Roman"/>
                      <w:sz w:val="21"/>
                      <w:szCs w:val="21"/>
                      <w:highlight w:val="none"/>
                      <w:lang w:val="en-US" w:eastAsia="zh-CN"/>
                    </w:rPr>
                    <w:t>配煤车间、破碎车间</w:t>
                  </w:r>
                  <w:r>
                    <w:rPr>
                      <w:rFonts w:hint="eastAsia" w:cs="Times New Roman"/>
                      <w:sz w:val="21"/>
                      <w:szCs w:val="21"/>
                      <w:highlight w:val="none"/>
                      <w:lang w:val="en-US" w:eastAsia="zh-CN"/>
                    </w:rPr>
                    <w:t>）</w:t>
                  </w:r>
                  <w:r>
                    <w:rPr>
                      <w:rFonts w:hint="eastAsia" w:ascii="Times New Roman" w:hAnsi="Times New Roman" w:eastAsia="宋体" w:cs="Times New Roman"/>
                      <w:sz w:val="21"/>
                      <w:szCs w:val="21"/>
                      <w:highlight w:val="none"/>
                      <w:lang w:val="en-US" w:eastAsia="zh-CN"/>
                    </w:rPr>
                    <w:t>，主要采用</w:t>
                  </w:r>
                  <w:r>
                    <w:rPr>
                      <w:rFonts w:hint="default" w:ascii="Times New Roman" w:hAnsi="Times New Roman" w:eastAsia="宋体" w:cs="Times New Roman"/>
                      <w:sz w:val="21"/>
                      <w:szCs w:val="21"/>
                      <w:highlight w:val="none"/>
                      <w:lang w:val="en-US" w:eastAsia="zh-CN"/>
                    </w:rPr>
                    <w:t>筛分、破碎、分选、压滤</w:t>
                  </w:r>
                  <w:r>
                    <w:rPr>
                      <w:rFonts w:hint="eastAsia" w:ascii="Times New Roman" w:hAnsi="Times New Roman" w:eastAsia="宋体" w:cs="Times New Roman"/>
                      <w:sz w:val="21"/>
                      <w:szCs w:val="21"/>
                      <w:highlight w:val="none"/>
                      <w:lang w:val="en-US" w:eastAsia="zh-CN"/>
                    </w:rPr>
                    <w:t>等工序，南侧为</w:t>
                  </w:r>
                  <w:r>
                    <w:rPr>
                      <w:rFonts w:hint="eastAsia" w:cs="Times New Roman"/>
                      <w:sz w:val="21"/>
                      <w:szCs w:val="21"/>
                      <w:highlight w:val="none"/>
                      <w:lang w:val="en-US" w:eastAsia="zh-CN"/>
                    </w:rPr>
                    <w:t>原料及成品堆存区</w:t>
                  </w:r>
                  <w:r>
                    <w:rPr>
                      <w:rFonts w:hint="eastAsia" w:ascii="Times New Roman" w:hAnsi="Times New Roman" w:eastAsia="宋体" w:cs="Times New Roman"/>
                      <w:sz w:val="21"/>
                      <w:szCs w:val="21"/>
                      <w:highlight w:val="none"/>
                      <w:lang w:val="en-US" w:eastAsia="zh-CN"/>
                    </w:rPr>
                    <w:t>。</w:t>
                  </w:r>
                </w:p>
              </w:tc>
            </w:tr>
            <w:tr w14:paraId="6CFBFDC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4" w:type="pct"/>
                  <w:vMerge w:val="restart"/>
                  <w:tcBorders>
                    <w:tl2br w:val="nil"/>
                    <w:tr2bl w:val="nil"/>
                  </w:tcBorders>
                  <w:noWrap w:val="0"/>
                  <w:vAlign w:val="center"/>
                </w:tcPr>
                <w:p w14:paraId="503162DA">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r>
                    <w:rPr>
                      <w:rFonts w:hint="eastAsia"/>
                      <w:sz w:val="21"/>
                      <w:szCs w:val="21"/>
                      <w:highlight w:val="none"/>
                      <w:lang w:val="en-US" w:eastAsia="zh-CN"/>
                    </w:rPr>
                    <w:t>储运工程</w:t>
                  </w:r>
                </w:p>
              </w:tc>
              <w:tc>
                <w:tcPr>
                  <w:tcW w:w="792" w:type="pct"/>
                  <w:tcBorders>
                    <w:tl2br w:val="nil"/>
                    <w:tr2bl w:val="nil"/>
                  </w:tcBorders>
                  <w:noWrap w:val="0"/>
                  <w:vAlign w:val="center"/>
                </w:tcPr>
                <w:p w14:paraId="2D2ACC46">
                  <w:pPr>
                    <w:keepNext w:val="0"/>
                    <w:keepLines w:val="0"/>
                    <w:pageBreakBefore w:val="0"/>
                    <w:kinsoku/>
                    <w:wordWrap/>
                    <w:overflowPunct/>
                    <w:topLinePunct w:val="0"/>
                    <w:autoSpaceDE/>
                    <w:autoSpaceDN/>
                    <w:bidi w:val="0"/>
                    <w:adjustRightInd/>
                    <w:snapToGrid/>
                    <w:jc w:val="center"/>
                    <w:textAlignment w:val="auto"/>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2#库房</w:t>
                  </w:r>
                </w:p>
              </w:tc>
              <w:tc>
                <w:tcPr>
                  <w:tcW w:w="3453" w:type="pct"/>
                  <w:tcBorders>
                    <w:tl2br w:val="nil"/>
                    <w:tr2bl w:val="nil"/>
                  </w:tcBorders>
                  <w:noWrap w:val="0"/>
                  <w:vAlign w:val="center"/>
                </w:tcPr>
                <w:p w14:paraId="188E4AA0">
                  <w:pPr>
                    <w:keepNext w:val="0"/>
                    <w:keepLines w:val="0"/>
                    <w:pageBreakBefore w:val="0"/>
                    <w:kinsoku/>
                    <w:wordWrap/>
                    <w:overflowPunct/>
                    <w:topLinePunct w:val="0"/>
                    <w:autoSpaceDE/>
                    <w:autoSpaceDN/>
                    <w:bidi w:val="0"/>
                    <w:adjustRightInd/>
                    <w:snapToGrid/>
                    <w:jc w:val="left"/>
                    <w:textAlignment w:val="auto"/>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用于储存矿建材料、钢材等杂货</w:t>
                  </w:r>
                  <w:r>
                    <w:rPr>
                      <w:rFonts w:hint="eastAsia" w:cs="Times New Roman"/>
                      <w:sz w:val="21"/>
                      <w:szCs w:val="21"/>
                      <w:highlight w:val="none"/>
                      <w:lang w:val="en-US" w:eastAsia="zh-CN"/>
                    </w:rPr>
                    <w:t>，其中矿建材料最大储存量为5000吨，平均2-3月倒运一次；钢材储存量为20万吨，平均4-5月倒运一次</w:t>
                  </w:r>
                  <w:r>
                    <w:rPr>
                      <w:rFonts w:hint="eastAsia" w:ascii="Times New Roman" w:hAnsi="Times New Roman" w:eastAsia="宋体" w:cs="Times New Roman"/>
                      <w:sz w:val="21"/>
                      <w:szCs w:val="21"/>
                      <w:highlight w:val="none"/>
                      <w:lang w:val="en-US" w:eastAsia="zh-CN"/>
                    </w:rPr>
                    <w:t>。</w:t>
                  </w:r>
                </w:p>
              </w:tc>
            </w:tr>
            <w:tr w14:paraId="4B23A02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4" w:hRule="atLeast"/>
                <w:jc w:val="center"/>
              </w:trPr>
              <w:tc>
                <w:tcPr>
                  <w:tcW w:w="754" w:type="pct"/>
                  <w:vMerge w:val="continue"/>
                  <w:tcBorders>
                    <w:tl2br w:val="nil"/>
                    <w:tr2bl w:val="nil"/>
                  </w:tcBorders>
                  <w:noWrap w:val="0"/>
                  <w:vAlign w:val="center"/>
                </w:tcPr>
                <w:p w14:paraId="149F34FE">
                  <w:pPr>
                    <w:keepNext w:val="0"/>
                    <w:keepLines w:val="0"/>
                    <w:pageBreakBefore w:val="0"/>
                    <w:kinsoku/>
                    <w:wordWrap/>
                    <w:overflowPunct/>
                    <w:topLinePunct w:val="0"/>
                    <w:autoSpaceDE/>
                    <w:autoSpaceDN/>
                    <w:bidi w:val="0"/>
                    <w:adjustRightInd/>
                    <w:snapToGrid/>
                    <w:jc w:val="center"/>
                    <w:textAlignment w:val="auto"/>
                    <w:rPr>
                      <w:rFonts w:hint="eastAsia"/>
                      <w:sz w:val="21"/>
                      <w:szCs w:val="21"/>
                      <w:highlight w:val="none"/>
                      <w:lang w:val="en-US" w:eastAsia="zh-CN"/>
                    </w:rPr>
                  </w:pPr>
                </w:p>
              </w:tc>
              <w:tc>
                <w:tcPr>
                  <w:tcW w:w="792" w:type="pct"/>
                  <w:tcBorders>
                    <w:tl2br w:val="nil"/>
                    <w:tr2bl w:val="nil"/>
                  </w:tcBorders>
                  <w:noWrap w:val="0"/>
                  <w:vAlign w:val="center"/>
                </w:tcPr>
                <w:p w14:paraId="6BAAFA58">
                  <w:pPr>
                    <w:keepNext w:val="0"/>
                    <w:keepLines w:val="0"/>
                    <w:pageBreakBefore w:val="0"/>
                    <w:kinsoku/>
                    <w:wordWrap/>
                    <w:overflowPunct/>
                    <w:topLinePunct w:val="0"/>
                    <w:autoSpaceDE/>
                    <w:autoSpaceDN/>
                    <w:bidi w:val="0"/>
                    <w:adjustRightInd/>
                    <w:snapToGrid/>
                    <w:jc w:val="center"/>
                    <w:textAlignment w:val="auto"/>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3#库房</w:t>
                  </w:r>
                </w:p>
              </w:tc>
              <w:tc>
                <w:tcPr>
                  <w:tcW w:w="3453" w:type="pct"/>
                  <w:tcBorders>
                    <w:tl2br w:val="nil"/>
                    <w:tr2bl w:val="nil"/>
                  </w:tcBorders>
                  <w:noWrap w:val="0"/>
                  <w:vAlign w:val="center"/>
                </w:tcPr>
                <w:p w14:paraId="55CD1BB3">
                  <w:pPr>
                    <w:keepNext w:val="0"/>
                    <w:keepLines w:val="0"/>
                    <w:pageBreakBefore w:val="0"/>
                    <w:kinsoku/>
                    <w:wordWrap/>
                    <w:overflowPunct/>
                    <w:topLinePunct w:val="0"/>
                    <w:autoSpaceDE/>
                    <w:autoSpaceDN/>
                    <w:bidi w:val="0"/>
                    <w:adjustRightInd/>
                    <w:snapToGrid/>
                    <w:jc w:val="left"/>
                    <w:textAlignment w:val="auto"/>
                    <w:rPr>
                      <w:rFonts w:hint="eastAsia"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用于储存矿建材料、钢材等杂货</w:t>
                  </w:r>
                  <w:r>
                    <w:rPr>
                      <w:rFonts w:hint="eastAsia" w:cs="Times New Roman"/>
                      <w:sz w:val="21"/>
                      <w:szCs w:val="21"/>
                      <w:highlight w:val="none"/>
                      <w:lang w:val="en-US" w:eastAsia="zh-CN"/>
                    </w:rPr>
                    <w:t>，其中矿建材料最大储存量为5000吨，平均2-3月倒运一次；钢材储存量为20万吨，平均4-5月倒运一次</w:t>
                  </w:r>
                  <w:r>
                    <w:rPr>
                      <w:rFonts w:hint="eastAsia" w:ascii="Times New Roman" w:hAnsi="Times New Roman" w:eastAsia="宋体" w:cs="Times New Roman"/>
                      <w:sz w:val="21"/>
                      <w:szCs w:val="21"/>
                      <w:highlight w:val="none"/>
                      <w:lang w:val="en-US" w:eastAsia="zh-CN"/>
                    </w:rPr>
                    <w:t>。</w:t>
                  </w:r>
                </w:p>
              </w:tc>
            </w:tr>
            <w:tr w14:paraId="16BC9AC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4" w:type="pct"/>
                  <w:vMerge w:val="continue"/>
                  <w:tcBorders>
                    <w:tl2br w:val="nil"/>
                    <w:tr2bl w:val="nil"/>
                  </w:tcBorders>
                  <w:noWrap w:val="0"/>
                  <w:vAlign w:val="center"/>
                </w:tcPr>
                <w:p w14:paraId="2DF3845D">
                  <w:pPr>
                    <w:keepNext w:val="0"/>
                    <w:keepLines w:val="0"/>
                    <w:pageBreakBefore w:val="0"/>
                    <w:kinsoku/>
                    <w:wordWrap/>
                    <w:overflowPunct/>
                    <w:topLinePunct w:val="0"/>
                    <w:autoSpaceDE/>
                    <w:autoSpaceDN/>
                    <w:bidi w:val="0"/>
                    <w:adjustRightInd/>
                    <w:snapToGrid/>
                    <w:jc w:val="center"/>
                    <w:textAlignment w:val="auto"/>
                    <w:rPr>
                      <w:rFonts w:hint="eastAsia"/>
                      <w:sz w:val="21"/>
                      <w:szCs w:val="21"/>
                      <w:highlight w:val="none"/>
                      <w:lang w:val="en-US" w:eastAsia="zh-CN"/>
                    </w:rPr>
                  </w:pPr>
                </w:p>
              </w:tc>
              <w:tc>
                <w:tcPr>
                  <w:tcW w:w="792" w:type="pct"/>
                  <w:tcBorders>
                    <w:tl2br w:val="nil"/>
                    <w:tr2bl w:val="nil"/>
                  </w:tcBorders>
                  <w:noWrap w:val="0"/>
                  <w:vAlign w:val="center"/>
                </w:tcPr>
                <w:p w14:paraId="69E460B5">
                  <w:pPr>
                    <w:keepNext w:val="0"/>
                    <w:keepLines w:val="0"/>
                    <w:pageBreakBefore w:val="0"/>
                    <w:kinsoku/>
                    <w:wordWrap/>
                    <w:overflowPunct/>
                    <w:topLinePunct w:val="0"/>
                    <w:autoSpaceDE/>
                    <w:autoSpaceDN/>
                    <w:bidi w:val="0"/>
                    <w:adjustRightInd/>
                    <w:snapToGrid/>
                    <w:jc w:val="center"/>
                    <w:textAlignment w:val="auto"/>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4#库房</w:t>
                  </w:r>
                </w:p>
              </w:tc>
              <w:tc>
                <w:tcPr>
                  <w:tcW w:w="3453" w:type="pct"/>
                  <w:tcBorders>
                    <w:tl2br w:val="nil"/>
                    <w:tr2bl w:val="nil"/>
                  </w:tcBorders>
                  <w:noWrap w:val="0"/>
                  <w:vAlign w:val="center"/>
                </w:tcPr>
                <w:p w14:paraId="4D167746">
                  <w:pPr>
                    <w:keepNext w:val="0"/>
                    <w:keepLines w:val="0"/>
                    <w:pageBreakBefore w:val="0"/>
                    <w:kinsoku/>
                    <w:wordWrap/>
                    <w:overflowPunct/>
                    <w:topLinePunct w:val="0"/>
                    <w:autoSpaceDE/>
                    <w:autoSpaceDN/>
                    <w:bidi w:val="0"/>
                    <w:adjustRightInd/>
                    <w:snapToGrid/>
                    <w:jc w:val="left"/>
                    <w:textAlignment w:val="auto"/>
                    <w:rPr>
                      <w:rFonts w:hint="eastAsia"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用于储存矿建材料、钢材等杂货</w:t>
                  </w:r>
                  <w:r>
                    <w:rPr>
                      <w:rFonts w:hint="eastAsia" w:cs="Times New Roman"/>
                      <w:sz w:val="21"/>
                      <w:szCs w:val="21"/>
                      <w:highlight w:val="none"/>
                      <w:lang w:val="en-US" w:eastAsia="zh-CN"/>
                    </w:rPr>
                    <w:t>，其中矿建材料最大储存量为5000吨，平均2-3月倒运一次；钢材储存量为20万吨，平均4-5月倒运一次</w:t>
                  </w:r>
                  <w:r>
                    <w:rPr>
                      <w:rFonts w:hint="eastAsia" w:ascii="Times New Roman" w:hAnsi="Times New Roman" w:eastAsia="宋体" w:cs="Times New Roman"/>
                      <w:sz w:val="21"/>
                      <w:szCs w:val="21"/>
                      <w:highlight w:val="none"/>
                      <w:lang w:val="en-US" w:eastAsia="zh-CN"/>
                    </w:rPr>
                    <w:t>。</w:t>
                  </w:r>
                </w:p>
              </w:tc>
            </w:tr>
            <w:tr w14:paraId="6282C4F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4" w:type="pct"/>
                  <w:vMerge w:val="continue"/>
                  <w:tcBorders>
                    <w:tl2br w:val="nil"/>
                    <w:tr2bl w:val="nil"/>
                  </w:tcBorders>
                  <w:noWrap w:val="0"/>
                  <w:vAlign w:val="center"/>
                </w:tcPr>
                <w:p w14:paraId="06BBA78B">
                  <w:pPr>
                    <w:keepNext w:val="0"/>
                    <w:keepLines w:val="0"/>
                    <w:pageBreakBefore w:val="0"/>
                    <w:kinsoku/>
                    <w:wordWrap/>
                    <w:overflowPunct/>
                    <w:topLinePunct w:val="0"/>
                    <w:autoSpaceDE/>
                    <w:autoSpaceDN/>
                    <w:bidi w:val="0"/>
                    <w:adjustRightInd/>
                    <w:snapToGrid/>
                    <w:jc w:val="center"/>
                    <w:textAlignment w:val="auto"/>
                    <w:rPr>
                      <w:rFonts w:hint="eastAsia"/>
                      <w:sz w:val="21"/>
                      <w:szCs w:val="21"/>
                      <w:highlight w:val="none"/>
                      <w:lang w:val="en-US" w:eastAsia="zh-CN"/>
                    </w:rPr>
                  </w:pPr>
                </w:p>
              </w:tc>
              <w:tc>
                <w:tcPr>
                  <w:tcW w:w="792" w:type="pct"/>
                  <w:tcBorders>
                    <w:tl2br w:val="nil"/>
                    <w:tr2bl w:val="nil"/>
                  </w:tcBorders>
                  <w:noWrap w:val="0"/>
                  <w:vAlign w:val="center"/>
                </w:tcPr>
                <w:p w14:paraId="14E44CCD">
                  <w:pPr>
                    <w:keepNext w:val="0"/>
                    <w:keepLines w:val="0"/>
                    <w:pageBreakBefore w:val="0"/>
                    <w:kinsoku/>
                    <w:wordWrap/>
                    <w:overflowPunct/>
                    <w:topLinePunct w:val="0"/>
                    <w:autoSpaceDE/>
                    <w:autoSpaceDN/>
                    <w:bidi w:val="0"/>
                    <w:adjustRightInd/>
                    <w:snapToGrid/>
                    <w:jc w:val="center"/>
                    <w:textAlignment w:val="auto"/>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5#库房</w:t>
                  </w:r>
                </w:p>
              </w:tc>
              <w:tc>
                <w:tcPr>
                  <w:tcW w:w="3453" w:type="pct"/>
                  <w:tcBorders>
                    <w:tl2br w:val="nil"/>
                    <w:tr2bl w:val="nil"/>
                  </w:tcBorders>
                  <w:noWrap w:val="0"/>
                  <w:vAlign w:val="center"/>
                </w:tcPr>
                <w:p w14:paraId="0EDB1847">
                  <w:pPr>
                    <w:keepNext w:val="0"/>
                    <w:keepLines w:val="0"/>
                    <w:pageBreakBefore w:val="0"/>
                    <w:kinsoku/>
                    <w:wordWrap/>
                    <w:overflowPunct/>
                    <w:topLinePunct w:val="0"/>
                    <w:autoSpaceDE/>
                    <w:autoSpaceDN/>
                    <w:bidi w:val="0"/>
                    <w:adjustRightInd/>
                    <w:snapToGrid/>
                    <w:jc w:val="left"/>
                    <w:textAlignment w:val="auto"/>
                    <w:rPr>
                      <w:rFonts w:hint="eastAsia"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用于储存矿建材料、钢材等杂货</w:t>
                  </w:r>
                  <w:r>
                    <w:rPr>
                      <w:rFonts w:hint="eastAsia" w:cs="Times New Roman"/>
                      <w:sz w:val="21"/>
                      <w:szCs w:val="21"/>
                      <w:highlight w:val="none"/>
                      <w:lang w:val="en-US" w:eastAsia="zh-CN"/>
                    </w:rPr>
                    <w:t>，其中矿建材料最大储存量为5000吨，平均2-3月倒运一次；钢材储存量为20万吨，平均4-5月倒运一次</w:t>
                  </w:r>
                  <w:r>
                    <w:rPr>
                      <w:rFonts w:hint="eastAsia" w:ascii="Times New Roman" w:hAnsi="Times New Roman" w:eastAsia="宋体" w:cs="Times New Roman"/>
                      <w:sz w:val="21"/>
                      <w:szCs w:val="21"/>
                      <w:highlight w:val="none"/>
                      <w:lang w:val="en-US" w:eastAsia="zh-CN"/>
                    </w:rPr>
                    <w:t>。</w:t>
                  </w:r>
                </w:p>
              </w:tc>
            </w:tr>
            <w:tr w14:paraId="1236E00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4" w:type="pct"/>
                  <w:vMerge w:val="continue"/>
                  <w:tcBorders>
                    <w:tl2br w:val="nil"/>
                    <w:tr2bl w:val="nil"/>
                  </w:tcBorders>
                  <w:noWrap w:val="0"/>
                  <w:vAlign w:val="center"/>
                </w:tcPr>
                <w:p w14:paraId="3C4CFDC3">
                  <w:pPr>
                    <w:keepNext w:val="0"/>
                    <w:keepLines w:val="0"/>
                    <w:pageBreakBefore w:val="0"/>
                    <w:kinsoku/>
                    <w:wordWrap/>
                    <w:overflowPunct/>
                    <w:topLinePunct w:val="0"/>
                    <w:autoSpaceDE/>
                    <w:autoSpaceDN/>
                    <w:bidi w:val="0"/>
                    <w:adjustRightInd/>
                    <w:snapToGrid/>
                    <w:jc w:val="center"/>
                    <w:textAlignment w:val="auto"/>
                    <w:rPr>
                      <w:rFonts w:hint="eastAsia"/>
                      <w:sz w:val="21"/>
                      <w:szCs w:val="21"/>
                      <w:highlight w:val="none"/>
                      <w:lang w:val="en-US" w:eastAsia="zh-CN"/>
                    </w:rPr>
                  </w:pPr>
                </w:p>
              </w:tc>
              <w:tc>
                <w:tcPr>
                  <w:tcW w:w="792" w:type="pct"/>
                  <w:tcBorders>
                    <w:tl2br w:val="nil"/>
                    <w:tr2bl w:val="nil"/>
                  </w:tcBorders>
                  <w:noWrap w:val="0"/>
                  <w:vAlign w:val="center"/>
                </w:tcPr>
                <w:p w14:paraId="444C25C2">
                  <w:pPr>
                    <w:keepNext w:val="0"/>
                    <w:keepLines w:val="0"/>
                    <w:pageBreakBefore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
                      <w:sz w:val="21"/>
                      <w:szCs w:val="21"/>
                      <w:highlight w:val="none"/>
                      <w:lang w:val="en-US" w:eastAsia="zh-CN" w:bidi="ar-SA"/>
                    </w:rPr>
                  </w:pPr>
                  <w:r>
                    <w:rPr>
                      <w:rFonts w:hint="eastAsia"/>
                      <w:sz w:val="21"/>
                      <w:szCs w:val="21"/>
                      <w:highlight w:val="none"/>
                      <w:lang w:val="en-US" w:eastAsia="zh-CN"/>
                    </w:rPr>
                    <w:t>运输车辆</w:t>
                  </w:r>
                </w:p>
              </w:tc>
              <w:tc>
                <w:tcPr>
                  <w:tcW w:w="3453" w:type="pct"/>
                  <w:tcBorders>
                    <w:tl2br w:val="nil"/>
                    <w:tr2bl w:val="nil"/>
                  </w:tcBorders>
                  <w:noWrap w:val="0"/>
                  <w:vAlign w:val="center"/>
                </w:tcPr>
                <w:p w14:paraId="0231086D">
                  <w:pPr>
                    <w:keepNext w:val="0"/>
                    <w:keepLines w:val="0"/>
                    <w:pageBreakBefore w:val="0"/>
                    <w:kinsoku/>
                    <w:wordWrap/>
                    <w:overflowPunct/>
                    <w:topLinePunct w:val="0"/>
                    <w:autoSpaceDE/>
                    <w:autoSpaceDN/>
                    <w:bidi w:val="0"/>
                    <w:adjustRightInd/>
                    <w:snapToGrid/>
                    <w:jc w:val="left"/>
                    <w:textAlignment w:val="auto"/>
                    <w:rPr>
                      <w:rFonts w:hint="default" w:ascii="Times New Roman" w:hAnsi="Times New Roman" w:eastAsia="宋体" w:cs="Times New Roman"/>
                      <w:sz w:val="21"/>
                      <w:szCs w:val="21"/>
                      <w:highlight w:val="none"/>
                      <w:lang w:val="en-US" w:eastAsia="zh-CN"/>
                    </w:rPr>
                  </w:pPr>
                  <w:r>
                    <w:rPr>
                      <w:rFonts w:hint="eastAsia" w:cs="Times New Roman"/>
                      <w:sz w:val="21"/>
                      <w:szCs w:val="21"/>
                      <w:highlight w:val="none"/>
                      <w:lang w:val="en-US" w:eastAsia="zh-CN"/>
                    </w:rPr>
                    <w:t>物料由码头汽运至厂房及库房内储存，成品煤由新能源电动铲车装车后汽运至其他企业，物料公路运输全部使用国五及以上排放标准重型载货车辆（含燃气）或新能源车辆。</w:t>
                  </w:r>
                </w:p>
              </w:tc>
            </w:tr>
            <w:tr w14:paraId="482BA78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4" w:type="pct"/>
                  <w:vMerge w:val="restart"/>
                  <w:tcBorders>
                    <w:tl2br w:val="nil"/>
                    <w:tr2bl w:val="nil"/>
                  </w:tcBorders>
                  <w:noWrap w:val="0"/>
                  <w:vAlign w:val="center"/>
                </w:tcPr>
                <w:p w14:paraId="313E538A">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r>
                    <w:rPr>
                      <w:rFonts w:hint="eastAsia"/>
                      <w:sz w:val="21"/>
                      <w:szCs w:val="21"/>
                      <w:highlight w:val="none"/>
                      <w:lang w:val="en-US" w:eastAsia="zh-CN"/>
                    </w:rPr>
                    <w:t>辅助工程</w:t>
                  </w:r>
                </w:p>
              </w:tc>
              <w:tc>
                <w:tcPr>
                  <w:tcW w:w="792" w:type="pct"/>
                  <w:tcBorders>
                    <w:tl2br w:val="nil"/>
                    <w:tr2bl w:val="nil"/>
                  </w:tcBorders>
                  <w:noWrap w:val="0"/>
                  <w:vAlign w:val="center"/>
                </w:tcPr>
                <w:p w14:paraId="3A87FF50">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r>
                    <w:rPr>
                      <w:rFonts w:hint="eastAsia"/>
                      <w:sz w:val="21"/>
                      <w:szCs w:val="21"/>
                      <w:highlight w:val="none"/>
                      <w:lang w:val="en-US" w:eastAsia="zh-CN"/>
                    </w:rPr>
                    <w:t>办公楼</w:t>
                  </w:r>
                </w:p>
              </w:tc>
              <w:tc>
                <w:tcPr>
                  <w:tcW w:w="3453" w:type="pct"/>
                  <w:tcBorders>
                    <w:tl2br w:val="nil"/>
                    <w:tr2bl w:val="nil"/>
                  </w:tcBorders>
                  <w:noWrap w:val="0"/>
                  <w:vAlign w:val="center"/>
                </w:tcPr>
                <w:p w14:paraId="77F82810">
                  <w:pPr>
                    <w:keepNext w:val="0"/>
                    <w:keepLines w:val="0"/>
                    <w:pageBreakBefore w:val="0"/>
                    <w:kinsoku/>
                    <w:wordWrap/>
                    <w:overflowPunct/>
                    <w:topLinePunct w:val="0"/>
                    <w:autoSpaceDE/>
                    <w:autoSpaceDN/>
                    <w:bidi w:val="0"/>
                    <w:adjustRightInd/>
                    <w:snapToGrid/>
                    <w:jc w:val="left"/>
                    <w:textAlignment w:val="auto"/>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员工办公及休息。</w:t>
                  </w:r>
                </w:p>
              </w:tc>
            </w:tr>
            <w:tr w14:paraId="606E9F0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4" w:type="pct"/>
                  <w:vMerge w:val="continue"/>
                  <w:tcBorders>
                    <w:tl2br w:val="nil"/>
                    <w:tr2bl w:val="nil"/>
                  </w:tcBorders>
                  <w:noWrap w:val="0"/>
                  <w:vAlign w:val="center"/>
                </w:tcPr>
                <w:p w14:paraId="78B796C8">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p>
              </w:tc>
              <w:tc>
                <w:tcPr>
                  <w:tcW w:w="792" w:type="pct"/>
                  <w:tcBorders>
                    <w:tl2br w:val="nil"/>
                    <w:tr2bl w:val="nil"/>
                  </w:tcBorders>
                  <w:noWrap w:val="0"/>
                  <w:vAlign w:val="center"/>
                </w:tcPr>
                <w:p w14:paraId="56B7F7BA">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r>
                    <w:rPr>
                      <w:rFonts w:hint="eastAsia"/>
                      <w:sz w:val="21"/>
                      <w:szCs w:val="21"/>
                      <w:highlight w:val="none"/>
                      <w:lang w:val="en-US" w:eastAsia="zh-CN"/>
                    </w:rPr>
                    <w:t>综合楼</w:t>
                  </w:r>
                </w:p>
              </w:tc>
              <w:tc>
                <w:tcPr>
                  <w:tcW w:w="3453" w:type="pct"/>
                  <w:tcBorders>
                    <w:tl2br w:val="nil"/>
                    <w:tr2bl w:val="nil"/>
                  </w:tcBorders>
                  <w:noWrap w:val="0"/>
                  <w:vAlign w:val="center"/>
                </w:tcPr>
                <w:p w14:paraId="688BFF78">
                  <w:pPr>
                    <w:keepNext w:val="0"/>
                    <w:keepLines w:val="0"/>
                    <w:pageBreakBefore w:val="0"/>
                    <w:kinsoku/>
                    <w:wordWrap/>
                    <w:overflowPunct/>
                    <w:topLinePunct w:val="0"/>
                    <w:autoSpaceDE/>
                    <w:autoSpaceDN/>
                    <w:bidi w:val="0"/>
                    <w:adjustRightInd/>
                    <w:snapToGrid/>
                    <w:jc w:val="left"/>
                    <w:textAlignment w:val="auto"/>
                    <w:rPr>
                      <w:rFonts w:hint="default" w:ascii="Times New Roman" w:hAnsi="Times New Roman" w:eastAsia="宋体" w:cs="Times New Roman"/>
                      <w:sz w:val="21"/>
                      <w:szCs w:val="21"/>
                      <w:highlight w:val="none"/>
                      <w:lang w:val="en-US" w:eastAsia="zh-CN"/>
                    </w:rPr>
                  </w:pPr>
                  <w:r>
                    <w:rPr>
                      <w:rFonts w:hint="eastAsia" w:cs="Times New Roman"/>
                      <w:sz w:val="21"/>
                      <w:szCs w:val="21"/>
                      <w:highlight w:val="none"/>
                      <w:lang w:val="en-US" w:eastAsia="zh-CN"/>
                    </w:rPr>
                    <w:t>主要为</w:t>
                  </w:r>
                  <w:r>
                    <w:rPr>
                      <w:rFonts w:hint="eastAsia" w:ascii="Times New Roman" w:hAnsi="Times New Roman" w:eastAsia="宋体" w:cs="Times New Roman"/>
                      <w:sz w:val="21"/>
                      <w:szCs w:val="21"/>
                      <w:highlight w:val="none"/>
                      <w:lang w:val="en-US" w:eastAsia="zh-CN"/>
                    </w:rPr>
                    <w:t>食堂、宿舍</w:t>
                  </w:r>
                  <w:r>
                    <w:rPr>
                      <w:rFonts w:hint="eastAsia" w:cs="Times New Roman"/>
                      <w:sz w:val="21"/>
                      <w:szCs w:val="21"/>
                      <w:highlight w:val="none"/>
                      <w:lang w:val="en-US" w:eastAsia="zh-CN"/>
                    </w:rPr>
                    <w:t>、</w:t>
                  </w:r>
                  <w:r>
                    <w:rPr>
                      <w:rFonts w:hint="eastAsia" w:ascii="Times New Roman" w:hAnsi="Times New Roman" w:eastAsia="宋体" w:cs="Times New Roman"/>
                      <w:sz w:val="21"/>
                      <w:szCs w:val="21"/>
                      <w:highlight w:val="none"/>
                      <w:lang w:val="en-US" w:eastAsia="zh-CN"/>
                    </w:rPr>
                    <w:t>办公等。</w:t>
                  </w:r>
                </w:p>
              </w:tc>
            </w:tr>
            <w:tr w14:paraId="44BA79B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4" w:type="pct"/>
                  <w:vMerge w:val="continue"/>
                  <w:tcBorders>
                    <w:tl2br w:val="nil"/>
                    <w:tr2bl w:val="nil"/>
                  </w:tcBorders>
                  <w:noWrap w:val="0"/>
                  <w:vAlign w:val="center"/>
                </w:tcPr>
                <w:p w14:paraId="3888D532">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p>
              </w:tc>
              <w:tc>
                <w:tcPr>
                  <w:tcW w:w="792" w:type="pct"/>
                  <w:tcBorders>
                    <w:tl2br w:val="nil"/>
                    <w:tr2bl w:val="nil"/>
                  </w:tcBorders>
                  <w:noWrap w:val="0"/>
                  <w:vAlign w:val="center"/>
                </w:tcPr>
                <w:p w14:paraId="50CCBE00">
                  <w:pPr>
                    <w:keepNext w:val="0"/>
                    <w:keepLines w:val="0"/>
                    <w:pageBreakBefore w:val="0"/>
                    <w:kinsoku/>
                    <w:wordWrap/>
                    <w:overflowPunct/>
                    <w:topLinePunct w:val="0"/>
                    <w:autoSpaceDE/>
                    <w:autoSpaceDN/>
                    <w:bidi w:val="0"/>
                    <w:adjustRightInd/>
                    <w:snapToGrid/>
                    <w:jc w:val="center"/>
                    <w:textAlignment w:val="auto"/>
                    <w:rPr>
                      <w:rFonts w:hint="eastAsia"/>
                      <w:sz w:val="21"/>
                      <w:szCs w:val="21"/>
                      <w:highlight w:val="none"/>
                      <w:lang w:val="en-US" w:eastAsia="zh-CN"/>
                    </w:rPr>
                  </w:pPr>
                  <w:r>
                    <w:rPr>
                      <w:rFonts w:hint="eastAsia"/>
                      <w:sz w:val="21"/>
                      <w:szCs w:val="21"/>
                      <w:highlight w:val="none"/>
                      <w:lang w:val="en-US" w:eastAsia="zh-CN"/>
                    </w:rPr>
                    <w:t>检测楼</w:t>
                  </w:r>
                </w:p>
              </w:tc>
              <w:tc>
                <w:tcPr>
                  <w:tcW w:w="3453" w:type="pct"/>
                  <w:tcBorders>
                    <w:tl2br w:val="nil"/>
                    <w:tr2bl w:val="nil"/>
                  </w:tcBorders>
                  <w:noWrap w:val="0"/>
                  <w:vAlign w:val="center"/>
                </w:tcPr>
                <w:p w14:paraId="6F11CB8D">
                  <w:pPr>
                    <w:keepNext w:val="0"/>
                    <w:keepLines w:val="0"/>
                    <w:pageBreakBefore w:val="0"/>
                    <w:kinsoku/>
                    <w:wordWrap/>
                    <w:overflowPunct/>
                    <w:topLinePunct w:val="0"/>
                    <w:autoSpaceDE/>
                    <w:autoSpaceDN/>
                    <w:bidi w:val="0"/>
                    <w:adjustRightInd/>
                    <w:snapToGrid/>
                    <w:jc w:val="left"/>
                    <w:textAlignment w:val="auto"/>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用于原煤和产品的常规指标检测，均为物理实验，不涉及化学药品。</w:t>
                  </w:r>
                </w:p>
              </w:tc>
            </w:tr>
            <w:tr w14:paraId="4A606EA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4" w:type="pct"/>
                  <w:vMerge w:val="continue"/>
                  <w:tcBorders>
                    <w:tl2br w:val="nil"/>
                    <w:tr2bl w:val="nil"/>
                  </w:tcBorders>
                  <w:noWrap w:val="0"/>
                  <w:vAlign w:val="center"/>
                </w:tcPr>
                <w:p w14:paraId="324F61DC">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p>
              </w:tc>
              <w:tc>
                <w:tcPr>
                  <w:tcW w:w="792" w:type="pct"/>
                  <w:tcBorders>
                    <w:tl2br w:val="nil"/>
                    <w:tr2bl w:val="nil"/>
                  </w:tcBorders>
                  <w:noWrap w:val="0"/>
                  <w:vAlign w:val="center"/>
                </w:tcPr>
                <w:p w14:paraId="3F4DA656">
                  <w:pPr>
                    <w:keepNext w:val="0"/>
                    <w:keepLines w:val="0"/>
                    <w:pageBreakBefore w:val="0"/>
                    <w:kinsoku/>
                    <w:wordWrap/>
                    <w:overflowPunct/>
                    <w:topLinePunct w:val="0"/>
                    <w:autoSpaceDE/>
                    <w:autoSpaceDN/>
                    <w:bidi w:val="0"/>
                    <w:adjustRightInd/>
                    <w:snapToGrid/>
                    <w:jc w:val="center"/>
                    <w:textAlignment w:val="auto"/>
                    <w:rPr>
                      <w:rFonts w:hint="eastAsia"/>
                      <w:sz w:val="21"/>
                      <w:szCs w:val="21"/>
                      <w:highlight w:val="none"/>
                      <w:lang w:val="en-US" w:eastAsia="zh-CN"/>
                    </w:rPr>
                  </w:pPr>
                  <w:r>
                    <w:rPr>
                      <w:rFonts w:hint="eastAsia"/>
                      <w:sz w:val="21"/>
                      <w:szCs w:val="21"/>
                      <w:highlight w:val="none"/>
                      <w:lang w:val="en-US" w:eastAsia="zh-CN"/>
                    </w:rPr>
                    <w:t>变电所</w:t>
                  </w:r>
                </w:p>
              </w:tc>
              <w:tc>
                <w:tcPr>
                  <w:tcW w:w="3453" w:type="pct"/>
                  <w:tcBorders>
                    <w:tl2br w:val="nil"/>
                    <w:tr2bl w:val="nil"/>
                  </w:tcBorders>
                  <w:noWrap w:val="0"/>
                  <w:vAlign w:val="center"/>
                </w:tcPr>
                <w:p w14:paraId="17E83ADF">
                  <w:pPr>
                    <w:keepNext w:val="0"/>
                    <w:keepLines w:val="0"/>
                    <w:pageBreakBefore w:val="0"/>
                    <w:kinsoku/>
                    <w:wordWrap/>
                    <w:overflowPunct/>
                    <w:topLinePunct w:val="0"/>
                    <w:autoSpaceDE/>
                    <w:autoSpaceDN/>
                    <w:bidi w:val="0"/>
                    <w:adjustRightInd/>
                    <w:snapToGrid/>
                    <w:jc w:val="left"/>
                    <w:textAlignment w:val="auto"/>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对电压和电流进行变换、集中与分配。</w:t>
                  </w:r>
                </w:p>
              </w:tc>
            </w:tr>
            <w:tr w14:paraId="5438B2D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4" w:type="pct"/>
                  <w:vMerge w:val="continue"/>
                  <w:tcBorders>
                    <w:tl2br w:val="nil"/>
                    <w:tr2bl w:val="nil"/>
                  </w:tcBorders>
                  <w:noWrap w:val="0"/>
                  <w:vAlign w:val="center"/>
                </w:tcPr>
                <w:p w14:paraId="69737000">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p>
              </w:tc>
              <w:tc>
                <w:tcPr>
                  <w:tcW w:w="792" w:type="pct"/>
                  <w:tcBorders>
                    <w:tl2br w:val="nil"/>
                    <w:tr2bl w:val="nil"/>
                  </w:tcBorders>
                  <w:noWrap w:val="0"/>
                  <w:vAlign w:val="center"/>
                </w:tcPr>
                <w:p w14:paraId="472E8B06">
                  <w:pPr>
                    <w:keepNext w:val="0"/>
                    <w:keepLines w:val="0"/>
                    <w:pageBreakBefore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kern w:val="2"/>
                      <w:sz w:val="21"/>
                      <w:szCs w:val="21"/>
                      <w:highlight w:val="none"/>
                      <w:lang w:val="en-US" w:eastAsia="zh-CN" w:bidi="ar-SA"/>
                    </w:rPr>
                    <w:t>消防泵房</w:t>
                  </w:r>
                </w:p>
              </w:tc>
              <w:tc>
                <w:tcPr>
                  <w:tcW w:w="3453" w:type="pct"/>
                  <w:tcBorders>
                    <w:tl2br w:val="nil"/>
                    <w:tr2bl w:val="nil"/>
                  </w:tcBorders>
                  <w:noWrap w:val="0"/>
                  <w:vAlign w:val="center"/>
                </w:tcPr>
                <w:p w14:paraId="1ED0517B">
                  <w:pPr>
                    <w:keepNext w:val="0"/>
                    <w:keepLines w:val="0"/>
                    <w:pageBreakBefore w:val="0"/>
                    <w:kinsoku/>
                    <w:wordWrap/>
                    <w:overflowPunct/>
                    <w:topLinePunct w:val="0"/>
                    <w:autoSpaceDE/>
                    <w:autoSpaceDN/>
                    <w:bidi w:val="0"/>
                    <w:adjustRightInd/>
                    <w:snapToGrid/>
                    <w:jc w:val="left"/>
                    <w:textAlignment w:val="auto"/>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用于消防。</w:t>
                  </w:r>
                </w:p>
              </w:tc>
            </w:tr>
            <w:tr w14:paraId="0512E63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4" w:type="pct"/>
                  <w:vMerge w:val="continue"/>
                  <w:tcBorders>
                    <w:tl2br w:val="nil"/>
                    <w:tr2bl w:val="nil"/>
                  </w:tcBorders>
                  <w:noWrap w:val="0"/>
                  <w:vAlign w:val="center"/>
                </w:tcPr>
                <w:p w14:paraId="2DFB374B">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p>
              </w:tc>
              <w:tc>
                <w:tcPr>
                  <w:tcW w:w="792" w:type="pct"/>
                  <w:tcBorders>
                    <w:tl2br w:val="nil"/>
                    <w:tr2bl w:val="nil"/>
                  </w:tcBorders>
                  <w:noWrap w:val="0"/>
                  <w:vAlign w:val="center"/>
                </w:tcPr>
                <w:p w14:paraId="548DFB5A">
                  <w:pPr>
                    <w:keepNext w:val="0"/>
                    <w:keepLines w:val="0"/>
                    <w:pageBreakBefore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kern w:val="2"/>
                      <w:sz w:val="21"/>
                      <w:szCs w:val="21"/>
                      <w:highlight w:val="none"/>
                      <w:lang w:val="en-US" w:eastAsia="zh-CN" w:bidi="ar-SA"/>
                    </w:rPr>
                    <w:t>门卫</w:t>
                  </w:r>
                </w:p>
              </w:tc>
              <w:tc>
                <w:tcPr>
                  <w:tcW w:w="3453" w:type="pct"/>
                  <w:tcBorders>
                    <w:tl2br w:val="nil"/>
                    <w:tr2bl w:val="nil"/>
                  </w:tcBorders>
                  <w:noWrap w:val="0"/>
                  <w:vAlign w:val="center"/>
                </w:tcPr>
                <w:p w14:paraId="4C7AFC47">
                  <w:pPr>
                    <w:keepNext w:val="0"/>
                    <w:keepLines w:val="0"/>
                    <w:pageBreakBefore w:val="0"/>
                    <w:kinsoku/>
                    <w:wordWrap/>
                    <w:overflowPunct/>
                    <w:topLinePunct w:val="0"/>
                    <w:autoSpaceDE/>
                    <w:autoSpaceDN/>
                    <w:bidi w:val="0"/>
                    <w:adjustRightInd/>
                    <w:snapToGrid/>
                    <w:jc w:val="left"/>
                    <w:textAlignment w:val="auto"/>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用于接待员工办公及来访人员。</w:t>
                  </w:r>
                </w:p>
              </w:tc>
            </w:tr>
            <w:tr w14:paraId="705A79F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4" w:type="pct"/>
                  <w:vMerge w:val="continue"/>
                  <w:tcBorders>
                    <w:tl2br w:val="nil"/>
                    <w:tr2bl w:val="nil"/>
                  </w:tcBorders>
                  <w:noWrap w:val="0"/>
                  <w:vAlign w:val="center"/>
                </w:tcPr>
                <w:p w14:paraId="63EBD61A">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p>
              </w:tc>
              <w:tc>
                <w:tcPr>
                  <w:tcW w:w="792" w:type="pct"/>
                  <w:tcBorders>
                    <w:tl2br w:val="nil"/>
                    <w:tr2bl w:val="nil"/>
                  </w:tcBorders>
                  <w:noWrap w:val="0"/>
                  <w:vAlign w:val="center"/>
                </w:tcPr>
                <w:p w14:paraId="2D52616A">
                  <w:pPr>
                    <w:keepNext w:val="0"/>
                    <w:keepLines w:val="0"/>
                    <w:pageBreakBefore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kern w:val="2"/>
                      <w:sz w:val="21"/>
                      <w:szCs w:val="21"/>
                      <w:highlight w:val="none"/>
                      <w:lang w:val="en-US" w:eastAsia="zh-CN" w:bidi="ar-SA"/>
                    </w:rPr>
                    <w:t>磅房</w:t>
                  </w:r>
                </w:p>
              </w:tc>
              <w:tc>
                <w:tcPr>
                  <w:tcW w:w="3453" w:type="pct"/>
                  <w:tcBorders>
                    <w:tl2br w:val="nil"/>
                    <w:tr2bl w:val="nil"/>
                  </w:tcBorders>
                  <w:noWrap w:val="0"/>
                  <w:vAlign w:val="center"/>
                </w:tcPr>
                <w:p w14:paraId="0D8950C6">
                  <w:pPr>
                    <w:keepNext w:val="0"/>
                    <w:keepLines w:val="0"/>
                    <w:pageBreakBefore w:val="0"/>
                    <w:kinsoku/>
                    <w:wordWrap/>
                    <w:overflowPunct/>
                    <w:topLinePunct w:val="0"/>
                    <w:autoSpaceDE/>
                    <w:autoSpaceDN/>
                    <w:bidi w:val="0"/>
                    <w:adjustRightInd/>
                    <w:snapToGrid/>
                    <w:jc w:val="left"/>
                    <w:textAlignment w:val="auto"/>
                    <w:rPr>
                      <w:rFonts w:hint="eastAsia"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记录运输车辆过磅数据。</w:t>
                  </w:r>
                </w:p>
              </w:tc>
            </w:tr>
            <w:tr w14:paraId="40AD07B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4" w:type="pct"/>
                  <w:vMerge w:val="continue"/>
                  <w:tcBorders>
                    <w:tl2br w:val="nil"/>
                    <w:tr2bl w:val="nil"/>
                  </w:tcBorders>
                  <w:noWrap w:val="0"/>
                  <w:vAlign w:val="center"/>
                </w:tcPr>
                <w:p w14:paraId="3EB734A5">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p>
              </w:tc>
              <w:tc>
                <w:tcPr>
                  <w:tcW w:w="792" w:type="pct"/>
                  <w:tcBorders>
                    <w:tl2br w:val="nil"/>
                    <w:tr2bl w:val="nil"/>
                  </w:tcBorders>
                  <w:noWrap w:val="0"/>
                  <w:vAlign w:val="center"/>
                </w:tcPr>
                <w:p w14:paraId="20C621AA">
                  <w:pPr>
                    <w:keepNext w:val="0"/>
                    <w:keepLines w:val="0"/>
                    <w:pageBreakBefore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
                      <w:sz w:val="21"/>
                      <w:szCs w:val="21"/>
                      <w:highlight w:val="none"/>
                      <w:lang w:val="en-US" w:eastAsia="zh-CN" w:bidi="ar-SA"/>
                    </w:rPr>
                  </w:pPr>
                  <w:r>
                    <w:rPr>
                      <w:rFonts w:hint="eastAsia" w:cs="Times New Roman"/>
                      <w:kern w:val="2"/>
                      <w:sz w:val="21"/>
                      <w:szCs w:val="21"/>
                      <w:highlight w:val="none"/>
                      <w:lang w:val="en-US" w:eastAsia="zh-CN" w:bidi="ar-SA"/>
                    </w:rPr>
                    <w:t>初期</w:t>
                  </w:r>
                  <w:r>
                    <w:rPr>
                      <w:rFonts w:hint="eastAsia" w:ascii="Times New Roman" w:hAnsi="Times New Roman" w:eastAsia="宋体" w:cs="Times New Roman"/>
                      <w:kern w:val="2"/>
                      <w:sz w:val="21"/>
                      <w:szCs w:val="21"/>
                      <w:highlight w:val="none"/>
                      <w:lang w:val="en-US" w:eastAsia="zh-CN" w:bidi="ar-SA"/>
                    </w:rPr>
                    <w:t>雨水沉淀池</w:t>
                  </w:r>
                </w:p>
              </w:tc>
              <w:tc>
                <w:tcPr>
                  <w:tcW w:w="3453" w:type="pct"/>
                  <w:tcBorders>
                    <w:tl2br w:val="nil"/>
                    <w:tr2bl w:val="nil"/>
                  </w:tcBorders>
                  <w:noWrap w:val="0"/>
                  <w:vAlign w:val="center"/>
                </w:tcPr>
                <w:p w14:paraId="1180277B">
                  <w:pPr>
                    <w:keepNext w:val="0"/>
                    <w:keepLines w:val="0"/>
                    <w:pageBreakBefore w:val="0"/>
                    <w:kinsoku/>
                    <w:wordWrap/>
                    <w:overflowPunct/>
                    <w:topLinePunct w:val="0"/>
                    <w:autoSpaceDE/>
                    <w:autoSpaceDN/>
                    <w:bidi w:val="0"/>
                    <w:adjustRightInd/>
                    <w:snapToGrid/>
                    <w:jc w:val="left"/>
                    <w:textAlignment w:val="auto"/>
                    <w:rPr>
                      <w:rFonts w:hint="eastAsia"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位于变电所西侧，用于收集厂区前</w:t>
                  </w:r>
                  <w:r>
                    <w:rPr>
                      <w:rFonts w:hint="default" w:ascii="Times New Roman" w:hAnsi="Times New Roman" w:eastAsia="宋体" w:cs="Times New Roman"/>
                      <w:sz w:val="21"/>
                      <w:szCs w:val="21"/>
                      <w:highlight w:val="none"/>
                      <w:lang w:val="en-US" w:eastAsia="zh-CN"/>
                    </w:rPr>
                    <w:t>15</w:t>
                  </w:r>
                  <w:r>
                    <w:rPr>
                      <w:rFonts w:hint="eastAsia" w:ascii="Times New Roman" w:hAnsi="Times New Roman" w:eastAsia="宋体" w:cs="Times New Roman"/>
                      <w:sz w:val="21"/>
                      <w:szCs w:val="21"/>
                      <w:highlight w:val="none"/>
                      <w:lang w:val="en-US" w:eastAsia="zh-CN"/>
                    </w:rPr>
                    <w:t>分钟的含煤初期雨水，初期雨水沉淀后回用。</w:t>
                  </w:r>
                </w:p>
              </w:tc>
            </w:tr>
            <w:tr w14:paraId="2BC7FE5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4" w:type="pct"/>
                  <w:vMerge w:val="restart"/>
                  <w:tcBorders>
                    <w:tl2br w:val="nil"/>
                    <w:tr2bl w:val="nil"/>
                  </w:tcBorders>
                  <w:noWrap w:val="0"/>
                  <w:vAlign w:val="center"/>
                </w:tcPr>
                <w:p w14:paraId="2DF00789">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r>
                    <w:rPr>
                      <w:rFonts w:hint="eastAsia"/>
                      <w:sz w:val="21"/>
                      <w:szCs w:val="21"/>
                      <w:highlight w:val="none"/>
                      <w:lang w:val="en-US" w:eastAsia="zh-CN"/>
                    </w:rPr>
                    <w:t>公用工程</w:t>
                  </w:r>
                </w:p>
              </w:tc>
              <w:tc>
                <w:tcPr>
                  <w:tcW w:w="792" w:type="pct"/>
                  <w:tcBorders>
                    <w:tl2br w:val="nil"/>
                    <w:tr2bl w:val="nil"/>
                  </w:tcBorders>
                  <w:noWrap w:val="0"/>
                  <w:vAlign w:val="center"/>
                </w:tcPr>
                <w:p w14:paraId="7535129A">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r>
                    <w:rPr>
                      <w:rFonts w:hint="default"/>
                      <w:sz w:val="21"/>
                      <w:szCs w:val="21"/>
                      <w:highlight w:val="none"/>
                      <w:lang w:val="en-US" w:eastAsia="zh-CN"/>
                    </w:rPr>
                    <w:t>供水</w:t>
                  </w:r>
                </w:p>
              </w:tc>
              <w:tc>
                <w:tcPr>
                  <w:tcW w:w="3453" w:type="pct"/>
                  <w:tcBorders>
                    <w:tl2br w:val="nil"/>
                    <w:tr2bl w:val="nil"/>
                  </w:tcBorders>
                  <w:noWrap w:val="0"/>
                  <w:vAlign w:val="center"/>
                </w:tcPr>
                <w:p w14:paraId="48E70FFE">
                  <w:pPr>
                    <w:keepNext w:val="0"/>
                    <w:keepLines w:val="0"/>
                    <w:pageBreakBefore w:val="0"/>
                    <w:kinsoku/>
                    <w:wordWrap/>
                    <w:overflowPunct/>
                    <w:topLinePunct w:val="0"/>
                    <w:autoSpaceDE/>
                    <w:autoSpaceDN/>
                    <w:bidi w:val="0"/>
                    <w:adjustRightInd/>
                    <w:snapToGrid/>
                    <w:jc w:val="left"/>
                    <w:textAlignment w:val="auto"/>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由市政供水管网供水，从城市自来水管网引入两条进水管，管径</w:t>
                  </w:r>
                  <w:r>
                    <w:rPr>
                      <w:rFonts w:hint="default" w:ascii="Times New Roman" w:hAnsi="Times New Roman" w:eastAsia="宋体" w:cs="Times New Roman"/>
                      <w:sz w:val="21"/>
                      <w:szCs w:val="21"/>
                      <w:highlight w:val="none"/>
                      <w:lang w:val="en-US" w:eastAsia="zh-CN"/>
                    </w:rPr>
                    <w:t>DN200</w:t>
                  </w:r>
                  <w:r>
                    <w:rPr>
                      <w:rFonts w:hint="eastAsia" w:ascii="Times New Roman" w:hAnsi="Times New Roman" w:eastAsia="宋体" w:cs="Times New Roman"/>
                      <w:sz w:val="21"/>
                      <w:szCs w:val="21"/>
                      <w:highlight w:val="none"/>
                      <w:lang w:val="en-US" w:eastAsia="zh-CN"/>
                    </w:rPr>
                    <w:t>，水压大于</w:t>
                  </w:r>
                  <w:r>
                    <w:rPr>
                      <w:rFonts w:hint="default" w:ascii="Times New Roman" w:hAnsi="Times New Roman" w:eastAsia="宋体" w:cs="Times New Roman"/>
                      <w:sz w:val="21"/>
                      <w:szCs w:val="21"/>
                      <w:highlight w:val="none"/>
                      <w:lang w:val="en-US" w:eastAsia="zh-CN"/>
                    </w:rPr>
                    <w:t>0.2Mpa</w:t>
                  </w:r>
                  <w:r>
                    <w:rPr>
                      <w:rFonts w:hint="eastAsia" w:ascii="Times New Roman" w:hAnsi="Times New Roman" w:eastAsia="宋体" w:cs="Times New Roman"/>
                      <w:sz w:val="21"/>
                      <w:szCs w:val="21"/>
                      <w:highlight w:val="none"/>
                      <w:lang w:val="en-US" w:eastAsia="zh-CN"/>
                    </w:rPr>
                    <w:t>，园区内呈环状设置埋地管网，向建筑物供给生产、生活用水。</w:t>
                  </w:r>
                </w:p>
              </w:tc>
            </w:tr>
            <w:tr w14:paraId="62E08A5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4" w:type="pct"/>
                  <w:vMerge w:val="continue"/>
                  <w:tcBorders>
                    <w:tl2br w:val="nil"/>
                    <w:tr2bl w:val="nil"/>
                  </w:tcBorders>
                  <w:noWrap w:val="0"/>
                  <w:vAlign w:val="center"/>
                </w:tcPr>
                <w:p w14:paraId="2D03D18C">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p>
              </w:tc>
              <w:tc>
                <w:tcPr>
                  <w:tcW w:w="792" w:type="pct"/>
                  <w:tcBorders>
                    <w:tl2br w:val="nil"/>
                    <w:tr2bl w:val="nil"/>
                  </w:tcBorders>
                  <w:noWrap w:val="0"/>
                  <w:vAlign w:val="center"/>
                </w:tcPr>
                <w:p w14:paraId="6E219938">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r>
                    <w:rPr>
                      <w:rFonts w:hint="default"/>
                      <w:sz w:val="21"/>
                      <w:szCs w:val="21"/>
                      <w:highlight w:val="none"/>
                      <w:lang w:val="en-US" w:eastAsia="zh-CN"/>
                    </w:rPr>
                    <w:t>供电</w:t>
                  </w:r>
                </w:p>
              </w:tc>
              <w:tc>
                <w:tcPr>
                  <w:tcW w:w="3453" w:type="pct"/>
                  <w:tcBorders>
                    <w:tl2br w:val="nil"/>
                    <w:tr2bl w:val="nil"/>
                  </w:tcBorders>
                  <w:noWrap w:val="0"/>
                  <w:vAlign w:val="center"/>
                </w:tcPr>
                <w:p w14:paraId="732E522D">
                  <w:pPr>
                    <w:keepNext w:val="0"/>
                    <w:keepLines w:val="0"/>
                    <w:pageBreakBefore w:val="0"/>
                    <w:kinsoku/>
                    <w:wordWrap/>
                    <w:overflowPunct/>
                    <w:topLinePunct w:val="0"/>
                    <w:autoSpaceDE/>
                    <w:autoSpaceDN/>
                    <w:bidi w:val="0"/>
                    <w:adjustRightInd/>
                    <w:snapToGrid/>
                    <w:jc w:val="left"/>
                    <w:textAlignment w:val="auto"/>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电源引自附近变电站，供电电压为</w:t>
                  </w:r>
                  <w:r>
                    <w:rPr>
                      <w:rFonts w:hint="default" w:ascii="Times New Roman" w:hAnsi="Times New Roman" w:eastAsia="宋体" w:cs="Times New Roman"/>
                      <w:sz w:val="21"/>
                      <w:szCs w:val="21"/>
                      <w:highlight w:val="none"/>
                      <w:lang w:val="en-US" w:eastAsia="zh-CN"/>
                    </w:rPr>
                    <w:t>10k</w:t>
                  </w:r>
                  <w:r>
                    <w:rPr>
                      <w:rFonts w:hint="eastAsia" w:cs="Times New Roman"/>
                      <w:sz w:val="21"/>
                      <w:szCs w:val="21"/>
                      <w:highlight w:val="none"/>
                      <w:lang w:val="en-US" w:eastAsia="zh-CN"/>
                    </w:rPr>
                    <w:t>V</w:t>
                  </w:r>
                  <w:r>
                    <w:rPr>
                      <w:rFonts w:hint="eastAsia" w:ascii="Times New Roman" w:hAnsi="Times New Roman" w:eastAsia="宋体" w:cs="Times New Roman"/>
                      <w:sz w:val="21"/>
                      <w:szCs w:val="21"/>
                      <w:highlight w:val="none"/>
                      <w:lang w:val="en-US" w:eastAsia="zh-CN"/>
                    </w:rPr>
                    <w:t>，采用单母线分段运行方式，两路电源，互为备用</w:t>
                  </w:r>
                  <w:r>
                    <w:rPr>
                      <w:rFonts w:hint="eastAsia" w:cs="Times New Roman"/>
                      <w:sz w:val="21"/>
                      <w:szCs w:val="21"/>
                      <w:highlight w:val="none"/>
                      <w:lang w:val="en-US" w:eastAsia="zh-CN"/>
                    </w:rPr>
                    <w:t>。</w:t>
                  </w:r>
                </w:p>
              </w:tc>
            </w:tr>
            <w:tr w14:paraId="63E88D9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4" w:type="pct"/>
                  <w:vMerge w:val="continue"/>
                  <w:tcBorders>
                    <w:tl2br w:val="nil"/>
                    <w:tr2bl w:val="nil"/>
                  </w:tcBorders>
                  <w:noWrap w:val="0"/>
                  <w:vAlign w:val="center"/>
                </w:tcPr>
                <w:p w14:paraId="24AF6840">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p>
              </w:tc>
              <w:tc>
                <w:tcPr>
                  <w:tcW w:w="792" w:type="pct"/>
                  <w:tcBorders>
                    <w:tl2br w:val="nil"/>
                    <w:tr2bl w:val="nil"/>
                  </w:tcBorders>
                  <w:noWrap w:val="0"/>
                  <w:vAlign w:val="center"/>
                </w:tcPr>
                <w:p w14:paraId="3248F4F3">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r>
                    <w:rPr>
                      <w:rFonts w:hint="default"/>
                      <w:sz w:val="21"/>
                      <w:szCs w:val="21"/>
                      <w:highlight w:val="none"/>
                      <w:lang w:val="en-US" w:eastAsia="zh-CN"/>
                    </w:rPr>
                    <w:t>供暖</w:t>
                  </w:r>
                </w:p>
              </w:tc>
              <w:tc>
                <w:tcPr>
                  <w:tcW w:w="3453" w:type="pct"/>
                  <w:tcBorders>
                    <w:tl2br w:val="nil"/>
                    <w:tr2bl w:val="nil"/>
                  </w:tcBorders>
                  <w:noWrap w:val="0"/>
                  <w:vAlign w:val="center"/>
                </w:tcPr>
                <w:p w14:paraId="094BCD5B">
                  <w:pPr>
                    <w:keepNext w:val="0"/>
                    <w:keepLines w:val="0"/>
                    <w:pageBreakBefore w:val="0"/>
                    <w:kinsoku/>
                    <w:wordWrap/>
                    <w:overflowPunct/>
                    <w:topLinePunct w:val="0"/>
                    <w:autoSpaceDE/>
                    <w:autoSpaceDN/>
                    <w:bidi w:val="0"/>
                    <w:adjustRightInd/>
                    <w:snapToGrid/>
                    <w:jc w:val="left"/>
                    <w:textAlignment w:val="auto"/>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生产车间无需供暖</w:t>
                  </w:r>
                  <w:r>
                    <w:rPr>
                      <w:rFonts w:hint="eastAsia" w:ascii="Times New Roman" w:hAnsi="Times New Roman" w:eastAsia="宋体" w:cs="Times New Roman"/>
                      <w:sz w:val="21"/>
                      <w:szCs w:val="21"/>
                      <w:highlight w:val="none"/>
                      <w:lang w:val="en-US" w:eastAsia="zh-CN"/>
                    </w:rPr>
                    <w:t>，办公楼</w:t>
                  </w:r>
                  <w:r>
                    <w:rPr>
                      <w:rFonts w:hint="eastAsia" w:cs="Times New Roman"/>
                      <w:sz w:val="21"/>
                      <w:szCs w:val="21"/>
                      <w:highlight w:val="none"/>
                      <w:lang w:val="en-US" w:eastAsia="zh-CN"/>
                    </w:rPr>
                    <w:t>、综合楼、检测楼</w:t>
                  </w:r>
                  <w:r>
                    <w:rPr>
                      <w:rFonts w:hint="eastAsia" w:ascii="Times New Roman" w:hAnsi="Times New Roman" w:eastAsia="宋体" w:cs="Times New Roman"/>
                      <w:sz w:val="21"/>
                      <w:szCs w:val="21"/>
                      <w:highlight w:val="none"/>
                      <w:lang w:val="en-US" w:eastAsia="zh-CN"/>
                    </w:rPr>
                    <w:t>采用空调采暖制冷</w:t>
                  </w:r>
                  <w:r>
                    <w:rPr>
                      <w:rFonts w:hint="eastAsia" w:cs="Times New Roman"/>
                      <w:sz w:val="21"/>
                      <w:szCs w:val="21"/>
                      <w:highlight w:val="none"/>
                      <w:lang w:val="en-US" w:eastAsia="zh-CN"/>
                    </w:rPr>
                    <w:t>。</w:t>
                  </w:r>
                </w:p>
              </w:tc>
            </w:tr>
            <w:tr w14:paraId="23EB5CA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54" w:type="pct"/>
                  <w:vMerge w:val="restart"/>
                  <w:tcBorders>
                    <w:tl2br w:val="nil"/>
                    <w:tr2bl w:val="nil"/>
                  </w:tcBorders>
                  <w:noWrap w:val="0"/>
                  <w:vAlign w:val="center"/>
                </w:tcPr>
                <w:p w14:paraId="6B357680">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r>
                    <w:rPr>
                      <w:rFonts w:hint="eastAsia"/>
                      <w:sz w:val="21"/>
                      <w:szCs w:val="21"/>
                      <w:highlight w:val="none"/>
                      <w:lang w:val="en-US" w:eastAsia="zh-CN"/>
                    </w:rPr>
                    <w:t>环保工程</w:t>
                  </w:r>
                </w:p>
              </w:tc>
              <w:tc>
                <w:tcPr>
                  <w:tcW w:w="792" w:type="pct"/>
                  <w:tcBorders>
                    <w:tl2br w:val="nil"/>
                    <w:tr2bl w:val="nil"/>
                  </w:tcBorders>
                  <w:noWrap w:val="0"/>
                  <w:vAlign w:val="center"/>
                </w:tcPr>
                <w:p w14:paraId="7F7963F5">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r>
                    <w:rPr>
                      <w:rFonts w:hint="default"/>
                      <w:sz w:val="21"/>
                      <w:szCs w:val="21"/>
                      <w:highlight w:val="none"/>
                      <w:lang w:val="en-US" w:eastAsia="zh-CN"/>
                    </w:rPr>
                    <w:t>废气</w:t>
                  </w:r>
                </w:p>
              </w:tc>
              <w:tc>
                <w:tcPr>
                  <w:tcW w:w="3453" w:type="pct"/>
                  <w:tcBorders>
                    <w:tl2br w:val="nil"/>
                    <w:tr2bl w:val="nil"/>
                  </w:tcBorders>
                  <w:noWrap w:val="0"/>
                  <w:vAlign w:val="center"/>
                </w:tcPr>
                <w:p w14:paraId="781E7769">
                  <w:pPr>
                    <w:keepNext w:val="0"/>
                    <w:keepLines w:val="0"/>
                    <w:pageBreakBefore w:val="0"/>
                    <w:widowControl/>
                    <w:suppressLineNumbers w:val="0"/>
                    <w:kinsoku/>
                    <w:wordWrap/>
                    <w:overflowPunct/>
                    <w:topLinePunct w:val="0"/>
                    <w:autoSpaceDE/>
                    <w:autoSpaceDN/>
                    <w:bidi w:val="0"/>
                    <w:adjustRightInd/>
                    <w:snapToGrid/>
                    <w:jc w:val="left"/>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上料、筛分、破碎工序废气经集气罩收集至1套脉冲式</w:t>
                  </w:r>
                  <w:r>
                    <w:rPr>
                      <w:rFonts w:hint="default" w:ascii="Times New Roman" w:hAnsi="Times New Roman" w:eastAsia="宋体" w:cs="Times New Roman"/>
                      <w:color w:val="auto"/>
                      <w:sz w:val="21"/>
                      <w:szCs w:val="21"/>
                      <w:highlight w:val="none"/>
                      <w:lang w:val="en-US" w:eastAsia="zh-CN"/>
                    </w:rPr>
                    <w:t>布袋除尘器</w:t>
                  </w:r>
                  <w:r>
                    <w:rPr>
                      <w:rFonts w:hint="eastAsia" w:ascii="Times New Roman" w:hAnsi="Times New Roman" w:eastAsia="宋体" w:cs="Times New Roman"/>
                      <w:color w:val="auto"/>
                      <w:sz w:val="21"/>
                      <w:szCs w:val="21"/>
                      <w:highlight w:val="none"/>
                      <w:lang w:val="en-US" w:eastAsia="zh-CN"/>
                    </w:rPr>
                    <w:t>（风机风量75000m</w:t>
                  </w:r>
                  <w:r>
                    <w:rPr>
                      <w:rFonts w:hint="eastAsia" w:ascii="Times New Roman" w:hAnsi="Times New Roman" w:eastAsia="宋体" w:cs="Times New Roman"/>
                      <w:color w:val="auto"/>
                      <w:sz w:val="21"/>
                      <w:szCs w:val="21"/>
                      <w:highlight w:val="none"/>
                      <w:vertAlign w:val="superscript"/>
                      <w:lang w:val="en-US" w:eastAsia="zh-CN"/>
                    </w:rPr>
                    <w:t>3</w:t>
                  </w:r>
                  <w:r>
                    <w:rPr>
                      <w:rFonts w:hint="eastAsia" w:ascii="Times New Roman" w:hAnsi="Times New Roman" w:eastAsia="宋体" w:cs="Times New Roman"/>
                      <w:color w:val="auto"/>
                      <w:sz w:val="21"/>
                      <w:szCs w:val="21"/>
                      <w:highlight w:val="none"/>
                      <w:lang w:val="en-US" w:eastAsia="zh-CN"/>
                    </w:rPr>
                    <w:t>/h）处理后由</w:t>
                  </w:r>
                  <w:r>
                    <w:rPr>
                      <w:rFonts w:hint="eastAsia" w:cs="Times New Roman"/>
                      <w:color w:val="auto"/>
                      <w:sz w:val="21"/>
                      <w:szCs w:val="21"/>
                      <w:highlight w:val="none"/>
                      <w:lang w:val="en-US" w:eastAsia="zh-CN"/>
                    </w:rPr>
                    <w:t>25</w:t>
                  </w:r>
                  <w:r>
                    <w:rPr>
                      <w:rFonts w:hint="default" w:ascii="Times New Roman" w:hAnsi="Times New Roman" w:eastAsia="宋体" w:cs="Times New Roman"/>
                      <w:color w:val="auto"/>
                      <w:sz w:val="21"/>
                      <w:szCs w:val="21"/>
                      <w:highlight w:val="none"/>
                      <w:lang w:val="en-US" w:eastAsia="zh-CN"/>
                    </w:rPr>
                    <w:t>米高排气筒（</w:t>
                  </w:r>
                  <w:r>
                    <w:rPr>
                      <w:rFonts w:hint="eastAsia" w:ascii="Times New Roman" w:hAnsi="Times New Roman" w:eastAsia="宋体" w:cs="Times New Roman"/>
                      <w:color w:val="auto"/>
                      <w:sz w:val="21"/>
                      <w:szCs w:val="21"/>
                      <w:highlight w:val="none"/>
                      <w:lang w:val="en-US" w:eastAsia="zh-CN"/>
                    </w:rPr>
                    <w:t>DA001</w:t>
                  </w:r>
                  <w:r>
                    <w:rPr>
                      <w:rFonts w:hint="default" w:ascii="Times New Roman" w:hAnsi="Times New Roman" w:eastAsia="宋体" w:cs="Times New Roman"/>
                      <w:color w:val="auto"/>
                      <w:sz w:val="21"/>
                      <w:szCs w:val="21"/>
                      <w:highlight w:val="none"/>
                      <w:lang w:val="en-US" w:eastAsia="zh-CN"/>
                    </w:rPr>
                    <w:t>）</w:t>
                  </w:r>
                  <w:r>
                    <w:rPr>
                      <w:rFonts w:hint="eastAsia" w:ascii="Times New Roman" w:hAnsi="Times New Roman" w:eastAsia="宋体" w:cs="Times New Roman"/>
                      <w:color w:val="auto"/>
                      <w:sz w:val="21"/>
                      <w:szCs w:val="21"/>
                      <w:highlight w:val="none"/>
                      <w:lang w:val="en-US" w:eastAsia="zh-CN"/>
                    </w:rPr>
                    <w:t>排放；移动破碎工序设置万向臂集气罩，废气收集至1套脉冲式</w:t>
                  </w:r>
                  <w:r>
                    <w:rPr>
                      <w:rFonts w:hint="default" w:ascii="Times New Roman" w:hAnsi="Times New Roman" w:eastAsia="宋体" w:cs="Times New Roman"/>
                      <w:color w:val="auto"/>
                      <w:sz w:val="21"/>
                      <w:szCs w:val="21"/>
                      <w:highlight w:val="none"/>
                      <w:lang w:val="en-US" w:eastAsia="zh-CN"/>
                    </w:rPr>
                    <w:t>布袋除尘器</w:t>
                  </w:r>
                  <w:r>
                    <w:rPr>
                      <w:rFonts w:hint="eastAsia" w:ascii="Times New Roman" w:hAnsi="Times New Roman" w:eastAsia="宋体" w:cs="Times New Roman"/>
                      <w:color w:val="auto"/>
                      <w:sz w:val="21"/>
                      <w:szCs w:val="21"/>
                      <w:highlight w:val="none"/>
                      <w:lang w:val="en-US" w:eastAsia="zh-CN"/>
                    </w:rPr>
                    <w:t>（风机风量55000m</w:t>
                  </w:r>
                  <w:r>
                    <w:rPr>
                      <w:rFonts w:hint="eastAsia" w:ascii="Times New Roman" w:hAnsi="Times New Roman" w:eastAsia="宋体" w:cs="Times New Roman"/>
                      <w:color w:val="auto"/>
                      <w:sz w:val="21"/>
                      <w:szCs w:val="21"/>
                      <w:highlight w:val="none"/>
                      <w:vertAlign w:val="superscript"/>
                      <w:lang w:val="en-US" w:eastAsia="zh-CN"/>
                    </w:rPr>
                    <w:t>3</w:t>
                  </w:r>
                  <w:r>
                    <w:rPr>
                      <w:rFonts w:hint="eastAsia" w:ascii="Times New Roman" w:hAnsi="Times New Roman" w:eastAsia="宋体" w:cs="Times New Roman"/>
                      <w:color w:val="auto"/>
                      <w:sz w:val="21"/>
                      <w:szCs w:val="21"/>
                      <w:highlight w:val="none"/>
                      <w:lang w:val="en-US" w:eastAsia="zh-CN"/>
                    </w:rPr>
                    <w:t>/h）处理后由</w:t>
                  </w:r>
                  <w:r>
                    <w:rPr>
                      <w:rFonts w:hint="eastAsia" w:cs="Times New Roman"/>
                      <w:color w:val="auto"/>
                      <w:sz w:val="21"/>
                      <w:szCs w:val="21"/>
                      <w:highlight w:val="none"/>
                      <w:lang w:val="en-US" w:eastAsia="zh-CN"/>
                    </w:rPr>
                    <w:t>25</w:t>
                  </w:r>
                  <w:r>
                    <w:rPr>
                      <w:rFonts w:hint="default" w:ascii="Times New Roman" w:hAnsi="Times New Roman" w:eastAsia="宋体" w:cs="Times New Roman"/>
                      <w:color w:val="auto"/>
                      <w:sz w:val="21"/>
                      <w:szCs w:val="21"/>
                      <w:highlight w:val="none"/>
                      <w:lang w:val="en-US" w:eastAsia="zh-CN"/>
                    </w:rPr>
                    <w:t>米高排气筒（</w:t>
                  </w:r>
                  <w:r>
                    <w:rPr>
                      <w:rFonts w:hint="eastAsia" w:ascii="Times New Roman" w:hAnsi="Times New Roman" w:eastAsia="宋体" w:cs="Times New Roman"/>
                      <w:color w:val="auto"/>
                      <w:sz w:val="21"/>
                      <w:szCs w:val="21"/>
                      <w:highlight w:val="none"/>
                      <w:lang w:val="en-US" w:eastAsia="zh-CN"/>
                    </w:rPr>
                    <w:t>DA002</w:t>
                  </w:r>
                  <w:r>
                    <w:rPr>
                      <w:rFonts w:hint="default" w:ascii="Times New Roman" w:hAnsi="Times New Roman" w:eastAsia="宋体" w:cs="Times New Roman"/>
                      <w:color w:val="auto"/>
                      <w:sz w:val="21"/>
                      <w:szCs w:val="21"/>
                      <w:highlight w:val="none"/>
                      <w:lang w:val="en-US" w:eastAsia="zh-CN"/>
                    </w:rPr>
                    <w:t>）</w:t>
                  </w:r>
                  <w:r>
                    <w:rPr>
                      <w:rFonts w:hint="eastAsia" w:ascii="Times New Roman" w:hAnsi="Times New Roman" w:eastAsia="宋体" w:cs="Times New Roman"/>
                      <w:color w:val="auto"/>
                      <w:sz w:val="21"/>
                      <w:szCs w:val="21"/>
                      <w:highlight w:val="none"/>
                      <w:lang w:val="en-US" w:eastAsia="zh-CN"/>
                    </w:rPr>
                    <w:t>排放；1#厂房及2#~5#库房处于全封闭状态，设置喷淋抑尘装置，1#厂房设置封闭自动感应门；食堂油烟经油烟净化器（风量</w:t>
                  </w:r>
                  <w:r>
                    <w:rPr>
                      <w:rFonts w:hint="eastAsia" w:cs="Times New Roman"/>
                      <w:color w:val="auto"/>
                      <w:sz w:val="21"/>
                      <w:szCs w:val="21"/>
                      <w:highlight w:val="none"/>
                      <w:lang w:val="en-US" w:eastAsia="zh-CN"/>
                    </w:rPr>
                    <w:t>4</w:t>
                  </w:r>
                  <w:r>
                    <w:rPr>
                      <w:rFonts w:hint="eastAsia" w:ascii="Times New Roman" w:hAnsi="Times New Roman" w:eastAsia="宋体" w:cs="Times New Roman"/>
                      <w:color w:val="auto"/>
                      <w:sz w:val="21"/>
                      <w:szCs w:val="21"/>
                      <w:highlight w:val="none"/>
                      <w:lang w:val="en-US" w:eastAsia="zh-CN"/>
                    </w:rPr>
                    <w:t>000m</w:t>
                  </w:r>
                  <w:r>
                    <w:rPr>
                      <w:rFonts w:hint="eastAsia" w:ascii="Times New Roman" w:hAnsi="Times New Roman" w:eastAsia="宋体" w:cs="Times New Roman"/>
                      <w:color w:val="auto"/>
                      <w:sz w:val="21"/>
                      <w:szCs w:val="21"/>
                      <w:highlight w:val="none"/>
                      <w:vertAlign w:val="superscript"/>
                      <w:lang w:val="en-US" w:eastAsia="zh-CN"/>
                    </w:rPr>
                    <w:t>3</w:t>
                  </w:r>
                  <w:r>
                    <w:rPr>
                      <w:rFonts w:hint="eastAsia" w:ascii="Times New Roman" w:hAnsi="Times New Roman" w:eastAsia="宋体" w:cs="Times New Roman"/>
                      <w:color w:val="auto"/>
                      <w:sz w:val="21"/>
                      <w:szCs w:val="21"/>
                      <w:highlight w:val="none"/>
                      <w:lang w:val="en-US" w:eastAsia="zh-CN"/>
                    </w:rPr>
                    <w:t>/h）处理后经食堂烟道达标排放。</w:t>
                  </w:r>
                </w:p>
              </w:tc>
            </w:tr>
            <w:tr w14:paraId="755EF73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4" w:type="pct"/>
                  <w:vMerge w:val="continue"/>
                  <w:tcBorders>
                    <w:tl2br w:val="nil"/>
                    <w:tr2bl w:val="nil"/>
                  </w:tcBorders>
                  <w:noWrap w:val="0"/>
                  <w:vAlign w:val="center"/>
                </w:tcPr>
                <w:p w14:paraId="274AB19B">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p>
              </w:tc>
              <w:tc>
                <w:tcPr>
                  <w:tcW w:w="792" w:type="pct"/>
                  <w:tcBorders>
                    <w:tl2br w:val="nil"/>
                    <w:tr2bl w:val="nil"/>
                  </w:tcBorders>
                  <w:noWrap w:val="0"/>
                  <w:vAlign w:val="center"/>
                </w:tcPr>
                <w:p w14:paraId="780780AD">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r>
                    <w:rPr>
                      <w:rFonts w:hint="default"/>
                      <w:sz w:val="21"/>
                      <w:szCs w:val="21"/>
                      <w:highlight w:val="none"/>
                      <w:lang w:val="en-US" w:eastAsia="zh-CN"/>
                    </w:rPr>
                    <w:t>废水</w:t>
                  </w:r>
                </w:p>
              </w:tc>
              <w:tc>
                <w:tcPr>
                  <w:tcW w:w="3453" w:type="pct"/>
                  <w:tcBorders>
                    <w:tl2br w:val="nil"/>
                    <w:tr2bl w:val="nil"/>
                  </w:tcBorders>
                  <w:noWrap w:val="0"/>
                  <w:vAlign w:val="center"/>
                </w:tcPr>
                <w:p w14:paraId="6A86AA21">
                  <w:pPr>
                    <w:keepNext w:val="0"/>
                    <w:keepLines w:val="0"/>
                    <w:pageBreakBefore w:val="0"/>
                    <w:widowControl/>
                    <w:suppressLineNumbers w:val="0"/>
                    <w:kinsoku/>
                    <w:wordWrap/>
                    <w:overflowPunct/>
                    <w:topLinePunct w:val="0"/>
                    <w:autoSpaceDE/>
                    <w:autoSpaceDN/>
                    <w:bidi w:val="0"/>
                    <w:adjustRightInd/>
                    <w:snapToGrid/>
                    <w:jc w:val="left"/>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配煤压滤废水经压缩机压滤后流入清水池沉淀后回用于生产，车辆冲洗废水部分蒸发损耗，部分经沉淀池沉淀后的清水回用于车辆清洗，生活污水排入市政排水管网，食堂废水经油水分离器处理后排</w:t>
                  </w:r>
                  <w:r>
                    <w:rPr>
                      <w:rFonts w:hint="eastAsia" w:cs="Times New Roman"/>
                      <w:color w:val="auto"/>
                      <w:sz w:val="21"/>
                      <w:szCs w:val="21"/>
                      <w:highlight w:val="none"/>
                      <w:lang w:val="en-US" w:eastAsia="zh-CN"/>
                    </w:rPr>
                    <w:t>入</w:t>
                  </w:r>
                  <w:r>
                    <w:rPr>
                      <w:rFonts w:hint="eastAsia" w:ascii="Times New Roman" w:hAnsi="Times New Roman" w:eastAsia="宋体" w:cs="Times New Roman"/>
                      <w:color w:val="auto"/>
                      <w:sz w:val="21"/>
                      <w:szCs w:val="21"/>
                      <w:highlight w:val="none"/>
                      <w:lang w:val="en-US" w:eastAsia="zh-CN"/>
                    </w:rPr>
                    <w:t>市政污水管网。厂区设置雨污分流，生产区东西两侧道路外边界设置</w:t>
                  </w:r>
                  <w:r>
                    <w:rPr>
                      <w:rFonts w:hint="default" w:ascii="Times New Roman" w:hAnsi="Times New Roman" w:eastAsia="宋体" w:cs="Times New Roman"/>
                      <w:color w:val="auto"/>
                      <w:sz w:val="21"/>
                      <w:szCs w:val="21"/>
                      <w:highlight w:val="none"/>
                      <w:lang w:val="en-US" w:eastAsia="zh-CN"/>
                    </w:rPr>
                    <w:t>1m</w:t>
                  </w:r>
                  <w:r>
                    <w:rPr>
                      <w:rFonts w:hint="eastAsia" w:ascii="Times New Roman" w:hAnsi="Times New Roman" w:eastAsia="宋体" w:cs="Times New Roman"/>
                      <w:color w:val="auto"/>
                      <w:sz w:val="21"/>
                      <w:szCs w:val="21"/>
                      <w:highlight w:val="none"/>
                      <w:lang w:val="en-US" w:eastAsia="zh-CN"/>
                    </w:rPr>
                    <w:t>深雨水管沟，用于输送含尘雨水至雨水沉淀池，用于收集厂区前</w:t>
                  </w:r>
                  <w:r>
                    <w:rPr>
                      <w:rFonts w:hint="default" w:ascii="Times New Roman" w:hAnsi="Times New Roman" w:eastAsia="宋体" w:cs="Times New Roman"/>
                      <w:color w:val="auto"/>
                      <w:sz w:val="21"/>
                      <w:szCs w:val="21"/>
                      <w:highlight w:val="none"/>
                      <w:lang w:val="en-US" w:eastAsia="zh-CN"/>
                    </w:rPr>
                    <w:t>15</w:t>
                  </w:r>
                  <w:r>
                    <w:rPr>
                      <w:rFonts w:hint="eastAsia" w:ascii="Times New Roman" w:hAnsi="Times New Roman" w:eastAsia="宋体" w:cs="Times New Roman"/>
                      <w:color w:val="auto"/>
                      <w:sz w:val="21"/>
                      <w:szCs w:val="21"/>
                      <w:highlight w:val="none"/>
                      <w:lang w:val="en-US" w:eastAsia="zh-CN"/>
                    </w:rPr>
                    <w:t>分钟的含煤初期雨水，初期雨水沉淀后回用。</w:t>
                  </w:r>
                </w:p>
              </w:tc>
            </w:tr>
            <w:tr w14:paraId="6133FF6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4" w:type="pct"/>
                  <w:vMerge w:val="continue"/>
                  <w:tcBorders>
                    <w:tl2br w:val="nil"/>
                    <w:tr2bl w:val="nil"/>
                  </w:tcBorders>
                  <w:noWrap w:val="0"/>
                  <w:vAlign w:val="center"/>
                </w:tcPr>
                <w:p w14:paraId="2023C2C5">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p>
              </w:tc>
              <w:tc>
                <w:tcPr>
                  <w:tcW w:w="792" w:type="pct"/>
                  <w:tcBorders>
                    <w:tl2br w:val="nil"/>
                    <w:tr2bl w:val="nil"/>
                  </w:tcBorders>
                  <w:noWrap w:val="0"/>
                  <w:vAlign w:val="center"/>
                </w:tcPr>
                <w:p w14:paraId="02882114">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r>
                    <w:rPr>
                      <w:rFonts w:hint="default"/>
                      <w:sz w:val="21"/>
                      <w:szCs w:val="21"/>
                      <w:highlight w:val="none"/>
                      <w:lang w:val="en-US" w:eastAsia="zh-CN"/>
                    </w:rPr>
                    <w:t>噪声</w:t>
                  </w:r>
                </w:p>
              </w:tc>
              <w:tc>
                <w:tcPr>
                  <w:tcW w:w="3453" w:type="pct"/>
                  <w:tcBorders>
                    <w:tl2br w:val="nil"/>
                    <w:tr2bl w:val="nil"/>
                  </w:tcBorders>
                  <w:noWrap w:val="0"/>
                  <w:vAlign w:val="center"/>
                </w:tcPr>
                <w:p w14:paraId="1B789550">
                  <w:pPr>
                    <w:keepNext w:val="0"/>
                    <w:keepLines w:val="0"/>
                    <w:pageBreakBefore w:val="0"/>
                    <w:kinsoku/>
                    <w:wordWrap/>
                    <w:overflowPunct/>
                    <w:topLinePunct w:val="0"/>
                    <w:autoSpaceDE/>
                    <w:autoSpaceDN/>
                    <w:bidi w:val="0"/>
                    <w:adjustRightInd/>
                    <w:snapToGrid/>
                    <w:jc w:val="left"/>
                    <w:textAlignment w:val="auto"/>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采取低噪声设备+基础减振+厂房隔声</w:t>
                  </w:r>
                  <w:r>
                    <w:rPr>
                      <w:rFonts w:hint="eastAsia" w:cs="Times New Roman"/>
                      <w:sz w:val="21"/>
                      <w:szCs w:val="21"/>
                      <w:highlight w:val="none"/>
                      <w:lang w:val="en-US" w:eastAsia="zh-CN"/>
                    </w:rPr>
                    <w:t>。</w:t>
                  </w:r>
                </w:p>
              </w:tc>
            </w:tr>
            <w:tr w14:paraId="7705EDA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4" w:type="pct"/>
                  <w:vMerge w:val="continue"/>
                  <w:tcBorders>
                    <w:tl2br w:val="nil"/>
                    <w:tr2bl w:val="nil"/>
                  </w:tcBorders>
                  <w:noWrap w:val="0"/>
                  <w:vAlign w:val="center"/>
                </w:tcPr>
                <w:p w14:paraId="718BCFF1">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p>
              </w:tc>
              <w:tc>
                <w:tcPr>
                  <w:tcW w:w="792" w:type="pct"/>
                  <w:tcBorders>
                    <w:tl2br w:val="nil"/>
                    <w:tr2bl w:val="nil"/>
                  </w:tcBorders>
                  <w:noWrap w:val="0"/>
                  <w:vAlign w:val="center"/>
                </w:tcPr>
                <w:p w14:paraId="01348DF1">
                  <w:pPr>
                    <w:keepNext w:val="0"/>
                    <w:keepLines w:val="0"/>
                    <w:pageBreakBefore w:val="0"/>
                    <w:kinsoku/>
                    <w:wordWrap/>
                    <w:overflowPunct/>
                    <w:topLinePunct w:val="0"/>
                    <w:autoSpaceDE/>
                    <w:autoSpaceDN/>
                    <w:bidi w:val="0"/>
                    <w:adjustRightInd/>
                    <w:snapToGrid/>
                    <w:jc w:val="center"/>
                    <w:textAlignment w:val="auto"/>
                    <w:rPr>
                      <w:rFonts w:hint="default" w:ascii="Times New Roman" w:hAnsi="Times New Roman" w:eastAsia="宋体" w:cs="Times New Roman"/>
                      <w:kern w:val="2"/>
                      <w:sz w:val="21"/>
                      <w:szCs w:val="21"/>
                      <w:highlight w:val="none"/>
                      <w:lang w:val="en-US" w:eastAsia="zh-CN" w:bidi="ar-SA"/>
                    </w:rPr>
                  </w:pPr>
                  <w:r>
                    <w:rPr>
                      <w:rFonts w:hint="default"/>
                      <w:sz w:val="21"/>
                      <w:szCs w:val="21"/>
                      <w:highlight w:val="none"/>
                      <w:lang w:val="en-US" w:eastAsia="zh-CN"/>
                    </w:rPr>
                    <w:t>固废</w:t>
                  </w:r>
                </w:p>
              </w:tc>
              <w:tc>
                <w:tcPr>
                  <w:tcW w:w="3453" w:type="pct"/>
                  <w:tcBorders>
                    <w:tl2br w:val="nil"/>
                    <w:tr2bl w:val="nil"/>
                  </w:tcBorders>
                  <w:noWrap w:val="0"/>
                  <w:vAlign w:val="center"/>
                </w:tcPr>
                <w:p w14:paraId="3EC02ED8">
                  <w:pPr>
                    <w:keepNext w:val="0"/>
                    <w:keepLines w:val="0"/>
                    <w:pageBreakBefore w:val="0"/>
                    <w:kinsoku/>
                    <w:wordWrap/>
                    <w:overflowPunct/>
                    <w:topLinePunct w:val="0"/>
                    <w:autoSpaceDE/>
                    <w:autoSpaceDN/>
                    <w:bidi w:val="0"/>
                    <w:adjustRightInd/>
                    <w:snapToGrid/>
                    <w:jc w:val="left"/>
                    <w:textAlignment w:val="auto"/>
                    <w:rPr>
                      <w:rFonts w:hint="eastAsia"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一般固废：除尘器除尘灰</w:t>
                  </w:r>
                  <w:r>
                    <w:rPr>
                      <w:rFonts w:hint="eastAsia" w:cs="Times New Roman"/>
                      <w:sz w:val="21"/>
                      <w:szCs w:val="21"/>
                      <w:highlight w:val="none"/>
                      <w:lang w:val="en-US" w:eastAsia="zh-CN"/>
                    </w:rPr>
                    <w:t>、</w:t>
                  </w:r>
                  <w:r>
                    <w:rPr>
                      <w:rFonts w:hint="eastAsia" w:ascii="Times New Roman" w:hAnsi="Times New Roman" w:eastAsia="宋体" w:cs="Times New Roman"/>
                      <w:sz w:val="21"/>
                      <w:szCs w:val="21"/>
                      <w:highlight w:val="none"/>
                      <w:lang w:val="en-US" w:eastAsia="zh-CN"/>
                    </w:rPr>
                    <w:t>沉淀池污泥</w:t>
                  </w:r>
                  <w:r>
                    <w:rPr>
                      <w:rFonts w:hint="eastAsia" w:cs="Times New Roman"/>
                      <w:sz w:val="21"/>
                      <w:szCs w:val="21"/>
                      <w:highlight w:val="none"/>
                      <w:lang w:val="en-US" w:eastAsia="zh-CN"/>
                    </w:rPr>
                    <w:t>、雨水沉淀池及排水沟污泥</w:t>
                  </w:r>
                  <w:r>
                    <w:rPr>
                      <w:rFonts w:hint="eastAsia" w:ascii="Times New Roman" w:hAnsi="Times New Roman" w:eastAsia="宋体" w:cs="Times New Roman"/>
                      <w:sz w:val="21"/>
                      <w:szCs w:val="21"/>
                      <w:highlight w:val="none"/>
                      <w:lang w:val="en-US" w:eastAsia="zh-CN"/>
                    </w:rPr>
                    <w:t>回用于生产，</w:t>
                  </w:r>
                  <w:r>
                    <w:rPr>
                      <w:rFonts w:hint="eastAsia" w:cs="Times New Roman"/>
                      <w:sz w:val="21"/>
                      <w:szCs w:val="21"/>
                      <w:highlight w:val="none"/>
                      <w:lang w:val="en-US" w:eastAsia="zh-CN"/>
                    </w:rPr>
                    <w:t>劣质煤、</w:t>
                  </w:r>
                  <w:r>
                    <w:rPr>
                      <w:rFonts w:hint="eastAsia" w:ascii="Times New Roman" w:hAnsi="Times New Roman" w:eastAsia="宋体" w:cs="Times New Roman"/>
                      <w:sz w:val="21"/>
                      <w:szCs w:val="21"/>
                      <w:highlight w:val="none"/>
                      <w:lang w:val="en-US" w:eastAsia="zh-CN"/>
                    </w:rPr>
                    <w:t>废布袋</w:t>
                  </w:r>
                  <w:r>
                    <w:rPr>
                      <w:rFonts w:hint="eastAsia" w:cs="Times New Roman"/>
                      <w:sz w:val="21"/>
                      <w:szCs w:val="21"/>
                      <w:highlight w:val="none"/>
                      <w:lang w:val="en-US" w:eastAsia="zh-CN"/>
                    </w:rPr>
                    <w:t>、废滤布暂存于一般固废储存区后</w:t>
                  </w:r>
                  <w:r>
                    <w:rPr>
                      <w:rFonts w:hint="eastAsia" w:ascii="Times New Roman" w:hAnsi="Times New Roman" w:eastAsia="宋体" w:cs="Times New Roman"/>
                      <w:sz w:val="21"/>
                      <w:szCs w:val="21"/>
                      <w:highlight w:val="none"/>
                      <w:lang w:val="en-US" w:eastAsia="zh-CN"/>
                    </w:rPr>
                    <w:t>外售，生活垃圾集中收集后由环卫部门统一处理</w:t>
                  </w:r>
                  <w:r>
                    <w:rPr>
                      <w:rFonts w:hint="eastAsia" w:cs="Times New Roman"/>
                      <w:sz w:val="21"/>
                      <w:szCs w:val="21"/>
                      <w:highlight w:val="none"/>
                      <w:lang w:val="en-US" w:eastAsia="zh-CN"/>
                    </w:rPr>
                    <w:t>，餐厨垃圾、废油脂</w:t>
                  </w:r>
                  <w:r>
                    <w:rPr>
                      <w:rFonts w:hint="eastAsia" w:ascii="Times New Roman" w:hAnsi="Times New Roman" w:eastAsia="宋体" w:cs="Times New Roman"/>
                      <w:sz w:val="21"/>
                      <w:szCs w:val="21"/>
                    </w:rPr>
                    <w:t>收集后由有餐饮垃圾资质单位处理</w:t>
                  </w:r>
                  <w:r>
                    <w:rPr>
                      <w:rFonts w:hint="eastAsia" w:ascii="Times New Roman" w:hAnsi="Times New Roman" w:eastAsia="宋体" w:cs="Times New Roman"/>
                      <w:sz w:val="21"/>
                      <w:szCs w:val="21"/>
                      <w:lang w:val="en-US" w:eastAsia="zh-CN"/>
                    </w:rPr>
                    <w:t>。</w:t>
                  </w:r>
                </w:p>
                <w:p w14:paraId="2C42C43B">
                  <w:pPr>
                    <w:keepNext w:val="0"/>
                    <w:keepLines w:val="0"/>
                    <w:pageBreakBefore w:val="0"/>
                    <w:kinsoku/>
                    <w:wordWrap/>
                    <w:overflowPunct/>
                    <w:topLinePunct w:val="0"/>
                    <w:autoSpaceDE/>
                    <w:autoSpaceDN/>
                    <w:bidi w:val="0"/>
                    <w:adjustRightInd/>
                    <w:snapToGrid/>
                    <w:jc w:val="left"/>
                    <w:textAlignment w:val="auto"/>
                    <w:rPr>
                      <w:rFonts w:hint="eastAsia"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sz w:val="21"/>
                      <w:szCs w:val="21"/>
                      <w:highlight w:val="none"/>
                      <w:lang w:val="en-US" w:eastAsia="zh-CN"/>
                    </w:rPr>
                    <w:t>危险废物：废润滑油、废油桶暂存于危废暂存间，定期委托有资质单位处理。</w:t>
                  </w:r>
                </w:p>
              </w:tc>
            </w:tr>
            <w:tr w14:paraId="0AA676C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4" w:type="pct"/>
                  <w:vMerge w:val="restart"/>
                  <w:tcBorders>
                    <w:tl2br w:val="nil"/>
                    <w:tr2bl w:val="nil"/>
                  </w:tcBorders>
                  <w:noWrap w:val="0"/>
                  <w:vAlign w:val="center"/>
                </w:tcPr>
                <w:p w14:paraId="0725FB0B">
                  <w:pPr>
                    <w:keepNext w:val="0"/>
                    <w:keepLines w:val="0"/>
                    <w:pageBreakBefore w:val="0"/>
                    <w:kinsoku/>
                    <w:wordWrap/>
                    <w:overflowPunct/>
                    <w:topLinePunct w:val="0"/>
                    <w:autoSpaceDE/>
                    <w:autoSpaceDN/>
                    <w:bidi w:val="0"/>
                    <w:adjustRightInd/>
                    <w:snapToGrid/>
                    <w:jc w:val="center"/>
                    <w:textAlignment w:val="auto"/>
                    <w:rPr>
                      <w:rFonts w:hint="default"/>
                      <w:sz w:val="21"/>
                      <w:szCs w:val="21"/>
                      <w:highlight w:val="none"/>
                      <w:lang w:val="en-US" w:eastAsia="zh-CN"/>
                    </w:rPr>
                  </w:pPr>
                  <w:r>
                    <w:rPr>
                      <w:rFonts w:hint="eastAsia"/>
                      <w:sz w:val="21"/>
                      <w:szCs w:val="21"/>
                      <w:highlight w:val="none"/>
                      <w:lang w:val="en-US" w:eastAsia="zh-CN"/>
                    </w:rPr>
                    <w:t>防渗工程</w:t>
                  </w:r>
                </w:p>
              </w:tc>
              <w:tc>
                <w:tcPr>
                  <w:tcW w:w="792" w:type="pct"/>
                  <w:tcBorders>
                    <w:tl2br w:val="nil"/>
                    <w:tr2bl w:val="nil"/>
                  </w:tcBorders>
                  <w:noWrap w:val="0"/>
                  <w:vAlign w:val="center"/>
                </w:tcPr>
                <w:p w14:paraId="6BC84AFC">
                  <w:pPr>
                    <w:keepNext w:val="0"/>
                    <w:keepLines w:val="0"/>
                    <w:pageBreakBefore w:val="0"/>
                    <w:kinsoku/>
                    <w:wordWrap/>
                    <w:overflowPunct/>
                    <w:topLinePunct w:val="0"/>
                    <w:autoSpaceDE/>
                    <w:autoSpaceDN/>
                    <w:bidi w:val="0"/>
                    <w:adjustRightInd/>
                    <w:snapToGrid/>
                    <w:jc w:val="left"/>
                    <w:textAlignment w:val="auto"/>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重点防渗区</w:t>
                  </w:r>
                </w:p>
              </w:tc>
              <w:tc>
                <w:tcPr>
                  <w:tcW w:w="3453" w:type="pct"/>
                  <w:tcBorders>
                    <w:tl2br w:val="nil"/>
                    <w:tr2bl w:val="nil"/>
                  </w:tcBorders>
                  <w:noWrap w:val="0"/>
                  <w:vAlign w:val="center"/>
                </w:tcPr>
                <w:p w14:paraId="047038A9">
                  <w:pPr>
                    <w:keepNext w:val="0"/>
                    <w:keepLines w:val="0"/>
                    <w:pageBreakBefore w:val="0"/>
                    <w:kinsoku/>
                    <w:wordWrap/>
                    <w:overflowPunct/>
                    <w:topLinePunct w:val="0"/>
                    <w:autoSpaceDE/>
                    <w:autoSpaceDN/>
                    <w:bidi w:val="0"/>
                    <w:adjustRightInd/>
                    <w:snapToGrid/>
                    <w:jc w:val="left"/>
                    <w:textAlignment w:val="auto"/>
                    <w:rPr>
                      <w:rFonts w:hint="eastAsia"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危废暂存间应按照《危险废物贮存污染控制标准》(GB18597-2023)要求采取必要的防风、防晒、防雨、防漏、防渗、防腐等措施。危废间地面及裙角采用抗渗混凝土浇筑，防渗层厚度为30cm，危废间设有堵截泄漏的裙脚，</w:t>
                  </w:r>
                  <w:r>
                    <w:rPr>
                      <w:rFonts w:hint="eastAsia" w:ascii="Times New Roman" w:hAnsi="Times New Roman" w:eastAsia="宋体" w:cs="Times New Roman"/>
                      <w:sz w:val="21"/>
                      <w:szCs w:val="21"/>
                      <w:highlight w:val="none"/>
                      <w:lang w:val="en-US" w:eastAsia="zh-CN"/>
                    </w:rPr>
                    <w:t>地</w:t>
                  </w:r>
                  <w:r>
                    <w:rPr>
                      <w:rFonts w:hint="default" w:ascii="Times New Roman" w:hAnsi="Times New Roman" w:eastAsia="宋体" w:cs="Times New Roman"/>
                      <w:sz w:val="21"/>
                      <w:szCs w:val="21"/>
                      <w:highlight w:val="none"/>
                      <w:lang w:val="en-US" w:eastAsia="zh-CN"/>
                    </w:rPr>
                    <w:t>面与裙脚采用坚固防渗的材料建造，防渗层为至少1m厚黏土层(渗透系数不大于10</w:t>
                  </w:r>
                  <w:r>
                    <w:rPr>
                      <w:rFonts w:hint="eastAsia" w:ascii="Times New Roman" w:hAnsi="Times New Roman" w:eastAsia="宋体" w:cs="Times New Roman"/>
                      <w:sz w:val="21"/>
                      <w:szCs w:val="21"/>
                      <w:highlight w:val="none"/>
                      <w:vertAlign w:val="superscript"/>
                      <w:lang w:val="en-US" w:eastAsia="zh-CN"/>
                    </w:rPr>
                    <w:t>-</w:t>
                  </w:r>
                  <w:r>
                    <w:rPr>
                      <w:rFonts w:hint="default" w:ascii="Times New Roman" w:hAnsi="Times New Roman" w:eastAsia="宋体" w:cs="Times New Roman"/>
                      <w:sz w:val="21"/>
                      <w:szCs w:val="21"/>
                      <w:highlight w:val="none"/>
                      <w:vertAlign w:val="superscript"/>
                      <w:lang w:val="en-US" w:eastAsia="zh-CN"/>
                    </w:rPr>
                    <w:t>7</w:t>
                  </w:r>
                  <w:r>
                    <w:rPr>
                      <w:rFonts w:hint="default" w:ascii="Times New Roman" w:hAnsi="Times New Roman" w:eastAsia="宋体" w:cs="Times New Roman"/>
                      <w:sz w:val="21"/>
                      <w:szCs w:val="21"/>
                      <w:highlight w:val="none"/>
                      <w:lang w:val="en-US" w:eastAsia="zh-CN"/>
                    </w:rPr>
                    <w:t>cm/s)，或至少2mm厚高密度聚乙烯膜等人工防渗材料(渗透系数不大于10</w:t>
                  </w:r>
                  <w:r>
                    <w:rPr>
                      <w:rFonts w:hint="default" w:ascii="Times New Roman" w:hAnsi="Times New Roman" w:eastAsia="宋体" w:cs="Times New Roman"/>
                      <w:sz w:val="21"/>
                      <w:szCs w:val="21"/>
                      <w:highlight w:val="none"/>
                      <w:vertAlign w:val="superscript"/>
                      <w:lang w:val="en-US" w:eastAsia="zh-CN"/>
                    </w:rPr>
                    <w:t>-1</w:t>
                  </w:r>
                  <w:r>
                    <w:rPr>
                      <w:rFonts w:hint="eastAsia" w:ascii="Times New Roman" w:hAnsi="Times New Roman" w:eastAsia="宋体" w:cs="Times New Roman"/>
                      <w:sz w:val="21"/>
                      <w:szCs w:val="21"/>
                      <w:highlight w:val="none"/>
                      <w:vertAlign w:val="superscript"/>
                      <w:lang w:val="en-US" w:eastAsia="zh-CN"/>
                    </w:rPr>
                    <w:t>0</w:t>
                  </w:r>
                  <w:r>
                    <w:rPr>
                      <w:rFonts w:hint="default" w:ascii="Times New Roman" w:hAnsi="Times New Roman" w:eastAsia="宋体" w:cs="Times New Roman"/>
                      <w:sz w:val="21"/>
                      <w:szCs w:val="21"/>
                      <w:highlight w:val="none"/>
                      <w:lang w:val="en-US" w:eastAsia="zh-CN"/>
                    </w:rPr>
                    <w:t>cm/s)，或其他防渗性能等效的材料。</w:t>
                  </w:r>
                </w:p>
              </w:tc>
            </w:tr>
            <w:tr w14:paraId="073C431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4" w:type="pct"/>
                  <w:vMerge w:val="continue"/>
                  <w:tcBorders>
                    <w:tl2br w:val="nil"/>
                    <w:tr2bl w:val="nil"/>
                  </w:tcBorders>
                  <w:noWrap w:val="0"/>
                  <w:vAlign w:val="center"/>
                </w:tcPr>
                <w:p w14:paraId="18CD5631">
                  <w:pPr>
                    <w:keepNext w:val="0"/>
                    <w:keepLines w:val="0"/>
                    <w:pageBreakBefore w:val="0"/>
                    <w:kinsoku/>
                    <w:wordWrap/>
                    <w:overflowPunct/>
                    <w:topLinePunct w:val="0"/>
                    <w:autoSpaceDE/>
                    <w:autoSpaceDN/>
                    <w:bidi w:val="0"/>
                    <w:adjustRightInd/>
                    <w:snapToGrid/>
                    <w:jc w:val="center"/>
                    <w:textAlignment w:val="auto"/>
                    <w:rPr>
                      <w:rFonts w:hint="eastAsia"/>
                      <w:sz w:val="21"/>
                      <w:szCs w:val="21"/>
                      <w:highlight w:val="none"/>
                      <w:lang w:val="en-US" w:eastAsia="zh-CN"/>
                    </w:rPr>
                  </w:pPr>
                </w:p>
              </w:tc>
              <w:tc>
                <w:tcPr>
                  <w:tcW w:w="792" w:type="pct"/>
                  <w:tcBorders>
                    <w:tl2br w:val="nil"/>
                    <w:tr2bl w:val="nil"/>
                  </w:tcBorders>
                  <w:noWrap w:val="0"/>
                  <w:vAlign w:val="center"/>
                </w:tcPr>
                <w:p w14:paraId="41A47C8E">
                  <w:pPr>
                    <w:keepNext w:val="0"/>
                    <w:keepLines w:val="0"/>
                    <w:pageBreakBefore w:val="0"/>
                    <w:kinsoku/>
                    <w:wordWrap/>
                    <w:overflowPunct/>
                    <w:topLinePunct w:val="0"/>
                    <w:autoSpaceDE/>
                    <w:autoSpaceDN/>
                    <w:bidi w:val="0"/>
                    <w:adjustRightInd/>
                    <w:snapToGrid/>
                    <w:jc w:val="left"/>
                    <w:textAlignment w:val="auto"/>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一般防渗区</w:t>
                  </w:r>
                </w:p>
              </w:tc>
              <w:tc>
                <w:tcPr>
                  <w:tcW w:w="3453" w:type="pct"/>
                  <w:tcBorders>
                    <w:tl2br w:val="nil"/>
                    <w:tr2bl w:val="nil"/>
                  </w:tcBorders>
                  <w:noWrap w:val="0"/>
                  <w:vAlign w:val="center"/>
                </w:tcPr>
                <w:p w14:paraId="2E4464F4">
                  <w:pPr>
                    <w:keepNext w:val="0"/>
                    <w:keepLines w:val="0"/>
                    <w:pageBreakBefore w:val="0"/>
                    <w:kinsoku/>
                    <w:wordWrap/>
                    <w:overflowPunct/>
                    <w:topLinePunct w:val="0"/>
                    <w:autoSpaceDE/>
                    <w:autoSpaceDN/>
                    <w:bidi w:val="0"/>
                    <w:adjustRightInd/>
                    <w:snapToGrid/>
                    <w:jc w:val="left"/>
                    <w:textAlignment w:val="auto"/>
                    <w:rPr>
                      <w:rFonts w:hint="eastAsia"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厂房及库房</w:t>
                  </w:r>
                  <w:r>
                    <w:rPr>
                      <w:rFonts w:hint="eastAsia" w:ascii="Times New Roman" w:hAnsi="Times New Roman" w:cs="Times New Roman"/>
                      <w:sz w:val="21"/>
                      <w:szCs w:val="21"/>
                      <w:highlight w:val="none"/>
                      <w:lang w:val="en-US" w:eastAsia="zh-CN"/>
                    </w:rPr>
                    <w:t>均</w:t>
                  </w:r>
                  <w:r>
                    <w:rPr>
                      <w:rFonts w:hint="eastAsia" w:ascii="Times New Roman" w:hAnsi="Times New Roman" w:eastAsia="宋体" w:cs="Times New Roman"/>
                      <w:sz w:val="21"/>
                      <w:szCs w:val="21"/>
                      <w:highlight w:val="none"/>
                      <w:lang w:val="en-US" w:eastAsia="zh-CN"/>
                    </w:rPr>
                    <w:t>采用水泥硬化处理</w:t>
                  </w:r>
                  <w:r>
                    <w:rPr>
                      <w:rFonts w:hint="default" w:ascii="Times New Roman" w:hAnsi="Times New Roman" w:eastAsia="宋体" w:cs="Times New Roman"/>
                      <w:sz w:val="21"/>
                      <w:szCs w:val="21"/>
                      <w:highlight w:val="none"/>
                      <w:lang w:val="en-US" w:eastAsia="zh-CN"/>
                    </w:rPr>
                    <w:t>，需满足等效黏土防渗层Mb≥1.5m，K≤1×10</w:t>
                  </w:r>
                  <w:r>
                    <w:rPr>
                      <w:rFonts w:hint="default" w:ascii="Times New Roman" w:hAnsi="Times New Roman" w:eastAsia="宋体" w:cs="Times New Roman"/>
                      <w:sz w:val="21"/>
                      <w:szCs w:val="21"/>
                      <w:highlight w:val="none"/>
                      <w:vertAlign w:val="superscript"/>
                      <w:lang w:val="en-US" w:eastAsia="zh-CN"/>
                    </w:rPr>
                    <w:t>-7</w:t>
                  </w:r>
                  <w:r>
                    <w:rPr>
                      <w:rFonts w:hint="default" w:ascii="Times New Roman" w:hAnsi="Times New Roman" w:eastAsia="宋体" w:cs="Times New Roman"/>
                      <w:sz w:val="21"/>
                      <w:szCs w:val="21"/>
                      <w:highlight w:val="none"/>
                      <w:lang w:val="en-US" w:eastAsia="zh-CN"/>
                    </w:rPr>
                    <w:t>cm/s。</w:t>
                  </w:r>
                  <w:r>
                    <w:rPr>
                      <w:rFonts w:hint="eastAsia" w:cs="Times New Roman"/>
                      <w:sz w:val="21"/>
                      <w:szCs w:val="21"/>
                      <w:highlight w:val="none"/>
                      <w:lang w:val="en-US" w:eastAsia="zh-CN"/>
                    </w:rPr>
                    <w:t>排水沟、</w:t>
                  </w:r>
                  <w:r>
                    <w:rPr>
                      <w:rFonts w:hint="eastAsia" w:ascii="Times New Roman" w:hAnsi="Times New Roman" w:eastAsia="宋体" w:cs="Times New Roman"/>
                      <w:sz w:val="21"/>
                      <w:szCs w:val="21"/>
                      <w:highlight w:val="none"/>
                      <w:lang w:val="en-US" w:eastAsia="zh-CN"/>
                    </w:rPr>
                    <w:t>初期雨水管道</w:t>
                  </w:r>
                  <w:r>
                    <w:rPr>
                      <w:rFonts w:hint="eastAsia" w:cs="Times New Roman"/>
                      <w:sz w:val="21"/>
                      <w:szCs w:val="21"/>
                      <w:highlight w:val="none"/>
                      <w:lang w:val="en-US" w:eastAsia="zh-CN"/>
                    </w:rPr>
                    <w:t>、</w:t>
                  </w:r>
                  <w:r>
                    <w:rPr>
                      <w:rFonts w:hint="eastAsia" w:ascii="Times New Roman" w:hAnsi="Times New Roman" w:eastAsia="宋体" w:cs="Times New Roman"/>
                      <w:sz w:val="21"/>
                      <w:szCs w:val="21"/>
                      <w:highlight w:val="none"/>
                      <w:lang w:val="en-US" w:eastAsia="zh-CN"/>
                    </w:rPr>
                    <w:t>初期雨水沉淀池、清水池等池体</w:t>
                  </w:r>
                  <w:r>
                    <w:rPr>
                      <w:rFonts w:hint="default" w:ascii="Times New Roman" w:hAnsi="Times New Roman" w:eastAsia="宋体" w:cs="Times New Roman"/>
                      <w:sz w:val="21"/>
                      <w:szCs w:val="21"/>
                      <w:highlight w:val="none"/>
                      <w:lang w:val="zh-CN" w:eastAsia="zh-CN"/>
                    </w:rPr>
                    <w:t>采用防水混凝土</w:t>
                  </w:r>
                  <w:r>
                    <w:rPr>
                      <w:rFonts w:hint="eastAsia" w:ascii="Times New Roman" w:hAnsi="Times New Roman" w:eastAsia="宋体" w:cs="Times New Roman"/>
                      <w:sz w:val="21"/>
                      <w:szCs w:val="21"/>
                      <w:highlight w:val="none"/>
                      <w:lang w:val="zh-CN" w:eastAsia="zh-CN"/>
                    </w:rPr>
                    <w:t>结构</w:t>
                  </w:r>
                  <w:r>
                    <w:rPr>
                      <w:rFonts w:hint="default" w:ascii="Times New Roman" w:hAnsi="Times New Roman" w:eastAsia="宋体" w:cs="Times New Roman"/>
                      <w:sz w:val="21"/>
                      <w:szCs w:val="21"/>
                      <w:highlight w:val="none"/>
                      <w:lang w:val="zh-CN" w:eastAsia="zh-CN"/>
                    </w:rPr>
                    <w:t>并结合防水砂浆构建建筑主体，防渗层渗透系数小于</w:t>
                  </w:r>
                  <w:r>
                    <w:rPr>
                      <w:rFonts w:hint="default" w:ascii="Times New Roman" w:hAnsi="Times New Roman" w:eastAsia="宋体" w:cs="Times New Roman"/>
                      <w:sz w:val="21"/>
                      <w:szCs w:val="21"/>
                      <w:highlight w:val="none"/>
                      <w:lang w:val="en-US" w:eastAsia="zh-CN"/>
                    </w:rPr>
                    <w:t>10</w:t>
                  </w:r>
                  <w:r>
                    <w:rPr>
                      <w:rFonts w:hint="eastAsia" w:ascii="Times New Roman" w:hAnsi="Times New Roman" w:eastAsia="宋体" w:cs="Times New Roman"/>
                      <w:sz w:val="21"/>
                      <w:szCs w:val="21"/>
                      <w:highlight w:val="none"/>
                      <w:vertAlign w:val="superscript"/>
                      <w:lang w:val="en-US" w:eastAsia="zh-CN"/>
                    </w:rPr>
                    <w:t>-</w:t>
                  </w:r>
                  <w:r>
                    <w:rPr>
                      <w:rFonts w:hint="default" w:ascii="Times New Roman" w:hAnsi="Times New Roman" w:eastAsia="宋体" w:cs="Times New Roman"/>
                      <w:sz w:val="21"/>
                      <w:szCs w:val="21"/>
                      <w:highlight w:val="none"/>
                      <w:vertAlign w:val="superscript"/>
                      <w:lang w:val="en-US" w:eastAsia="zh-CN"/>
                    </w:rPr>
                    <w:t>7</w:t>
                  </w:r>
                  <w:r>
                    <w:rPr>
                      <w:rFonts w:hint="default" w:ascii="Times New Roman" w:hAnsi="Times New Roman" w:eastAsia="宋体" w:cs="Times New Roman"/>
                      <w:sz w:val="21"/>
                      <w:szCs w:val="21"/>
                      <w:highlight w:val="none"/>
                      <w:lang w:val="en-US" w:eastAsia="zh-CN"/>
                    </w:rPr>
                    <w:t>cm/s</w:t>
                  </w:r>
                  <w:r>
                    <w:rPr>
                      <w:rFonts w:hint="eastAsia" w:ascii="Times New Roman" w:hAnsi="Times New Roman" w:eastAsia="宋体" w:cs="Times New Roman"/>
                      <w:sz w:val="21"/>
                      <w:szCs w:val="21"/>
                      <w:highlight w:val="none"/>
                      <w:lang w:val="en-US" w:eastAsia="zh-CN"/>
                    </w:rPr>
                    <w:t>。</w:t>
                  </w:r>
                </w:p>
              </w:tc>
            </w:tr>
            <w:tr w14:paraId="3507F8D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4" w:type="pct"/>
                  <w:vMerge w:val="continue"/>
                  <w:tcBorders>
                    <w:tl2br w:val="nil"/>
                    <w:tr2bl w:val="nil"/>
                  </w:tcBorders>
                  <w:noWrap w:val="0"/>
                  <w:vAlign w:val="center"/>
                </w:tcPr>
                <w:p w14:paraId="14D19776">
                  <w:pPr>
                    <w:keepNext w:val="0"/>
                    <w:keepLines w:val="0"/>
                    <w:pageBreakBefore w:val="0"/>
                    <w:kinsoku/>
                    <w:wordWrap/>
                    <w:overflowPunct/>
                    <w:topLinePunct w:val="0"/>
                    <w:autoSpaceDE/>
                    <w:autoSpaceDN/>
                    <w:bidi w:val="0"/>
                    <w:adjustRightInd/>
                    <w:snapToGrid/>
                    <w:jc w:val="center"/>
                    <w:textAlignment w:val="auto"/>
                    <w:rPr>
                      <w:rFonts w:hint="eastAsia"/>
                      <w:sz w:val="21"/>
                      <w:szCs w:val="21"/>
                      <w:highlight w:val="none"/>
                      <w:lang w:val="en-US" w:eastAsia="zh-CN"/>
                    </w:rPr>
                  </w:pPr>
                </w:p>
              </w:tc>
              <w:tc>
                <w:tcPr>
                  <w:tcW w:w="792" w:type="pct"/>
                  <w:tcBorders>
                    <w:tl2br w:val="nil"/>
                    <w:tr2bl w:val="nil"/>
                  </w:tcBorders>
                  <w:noWrap w:val="0"/>
                  <w:vAlign w:val="center"/>
                </w:tcPr>
                <w:p w14:paraId="4F068A66">
                  <w:pPr>
                    <w:keepNext w:val="0"/>
                    <w:keepLines w:val="0"/>
                    <w:pageBreakBefore w:val="0"/>
                    <w:kinsoku/>
                    <w:wordWrap/>
                    <w:overflowPunct/>
                    <w:topLinePunct w:val="0"/>
                    <w:autoSpaceDE/>
                    <w:autoSpaceDN/>
                    <w:bidi w:val="0"/>
                    <w:adjustRightInd/>
                    <w:snapToGrid/>
                    <w:jc w:val="left"/>
                    <w:textAlignment w:val="auto"/>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简单防渗区</w:t>
                  </w:r>
                </w:p>
              </w:tc>
              <w:tc>
                <w:tcPr>
                  <w:tcW w:w="3453" w:type="pct"/>
                  <w:tcBorders>
                    <w:tl2br w:val="nil"/>
                    <w:tr2bl w:val="nil"/>
                  </w:tcBorders>
                  <w:noWrap w:val="0"/>
                  <w:vAlign w:val="center"/>
                </w:tcPr>
                <w:p w14:paraId="3C0126C7">
                  <w:pPr>
                    <w:keepNext w:val="0"/>
                    <w:keepLines w:val="0"/>
                    <w:pageBreakBefore w:val="0"/>
                    <w:kinsoku/>
                    <w:wordWrap/>
                    <w:overflowPunct/>
                    <w:topLinePunct w:val="0"/>
                    <w:autoSpaceDE/>
                    <w:autoSpaceDN/>
                    <w:bidi w:val="0"/>
                    <w:adjustRightInd/>
                    <w:snapToGrid/>
                    <w:jc w:val="left"/>
                    <w:textAlignment w:val="auto"/>
                    <w:rPr>
                      <w:rFonts w:hint="eastAsia"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除重点防渗区和一般防渗区之外的其他区域地面硬化。</w:t>
                  </w:r>
                </w:p>
              </w:tc>
            </w:tr>
          </w:tbl>
          <w:p w14:paraId="687310A2">
            <w:pPr>
              <w:keepNext w:val="0"/>
              <w:keepLines w:val="0"/>
              <w:pageBreakBefore w:val="0"/>
              <w:widowControl w:val="0"/>
              <w:numPr>
                <w:ilvl w:val="0"/>
                <w:numId w:val="0"/>
              </w:numPr>
              <w:kinsoku/>
              <w:wordWrap/>
              <w:overflowPunct/>
              <w:topLinePunct w:val="0"/>
              <w:autoSpaceDE/>
              <w:autoSpaceDN/>
              <w:bidi w:val="0"/>
              <w:adjustRightInd/>
              <w:snapToGrid/>
              <w:spacing w:line="480" w:lineRule="exact"/>
              <w:ind w:firstLine="480" w:firstLineChars="200"/>
              <w:textAlignment w:val="auto"/>
              <w:rPr>
                <w:rFonts w:hint="default"/>
                <w:highlight w:val="none"/>
                <w:lang w:val="en-US" w:eastAsia="zh-CN"/>
              </w:rPr>
            </w:pPr>
            <w:r>
              <w:rPr>
                <w:rFonts w:hint="eastAsia" w:ascii="Times New Roman" w:hAnsi="Times New Roman" w:cs="Times New Roman"/>
                <w:b w:val="0"/>
                <w:bCs/>
                <w:color w:val="auto"/>
                <w:sz w:val="24"/>
                <w:szCs w:val="24"/>
                <w:highlight w:val="none"/>
                <w:lang w:val="en-US" w:eastAsia="zh-CN"/>
              </w:rPr>
              <w:t>（</w:t>
            </w:r>
            <w:r>
              <w:rPr>
                <w:rFonts w:hint="eastAsia" w:cs="Times New Roman"/>
                <w:b w:val="0"/>
                <w:bCs/>
                <w:color w:val="auto"/>
                <w:sz w:val="24"/>
                <w:szCs w:val="24"/>
                <w:highlight w:val="none"/>
                <w:lang w:val="en-US" w:eastAsia="zh-CN"/>
              </w:rPr>
              <w:t>9</w:t>
            </w:r>
            <w:r>
              <w:rPr>
                <w:rFonts w:hint="eastAsia" w:ascii="Times New Roman" w:hAnsi="Times New Roman" w:cs="Times New Roman"/>
                <w:b w:val="0"/>
                <w:bCs/>
                <w:color w:val="auto"/>
                <w:sz w:val="24"/>
                <w:szCs w:val="24"/>
                <w:highlight w:val="none"/>
                <w:lang w:val="en-US" w:eastAsia="zh-CN"/>
              </w:rPr>
              <w:t>）</w:t>
            </w:r>
            <w:r>
              <w:rPr>
                <w:rFonts w:hint="eastAsia" w:cs="Times New Roman"/>
                <w:b w:val="0"/>
                <w:bCs/>
                <w:color w:val="auto"/>
                <w:sz w:val="24"/>
                <w:szCs w:val="24"/>
                <w:highlight w:val="none"/>
                <w:lang w:val="en-US" w:eastAsia="zh-CN"/>
              </w:rPr>
              <w:t>本</w:t>
            </w:r>
            <w:r>
              <w:rPr>
                <w:rFonts w:hint="eastAsia" w:ascii="Times New Roman" w:hAnsi="Times New Roman" w:cs="Times New Roman"/>
                <w:b w:val="0"/>
                <w:bCs/>
                <w:color w:val="auto"/>
                <w:sz w:val="24"/>
                <w:szCs w:val="24"/>
                <w:highlight w:val="none"/>
                <w:lang w:val="en-US" w:eastAsia="zh-CN"/>
              </w:rPr>
              <w:t>项目</w:t>
            </w:r>
            <w:r>
              <w:rPr>
                <w:rFonts w:hint="eastAsia" w:ascii="Times New Roman" w:hAnsi="Times New Roman" w:eastAsia="宋体" w:cs="Times New Roman"/>
                <w:color w:val="auto"/>
                <w:sz w:val="24"/>
                <w:szCs w:val="24"/>
                <w:highlight w:val="none"/>
                <w:lang w:eastAsia="zh-CN"/>
              </w:rPr>
              <w:t>主要建构筑物见下表。</w:t>
            </w:r>
          </w:p>
          <w:p w14:paraId="7D417306">
            <w:pPr>
              <w:keepNext w:val="0"/>
              <w:keepLines w:val="0"/>
              <w:pageBreakBefore w:val="0"/>
              <w:widowControl w:val="0"/>
              <w:kinsoku/>
              <w:wordWrap/>
              <w:overflowPunct/>
              <w:topLinePunct w:val="0"/>
              <w:autoSpaceDE/>
              <w:autoSpaceDN/>
              <w:bidi w:val="0"/>
              <w:adjustRightInd/>
              <w:snapToGrid/>
              <w:spacing w:line="480" w:lineRule="exact"/>
              <w:jc w:val="center"/>
              <w:textAlignment w:val="auto"/>
              <w:rPr>
                <w:rFonts w:hint="default"/>
                <w:b/>
                <w:bCs/>
                <w:highlight w:val="none"/>
                <w:lang w:val="en-US" w:eastAsia="zh-CN"/>
              </w:rPr>
            </w:pPr>
            <w:r>
              <w:rPr>
                <w:rFonts w:hint="eastAsia"/>
                <w:b/>
                <w:bCs/>
                <w:highlight w:val="none"/>
                <w:lang w:val="en-US" w:eastAsia="zh-CN"/>
              </w:rPr>
              <w:t>表2-2 主要建构筑物一览表</w:t>
            </w:r>
          </w:p>
          <w:tbl>
            <w:tblPr>
              <w:tblStyle w:val="26"/>
              <w:tblW w:w="4997"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297"/>
              <w:gridCol w:w="1299"/>
              <w:gridCol w:w="1211"/>
              <w:gridCol w:w="1293"/>
              <w:gridCol w:w="782"/>
              <w:gridCol w:w="916"/>
              <w:gridCol w:w="1569"/>
            </w:tblGrid>
            <w:tr w14:paraId="2CC16E4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22" w:hRule="atLeast"/>
                <w:jc w:val="center"/>
              </w:trPr>
              <w:tc>
                <w:tcPr>
                  <w:tcW w:w="775" w:type="pct"/>
                  <w:tcBorders>
                    <w:tl2br w:val="nil"/>
                    <w:tr2bl w:val="nil"/>
                  </w:tcBorders>
                  <w:noWrap w:val="0"/>
                  <w:vAlign w:val="center"/>
                </w:tcPr>
                <w:p w14:paraId="61AB1AF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序号</w:t>
                  </w:r>
                </w:p>
              </w:tc>
              <w:tc>
                <w:tcPr>
                  <w:tcW w:w="776" w:type="pct"/>
                  <w:tcBorders>
                    <w:tl2br w:val="nil"/>
                    <w:tr2bl w:val="nil"/>
                  </w:tcBorders>
                  <w:noWrap w:val="0"/>
                  <w:vAlign w:val="center"/>
                </w:tcPr>
                <w:p w14:paraId="5865094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eastAsia="宋体" w:cs="Times New Roman"/>
                      <w:b w:val="0"/>
                      <w:bCs w:val="0"/>
                      <w:color w:val="auto"/>
                      <w:kern w:val="0"/>
                      <w:sz w:val="21"/>
                      <w:szCs w:val="21"/>
                      <w:highlight w:val="none"/>
                      <w:vertAlign w:val="baseline"/>
                      <w:lang w:val="en-US" w:eastAsia="zh-CN" w:bidi="ar"/>
                    </w:rPr>
                    <w:t>名称</w:t>
                  </w:r>
                </w:p>
              </w:tc>
              <w:tc>
                <w:tcPr>
                  <w:tcW w:w="723" w:type="pct"/>
                  <w:tcBorders>
                    <w:tl2br w:val="nil"/>
                    <w:tr2bl w:val="nil"/>
                  </w:tcBorders>
                  <w:noWrap w:val="0"/>
                  <w:vAlign w:val="center"/>
                </w:tcPr>
                <w:p w14:paraId="4ADBD8D9">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eastAsia="宋体" w:cs="Times New Roman"/>
                      <w:b w:val="0"/>
                      <w:bCs w:val="0"/>
                      <w:color w:val="auto"/>
                      <w:kern w:val="0"/>
                      <w:sz w:val="21"/>
                      <w:szCs w:val="21"/>
                      <w:highlight w:val="none"/>
                      <w:vertAlign w:val="baseline"/>
                      <w:lang w:val="en-US" w:eastAsia="zh-CN" w:bidi="ar"/>
                    </w:rPr>
                    <w:t>占地面积</w:t>
                  </w:r>
                </w:p>
                <w:p w14:paraId="78C88DA8">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（m</w:t>
                  </w:r>
                  <w:r>
                    <w:rPr>
                      <w:rFonts w:hint="default" w:ascii="Times New Roman" w:hAnsi="Times New Roman" w:cs="Times New Roman"/>
                      <w:b w:val="0"/>
                      <w:bCs w:val="0"/>
                      <w:color w:val="auto"/>
                      <w:kern w:val="0"/>
                      <w:sz w:val="21"/>
                      <w:szCs w:val="21"/>
                      <w:highlight w:val="none"/>
                      <w:vertAlign w:val="superscript"/>
                      <w:lang w:val="en-US" w:eastAsia="zh-CN" w:bidi="ar"/>
                    </w:rPr>
                    <w:t>2</w:t>
                  </w:r>
                  <w:r>
                    <w:rPr>
                      <w:rFonts w:hint="default" w:ascii="Times New Roman" w:hAnsi="Times New Roman" w:cs="Times New Roman"/>
                      <w:b w:val="0"/>
                      <w:bCs w:val="0"/>
                      <w:color w:val="auto"/>
                      <w:kern w:val="0"/>
                      <w:sz w:val="21"/>
                      <w:szCs w:val="21"/>
                      <w:highlight w:val="none"/>
                      <w:vertAlign w:val="baseline"/>
                      <w:lang w:val="en-US" w:eastAsia="zh-CN" w:bidi="ar"/>
                    </w:rPr>
                    <w:t>）</w:t>
                  </w:r>
                </w:p>
              </w:tc>
              <w:tc>
                <w:tcPr>
                  <w:tcW w:w="772" w:type="pct"/>
                  <w:tcBorders>
                    <w:tl2br w:val="nil"/>
                    <w:tr2bl w:val="nil"/>
                  </w:tcBorders>
                  <w:noWrap w:val="0"/>
                  <w:vAlign w:val="center"/>
                </w:tcPr>
                <w:p w14:paraId="44486AF9">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eastAsia="宋体" w:cs="Times New Roman"/>
                      <w:b w:val="0"/>
                      <w:bCs w:val="0"/>
                      <w:color w:val="auto"/>
                      <w:kern w:val="0"/>
                      <w:sz w:val="21"/>
                      <w:szCs w:val="21"/>
                      <w:highlight w:val="none"/>
                      <w:vertAlign w:val="baseline"/>
                      <w:lang w:val="en-US" w:eastAsia="zh-CN" w:bidi="ar"/>
                    </w:rPr>
                    <w:t>建筑面积</w:t>
                  </w:r>
                  <w:r>
                    <w:rPr>
                      <w:rFonts w:hint="eastAsia" w:cs="Times New Roman"/>
                      <w:b w:val="0"/>
                      <w:bCs w:val="0"/>
                      <w:color w:val="auto"/>
                      <w:kern w:val="0"/>
                      <w:sz w:val="21"/>
                      <w:szCs w:val="21"/>
                      <w:highlight w:val="none"/>
                      <w:vertAlign w:val="baseline"/>
                      <w:lang w:val="en-US" w:eastAsia="zh-CN" w:bidi="ar"/>
                    </w:rPr>
                    <w:t>/容积</w:t>
                  </w:r>
                </w:p>
              </w:tc>
              <w:tc>
                <w:tcPr>
                  <w:tcW w:w="467" w:type="pct"/>
                  <w:tcBorders>
                    <w:tl2br w:val="nil"/>
                    <w:tr2bl w:val="nil"/>
                  </w:tcBorders>
                  <w:noWrap w:val="0"/>
                  <w:vAlign w:val="center"/>
                </w:tcPr>
                <w:p w14:paraId="0BCA3C27">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层数</w:t>
                  </w:r>
                </w:p>
              </w:tc>
              <w:tc>
                <w:tcPr>
                  <w:tcW w:w="547" w:type="pct"/>
                  <w:tcBorders>
                    <w:tl2br w:val="nil"/>
                    <w:tr2bl w:val="nil"/>
                  </w:tcBorders>
                  <w:noWrap w:val="0"/>
                  <w:vAlign w:val="center"/>
                </w:tcPr>
                <w:p w14:paraId="3A0A7C3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高度</w:t>
                  </w:r>
                </w:p>
                <w:p w14:paraId="430E9FE7">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（m）</w:t>
                  </w:r>
                </w:p>
              </w:tc>
              <w:tc>
                <w:tcPr>
                  <w:tcW w:w="937" w:type="pct"/>
                  <w:tcBorders>
                    <w:tl2br w:val="nil"/>
                    <w:tr2bl w:val="nil"/>
                  </w:tcBorders>
                  <w:noWrap w:val="0"/>
                  <w:vAlign w:val="center"/>
                </w:tcPr>
                <w:p w14:paraId="2989DDB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eastAsia="宋体" w:cs="Times New Roman"/>
                      <w:b w:val="0"/>
                      <w:bCs w:val="0"/>
                      <w:color w:val="auto"/>
                      <w:kern w:val="0"/>
                      <w:sz w:val="21"/>
                      <w:szCs w:val="21"/>
                      <w:highlight w:val="none"/>
                      <w:vertAlign w:val="baseline"/>
                      <w:lang w:val="en-US" w:eastAsia="zh-CN" w:bidi="ar"/>
                    </w:rPr>
                    <w:t>结构形式</w:t>
                  </w:r>
                </w:p>
              </w:tc>
            </w:tr>
            <w:tr w14:paraId="6A0229C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75" w:type="pct"/>
                  <w:tcBorders>
                    <w:tl2br w:val="nil"/>
                    <w:tr2bl w:val="nil"/>
                  </w:tcBorders>
                  <w:noWrap w:val="0"/>
                  <w:vAlign w:val="center"/>
                </w:tcPr>
                <w:p w14:paraId="419B39A0">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default" w:ascii="Times New Roman" w:hAnsi="Times New Roman" w:cs="Times New Roman"/>
                      <w:sz w:val="21"/>
                      <w:szCs w:val="21"/>
                      <w:highlight w:val="none"/>
                      <w:lang w:val="en-US" w:eastAsia="zh-CN"/>
                    </w:rPr>
                  </w:pPr>
                  <w:r>
                    <w:rPr>
                      <w:rFonts w:hint="default" w:ascii="Times New Roman" w:hAnsi="Times New Roman" w:eastAsia="宋体" w:cs="Times New Roman"/>
                      <w:kern w:val="2"/>
                      <w:sz w:val="21"/>
                      <w:szCs w:val="21"/>
                      <w:lang w:val="en-US" w:eastAsia="zh-CN" w:bidi="ar-SA"/>
                    </w:rPr>
                    <w:t>1</w:t>
                  </w:r>
                </w:p>
              </w:tc>
              <w:tc>
                <w:tcPr>
                  <w:tcW w:w="776" w:type="pct"/>
                  <w:tcBorders>
                    <w:tl2br w:val="nil"/>
                    <w:tr2bl w:val="nil"/>
                  </w:tcBorders>
                  <w:noWrap w:val="0"/>
                  <w:vAlign w:val="center"/>
                </w:tcPr>
                <w:p w14:paraId="6C6FCEB2">
                  <w:pPr>
                    <w:keepNext w:val="0"/>
                    <w:keepLines w:val="0"/>
                    <w:pageBreakBefore w:val="0"/>
                    <w:kinsoku/>
                    <w:wordWrap/>
                    <w:overflowPunct/>
                    <w:topLinePunct w:val="0"/>
                    <w:autoSpaceDE/>
                    <w:autoSpaceDN/>
                    <w:bidi w:val="0"/>
                    <w:adjustRightInd/>
                    <w:snapToGrid/>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cs="Times New Roman"/>
                      <w:sz w:val="21"/>
                      <w:szCs w:val="21"/>
                      <w:highlight w:val="none"/>
                      <w:lang w:val="en-US" w:eastAsia="zh-CN"/>
                    </w:rPr>
                    <w:t>1#厂房</w:t>
                  </w:r>
                </w:p>
              </w:tc>
              <w:tc>
                <w:tcPr>
                  <w:tcW w:w="723" w:type="pct"/>
                  <w:tcBorders>
                    <w:tl2br w:val="nil"/>
                    <w:tr2bl w:val="nil"/>
                  </w:tcBorders>
                  <w:noWrap w:val="0"/>
                  <w:vAlign w:val="center"/>
                </w:tcPr>
                <w:p w14:paraId="0323FE5D">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32843.8</w:t>
                  </w:r>
                </w:p>
              </w:tc>
              <w:tc>
                <w:tcPr>
                  <w:tcW w:w="772" w:type="pct"/>
                  <w:tcBorders>
                    <w:tl2br w:val="nil"/>
                    <w:tr2bl w:val="nil"/>
                  </w:tcBorders>
                  <w:noWrap w:val="0"/>
                  <w:vAlign w:val="center"/>
                </w:tcPr>
                <w:p w14:paraId="647B79F3">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32843.8m</w:t>
                  </w:r>
                  <w:r>
                    <w:rPr>
                      <w:rFonts w:hint="default" w:ascii="Times New Roman" w:hAnsi="Times New Roman" w:cs="Times New Roman"/>
                      <w:b w:val="0"/>
                      <w:bCs w:val="0"/>
                      <w:color w:val="auto"/>
                      <w:kern w:val="0"/>
                      <w:sz w:val="21"/>
                      <w:szCs w:val="21"/>
                      <w:highlight w:val="none"/>
                      <w:vertAlign w:val="superscript"/>
                      <w:lang w:val="en-US" w:eastAsia="zh-CN" w:bidi="ar"/>
                    </w:rPr>
                    <w:t>2</w:t>
                  </w:r>
                </w:p>
              </w:tc>
              <w:tc>
                <w:tcPr>
                  <w:tcW w:w="467" w:type="pct"/>
                  <w:tcBorders>
                    <w:tl2br w:val="nil"/>
                    <w:tr2bl w:val="nil"/>
                  </w:tcBorders>
                  <w:noWrap w:val="0"/>
                  <w:vAlign w:val="center"/>
                </w:tcPr>
                <w:p w14:paraId="06DC80FB">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1F</w:t>
                  </w:r>
                </w:p>
              </w:tc>
              <w:tc>
                <w:tcPr>
                  <w:tcW w:w="547" w:type="pct"/>
                  <w:tcBorders>
                    <w:tl2br w:val="nil"/>
                    <w:tr2bl w:val="nil"/>
                  </w:tcBorders>
                  <w:noWrap w:val="0"/>
                  <w:vAlign w:val="center"/>
                </w:tcPr>
                <w:p w14:paraId="29E37B88">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20.70</w:t>
                  </w:r>
                </w:p>
              </w:tc>
              <w:tc>
                <w:tcPr>
                  <w:tcW w:w="937" w:type="pct"/>
                  <w:tcBorders>
                    <w:tl2br w:val="nil"/>
                    <w:tr2bl w:val="nil"/>
                  </w:tcBorders>
                  <w:noWrap w:val="0"/>
                  <w:vAlign w:val="center"/>
                </w:tcPr>
                <w:p w14:paraId="109D3B9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kern w:val="0"/>
                      <w:sz w:val="21"/>
                      <w:szCs w:val="21"/>
                      <w:highlight w:val="none"/>
                      <w:vertAlign w:val="baseline"/>
                      <w:lang w:val="en-US" w:eastAsia="zh-CN" w:bidi="ar"/>
                    </w:rPr>
                  </w:pPr>
                  <w:r>
                    <w:rPr>
                      <w:rFonts w:hint="eastAsia" w:ascii="Times New Roman" w:hAnsi="Times New Roman" w:eastAsia="宋体" w:cs="Times New Roman"/>
                      <w:b w:val="0"/>
                      <w:bCs w:val="0"/>
                      <w:color w:val="auto"/>
                      <w:kern w:val="0"/>
                      <w:sz w:val="21"/>
                      <w:szCs w:val="21"/>
                      <w:highlight w:val="none"/>
                      <w:vertAlign w:val="baseline"/>
                      <w:lang w:val="en-US" w:eastAsia="zh-CN" w:bidi="ar"/>
                    </w:rPr>
                    <w:t>单层</w:t>
                  </w:r>
                  <w:r>
                    <w:rPr>
                      <w:rFonts w:hint="default" w:ascii="Times New Roman" w:hAnsi="Times New Roman" w:eastAsia="宋体" w:cs="Times New Roman"/>
                      <w:b w:val="0"/>
                      <w:bCs w:val="0"/>
                      <w:color w:val="auto"/>
                      <w:kern w:val="0"/>
                      <w:sz w:val="21"/>
                      <w:szCs w:val="21"/>
                      <w:highlight w:val="none"/>
                      <w:vertAlign w:val="baseline"/>
                      <w:lang w:val="en-US" w:eastAsia="zh-CN" w:bidi="ar"/>
                    </w:rPr>
                    <w:t>门式</w:t>
                  </w:r>
                  <w:r>
                    <w:rPr>
                      <w:rFonts w:hint="eastAsia" w:ascii="Times New Roman" w:hAnsi="Times New Roman" w:eastAsia="宋体" w:cs="Times New Roman"/>
                      <w:b w:val="0"/>
                      <w:bCs w:val="0"/>
                      <w:color w:val="auto"/>
                      <w:kern w:val="0"/>
                      <w:sz w:val="21"/>
                      <w:szCs w:val="21"/>
                      <w:highlight w:val="none"/>
                      <w:vertAlign w:val="baseline"/>
                      <w:lang w:val="en-US" w:eastAsia="zh-CN" w:bidi="ar"/>
                    </w:rPr>
                    <w:t>钢架</w:t>
                  </w:r>
                  <w:r>
                    <w:rPr>
                      <w:rFonts w:hint="default" w:ascii="Times New Roman" w:hAnsi="Times New Roman" w:eastAsia="宋体" w:cs="Times New Roman"/>
                      <w:b w:val="0"/>
                      <w:bCs w:val="0"/>
                      <w:color w:val="auto"/>
                      <w:kern w:val="0"/>
                      <w:sz w:val="21"/>
                      <w:szCs w:val="21"/>
                      <w:highlight w:val="none"/>
                      <w:vertAlign w:val="baseline"/>
                      <w:lang w:val="en-US" w:eastAsia="zh-CN" w:bidi="ar"/>
                    </w:rPr>
                    <w:t>结构</w:t>
                  </w:r>
                  <w:r>
                    <w:rPr>
                      <w:rFonts w:hint="eastAsia" w:ascii="Times New Roman" w:hAnsi="Times New Roman" w:eastAsia="宋体" w:cs="Times New Roman"/>
                      <w:b w:val="0"/>
                      <w:bCs w:val="0"/>
                      <w:color w:val="auto"/>
                      <w:kern w:val="0"/>
                      <w:sz w:val="21"/>
                      <w:szCs w:val="21"/>
                      <w:highlight w:val="none"/>
                      <w:vertAlign w:val="baseline"/>
                      <w:lang w:val="en-US" w:eastAsia="zh-CN" w:bidi="ar"/>
                    </w:rPr>
                    <w:t>，设置自动感应门</w:t>
                  </w:r>
                </w:p>
              </w:tc>
            </w:tr>
            <w:tr w14:paraId="3B662AE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75" w:type="pct"/>
                  <w:tcBorders>
                    <w:tl2br w:val="nil"/>
                    <w:tr2bl w:val="nil"/>
                  </w:tcBorders>
                  <w:noWrap w:val="0"/>
                  <w:vAlign w:val="center"/>
                </w:tcPr>
                <w:p w14:paraId="4712B62D">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kern w:val="2"/>
                      <w:sz w:val="21"/>
                      <w:szCs w:val="21"/>
                      <w:lang w:val="en-US" w:eastAsia="zh-CN" w:bidi="ar-SA"/>
                    </w:rPr>
                    <w:t>2</w:t>
                  </w:r>
                </w:p>
              </w:tc>
              <w:tc>
                <w:tcPr>
                  <w:tcW w:w="776" w:type="pct"/>
                  <w:tcBorders>
                    <w:tl2br w:val="nil"/>
                    <w:tr2bl w:val="nil"/>
                  </w:tcBorders>
                  <w:noWrap w:val="0"/>
                  <w:vAlign w:val="center"/>
                </w:tcPr>
                <w:p w14:paraId="13884BB5">
                  <w:pPr>
                    <w:keepNext w:val="0"/>
                    <w:keepLines w:val="0"/>
                    <w:pageBreakBefore w:val="0"/>
                    <w:kinsoku/>
                    <w:wordWrap/>
                    <w:overflowPunct/>
                    <w:topLinePunct w:val="0"/>
                    <w:autoSpaceDE/>
                    <w:autoSpaceDN/>
                    <w:bidi w:val="0"/>
                    <w:adjustRightInd/>
                    <w:snapToGrid/>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lang w:val="en-US" w:eastAsia="zh-CN"/>
                    </w:rPr>
                    <w:t>2#库房</w:t>
                  </w:r>
                </w:p>
              </w:tc>
              <w:tc>
                <w:tcPr>
                  <w:tcW w:w="723" w:type="pct"/>
                  <w:tcBorders>
                    <w:tl2br w:val="nil"/>
                    <w:tr2bl w:val="nil"/>
                  </w:tcBorders>
                  <w:noWrap w:val="0"/>
                  <w:vAlign w:val="center"/>
                </w:tcPr>
                <w:p w14:paraId="45953A72">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23967.9</w:t>
                  </w:r>
                </w:p>
              </w:tc>
              <w:tc>
                <w:tcPr>
                  <w:tcW w:w="772" w:type="pct"/>
                  <w:tcBorders>
                    <w:tl2br w:val="nil"/>
                    <w:tr2bl w:val="nil"/>
                  </w:tcBorders>
                  <w:noWrap w:val="0"/>
                  <w:vAlign w:val="center"/>
                </w:tcPr>
                <w:p w14:paraId="6B240BBF">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23967.9m</w:t>
                  </w:r>
                  <w:r>
                    <w:rPr>
                      <w:rFonts w:hint="default" w:ascii="Times New Roman" w:hAnsi="Times New Roman" w:cs="Times New Roman"/>
                      <w:b w:val="0"/>
                      <w:bCs w:val="0"/>
                      <w:color w:val="auto"/>
                      <w:kern w:val="0"/>
                      <w:sz w:val="21"/>
                      <w:szCs w:val="21"/>
                      <w:highlight w:val="none"/>
                      <w:vertAlign w:val="superscript"/>
                      <w:lang w:val="en-US" w:eastAsia="zh-CN" w:bidi="ar"/>
                    </w:rPr>
                    <w:t>2</w:t>
                  </w:r>
                </w:p>
              </w:tc>
              <w:tc>
                <w:tcPr>
                  <w:tcW w:w="467" w:type="pct"/>
                  <w:tcBorders>
                    <w:tl2br w:val="nil"/>
                    <w:tr2bl w:val="nil"/>
                  </w:tcBorders>
                  <w:noWrap w:val="0"/>
                  <w:vAlign w:val="center"/>
                </w:tcPr>
                <w:p w14:paraId="7287D8B5">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1F</w:t>
                  </w:r>
                </w:p>
              </w:tc>
              <w:tc>
                <w:tcPr>
                  <w:tcW w:w="547" w:type="pct"/>
                  <w:tcBorders>
                    <w:tl2br w:val="nil"/>
                    <w:tr2bl w:val="nil"/>
                  </w:tcBorders>
                  <w:noWrap w:val="0"/>
                  <w:vAlign w:val="center"/>
                </w:tcPr>
                <w:p w14:paraId="018503CF">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10.70</w:t>
                  </w:r>
                </w:p>
              </w:tc>
              <w:tc>
                <w:tcPr>
                  <w:tcW w:w="937" w:type="pct"/>
                  <w:tcBorders>
                    <w:tl2br w:val="nil"/>
                    <w:tr2bl w:val="nil"/>
                  </w:tcBorders>
                  <w:noWrap w:val="0"/>
                  <w:vAlign w:val="center"/>
                </w:tcPr>
                <w:p w14:paraId="0C584767">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单层</w:t>
                  </w:r>
                  <w:r>
                    <w:rPr>
                      <w:rFonts w:hint="default" w:ascii="Times New Roman" w:hAnsi="Times New Roman" w:cs="Times New Roman"/>
                      <w:b w:val="0"/>
                      <w:bCs w:val="0"/>
                      <w:i w:val="0"/>
                      <w:iCs w:val="0"/>
                      <w:color w:val="auto"/>
                      <w:kern w:val="0"/>
                      <w:sz w:val="21"/>
                      <w:szCs w:val="21"/>
                      <w:u w:val="none"/>
                      <w:lang w:val="en-US" w:eastAsia="zh-CN" w:bidi="ar"/>
                    </w:rPr>
                    <w:t>门式</w:t>
                  </w:r>
                  <w:r>
                    <w:rPr>
                      <w:rFonts w:hint="eastAsia" w:cs="Times New Roman"/>
                      <w:b w:val="0"/>
                      <w:bCs w:val="0"/>
                      <w:i w:val="0"/>
                      <w:iCs w:val="0"/>
                      <w:color w:val="auto"/>
                      <w:kern w:val="0"/>
                      <w:sz w:val="21"/>
                      <w:szCs w:val="21"/>
                      <w:u w:val="none"/>
                      <w:lang w:val="en-US" w:eastAsia="zh-CN" w:bidi="ar"/>
                    </w:rPr>
                    <w:t>钢架</w:t>
                  </w:r>
                  <w:r>
                    <w:rPr>
                      <w:rFonts w:hint="default" w:ascii="Times New Roman" w:hAnsi="Times New Roman" w:cs="Times New Roman"/>
                      <w:b w:val="0"/>
                      <w:bCs w:val="0"/>
                      <w:i w:val="0"/>
                      <w:iCs w:val="0"/>
                      <w:color w:val="auto"/>
                      <w:kern w:val="0"/>
                      <w:sz w:val="21"/>
                      <w:szCs w:val="21"/>
                      <w:u w:val="none"/>
                      <w:lang w:val="en-US" w:eastAsia="zh-CN" w:bidi="ar"/>
                    </w:rPr>
                    <w:t>结构</w:t>
                  </w:r>
                </w:p>
              </w:tc>
            </w:tr>
            <w:tr w14:paraId="36F6C47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75" w:type="pct"/>
                  <w:tcBorders>
                    <w:tl2br w:val="nil"/>
                    <w:tr2bl w:val="nil"/>
                  </w:tcBorders>
                  <w:noWrap w:val="0"/>
                  <w:vAlign w:val="center"/>
                </w:tcPr>
                <w:p w14:paraId="10623447">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kern w:val="2"/>
                      <w:sz w:val="21"/>
                      <w:szCs w:val="21"/>
                      <w:lang w:val="en-US" w:eastAsia="zh-CN" w:bidi="ar-SA"/>
                    </w:rPr>
                    <w:t>3</w:t>
                  </w:r>
                </w:p>
              </w:tc>
              <w:tc>
                <w:tcPr>
                  <w:tcW w:w="776" w:type="pct"/>
                  <w:tcBorders>
                    <w:tl2br w:val="nil"/>
                    <w:tr2bl w:val="nil"/>
                  </w:tcBorders>
                  <w:noWrap w:val="0"/>
                  <w:vAlign w:val="center"/>
                </w:tcPr>
                <w:p w14:paraId="5F795013">
                  <w:pPr>
                    <w:keepNext w:val="0"/>
                    <w:keepLines w:val="0"/>
                    <w:pageBreakBefore w:val="0"/>
                    <w:kinsoku/>
                    <w:wordWrap/>
                    <w:overflowPunct/>
                    <w:topLinePunct w:val="0"/>
                    <w:autoSpaceDE/>
                    <w:autoSpaceDN/>
                    <w:bidi w:val="0"/>
                    <w:adjustRightInd/>
                    <w:snapToGrid/>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lang w:val="en-US" w:eastAsia="zh-CN"/>
                    </w:rPr>
                    <w:t>3#库房</w:t>
                  </w:r>
                </w:p>
              </w:tc>
              <w:tc>
                <w:tcPr>
                  <w:tcW w:w="723" w:type="pct"/>
                  <w:tcBorders>
                    <w:tl2br w:val="nil"/>
                    <w:tr2bl w:val="nil"/>
                  </w:tcBorders>
                  <w:noWrap w:val="0"/>
                  <w:vAlign w:val="center"/>
                </w:tcPr>
                <w:p w14:paraId="2DE9E842">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23967.9</w:t>
                  </w:r>
                </w:p>
              </w:tc>
              <w:tc>
                <w:tcPr>
                  <w:tcW w:w="772" w:type="pct"/>
                  <w:tcBorders>
                    <w:tl2br w:val="nil"/>
                    <w:tr2bl w:val="nil"/>
                  </w:tcBorders>
                  <w:noWrap w:val="0"/>
                  <w:vAlign w:val="center"/>
                </w:tcPr>
                <w:p w14:paraId="69D05A76">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23967.9m</w:t>
                  </w:r>
                  <w:r>
                    <w:rPr>
                      <w:rFonts w:hint="default" w:ascii="Times New Roman" w:hAnsi="Times New Roman" w:cs="Times New Roman"/>
                      <w:b w:val="0"/>
                      <w:bCs w:val="0"/>
                      <w:color w:val="auto"/>
                      <w:kern w:val="0"/>
                      <w:sz w:val="21"/>
                      <w:szCs w:val="21"/>
                      <w:highlight w:val="none"/>
                      <w:vertAlign w:val="superscript"/>
                      <w:lang w:val="en-US" w:eastAsia="zh-CN" w:bidi="ar"/>
                    </w:rPr>
                    <w:t>2</w:t>
                  </w:r>
                </w:p>
              </w:tc>
              <w:tc>
                <w:tcPr>
                  <w:tcW w:w="467" w:type="pct"/>
                  <w:tcBorders>
                    <w:tl2br w:val="nil"/>
                    <w:tr2bl w:val="nil"/>
                  </w:tcBorders>
                  <w:noWrap w:val="0"/>
                  <w:vAlign w:val="center"/>
                </w:tcPr>
                <w:p w14:paraId="5F5E1C0B">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1F</w:t>
                  </w:r>
                </w:p>
              </w:tc>
              <w:tc>
                <w:tcPr>
                  <w:tcW w:w="547" w:type="pct"/>
                  <w:tcBorders>
                    <w:tl2br w:val="nil"/>
                    <w:tr2bl w:val="nil"/>
                  </w:tcBorders>
                  <w:noWrap w:val="0"/>
                  <w:vAlign w:val="center"/>
                </w:tcPr>
                <w:p w14:paraId="6FF6D8AE">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10.70</w:t>
                  </w:r>
                </w:p>
              </w:tc>
              <w:tc>
                <w:tcPr>
                  <w:tcW w:w="937" w:type="pct"/>
                  <w:tcBorders>
                    <w:tl2br w:val="nil"/>
                    <w:tr2bl w:val="nil"/>
                  </w:tcBorders>
                  <w:noWrap w:val="0"/>
                  <w:vAlign w:val="center"/>
                </w:tcPr>
                <w:p w14:paraId="1A5D8FDB">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单层</w:t>
                  </w:r>
                  <w:r>
                    <w:rPr>
                      <w:rFonts w:hint="default" w:ascii="Times New Roman" w:hAnsi="Times New Roman" w:cs="Times New Roman"/>
                      <w:b w:val="0"/>
                      <w:bCs w:val="0"/>
                      <w:i w:val="0"/>
                      <w:iCs w:val="0"/>
                      <w:color w:val="auto"/>
                      <w:kern w:val="0"/>
                      <w:sz w:val="21"/>
                      <w:szCs w:val="21"/>
                      <w:u w:val="none"/>
                      <w:lang w:val="en-US" w:eastAsia="zh-CN" w:bidi="ar"/>
                    </w:rPr>
                    <w:t>门式</w:t>
                  </w:r>
                  <w:r>
                    <w:rPr>
                      <w:rFonts w:hint="eastAsia" w:cs="Times New Roman"/>
                      <w:b w:val="0"/>
                      <w:bCs w:val="0"/>
                      <w:i w:val="0"/>
                      <w:iCs w:val="0"/>
                      <w:color w:val="auto"/>
                      <w:kern w:val="0"/>
                      <w:sz w:val="21"/>
                      <w:szCs w:val="21"/>
                      <w:u w:val="none"/>
                      <w:lang w:val="en-US" w:eastAsia="zh-CN" w:bidi="ar"/>
                    </w:rPr>
                    <w:t>钢架</w:t>
                  </w:r>
                  <w:r>
                    <w:rPr>
                      <w:rFonts w:hint="default" w:ascii="Times New Roman" w:hAnsi="Times New Roman" w:cs="Times New Roman"/>
                      <w:b w:val="0"/>
                      <w:bCs w:val="0"/>
                      <w:i w:val="0"/>
                      <w:iCs w:val="0"/>
                      <w:color w:val="auto"/>
                      <w:kern w:val="0"/>
                      <w:sz w:val="21"/>
                      <w:szCs w:val="21"/>
                      <w:u w:val="none"/>
                      <w:lang w:val="en-US" w:eastAsia="zh-CN" w:bidi="ar"/>
                    </w:rPr>
                    <w:t>结构</w:t>
                  </w:r>
                </w:p>
              </w:tc>
            </w:tr>
            <w:tr w14:paraId="3DCDAF7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75" w:type="pct"/>
                  <w:tcBorders>
                    <w:tl2br w:val="nil"/>
                    <w:tr2bl w:val="nil"/>
                  </w:tcBorders>
                  <w:noWrap w:val="0"/>
                  <w:vAlign w:val="center"/>
                </w:tcPr>
                <w:p w14:paraId="344B2714">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kern w:val="2"/>
                      <w:sz w:val="21"/>
                      <w:szCs w:val="21"/>
                      <w:lang w:val="en-US" w:eastAsia="zh-CN" w:bidi="ar-SA"/>
                    </w:rPr>
                    <w:t>4</w:t>
                  </w:r>
                </w:p>
              </w:tc>
              <w:tc>
                <w:tcPr>
                  <w:tcW w:w="776" w:type="pct"/>
                  <w:tcBorders>
                    <w:tl2br w:val="nil"/>
                    <w:tr2bl w:val="nil"/>
                  </w:tcBorders>
                  <w:noWrap w:val="0"/>
                  <w:vAlign w:val="center"/>
                </w:tcPr>
                <w:p w14:paraId="72B42EAE">
                  <w:pPr>
                    <w:keepNext w:val="0"/>
                    <w:keepLines w:val="0"/>
                    <w:pageBreakBefore w:val="0"/>
                    <w:kinsoku/>
                    <w:wordWrap/>
                    <w:overflowPunct/>
                    <w:topLinePunct w:val="0"/>
                    <w:autoSpaceDE/>
                    <w:autoSpaceDN/>
                    <w:bidi w:val="0"/>
                    <w:adjustRightInd/>
                    <w:snapToGrid/>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lang w:val="en-US" w:eastAsia="zh-CN"/>
                    </w:rPr>
                    <w:t>4#库房</w:t>
                  </w:r>
                </w:p>
              </w:tc>
              <w:tc>
                <w:tcPr>
                  <w:tcW w:w="723" w:type="pct"/>
                  <w:tcBorders>
                    <w:tl2br w:val="nil"/>
                    <w:tr2bl w:val="nil"/>
                  </w:tcBorders>
                  <w:noWrap w:val="0"/>
                  <w:vAlign w:val="center"/>
                </w:tcPr>
                <w:p w14:paraId="4E63932F">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23967.9</w:t>
                  </w:r>
                </w:p>
              </w:tc>
              <w:tc>
                <w:tcPr>
                  <w:tcW w:w="772" w:type="pct"/>
                  <w:tcBorders>
                    <w:tl2br w:val="nil"/>
                    <w:tr2bl w:val="nil"/>
                  </w:tcBorders>
                  <w:noWrap w:val="0"/>
                  <w:vAlign w:val="center"/>
                </w:tcPr>
                <w:p w14:paraId="367E240C">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23967.9m</w:t>
                  </w:r>
                  <w:r>
                    <w:rPr>
                      <w:rFonts w:hint="default" w:ascii="Times New Roman" w:hAnsi="Times New Roman" w:cs="Times New Roman"/>
                      <w:b w:val="0"/>
                      <w:bCs w:val="0"/>
                      <w:color w:val="auto"/>
                      <w:kern w:val="0"/>
                      <w:sz w:val="21"/>
                      <w:szCs w:val="21"/>
                      <w:highlight w:val="none"/>
                      <w:vertAlign w:val="superscript"/>
                      <w:lang w:val="en-US" w:eastAsia="zh-CN" w:bidi="ar"/>
                    </w:rPr>
                    <w:t>2</w:t>
                  </w:r>
                </w:p>
              </w:tc>
              <w:tc>
                <w:tcPr>
                  <w:tcW w:w="467" w:type="pct"/>
                  <w:tcBorders>
                    <w:tl2br w:val="nil"/>
                    <w:tr2bl w:val="nil"/>
                  </w:tcBorders>
                  <w:noWrap w:val="0"/>
                  <w:vAlign w:val="center"/>
                </w:tcPr>
                <w:p w14:paraId="36162C98">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1F</w:t>
                  </w:r>
                </w:p>
              </w:tc>
              <w:tc>
                <w:tcPr>
                  <w:tcW w:w="547" w:type="pct"/>
                  <w:tcBorders>
                    <w:tl2br w:val="nil"/>
                    <w:tr2bl w:val="nil"/>
                  </w:tcBorders>
                  <w:noWrap w:val="0"/>
                  <w:vAlign w:val="center"/>
                </w:tcPr>
                <w:p w14:paraId="6530F539">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10.70</w:t>
                  </w:r>
                </w:p>
              </w:tc>
              <w:tc>
                <w:tcPr>
                  <w:tcW w:w="937" w:type="pct"/>
                  <w:tcBorders>
                    <w:tl2br w:val="nil"/>
                    <w:tr2bl w:val="nil"/>
                  </w:tcBorders>
                  <w:noWrap w:val="0"/>
                  <w:vAlign w:val="center"/>
                </w:tcPr>
                <w:p w14:paraId="08EA1134">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单层</w:t>
                  </w:r>
                  <w:r>
                    <w:rPr>
                      <w:rFonts w:hint="default" w:ascii="Times New Roman" w:hAnsi="Times New Roman" w:cs="Times New Roman"/>
                      <w:b w:val="0"/>
                      <w:bCs w:val="0"/>
                      <w:i w:val="0"/>
                      <w:iCs w:val="0"/>
                      <w:color w:val="auto"/>
                      <w:kern w:val="0"/>
                      <w:sz w:val="21"/>
                      <w:szCs w:val="21"/>
                      <w:u w:val="none"/>
                      <w:lang w:val="en-US" w:eastAsia="zh-CN" w:bidi="ar"/>
                    </w:rPr>
                    <w:t>门式</w:t>
                  </w:r>
                  <w:r>
                    <w:rPr>
                      <w:rFonts w:hint="eastAsia" w:cs="Times New Roman"/>
                      <w:b w:val="0"/>
                      <w:bCs w:val="0"/>
                      <w:i w:val="0"/>
                      <w:iCs w:val="0"/>
                      <w:color w:val="auto"/>
                      <w:kern w:val="0"/>
                      <w:sz w:val="21"/>
                      <w:szCs w:val="21"/>
                      <w:u w:val="none"/>
                      <w:lang w:val="en-US" w:eastAsia="zh-CN" w:bidi="ar"/>
                    </w:rPr>
                    <w:t>钢架</w:t>
                  </w:r>
                  <w:r>
                    <w:rPr>
                      <w:rFonts w:hint="default" w:ascii="Times New Roman" w:hAnsi="Times New Roman" w:cs="Times New Roman"/>
                      <w:b w:val="0"/>
                      <w:bCs w:val="0"/>
                      <w:i w:val="0"/>
                      <w:iCs w:val="0"/>
                      <w:color w:val="auto"/>
                      <w:kern w:val="0"/>
                      <w:sz w:val="21"/>
                      <w:szCs w:val="21"/>
                      <w:u w:val="none"/>
                      <w:lang w:val="en-US" w:eastAsia="zh-CN" w:bidi="ar"/>
                    </w:rPr>
                    <w:t>结构</w:t>
                  </w:r>
                </w:p>
              </w:tc>
            </w:tr>
            <w:tr w14:paraId="788BD79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75" w:type="pct"/>
                  <w:tcBorders>
                    <w:tl2br w:val="nil"/>
                    <w:tr2bl w:val="nil"/>
                  </w:tcBorders>
                  <w:noWrap w:val="0"/>
                  <w:vAlign w:val="center"/>
                </w:tcPr>
                <w:p w14:paraId="6E6F651E">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kern w:val="2"/>
                      <w:sz w:val="21"/>
                      <w:szCs w:val="21"/>
                      <w:lang w:val="en-US" w:eastAsia="zh-CN" w:bidi="ar-SA"/>
                    </w:rPr>
                    <w:t>5</w:t>
                  </w:r>
                </w:p>
              </w:tc>
              <w:tc>
                <w:tcPr>
                  <w:tcW w:w="776" w:type="pct"/>
                  <w:tcBorders>
                    <w:tl2br w:val="nil"/>
                    <w:tr2bl w:val="nil"/>
                  </w:tcBorders>
                  <w:noWrap w:val="0"/>
                  <w:vAlign w:val="center"/>
                </w:tcPr>
                <w:p w14:paraId="204F9AC7">
                  <w:pPr>
                    <w:keepNext w:val="0"/>
                    <w:keepLines w:val="0"/>
                    <w:pageBreakBefore w:val="0"/>
                    <w:kinsoku/>
                    <w:wordWrap/>
                    <w:overflowPunct/>
                    <w:topLinePunct w:val="0"/>
                    <w:autoSpaceDE/>
                    <w:autoSpaceDN/>
                    <w:bidi w:val="0"/>
                    <w:adjustRightInd/>
                    <w:snapToGrid/>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lang w:val="en-US" w:eastAsia="zh-CN"/>
                    </w:rPr>
                    <w:t>5#库房</w:t>
                  </w:r>
                </w:p>
              </w:tc>
              <w:tc>
                <w:tcPr>
                  <w:tcW w:w="723" w:type="pct"/>
                  <w:tcBorders>
                    <w:tl2br w:val="nil"/>
                    <w:tr2bl w:val="nil"/>
                  </w:tcBorders>
                  <w:noWrap w:val="0"/>
                  <w:vAlign w:val="center"/>
                </w:tcPr>
                <w:p w14:paraId="4A86987E">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23967.9</w:t>
                  </w:r>
                </w:p>
              </w:tc>
              <w:tc>
                <w:tcPr>
                  <w:tcW w:w="772" w:type="pct"/>
                  <w:tcBorders>
                    <w:tl2br w:val="nil"/>
                    <w:tr2bl w:val="nil"/>
                  </w:tcBorders>
                  <w:noWrap w:val="0"/>
                  <w:vAlign w:val="center"/>
                </w:tcPr>
                <w:p w14:paraId="15D3BD9F">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23967.9m</w:t>
                  </w:r>
                  <w:r>
                    <w:rPr>
                      <w:rFonts w:hint="default" w:ascii="Times New Roman" w:hAnsi="Times New Roman" w:cs="Times New Roman"/>
                      <w:b w:val="0"/>
                      <w:bCs w:val="0"/>
                      <w:color w:val="auto"/>
                      <w:kern w:val="0"/>
                      <w:sz w:val="21"/>
                      <w:szCs w:val="21"/>
                      <w:highlight w:val="none"/>
                      <w:vertAlign w:val="superscript"/>
                      <w:lang w:val="en-US" w:eastAsia="zh-CN" w:bidi="ar"/>
                    </w:rPr>
                    <w:t>2</w:t>
                  </w:r>
                </w:p>
              </w:tc>
              <w:tc>
                <w:tcPr>
                  <w:tcW w:w="467" w:type="pct"/>
                  <w:tcBorders>
                    <w:tl2br w:val="nil"/>
                    <w:tr2bl w:val="nil"/>
                  </w:tcBorders>
                  <w:noWrap w:val="0"/>
                  <w:vAlign w:val="center"/>
                </w:tcPr>
                <w:p w14:paraId="4C530B69">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1F</w:t>
                  </w:r>
                </w:p>
              </w:tc>
              <w:tc>
                <w:tcPr>
                  <w:tcW w:w="547" w:type="pct"/>
                  <w:tcBorders>
                    <w:tl2br w:val="nil"/>
                    <w:tr2bl w:val="nil"/>
                  </w:tcBorders>
                  <w:noWrap w:val="0"/>
                  <w:vAlign w:val="center"/>
                </w:tcPr>
                <w:p w14:paraId="57F8F175">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10.70</w:t>
                  </w:r>
                </w:p>
              </w:tc>
              <w:tc>
                <w:tcPr>
                  <w:tcW w:w="937" w:type="pct"/>
                  <w:tcBorders>
                    <w:tl2br w:val="nil"/>
                    <w:tr2bl w:val="nil"/>
                  </w:tcBorders>
                  <w:noWrap w:val="0"/>
                  <w:vAlign w:val="center"/>
                </w:tcPr>
                <w:p w14:paraId="29930E4F">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单层</w:t>
                  </w:r>
                  <w:r>
                    <w:rPr>
                      <w:rFonts w:hint="default" w:ascii="Times New Roman" w:hAnsi="Times New Roman" w:cs="Times New Roman"/>
                      <w:b w:val="0"/>
                      <w:bCs w:val="0"/>
                      <w:i w:val="0"/>
                      <w:iCs w:val="0"/>
                      <w:color w:val="auto"/>
                      <w:kern w:val="0"/>
                      <w:sz w:val="21"/>
                      <w:szCs w:val="21"/>
                      <w:u w:val="none"/>
                      <w:lang w:val="en-US" w:eastAsia="zh-CN" w:bidi="ar"/>
                    </w:rPr>
                    <w:t>门式</w:t>
                  </w:r>
                  <w:r>
                    <w:rPr>
                      <w:rFonts w:hint="eastAsia" w:cs="Times New Roman"/>
                      <w:b w:val="0"/>
                      <w:bCs w:val="0"/>
                      <w:i w:val="0"/>
                      <w:iCs w:val="0"/>
                      <w:color w:val="auto"/>
                      <w:kern w:val="0"/>
                      <w:sz w:val="21"/>
                      <w:szCs w:val="21"/>
                      <w:u w:val="none"/>
                      <w:lang w:val="en-US" w:eastAsia="zh-CN" w:bidi="ar"/>
                    </w:rPr>
                    <w:t>钢架</w:t>
                  </w:r>
                  <w:r>
                    <w:rPr>
                      <w:rFonts w:hint="default" w:ascii="Times New Roman" w:hAnsi="Times New Roman" w:cs="Times New Roman"/>
                      <w:b w:val="0"/>
                      <w:bCs w:val="0"/>
                      <w:i w:val="0"/>
                      <w:iCs w:val="0"/>
                      <w:color w:val="auto"/>
                      <w:kern w:val="0"/>
                      <w:sz w:val="21"/>
                      <w:szCs w:val="21"/>
                      <w:u w:val="none"/>
                      <w:lang w:val="en-US" w:eastAsia="zh-CN" w:bidi="ar"/>
                    </w:rPr>
                    <w:t>结构</w:t>
                  </w:r>
                </w:p>
              </w:tc>
            </w:tr>
            <w:tr w14:paraId="4FD1C09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75" w:type="pct"/>
                  <w:tcBorders>
                    <w:tl2br w:val="nil"/>
                    <w:tr2bl w:val="nil"/>
                  </w:tcBorders>
                  <w:noWrap w:val="0"/>
                  <w:vAlign w:val="center"/>
                </w:tcPr>
                <w:p w14:paraId="5910F0F1">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default" w:ascii="Times New Roman" w:hAnsi="Times New Roman" w:cs="Times New Roman"/>
                      <w:sz w:val="21"/>
                      <w:szCs w:val="21"/>
                      <w:highlight w:val="none"/>
                      <w:lang w:val="en-US" w:eastAsia="zh-CN"/>
                    </w:rPr>
                  </w:pPr>
                  <w:r>
                    <w:rPr>
                      <w:rFonts w:hint="default" w:ascii="Times New Roman" w:hAnsi="Times New Roman" w:eastAsia="宋体" w:cs="Times New Roman"/>
                      <w:kern w:val="2"/>
                      <w:sz w:val="21"/>
                      <w:szCs w:val="21"/>
                      <w:lang w:val="en-US" w:eastAsia="zh-CN" w:bidi="ar-SA"/>
                    </w:rPr>
                    <w:t>6</w:t>
                  </w:r>
                </w:p>
              </w:tc>
              <w:tc>
                <w:tcPr>
                  <w:tcW w:w="776" w:type="pct"/>
                  <w:tcBorders>
                    <w:tl2br w:val="nil"/>
                    <w:tr2bl w:val="nil"/>
                  </w:tcBorders>
                  <w:noWrap w:val="0"/>
                  <w:vAlign w:val="center"/>
                </w:tcPr>
                <w:p w14:paraId="2478147B">
                  <w:pPr>
                    <w:keepNext w:val="0"/>
                    <w:keepLines w:val="0"/>
                    <w:pageBreakBefore w:val="0"/>
                    <w:kinsoku/>
                    <w:wordWrap/>
                    <w:overflowPunct/>
                    <w:topLinePunct w:val="0"/>
                    <w:autoSpaceDE/>
                    <w:autoSpaceDN/>
                    <w:bidi w:val="0"/>
                    <w:adjustRightInd/>
                    <w:snapToGrid/>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cs="Times New Roman"/>
                      <w:sz w:val="21"/>
                      <w:szCs w:val="21"/>
                      <w:highlight w:val="none"/>
                      <w:lang w:val="en-US" w:eastAsia="zh-CN"/>
                    </w:rPr>
                    <w:t>办公楼</w:t>
                  </w:r>
                </w:p>
              </w:tc>
              <w:tc>
                <w:tcPr>
                  <w:tcW w:w="723" w:type="pct"/>
                  <w:tcBorders>
                    <w:tl2br w:val="nil"/>
                    <w:tr2bl w:val="nil"/>
                  </w:tcBorders>
                  <w:noWrap w:val="0"/>
                  <w:vAlign w:val="center"/>
                </w:tcPr>
                <w:p w14:paraId="1D414555">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1048.14</w:t>
                  </w:r>
                </w:p>
              </w:tc>
              <w:tc>
                <w:tcPr>
                  <w:tcW w:w="772" w:type="pct"/>
                  <w:tcBorders>
                    <w:tl2br w:val="nil"/>
                    <w:tr2bl w:val="nil"/>
                  </w:tcBorders>
                  <w:noWrap w:val="0"/>
                  <w:vAlign w:val="center"/>
                </w:tcPr>
                <w:p w14:paraId="7FB4E8B5">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5428.62m</w:t>
                  </w:r>
                  <w:r>
                    <w:rPr>
                      <w:rFonts w:hint="default" w:ascii="Times New Roman" w:hAnsi="Times New Roman" w:cs="Times New Roman"/>
                      <w:b w:val="0"/>
                      <w:bCs w:val="0"/>
                      <w:color w:val="auto"/>
                      <w:kern w:val="0"/>
                      <w:sz w:val="21"/>
                      <w:szCs w:val="21"/>
                      <w:highlight w:val="none"/>
                      <w:vertAlign w:val="superscript"/>
                      <w:lang w:val="en-US" w:eastAsia="zh-CN" w:bidi="ar"/>
                    </w:rPr>
                    <w:t>2</w:t>
                  </w:r>
                </w:p>
              </w:tc>
              <w:tc>
                <w:tcPr>
                  <w:tcW w:w="467" w:type="pct"/>
                  <w:tcBorders>
                    <w:tl2br w:val="nil"/>
                    <w:tr2bl w:val="nil"/>
                  </w:tcBorders>
                  <w:noWrap w:val="0"/>
                  <w:vAlign w:val="center"/>
                </w:tcPr>
                <w:p w14:paraId="22A71A95">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5F</w:t>
                  </w:r>
                </w:p>
              </w:tc>
              <w:tc>
                <w:tcPr>
                  <w:tcW w:w="547" w:type="pct"/>
                  <w:tcBorders>
                    <w:tl2br w:val="nil"/>
                    <w:tr2bl w:val="nil"/>
                  </w:tcBorders>
                  <w:noWrap w:val="0"/>
                  <w:vAlign w:val="center"/>
                </w:tcPr>
                <w:p w14:paraId="246661C6">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21.75</w:t>
                  </w:r>
                </w:p>
              </w:tc>
              <w:tc>
                <w:tcPr>
                  <w:tcW w:w="937" w:type="pct"/>
                  <w:tcBorders>
                    <w:tl2br w:val="nil"/>
                    <w:tr2bl w:val="nil"/>
                  </w:tcBorders>
                  <w:noWrap w:val="0"/>
                  <w:vAlign w:val="center"/>
                </w:tcPr>
                <w:p w14:paraId="5F298974">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钢筋混凝土</w:t>
                  </w:r>
                  <w:r>
                    <w:rPr>
                      <w:rFonts w:hint="default" w:ascii="Times New Roman" w:hAnsi="Times New Roman" w:eastAsia="宋体" w:cs="Times New Roman"/>
                      <w:b w:val="0"/>
                      <w:bCs w:val="0"/>
                      <w:i w:val="0"/>
                      <w:iCs w:val="0"/>
                      <w:color w:val="auto"/>
                      <w:kern w:val="0"/>
                      <w:sz w:val="21"/>
                      <w:szCs w:val="21"/>
                      <w:u w:val="none"/>
                      <w:lang w:val="en-US" w:eastAsia="zh-CN" w:bidi="ar"/>
                    </w:rPr>
                    <w:t>框架结构</w:t>
                  </w:r>
                </w:p>
              </w:tc>
            </w:tr>
            <w:tr w14:paraId="4402B54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75" w:type="pct"/>
                  <w:tcBorders>
                    <w:tl2br w:val="nil"/>
                    <w:tr2bl w:val="nil"/>
                  </w:tcBorders>
                  <w:noWrap w:val="0"/>
                  <w:vAlign w:val="center"/>
                </w:tcPr>
                <w:p w14:paraId="1D9AC579">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default" w:ascii="Times New Roman" w:hAnsi="Times New Roman" w:cs="Times New Roman"/>
                      <w:sz w:val="21"/>
                      <w:szCs w:val="21"/>
                      <w:highlight w:val="none"/>
                      <w:lang w:val="en-US" w:eastAsia="zh-CN"/>
                    </w:rPr>
                  </w:pPr>
                  <w:r>
                    <w:rPr>
                      <w:rFonts w:hint="default" w:ascii="Times New Roman" w:hAnsi="Times New Roman" w:eastAsia="宋体" w:cs="Times New Roman"/>
                      <w:kern w:val="2"/>
                      <w:sz w:val="21"/>
                      <w:szCs w:val="21"/>
                      <w:lang w:val="en-US" w:eastAsia="zh-CN" w:bidi="ar-SA"/>
                    </w:rPr>
                    <w:t>7</w:t>
                  </w:r>
                </w:p>
              </w:tc>
              <w:tc>
                <w:tcPr>
                  <w:tcW w:w="776" w:type="pct"/>
                  <w:tcBorders>
                    <w:tl2br w:val="nil"/>
                    <w:tr2bl w:val="nil"/>
                  </w:tcBorders>
                  <w:noWrap w:val="0"/>
                  <w:vAlign w:val="center"/>
                </w:tcPr>
                <w:p w14:paraId="37001032">
                  <w:pPr>
                    <w:keepNext w:val="0"/>
                    <w:keepLines w:val="0"/>
                    <w:pageBreakBefore w:val="0"/>
                    <w:kinsoku/>
                    <w:wordWrap/>
                    <w:overflowPunct/>
                    <w:topLinePunct w:val="0"/>
                    <w:autoSpaceDE/>
                    <w:autoSpaceDN/>
                    <w:bidi w:val="0"/>
                    <w:adjustRightInd/>
                    <w:snapToGrid/>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综合楼</w:t>
                  </w:r>
                </w:p>
              </w:tc>
              <w:tc>
                <w:tcPr>
                  <w:tcW w:w="723" w:type="pct"/>
                  <w:tcBorders>
                    <w:tl2br w:val="nil"/>
                    <w:tr2bl w:val="nil"/>
                  </w:tcBorders>
                  <w:noWrap w:val="0"/>
                  <w:vAlign w:val="center"/>
                </w:tcPr>
                <w:p w14:paraId="2BDA176F">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1021.14</w:t>
                  </w:r>
                </w:p>
              </w:tc>
              <w:tc>
                <w:tcPr>
                  <w:tcW w:w="772" w:type="pct"/>
                  <w:tcBorders>
                    <w:tl2br w:val="nil"/>
                    <w:tr2bl w:val="nil"/>
                  </w:tcBorders>
                  <w:noWrap w:val="0"/>
                  <w:vAlign w:val="center"/>
                </w:tcPr>
                <w:p w14:paraId="761A3FC9">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5372.79m</w:t>
                  </w:r>
                  <w:r>
                    <w:rPr>
                      <w:rFonts w:hint="default" w:ascii="Times New Roman" w:hAnsi="Times New Roman" w:cs="Times New Roman"/>
                      <w:b w:val="0"/>
                      <w:bCs w:val="0"/>
                      <w:color w:val="auto"/>
                      <w:kern w:val="0"/>
                      <w:sz w:val="21"/>
                      <w:szCs w:val="21"/>
                      <w:highlight w:val="none"/>
                      <w:vertAlign w:val="superscript"/>
                      <w:lang w:val="en-US" w:eastAsia="zh-CN" w:bidi="ar"/>
                    </w:rPr>
                    <w:t>2</w:t>
                  </w:r>
                </w:p>
              </w:tc>
              <w:tc>
                <w:tcPr>
                  <w:tcW w:w="467" w:type="pct"/>
                  <w:tcBorders>
                    <w:tl2br w:val="nil"/>
                    <w:tr2bl w:val="nil"/>
                  </w:tcBorders>
                  <w:noWrap w:val="0"/>
                  <w:vAlign w:val="center"/>
                </w:tcPr>
                <w:p w14:paraId="1BBC3076">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5F</w:t>
                  </w:r>
                </w:p>
              </w:tc>
              <w:tc>
                <w:tcPr>
                  <w:tcW w:w="547" w:type="pct"/>
                  <w:tcBorders>
                    <w:tl2br w:val="nil"/>
                    <w:tr2bl w:val="nil"/>
                  </w:tcBorders>
                  <w:noWrap w:val="0"/>
                  <w:vAlign w:val="center"/>
                </w:tcPr>
                <w:p w14:paraId="0FFAC408">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21.75</w:t>
                  </w:r>
                </w:p>
              </w:tc>
              <w:tc>
                <w:tcPr>
                  <w:tcW w:w="937" w:type="pct"/>
                  <w:tcBorders>
                    <w:tl2br w:val="nil"/>
                    <w:tr2bl w:val="nil"/>
                  </w:tcBorders>
                  <w:noWrap w:val="0"/>
                  <w:vAlign w:val="center"/>
                </w:tcPr>
                <w:p w14:paraId="40507BC5">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钢筋混凝土</w:t>
                  </w:r>
                  <w:r>
                    <w:rPr>
                      <w:rFonts w:hint="default" w:ascii="Times New Roman" w:hAnsi="Times New Roman" w:eastAsia="宋体" w:cs="Times New Roman"/>
                      <w:b w:val="0"/>
                      <w:bCs w:val="0"/>
                      <w:i w:val="0"/>
                      <w:iCs w:val="0"/>
                      <w:color w:val="auto"/>
                      <w:kern w:val="0"/>
                      <w:sz w:val="21"/>
                      <w:szCs w:val="21"/>
                      <w:u w:val="none"/>
                      <w:lang w:val="en-US" w:eastAsia="zh-CN" w:bidi="ar"/>
                    </w:rPr>
                    <w:t>框架结构</w:t>
                  </w:r>
                </w:p>
              </w:tc>
            </w:tr>
            <w:tr w14:paraId="74CC7D5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75" w:type="pct"/>
                  <w:tcBorders>
                    <w:tl2br w:val="nil"/>
                    <w:tr2bl w:val="nil"/>
                  </w:tcBorders>
                  <w:noWrap w:val="0"/>
                  <w:vAlign w:val="center"/>
                </w:tcPr>
                <w:p w14:paraId="6EF208B8">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default" w:ascii="Times New Roman" w:hAnsi="Times New Roman" w:cs="Times New Roman"/>
                      <w:sz w:val="21"/>
                      <w:szCs w:val="21"/>
                      <w:highlight w:val="none"/>
                      <w:lang w:val="en-US" w:eastAsia="zh-CN"/>
                    </w:rPr>
                  </w:pPr>
                  <w:r>
                    <w:rPr>
                      <w:rFonts w:hint="default" w:ascii="Times New Roman" w:hAnsi="Times New Roman" w:eastAsia="宋体" w:cs="Times New Roman"/>
                      <w:kern w:val="2"/>
                      <w:sz w:val="21"/>
                      <w:szCs w:val="21"/>
                      <w:lang w:val="en-US" w:eastAsia="zh-CN" w:bidi="ar-SA"/>
                    </w:rPr>
                    <w:t>8</w:t>
                  </w:r>
                </w:p>
              </w:tc>
              <w:tc>
                <w:tcPr>
                  <w:tcW w:w="776" w:type="pct"/>
                  <w:tcBorders>
                    <w:tl2br w:val="nil"/>
                    <w:tr2bl w:val="nil"/>
                  </w:tcBorders>
                  <w:noWrap w:val="0"/>
                  <w:vAlign w:val="center"/>
                </w:tcPr>
                <w:p w14:paraId="106F68F9">
                  <w:pPr>
                    <w:keepNext w:val="0"/>
                    <w:keepLines w:val="0"/>
                    <w:pageBreakBefore w:val="0"/>
                    <w:kinsoku/>
                    <w:wordWrap/>
                    <w:overflowPunct/>
                    <w:topLinePunct w:val="0"/>
                    <w:autoSpaceDE/>
                    <w:autoSpaceDN/>
                    <w:bidi w:val="0"/>
                    <w:adjustRightInd/>
                    <w:snapToGrid/>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检测楼</w:t>
                  </w:r>
                </w:p>
              </w:tc>
              <w:tc>
                <w:tcPr>
                  <w:tcW w:w="723" w:type="pct"/>
                  <w:tcBorders>
                    <w:tl2br w:val="nil"/>
                    <w:tr2bl w:val="nil"/>
                  </w:tcBorders>
                  <w:noWrap w:val="0"/>
                  <w:vAlign w:val="center"/>
                </w:tcPr>
                <w:p w14:paraId="1D446C30">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869.55</w:t>
                  </w:r>
                </w:p>
              </w:tc>
              <w:tc>
                <w:tcPr>
                  <w:tcW w:w="772" w:type="pct"/>
                  <w:tcBorders>
                    <w:tl2br w:val="nil"/>
                    <w:tr2bl w:val="nil"/>
                  </w:tcBorders>
                  <w:noWrap w:val="0"/>
                  <w:vAlign w:val="center"/>
                </w:tcPr>
                <w:p w14:paraId="0A54CDA7">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1739.1m</w:t>
                  </w:r>
                  <w:r>
                    <w:rPr>
                      <w:rFonts w:hint="default" w:ascii="Times New Roman" w:hAnsi="Times New Roman" w:cs="Times New Roman"/>
                      <w:b w:val="0"/>
                      <w:bCs w:val="0"/>
                      <w:color w:val="auto"/>
                      <w:kern w:val="0"/>
                      <w:sz w:val="21"/>
                      <w:szCs w:val="21"/>
                      <w:highlight w:val="none"/>
                      <w:vertAlign w:val="superscript"/>
                      <w:lang w:val="en-US" w:eastAsia="zh-CN" w:bidi="ar"/>
                    </w:rPr>
                    <w:t>2</w:t>
                  </w:r>
                </w:p>
              </w:tc>
              <w:tc>
                <w:tcPr>
                  <w:tcW w:w="467" w:type="pct"/>
                  <w:tcBorders>
                    <w:tl2br w:val="nil"/>
                    <w:tr2bl w:val="nil"/>
                  </w:tcBorders>
                  <w:noWrap w:val="0"/>
                  <w:vAlign w:val="center"/>
                </w:tcPr>
                <w:p w14:paraId="074DB007">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2F</w:t>
                  </w:r>
                </w:p>
              </w:tc>
              <w:tc>
                <w:tcPr>
                  <w:tcW w:w="547" w:type="pct"/>
                  <w:tcBorders>
                    <w:tl2br w:val="nil"/>
                    <w:tr2bl w:val="nil"/>
                  </w:tcBorders>
                  <w:noWrap w:val="0"/>
                  <w:vAlign w:val="center"/>
                </w:tcPr>
                <w:p w14:paraId="5ADCF1CC">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9.05</w:t>
                  </w:r>
                </w:p>
              </w:tc>
              <w:tc>
                <w:tcPr>
                  <w:tcW w:w="937" w:type="pct"/>
                  <w:tcBorders>
                    <w:tl2br w:val="nil"/>
                    <w:tr2bl w:val="nil"/>
                  </w:tcBorders>
                  <w:noWrap w:val="0"/>
                  <w:vAlign w:val="center"/>
                </w:tcPr>
                <w:p w14:paraId="63F97508">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钢筋混凝土</w:t>
                  </w:r>
                  <w:r>
                    <w:rPr>
                      <w:rFonts w:hint="default" w:ascii="Times New Roman" w:hAnsi="Times New Roman" w:eastAsia="宋体" w:cs="Times New Roman"/>
                      <w:b w:val="0"/>
                      <w:bCs w:val="0"/>
                      <w:i w:val="0"/>
                      <w:iCs w:val="0"/>
                      <w:color w:val="auto"/>
                      <w:kern w:val="0"/>
                      <w:sz w:val="21"/>
                      <w:szCs w:val="21"/>
                      <w:u w:val="none"/>
                      <w:lang w:val="en-US" w:eastAsia="zh-CN" w:bidi="ar"/>
                    </w:rPr>
                    <w:t>框架结构</w:t>
                  </w:r>
                </w:p>
              </w:tc>
            </w:tr>
            <w:tr w14:paraId="05BD229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75" w:type="pct"/>
                  <w:tcBorders>
                    <w:tl2br w:val="nil"/>
                    <w:tr2bl w:val="nil"/>
                  </w:tcBorders>
                  <w:noWrap w:val="0"/>
                  <w:vAlign w:val="center"/>
                </w:tcPr>
                <w:p w14:paraId="46427BD2">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default" w:ascii="Times New Roman" w:hAnsi="Times New Roman" w:cs="Times New Roman"/>
                      <w:sz w:val="21"/>
                      <w:szCs w:val="21"/>
                      <w:highlight w:val="none"/>
                      <w:lang w:val="en-US" w:eastAsia="zh-CN"/>
                    </w:rPr>
                  </w:pPr>
                  <w:r>
                    <w:rPr>
                      <w:rFonts w:hint="default" w:ascii="Times New Roman" w:hAnsi="Times New Roman" w:eastAsia="宋体" w:cs="Times New Roman"/>
                      <w:kern w:val="2"/>
                      <w:sz w:val="21"/>
                      <w:szCs w:val="21"/>
                      <w:lang w:val="en-US" w:eastAsia="zh-CN" w:bidi="ar-SA"/>
                    </w:rPr>
                    <w:t>9</w:t>
                  </w:r>
                </w:p>
              </w:tc>
              <w:tc>
                <w:tcPr>
                  <w:tcW w:w="776" w:type="pct"/>
                  <w:tcBorders>
                    <w:tl2br w:val="nil"/>
                    <w:tr2bl w:val="nil"/>
                  </w:tcBorders>
                  <w:noWrap w:val="0"/>
                  <w:vAlign w:val="center"/>
                </w:tcPr>
                <w:p w14:paraId="42DE3941">
                  <w:pPr>
                    <w:keepNext w:val="0"/>
                    <w:keepLines w:val="0"/>
                    <w:pageBreakBefore w:val="0"/>
                    <w:kinsoku/>
                    <w:wordWrap/>
                    <w:overflowPunct/>
                    <w:topLinePunct w:val="0"/>
                    <w:autoSpaceDE/>
                    <w:autoSpaceDN/>
                    <w:bidi w:val="0"/>
                    <w:adjustRightInd/>
                    <w:snapToGrid/>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变电所</w:t>
                  </w:r>
                </w:p>
              </w:tc>
              <w:tc>
                <w:tcPr>
                  <w:tcW w:w="723" w:type="pct"/>
                  <w:tcBorders>
                    <w:tl2br w:val="nil"/>
                    <w:tr2bl w:val="nil"/>
                  </w:tcBorders>
                  <w:noWrap w:val="0"/>
                  <w:vAlign w:val="center"/>
                </w:tcPr>
                <w:p w14:paraId="003BBA60">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405.04</w:t>
                  </w:r>
                </w:p>
              </w:tc>
              <w:tc>
                <w:tcPr>
                  <w:tcW w:w="772" w:type="pct"/>
                  <w:tcBorders>
                    <w:tl2br w:val="nil"/>
                    <w:tr2bl w:val="nil"/>
                  </w:tcBorders>
                  <w:noWrap w:val="0"/>
                  <w:vAlign w:val="center"/>
                </w:tcPr>
                <w:p w14:paraId="5503A0B9">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405.04m</w:t>
                  </w:r>
                  <w:r>
                    <w:rPr>
                      <w:rFonts w:hint="default" w:ascii="Times New Roman" w:hAnsi="Times New Roman" w:cs="Times New Roman"/>
                      <w:b w:val="0"/>
                      <w:bCs w:val="0"/>
                      <w:color w:val="auto"/>
                      <w:kern w:val="0"/>
                      <w:sz w:val="21"/>
                      <w:szCs w:val="21"/>
                      <w:highlight w:val="none"/>
                      <w:vertAlign w:val="superscript"/>
                      <w:lang w:val="en-US" w:eastAsia="zh-CN" w:bidi="ar"/>
                    </w:rPr>
                    <w:t>2</w:t>
                  </w:r>
                </w:p>
              </w:tc>
              <w:tc>
                <w:tcPr>
                  <w:tcW w:w="467" w:type="pct"/>
                  <w:tcBorders>
                    <w:tl2br w:val="nil"/>
                    <w:tr2bl w:val="nil"/>
                  </w:tcBorders>
                  <w:noWrap w:val="0"/>
                  <w:vAlign w:val="center"/>
                </w:tcPr>
                <w:p w14:paraId="2D767364">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1F</w:t>
                  </w:r>
                </w:p>
              </w:tc>
              <w:tc>
                <w:tcPr>
                  <w:tcW w:w="547" w:type="pct"/>
                  <w:tcBorders>
                    <w:tl2br w:val="nil"/>
                    <w:tr2bl w:val="nil"/>
                  </w:tcBorders>
                  <w:noWrap w:val="0"/>
                  <w:vAlign w:val="center"/>
                </w:tcPr>
                <w:p w14:paraId="6537F5A3">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6.30</w:t>
                  </w:r>
                </w:p>
              </w:tc>
              <w:tc>
                <w:tcPr>
                  <w:tcW w:w="937" w:type="pct"/>
                  <w:tcBorders>
                    <w:tl2br w:val="nil"/>
                    <w:tr2bl w:val="nil"/>
                  </w:tcBorders>
                  <w:noWrap w:val="0"/>
                  <w:vAlign w:val="center"/>
                </w:tcPr>
                <w:p w14:paraId="68FFD169">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钢筋混凝土</w:t>
                  </w:r>
                  <w:r>
                    <w:rPr>
                      <w:rFonts w:hint="default" w:ascii="Times New Roman" w:hAnsi="Times New Roman" w:eastAsia="宋体" w:cs="Times New Roman"/>
                      <w:b w:val="0"/>
                      <w:bCs w:val="0"/>
                      <w:i w:val="0"/>
                      <w:iCs w:val="0"/>
                      <w:color w:val="auto"/>
                      <w:kern w:val="0"/>
                      <w:sz w:val="21"/>
                      <w:szCs w:val="21"/>
                      <w:u w:val="none"/>
                      <w:lang w:val="en-US" w:eastAsia="zh-CN" w:bidi="ar"/>
                    </w:rPr>
                    <w:t>框架结构</w:t>
                  </w:r>
                </w:p>
              </w:tc>
            </w:tr>
            <w:tr w14:paraId="1B51A24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75" w:type="pct"/>
                  <w:noWrap w:val="0"/>
                  <w:vAlign w:val="center"/>
                </w:tcPr>
                <w:p w14:paraId="4121EE0C">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default" w:ascii="Times New Roman" w:hAnsi="Times New Roman" w:cs="Times New Roman"/>
                      <w:sz w:val="21"/>
                      <w:szCs w:val="21"/>
                      <w:highlight w:val="none"/>
                      <w:lang w:val="en-US" w:eastAsia="zh-CN"/>
                    </w:rPr>
                  </w:pPr>
                  <w:r>
                    <w:rPr>
                      <w:rFonts w:hint="default" w:ascii="Times New Roman" w:hAnsi="Times New Roman" w:eastAsia="宋体" w:cs="Times New Roman"/>
                      <w:kern w:val="2"/>
                      <w:sz w:val="21"/>
                      <w:szCs w:val="21"/>
                      <w:lang w:val="en-US" w:eastAsia="zh-CN" w:bidi="ar-SA"/>
                    </w:rPr>
                    <w:t>10</w:t>
                  </w:r>
                </w:p>
              </w:tc>
              <w:tc>
                <w:tcPr>
                  <w:tcW w:w="776" w:type="pct"/>
                  <w:noWrap w:val="0"/>
                  <w:vAlign w:val="center"/>
                </w:tcPr>
                <w:p w14:paraId="697B6402">
                  <w:pPr>
                    <w:keepNext w:val="0"/>
                    <w:keepLines w:val="0"/>
                    <w:pageBreakBefore w:val="0"/>
                    <w:kinsoku/>
                    <w:wordWrap/>
                    <w:overflowPunct/>
                    <w:topLinePunct w:val="0"/>
                    <w:autoSpaceDE/>
                    <w:autoSpaceDN/>
                    <w:bidi w:val="0"/>
                    <w:adjustRightInd/>
                    <w:snapToGrid/>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消防泵房</w:t>
                  </w:r>
                </w:p>
              </w:tc>
              <w:tc>
                <w:tcPr>
                  <w:tcW w:w="723" w:type="pct"/>
                  <w:noWrap w:val="0"/>
                  <w:vAlign w:val="center"/>
                </w:tcPr>
                <w:p w14:paraId="411A4FA0">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1</w:t>
                  </w:r>
                  <w:r>
                    <w:rPr>
                      <w:rFonts w:hint="eastAsia" w:cs="Times New Roman"/>
                      <w:b w:val="0"/>
                      <w:bCs w:val="0"/>
                      <w:color w:val="auto"/>
                      <w:kern w:val="0"/>
                      <w:sz w:val="21"/>
                      <w:szCs w:val="21"/>
                      <w:highlight w:val="none"/>
                      <w:vertAlign w:val="baseline"/>
                      <w:lang w:val="en-US" w:eastAsia="zh-CN" w:bidi="ar"/>
                    </w:rPr>
                    <w:t>41</w:t>
                  </w:r>
                  <w:r>
                    <w:rPr>
                      <w:rFonts w:hint="default" w:ascii="Times New Roman" w:hAnsi="Times New Roman" w:cs="Times New Roman"/>
                      <w:b w:val="0"/>
                      <w:bCs w:val="0"/>
                      <w:color w:val="auto"/>
                      <w:kern w:val="0"/>
                      <w:sz w:val="21"/>
                      <w:szCs w:val="21"/>
                      <w:highlight w:val="none"/>
                      <w:vertAlign w:val="baseline"/>
                      <w:lang w:val="en-US" w:eastAsia="zh-CN" w:bidi="ar"/>
                    </w:rPr>
                    <w:t>.96</w:t>
                  </w:r>
                </w:p>
              </w:tc>
              <w:tc>
                <w:tcPr>
                  <w:tcW w:w="772" w:type="pct"/>
                  <w:noWrap w:val="0"/>
                  <w:vAlign w:val="center"/>
                </w:tcPr>
                <w:p w14:paraId="71B7A73B">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1</w:t>
                  </w:r>
                  <w:r>
                    <w:rPr>
                      <w:rFonts w:hint="eastAsia" w:cs="Times New Roman"/>
                      <w:b w:val="0"/>
                      <w:bCs w:val="0"/>
                      <w:color w:val="auto"/>
                      <w:kern w:val="0"/>
                      <w:sz w:val="21"/>
                      <w:szCs w:val="21"/>
                      <w:highlight w:val="none"/>
                      <w:vertAlign w:val="baseline"/>
                      <w:lang w:val="en-US" w:eastAsia="zh-CN" w:bidi="ar"/>
                    </w:rPr>
                    <w:t>41</w:t>
                  </w:r>
                  <w:r>
                    <w:rPr>
                      <w:rFonts w:hint="default" w:ascii="Times New Roman" w:hAnsi="Times New Roman" w:cs="Times New Roman"/>
                      <w:b w:val="0"/>
                      <w:bCs w:val="0"/>
                      <w:color w:val="auto"/>
                      <w:kern w:val="0"/>
                      <w:sz w:val="21"/>
                      <w:szCs w:val="21"/>
                      <w:highlight w:val="none"/>
                      <w:vertAlign w:val="baseline"/>
                      <w:lang w:val="en-US" w:eastAsia="zh-CN" w:bidi="ar"/>
                    </w:rPr>
                    <w:t>.96m</w:t>
                  </w:r>
                  <w:r>
                    <w:rPr>
                      <w:rFonts w:hint="default" w:ascii="Times New Roman" w:hAnsi="Times New Roman" w:cs="Times New Roman"/>
                      <w:b w:val="0"/>
                      <w:bCs w:val="0"/>
                      <w:color w:val="auto"/>
                      <w:kern w:val="0"/>
                      <w:sz w:val="21"/>
                      <w:szCs w:val="21"/>
                      <w:highlight w:val="none"/>
                      <w:vertAlign w:val="superscript"/>
                      <w:lang w:val="en-US" w:eastAsia="zh-CN" w:bidi="ar"/>
                    </w:rPr>
                    <w:t>2</w:t>
                  </w:r>
                </w:p>
              </w:tc>
              <w:tc>
                <w:tcPr>
                  <w:tcW w:w="467" w:type="pct"/>
                  <w:noWrap w:val="0"/>
                  <w:vAlign w:val="center"/>
                </w:tcPr>
                <w:p w14:paraId="60980A92">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1F</w:t>
                  </w:r>
                </w:p>
              </w:tc>
              <w:tc>
                <w:tcPr>
                  <w:tcW w:w="547" w:type="pct"/>
                  <w:noWrap w:val="0"/>
                  <w:vAlign w:val="center"/>
                </w:tcPr>
                <w:p w14:paraId="21268A53">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4.15</w:t>
                  </w:r>
                </w:p>
              </w:tc>
              <w:tc>
                <w:tcPr>
                  <w:tcW w:w="937" w:type="pct"/>
                  <w:noWrap w:val="0"/>
                  <w:vAlign w:val="center"/>
                </w:tcPr>
                <w:p w14:paraId="29D06BDF">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钢筋混凝土</w:t>
                  </w:r>
                  <w:r>
                    <w:rPr>
                      <w:rFonts w:hint="default" w:ascii="Times New Roman" w:hAnsi="Times New Roman" w:eastAsia="宋体" w:cs="Times New Roman"/>
                      <w:b w:val="0"/>
                      <w:bCs w:val="0"/>
                      <w:i w:val="0"/>
                      <w:iCs w:val="0"/>
                      <w:color w:val="auto"/>
                      <w:kern w:val="0"/>
                      <w:sz w:val="21"/>
                      <w:szCs w:val="21"/>
                      <w:u w:val="none"/>
                      <w:lang w:val="en-US" w:eastAsia="zh-CN" w:bidi="ar"/>
                    </w:rPr>
                    <w:t>框架结构</w:t>
                  </w:r>
                </w:p>
              </w:tc>
            </w:tr>
            <w:tr w14:paraId="3FFE7E5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75" w:type="pct"/>
                  <w:noWrap w:val="0"/>
                  <w:vAlign w:val="center"/>
                </w:tcPr>
                <w:p w14:paraId="353A8112">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default" w:ascii="Times New Roman" w:hAnsi="Times New Roman" w:cs="Times New Roman"/>
                      <w:kern w:val="2"/>
                      <w:sz w:val="21"/>
                      <w:szCs w:val="21"/>
                      <w:highlight w:val="none"/>
                      <w:lang w:val="en-US" w:eastAsia="zh-CN" w:bidi="ar-SA"/>
                    </w:rPr>
                  </w:pPr>
                  <w:r>
                    <w:rPr>
                      <w:rFonts w:hint="default" w:ascii="Times New Roman" w:hAnsi="Times New Roman" w:eastAsia="宋体" w:cs="Times New Roman"/>
                      <w:kern w:val="2"/>
                      <w:sz w:val="21"/>
                      <w:szCs w:val="21"/>
                      <w:lang w:val="en-US" w:eastAsia="zh-CN" w:bidi="ar-SA"/>
                    </w:rPr>
                    <w:t>11</w:t>
                  </w:r>
                </w:p>
              </w:tc>
              <w:tc>
                <w:tcPr>
                  <w:tcW w:w="776" w:type="pct"/>
                  <w:noWrap w:val="0"/>
                  <w:vAlign w:val="center"/>
                </w:tcPr>
                <w:p w14:paraId="17BCCC2B">
                  <w:pPr>
                    <w:keepNext w:val="0"/>
                    <w:keepLines w:val="0"/>
                    <w:pageBreakBefore w:val="0"/>
                    <w:kinsoku/>
                    <w:wordWrap/>
                    <w:overflowPunct/>
                    <w:topLinePunct w:val="0"/>
                    <w:autoSpaceDE/>
                    <w:autoSpaceDN/>
                    <w:bidi w:val="0"/>
                    <w:adjustRightInd/>
                    <w:snapToGrid/>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门卫</w:t>
                  </w:r>
                </w:p>
              </w:tc>
              <w:tc>
                <w:tcPr>
                  <w:tcW w:w="723" w:type="pct"/>
                  <w:noWrap w:val="0"/>
                  <w:vAlign w:val="center"/>
                </w:tcPr>
                <w:p w14:paraId="68E24890">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4</w:t>
                  </w:r>
                  <w:r>
                    <w:rPr>
                      <w:rFonts w:hint="eastAsia" w:cs="Times New Roman"/>
                      <w:b w:val="0"/>
                      <w:bCs w:val="0"/>
                      <w:color w:val="auto"/>
                      <w:kern w:val="0"/>
                      <w:sz w:val="21"/>
                      <w:szCs w:val="21"/>
                      <w:highlight w:val="none"/>
                      <w:vertAlign w:val="baseline"/>
                      <w:lang w:val="en-US" w:eastAsia="zh-CN" w:bidi="ar"/>
                    </w:rPr>
                    <w:t>0</w:t>
                  </w:r>
                  <w:r>
                    <w:rPr>
                      <w:rFonts w:hint="default" w:ascii="Times New Roman" w:hAnsi="Times New Roman" w:cs="Times New Roman"/>
                      <w:b w:val="0"/>
                      <w:bCs w:val="0"/>
                      <w:color w:val="auto"/>
                      <w:kern w:val="0"/>
                      <w:sz w:val="21"/>
                      <w:szCs w:val="21"/>
                      <w:highlight w:val="none"/>
                      <w:vertAlign w:val="baseline"/>
                      <w:lang w:val="en-US" w:eastAsia="zh-CN" w:bidi="ar"/>
                    </w:rPr>
                    <w:t>.98</w:t>
                  </w:r>
                </w:p>
              </w:tc>
              <w:tc>
                <w:tcPr>
                  <w:tcW w:w="772" w:type="pct"/>
                  <w:noWrap w:val="0"/>
                  <w:vAlign w:val="center"/>
                </w:tcPr>
                <w:p w14:paraId="78E36F54">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4</w:t>
                  </w:r>
                  <w:r>
                    <w:rPr>
                      <w:rFonts w:hint="eastAsia" w:cs="Times New Roman"/>
                      <w:b w:val="0"/>
                      <w:bCs w:val="0"/>
                      <w:color w:val="auto"/>
                      <w:kern w:val="0"/>
                      <w:sz w:val="21"/>
                      <w:szCs w:val="21"/>
                      <w:highlight w:val="none"/>
                      <w:vertAlign w:val="baseline"/>
                      <w:lang w:val="en-US" w:eastAsia="zh-CN" w:bidi="ar"/>
                    </w:rPr>
                    <w:t>0</w:t>
                  </w:r>
                  <w:r>
                    <w:rPr>
                      <w:rFonts w:hint="default" w:ascii="Times New Roman" w:hAnsi="Times New Roman" w:cs="Times New Roman"/>
                      <w:b w:val="0"/>
                      <w:bCs w:val="0"/>
                      <w:color w:val="auto"/>
                      <w:kern w:val="0"/>
                      <w:sz w:val="21"/>
                      <w:szCs w:val="21"/>
                      <w:highlight w:val="none"/>
                      <w:vertAlign w:val="baseline"/>
                      <w:lang w:val="en-US" w:eastAsia="zh-CN" w:bidi="ar"/>
                    </w:rPr>
                    <w:t>.98m</w:t>
                  </w:r>
                  <w:r>
                    <w:rPr>
                      <w:rFonts w:hint="default" w:ascii="Times New Roman" w:hAnsi="Times New Roman" w:cs="Times New Roman"/>
                      <w:b w:val="0"/>
                      <w:bCs w:val="0"/>
                      <w:color w:val="auto"/>
                      <w:kern w:val="0"/>
                      <w:sz w:val="21"/>
                      <w:szCs w:val="21"/>
                      <w:highlight w:val="none"/>
                      <w:vertAlign w:val="superscript"/>
                      <w:lang w:val="en-US" w:eastAsia="zh-CN" w:bidi="ar"/>
                    </w:rPr>
                    <w:t>2</w:t>
                  </w:r>
                </w:p>
              </w:tc>
              <w:tc>
                <w:tcPr>
                  <w:tcW w:w="467" w:type="pct"/>
                  <w:noWrap w:val="0"/>
                  <w:vAlign w:val="center"/>
                </w:tcPr>
                <w:p w14:paraId="71025861">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1F</w:t>
                  </w:r>
                </w:p>
              </w:tc>
              <w:tc>
                <w:tcPr>
                  <w:tcW w:w="547" w:type="pct"/>
                  <w:noWrap w:val="0"/>
                  <w:vAlign w:val="center"/>
                </w:tcPr>
                <w:p w14:paraId="1C262015">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4.05</w:t>
                  </w:r>
                </w:p>
              </w:tc>
              <w:tc>
                <w:tcPr>
                  <w:tcW w:w="937" w:type="pct"/>
                  <w:noWrap w:val="0"/>
                  <w:vAlign w:val="center"/>
                </w:tcPr>
                <w:p w14:paraId="040FFEBD">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钢筋混凝土</w:t>
                  </w:r>
                  <w:r>
                    <w:rPr>
                      <w:rFonts w:hint="default" w:ascii="Times New Roman" w:hAnsi="Times New Roman" w:eastAsia="宋体" w:cs="Times New Roman"/>
                      <w:b w:val="0"/>
                      <w:bCs w:val="0"/>
                      <w:i w:val="0"/>
                      <w:iCs w:val="0"/>
                      <w:color w:val="auto"/>
                      <w:kern w:val="0"/>
                      <w:sz w:val="21"/>
                      <w:szCs w:val="21"/>
                      <w:u w:val="none"/>
                      <w:lang w:val="en-US" w:eastAsia="zh-CN" w:bidi="ar"/>
                    </w:rPr>
                    <w:t>框架结构</w:t>
                  </w:r>
                </w:p>
              </w:tc>
            </w:tr>
            <w:tr w14:paraId="176A7D8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75" w:type="pct"/>
                  <w:noWrap w:val="0"/>
                  <w:vAlign w:val="center"/>
                </w:tcPr>
                <w:p w14:paraId="71592C59">
                  <w:pPr>
                    <w:keepNext w:val="0"/>
                    <w:keepLines w:val="0"/>
                    <w:pageBreakBefore w:val="0"/>
                    <w:widowControl/>
                    <w:numPr>
                      <w:ilvl w:val="0"/>
                      <w:numId w:val="0"/>
                    </w:numPr>
                    <w:suppressLineNumbers w:val="0"/>
                    <w:kinsoku/>
                    <w:wordWrap/>
                    <w:overflowPunct/>
                    <w:topLinePunct w:val="0"/>
                    <w:autoSpaceDE/>
                    <w:autoSpaceDN/>
                    <w:bidi w:val="0"/>
                    <w:adjustRightInd/>
                    <w:snapToGrid/>
                    <w:spacing w:line="240" w:lineRule="auto"/>
                    <w:ind w:left="425" w:leftChars="0" w:hanging="425"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12</w:t>
                  </w:r>
                </w:p>
              </w:tc>
              <w:tc>
                <w:tcPr>
                  <w:tcW w:w="776" w:type="pct"/>
                  <w:noWrap w:val="0"/>
                  <w:vAlign w:val="center"/>
                </w:tcPr>
                <w:p w14:paraId="4F63CA46">
                  <w:pPr>
                    <w:keepNext w:val="0"/>
                    <w:keepLines w:val="0"/>
                    <w:pageBreakBefore w:val="0"/>
                    <w:kinsoku/>
                    <w:wordWrap/>
                    <w:overflowPunct/>
                    <w:topLinePunct w:val="0"/>
                    <w:autoSpaceDE/>
                    <w:autoSpaceDN/>
                    <w:bidi w:val="0"/>
                    <w:adjustRightInd/>
                    <w:snapToGrid/>
                    <w:jc w:val="center"/>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初期</w:t>
                  </w:r>
                  <w:r>
                    <w:rPr>
                      <w:rFonts w:hint="default" w:ascii="Times New Roman" w:hAnsi="Times New Roman" w:eastAsia="宋体" w:cs="Times New Roman"/>
                      <w:sz w:val="21"/>
                      <w:szCs w:val="21"/>
                      <w:highlight w:val="none"/>
                      <w:lang w:val="en-US" w:eastAsia="zh-CN"/>
                    </w:rPr>
                    <w:t>雨水沉淀池</w:t>
                  </w:r>
                </w:p>
              </w:tc>
              <w:tc>
                <w:tcPr>
                  <w:tcW w:w="723" w:type="pct"/>
                  <w:noWrap w:val="0"/>
                  <w:vAlign w:val="center"/>
                </w:tcPr>
                <w:p w14:paraId="144A32AF">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750</w:t>
                  </w:r>
                </w:p>
              </w:tc>
              <w:tc>
                <w:tcPr>
                  <w:tcW w:w="772" w:type="pct"/>
                  <w:noWrap w:val="0"/>
                  <w:vAlign w:val="center"/>
                </w:tcPr>
                <w:p w14:paraId="429BE0BB">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eastAsia" w:ascii="Times New Roman" w:hAnsi="Times New Roman" w:eastAsia="宋体" w:cs="Times New Roman"/>
                      <w:b w:val="0"/>
                      <w:bCs w:val="0"/>
                      <w:i w:val="0"/>
                      <w:iCs w:val="0"/>
                      <w:color w:val="auto"/>
                      <w:kern w:val="0"/>
                      <w:sz w:val="21"/>
                      <w:szCs w:val="21"/>
                      <w:u w:val="none"/>
                      <w:lang w:val="en-US" w:eastAsia="zh-CN" w:bidi="ar"/>
                    </w:rPr>
                    <w:t>4100m</w:t>
                  </w:r>
                  <w:r>
                    <w:rPr>
                      <w:rFonts w:hint="eastAsia" w:ascii="Times New Roman" w:hAnsi="Times New Roman" w:eastAsia="宋体" w:cs="Times New Roman"/>
                      <w:b w:val="0"/>
                      <w:bCs w:val="0"/>
                      <w:i w:val="0"/>
                      <w:iCs w:val="0"/>
                      <w:color w:val="auto"/>
                      <w:kern w:val="0"/>
                      <w:sz w:val="21"/>
                      <w:szCs w:val="21"/>
                      <w:u w:val="none"/>
                      <w:vertAlign w:val="superscript"/>
                      <w:lang w:val="en-US" w:eastAsia="zh-CN" w:bidi="ar"/>
                    </w:rPr>
                    <w:t>3</w:t>
                  </w:r>
                </w:p>
              </w:tc>
              <w:tc>
                <w:tcPr>
                  <w:tcW w:w="467" w:type="pct"/>
                  <w:noWrap w:val="0"/>
                  <w:vAlign w:val="center"/>
                </w:tcPr>
                <w:p w14:paraId="1D90139A">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w:t>
                  </w:r>
                </w:p>
              </w:tc>
              <w:tc>
                <w:tcPr>
                  <w:tcW w:w="547" w:type="pct"/>
                  <w:noWrap w:val="0"/>
                  <w:vAlign w:val="center"/>
                </w:tcPr>
                <w:p w14:paraId="7A4368A1">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w:t>
                  </w:r>
                </w:p>
              </w:tc>
              <w:tc>
                <w:tcPr>
                  <w:tcW w:w="937" w:type="pct"/>
                  <w:noWrap w:val="0"/>
                  <w:vAlign w:val="center"/>
                </w:tcPr>
                <w:p w14:paraId="47655BFA">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w:t>
                  </w:r>
                </w:p>
              </w:tc>
            </w:tr>
            <w:tr w14:paraId="357B679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75" w:type="pct"/>
                  <w:noWrap w:val="0"/>
                  <w:vAlign w:val="center"/>
                </w:tcPr>
                <w:p w14:paraId="63F64FD5">
                  <w:pPr>
                    <w:keepNext w:val="0"/>
                    <w:keepLines w:val="0"/>
                    <w:pageBreakBefore w:val="0"/>
                    <w:widowControl/>
                    <w:numPr>
                      <w:ilvl w:val="0"/>
                      <w:numId w:val="0"/>
                    </w:numPr>
                    <w:suppressLineNumbers w:val="0"/>
                    <w:kinsoku/>
                    <w:wordWrap/>
                    <w:overflowPunct/>
                    <w:topLinePunct w:val="0"/>
                    <w:autoSpaceDE/>
                    <w:autoSpaceDN/>
                    <w:bidi w:val="0"/>
                    <w:adjustRightInd/>
                    <w:snapToGrid/>
                    <w:spacing w:line="240" w:lineRule="auto"/>
                    <w:ind w:left="425" w:leftChars="0" w:hanging="425"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13</w:t>
                  </w:r>
                </w:p>
              </w:tc>
              <w:tc>
                <w:tcPr>
                  <w:tcW w:w="776" w:type="pct"/>
                  <w:noWrap w:val="0"/>
                  <w:vAlign w:val="center"/>
                </w:tcPr>
                <w:p w14:paraId="353C514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cs="Times New Roman"/>
                      <w:b w:val="0"/>
                      <w:bCs w:val="0"/>
                      <w:color w:val="000000"/>
                      <w:kern w:val="0"/>
                      <w:sz w:val="21"/>
                      <w:szCs w:val="21"/>
                      <w:highlight w:val="none"/>
                      <w:vertAlign w:val="baseline"/>
                      <w:lang w:val="en-US" w:eastAsia="zh-CN" w:bidi="ar"/>
                    </w:rPr>
                    <w:t>危废间</w:t>
                  </w:r>
                </w:p>
              </w:tc>
              <w:tc>
                <w:tcPr>
                  <w:tcW w:w="723" w:type="pct"/>
                  <w:noWrap w:val="0"/>
                  <w:vAlign w:val="center"/>
                </w:tcPr>
                <w:p w14:paraId="6E4618C6">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6</w:t>
                  </w:r>
                </w:p>
              </w:tc>
              <w:tc>
                <w:tcPr>
                  <w:tcW w:w="772" w:type="pct"/>
                  <w:noWrap w:val="0"/>
                  <w:vAlign w:val="center"/>
                </w:tcPr>
                <w:p w14:paraId="14FE26BC">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6</w:t>
                  </w:r>
                </w:p>
              </w:tc>
              <w:tc>
                <w:tcPr>
                  <w:tcW w:w="467" w:type="pct"/>
                  <w:noWrap w:val="0"/>
                  <w:vAlign w:val="center"/>
                </w:tcPr>
                <w:p w14:paraId="4E77DE35">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1F</w:t>
                  </w:r>
                </w:p>
              </w:tc>
              <w:tc>
                <w:tcPr>
                  <w:tcW w:w="547" w:type="pct"/>
                  <w:noWrap w:val="0"/>
                  <w:vAlign w:val="center"/>
                </w:tcPr>
                <w:p w14:paraId="4C9FBD1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cs="Times New Roman"/>
                      <w:b w:val="0"/>
                      <w:bCs w:val="0"/>
                      <w:color w:val="000000"/>
                      <w:kern w:val="0"/>
                      <w:sz w:val="21"/>
                      <w:szCs w:val="21"/>
                      <w:highlight w:val="none"/>
                      <w:vertAlign w:val="baseline"/>
                      <w:lang w:val="en-US" w:eastAsia="zh-CN" w:bidi="ar"/>
                    </w:rPr>
                    <w:t>4.15</w:t>
                  </w:r>
                </w:p>
              </w:tc>
              <w:tc>
                <w:tcPr>
                  <w:tcW w:w="937" w:type="pct"/>
                  <w:noWrap w:val="0"/>
                  <w:vAlign w:val="center"/>
                </w:tcPr>
                <w:p w14:paraId="2E5C10CF">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eastAsia" w:ascii="Times New Roman" w:hAnsi="Times New Roman" w:cs="Times New Roman"/>
                      <w:b w:val="0"/>
                      <w:bCs w:val="0"/>
                      <w:color w:val="000000"/>
                      <w:kern w:val="0"/>
                      <w:sz w:val="21"/>
                      <w:szCs w:val="21"/>
                      <w:highlight w:val="none"/>
                      <w:vertAlign w:val="baseline"/>
                      <w:lang w:val="en-US" w:eastAsia="zh-CN" w:bidi="ar"/>
                    </w:rPr>
                    <w:t>砖混结构</w:t>
                  </w:r>
                </w:p>
              </w:tc>
            </w:tr>
            <w:tr w14:paraId="54A5B41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551" w:type="pct"/>
                  <w:gridSpan w:val="2"/>
                  <w:noWrap w:val="0"/>
                  <w:vAlign w:val="center"/>
                </w:tcPr>
                <w:p w14:paraId="7D3EAAF8">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cs="Times New Roman"/>
                      <w:b w:val="0"/>
                      <w:bCs w:val="0"/>
                      <w:color w:val="000000"/>
                      <w:kern w:val="0"/>
                      <w:sz w:val="21"/>
                      <w:szCs w:val="21"/>
                      <w:highlight w:val="none"/>
                      <w:vertAlign w:val="baseline"/>
                      <w:lang w:val="en-US" w:eastAsia="zh-CN" w:bidi="ar"/>
                    </w:rPr>
                    <w:t>合计</w:t>
                  </w:r>
                </w:p>
              </w:tc>
              <w:tc>
                <w:tcPr>
                  <w:tcW w:w="723" w:type="pct"/>
                  <w:shd w:val="clear" w:color="auto" w:fill="auto"/>
                  <w:noWrap w:val="0"/>
                  <w:vAlign w:val="center"/>
                </w:tcPr>
                <w:p w14:paraId="06EA2DFF">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eastAsia" w:ascii="Times New Roman" w:hAnsi="Times New Roman" w:eastAsia="宋体" w:cs="Times New Roman"/>
                      <w:b w:val="0"/>
                      <w:bCs w:val="0"/>
                      <w:color w:val="auto"/>
                      <w:kern w:val="0"/>
                      <w:sz w:val="21"/>
                      <w:szCs w:val="21"/>
                      <w:highlight w:val="none"/>
                      <w:vertAlign w:val="baseline"/>
                      <w:lang w:val="en-US" w:eastAsia="zh-CN" w:bidi="ar"/>
                    </w:rPr>
                    <w:t>132998.21</w:t>
                  </w:r>
                </w:p>
              </w:tc>
              <w:tc>
                <w:tcPr>
                  <w:tcW w:w="772" w:type="pct"/>
                  <w:noWrap w:val="0"/>
                  <w:vAlign w:val="center"/>
                </w:tcPr>
                <w:p w14:paraId="23296D37">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eastAsia="宋体" w:cs="Times New Roman"/>
                      <w:b w:val="0"/>
                      <w:bCs w:val="0"/>
                      <w:color w:val="auto"/>
                      <w:kern w:val="0"/>
                      <w:sz w:val="21"/>
                      <w:szCs w:val="21"/>
                      <w:highlight w:val="none"/>
                      <w:vertAlign w:val="baseline"/>
                      <w:lang w:val="en-US" w:eastAsia="zh-CN" w:bidi="ar"/>
                    </w:rPr>
                    <w:t>1418</w:t>
                  </w:r>
                  <w:r>
                    <w:rPr>
                      <w:rFonts w:hint="eastAsia" w:ascii="Times New Roman" w:hAnsi="Times New Roman" w:eastAsia="宋体" w:cs="Times New Roman"/>
                      <w:b w:val="0"/>
                      <w:bCs w:val="0"/>
                      <w:color w:val="auto"/>
                      <w:kern w:val="0"/>
                      <w:sz w:val="21"/>
                      <w:szCs w:val="21"/>
                      <w:highlight w:val="none"/>
                      <w:vertAlign w:val="baseline"/>
                      <w:lang w:val="en-US" w:eastAsia="zh-CN" w:bidi="ar"/>
                    </w:rPr>
                    <w:t>49</w:t>
                  </w:r>
                  <w:r>
                    <w:rPr>
                      <w:rFonts w:hint="default" w:ascii="Times New Roman" w:hAnsi="Times New Roman" w:eastAsia="宋体" w:cs="Times New Roman"/>
                      <w:b w:val="0"/>
                      <w:bCs w:val="0"/>
                      <w:color w:val="auto"/>
                      <w:kern w:val="0"/>
                      <w:sz w:val="21"/>
                      <w:szCs w:val="21"/>
                      <w:highlight w:val="none"/>
                      <w:vertAlign w:val="baseline"/>
                      <w:lang w:val="en-US" w:eastAsia="zh-CN" w:bidi="ar"/>
                    </w:rPr>
                    <w:t>.89</w:t>
                  </w:r>
                </w:p>
              </w:tc>
              <w:tc>
                <w:tcPr>
                  <w:tcW w:w="467" w:type="pct"/>
                  <w:noWrap w:val="0"/>
                  <w:vAlign w:val="center"/>
                </w:tcPr>
                <w:p w14:paraId="42ECE008">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cs="Times New Roman"/>
                      <w:b w:val="0"/>
                      <w:bCs w:val="0"/>
                      <w:color w:val="auto"/>
                      <w:kern w:val="0"/>
                      <w:sz w:val="21"/>
                      <w:szCs w:val="21"/>
                      <w:highlight w:val="none"/>
                      <w:vertAlign w:val="baseline"/>
                      <w:lang w:val="en-US" w:eastAsia="zh-CN" w:bidi="ar"/>
                    </w:rPr>
                  </w:pPr>
                </w:p>
              </w:tc>
              <w:tc>
                <w:tcPr>
                  <w:tcW w:w="547" w:type="pct"/>
                  <w:noWrap w:val="0"/>
                  <w:vAlign w:val="center"/>
                </w:tcPr>
                <w:p w14:paraId="336AC85F">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cs="Times New Roman"/>
                      <w:b w:val="0"/>
                      <w:bCs w:val="0"/>
                      <w:color w:val="auto"/>
                      <w:kern w:val="0"/>
                      <w:sz w:val="21"/>
                      <w:szCs w:val="21"/>
                      <w:highlight w:val="none"/>
                      <w:vertAlign w:val="baseline"/>
                      <w:lang w:val="en-US" w:eastAsia="zh-CN" w:bidi="ar"/>
                    </w:rPr>
                  </w:pPr>
                </w:p>
              </w:tc>
              <w:tc>
                <w:tcPr>
                  <w:tcW w:w="937" w:type="pct"/>
                  <w:noWrap w:val="0"/>
                  <w:vAlign w:val="center"/>
                </w:tcPr>
                <w:p w14:paraId="4FCC5D7F">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p>
              </w:tc>
            </w:tr>
          </w:tbl>
          <w:p w14:paraId="68C4AA64">
            <w:pPr>
              <w:keepNext w:val="0"/>
              <w:keepLines w:val="0"/>
              <w:pageBreakBefore w:val="0"/>
              <w:widowControl w:val="0"/>
              <w:kinsoku/>
              <w:wordWrap/>
              <w:overflowPunct/>
              <w:topLinePunct w:val="0"/>
              <w:autoSpaceDE w:val="0"/>
              <w:autoSpaceDN w:val="0"/>
              <w:bidi w:val="0"/>
              <w:adjustRightInd w:val="0"/>
              <w:snapToGrid/>
              <w:spacing w:line="480" w:lineRule="exact"/>
              <w:ind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cs="Times New Roman"/>
                <w:b w:val="0"/>
                <w:bCs/>
                <w:color w:val="auto"/>
                <w:sz w:val="24"/>
                <w:szCs w:val="24"/>
                <w:highlight w:val="none"/>
                <w:lang w:val="en-US" w:eastAsia="zh-CN"/>
              </w:rPr>
              <w:t>（</w:t>
            </w:r>
            <w:r>
              <w:rPr>
                <w:rFonts w:hint="eastAsia" w:cs="Times New Roman"/>
                <w:b w:val="0"/>
                <w:bCs/>
                <w:color w:val="auto"/>
                <w:sz w:val="24"/>
                <w:szCs w:val="24"/>
                <w:highlight w:val="none"/>
                <w:lang w:val="en-US" w:eastAsia="zh-CN"/>
              </w:rPr>
              <w:t>10</w:t>
            </w:r>
            <w:r>
              <w:rPr>
                <w:rFonts w:hint="eastAsia" w:ascii="Times New Roman" w:hAnsi="Times New Roman" w:cs="Times New Roman"/>
                <w:b w:val="0"/>
                <w:bCs/>
                <w:color w:val="auto"/>
                <w:sz w:val="24"/>
                <w:szCs w:val="24"/>
                <w:highlight w:val="none"/>
                <w:lang w:val="en-US" w:eastAsia="zh-CN"/>
              </w:rPr>
              <w:t>）</w:t>
            </w:r>
            <w:r>
              <w:rPr>
                <w:rFonts w:hint="eastAsia" w:cs="Times New Roman"/>
                <w:b w:val="0"/>
                <w:bCs/>
                <w:color w:val="auto"/>
                <w:sz w:val="24"/>
                <w:szCs w:val="24"/>
                <w:highlight w:val="none"/>
                <w:lang w:val="en-US" w:eastAsia="zh-CN"/>
              </w:rPr>
              <w:t>本项目</w:t>
            </w:r>
            <w:r>
              <w:rPr>
                <w:rFonts w:hint="eastAsia" w:ascii="Times New Roman" w:hAnsi="Times New Roman" w:cs="Times New Roman"/>
                <w:b w:val="0"/>
                <w:bCs/>
                <w:color w:val="auto"/>
                <w:sz w:val="24"/>
                <w:szCs w:val="24"/>
                <w:highlight w:val="none"/>
                <w:lang w:val="zh-CN"/>
              </w:rPr>
              <w:t>主要原辅材料见下表</w:t>
            </w:r>
            <w:r>
              <w:rPr>
                <w:rFonts w:hint="eastAsia" w:ascii="Times New Roman" w:hAnsi="Times New Roman" w:cs="Times New Roman"/>
                <w:b w:val="0"/>
                <w:bCs/>
                <w:color w:val="auto"/>
                <w:sz w:val="24"/>
                <w:szCs w:val="24"/>
                <w:highlight w:val="none"/>
                <w:lang w:val="zh-CN" w:eastAsia="zh-CN"/>
              </w:rPr>
              <w:t>。</w:t>
            </w:r>
          </w:p>
          <w:p w14:paraId="451F8304">
            <w:pPr>
              <w:keepNext w:val="0"/>
              <w:keepLines w:val="0"/>
              <w:pageBreakBefore w:val="0"/>
              <w:widowControl/>
              <w:suppressLineNumbers w:val="0"/>
              <w:kinsoku/>
              <w:wordWrap/>
              <w:overflowPunct/>
              <w:topLinePunct w:val="0"/>
              <w:autoSpaceDE/>
              <w:autoSpaceDN/>
              <w:bidi w:val="0"/>
              <w:adjustRightInd/>
              <w:snapToGrid/>
              <w:spacing w:line="480" w:lineRule="exact"/>
              <w:ind w:firstLine="482" w:firstLineChars="200"/>
              <w:jc w:val="center"/>
              <w:textAlignment w:val="auto"/>
              <w:rPr>
                <w:rFonts w:hint="eastAsia" w:cs="Times New Roman"/>
                <w:b w:val="0"/>
                <w:bCs w:val="0"/>
                <w:color w:val="000000"/>
                <w:kern w:val="0"/>
                <w:sz w:val="24"/>
                <w:szCs w:val="24"/>
                <w:highlight w:val="none"/>
                <w:vertAlign w:val="baseline"/>
                <w:lang w:val="en-US" w:eastAsia="zh-CN" w:bidi="ar"/>
              </w:rPr>
            </w:pPr>
            <w:r>
              <w:rPr>
                <w:rFonts w:hint="eastAsia" w:cs="Times New Roman"/>
                <w:b/>
                <w:bCs/>
                <w:color w:val="000000"/>
                <w:kern w:val="0"/>
                <w:sz w:val="24"/>
                <w:szCs w:val="24"/>
                <w:highlight w:val="none"/>
                <w:vertAlign w:val="baseline"/>
                <w:lang w:val="en-US" w:eastAsia="zh-CN" w:bidi="ar"/>
              </w:rPr>
              <w:t>表2-3 本项目主要原辅材料及能源消耗一览表</w:t>
            </w:r>
          </w:p>
          <w:tbl>
            <w:tblPr>
              <w:tblStyle w:val="26"/>
              <w:tblW w:w="4995"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499"/>
              <w:gridCol w:w="892"/>
              <w:gridCol w:w="876"/>
              <w:gridCol w:w="1005"/>
              <w:gridCol w:w="906"/>
              <w:gridCol w:w="1195"/>
              <w:gridCol w:w="1215"/>
              <w:gridCol w:w="1776"/>
            </w:tblGrid>
            <w:tr w14:paraId="5482894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75" w:hRule="atLeast"/>
                <w:jc w:val="center"/>
              </w:trPr>
              <w:tc>
                <w:tcPr>
                  <w:tcW w:w="298" w:type="pct"/>
                  <w:tcBorders>
                    <w:tl2br w:val="nil"/>
                    <w:tr2bl w:val="nil"/>
                  </w:tcBorders>
                  <w:noWrap w:val="0"/>
                  <w:vAlign w:val="center"/>
                </w:tcPr>
                <w:p w14:paraId="33C84749">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序号</w:t>
                  </w:r>
                </w:p>
              </w:tc>
              <w:tc>
                <w:tcPr>
                  <w:tcW w:w="533" w:type="pct"/>
                  <w:tcBorders>
                    <w:tl2br w:val="nil"/>
                    <w:tr2bl w:val="nil"/>
                  </w:tcBorders>
                  <w:noWrap w:val="0"/>
                  <w:vAlign w:val="center"/>
                </w:tcPr>
                <w:p w14:paraId="39315C93">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原料</w:t>
                  </w:r>
                </w:p>
              </w:tc>
              <w:tc>
                <w:tcPr>
                  <w:tcW w:w="523" w:type="pct"/>
                  <w:tcBorders>
                    <w:tl2br w:val="nil"/>
                    <w:tr2bl w:val="nil"/>
                  </w:tcBorders>
                  <w:noWrap w:val="0"/>
                  <w:vAlign w:val="center"/>
                </w:tcPr>
                <w:p w14:paraId="74332118">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单位</w:t>
                  </w:r>
                </w:p>
              </w:tc>
              <w:tc>
                <w:tcPr>
                  <w:tcW w:w="600" w:type="pct"/>
                  <w:tcBorders>
                    <w:tl2br w:val="nil"/>
                    <w:tr2bl w:val="nil"/>
                  </w:tcBorders>
                  <w:noWrap w:val="0"/>
                  <w:vAlign w:val="center"/>
                </w:tcPr>
                <w:p w14:paraId="01305264">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年周转量</w:t>
                  </w:r>
                </w:p>
              </w:tc>
              <w:tc>
                <w:tcPr>
                  <w:tcW w:w="541" w:type="pct"/>
                  <w:tcBorders>
                    <w:tl2br w:val="nil"/>
                    <w:tr2bl w:val="nil"/>
                  </w:tcBorders>
                  <w:noWrap w:val="0"/>
                  <w:vAlign w:val="center"/>
                </w:tcPr>
                <w:p w14:paraId="7439350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最大储存量</w:t>
                  </w:r>
                </w:p>
              </w:tc>
              <w:tc>
                <w:tcPr>
                  <w:tcW w:w="714" w:type="pct"/>
                  <w:tcBorders>
                    <w:tl2br w:val="nil"/>
                    <w:tr2bl w:val="nil"/>
                  </w:tcBorders>
                  <w:noWrap w:val="0"/>
                  <w:vAlign w:val="center"/>
                </w:tcPr>
                <w:p w14:paraId="4CC48BF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储存方式及位置</w:t>
                  </w:r>
                </w:p>
              </w:tc>
              <w:tc>
                <w:tcPr>
                  <w:tcW w:w="726" w:type="pct"/>
                  <w:tcBorders>
                    <w:tl2br w:val="nil"/>
                    <w:tr2bl w:val="nil"/>
                  </w:tcBorders>
                  <w:noWrap w:val="0"/>
                  <w:vAlign w:val="center"/>
                </w:tcPr>
                <w:p w14:paraId="6CD0533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物料来源</w:t>
                  </w:r>
                </w:p>
              </w:tc>
              <w:tc>
                <w:tcPr>
                  <w:tcW w:w="1061" w:type="pct"/>
                  <w:tcBorders>
                    <w:tl2br w:val="nil"/>
                    <w:tr2bl w:val="nil"/>
                  </w:tcBorders>
                  <w:noWrap w:val="0"/>
                  <w:vAlign w:val="center"/>
                </w:tcPr>
                <w:p w14:paraId="6163298C">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备注</w:t>
                  </w:r>
                </w:p>
              </w:tc>
            </w:tr>
            <w:tr w14:paraId="6C4DBD0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98" w:type="pct"/>
                  <w:tcBorders>
                    <w:tl2br w:val="nil"/>
                    <w:tr2bl w:val="nil"/>
                  </w:tcBorders>
                  <w:noWrap w:val="0"/>
                  <w:vAlign w:val="center"/>
                </w:tcPr>
                <w:p w14:paraId="6B168F43">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eastAsia"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lang w:val="en-US" w:eastAsia="zh-CN" w:bidi="ar-SA"/>
                    </w:rPr>
                    <w:t>1</w:t>
                  </w:r>
                </w:p>
              </w:tc>
              <w:tc>
                <w:tcPr>
                  <w:tcW w:w="533" w:type="pct"/>
                  <w:tcBorders>
                    <w:tl2br w:val="nil"/>
                    <w:tr2bl w:val="nil"/>
                  </w:tcBorders>
                  <w:noWrap w:val="0"/>
                  <w:vAlign w:val="center"/>
                </w:tcPr>
                <w:p w14:paraId="3622EFD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煤炭</w:t>
                  </w:r>
                </w:p>
              </w:tc>
              <w:tc>
                <w:tcPr>
                  <w:tcW w:w="523" w:type="pct"/>
                  <w:tcBorders>
                    <w:tl2br w:val="nil"/>
                    <w:tr2bl w:val="nil"/>
                  </w:tcBorders>
                  <w:noWrap w:val="0"/>
                  <w:vAlign w:val="center"/>
                </w:tcPr>
                <w:p w14:paraId="2F7E2F38">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t/a</w:t>
                  </w:r>
                </w:p>
              </w:tc>
              <w:tc>
                <w:tcPr>
                  <w:tcW w:w="600" w:type="pct"/>
                  <w:tcBorders>
                    <w:tl2br w:val="nil"/>
                    <w:tr2bl w:val="nil"/>
                  </w:tcBorders>
                  <w:noWrap w:val="0"/>
                  <w:vAlign w:val="center"/>
                </w:tcPr>
                <w:p w14:paraId="4163F52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90万</w:t>
                  </w:r>
                </w:p>
              </w:tc>
              <w:tc>
                <w:tcPr>
                  <w:tcW w:w="541" w:type="pct"/>
                  <w:tcBorders>
                    <w:tl2br w:val="nil"/>
                    <w:tr2bl w:val="nil"/>
                  </w:tcBorders>
                  <w:noWrap w:val="0"/>
                  <w:vAlign w:val="center"/>
                </w:tcPr>
                <w:p w14:paraId="32AF482E">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11.98万</w:t>
                  </w:r>
                </w:p>
              </w:tc>
              <w:tc>
                <w:tcPr>
                  <w:tcW w:w="714" w:type="pct"/>
                  <w:tcBorders>
                    <w:tl2br w:val="nil"/>
                    <w:tr2bl w:val="nil"/>
                  </w:tcBorders>
                  <w:noWrap w:val="0"/>
                  <w:vAlign w:val="center"/>
                </w:tcPr>
                <w:p w14:paraId="7E14F323">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堆存，1#厂房</w:t>
                  </w:r>
                </w:p>
              </w:tc>
              <w:tc>
                <w:tcPr>
                  <w:tcW w:w="726" w:type="pct"/>
                  <w:tcBorders>
                    <w:tl2br w:val="nil"/>
                    <w:tr2bl w:val="nil"/>
                  </w:tcBorders>
                  <w:noWrap w:val="0"/>
                  <w:vAlign w:val="center"/>
                </w:tcPr>
                <w:p w14:paraId="1BEF4D03">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山西、陕西、内蒙等地</w:t>
                  </w:r>
                </w:p>
              </w:tc>
              <w:tc>
                <w:tcPr>
                  <w:tcW w:w="1061" w:type="pct"/>
                  <w:tcBorders>
                    <w:tl2br w:val="nil"/>
                    <w:tr2bl w:val="nil"/>
                  </w:tcBorders>
                  <w:noWrap w:val="0"/>
                  <w:vAlign w:val="center"/>
                </w:tcPr>
                <w:p w14:paraId="68E190DF">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含水率5%~40%、粒径0-50</w:t>
                  </w:r>
                  <w:r>
                    <w:rPr>
                      <w:rFonts w:hint="eastAsia" w:cs="Times New Roman"/>
                      <w:b w:val="0"/>
                      <w:bCs w:val="0"/>
                      <w:color w:val="000000"/>
                      <w:kern w:val="0"/>
                      <w:sz w:val="21"/>
                      <w:szCs w:val="21"/>
                      <w:highlight w:val="none"/>
                      <w:vertAlign w:val="baseline"/>
                      <w:lang w:val="en-US" w:eastAsia="zh-CN" w:bidi="ar"/>
                    </w:rPr>
                    <w:t>cm</w:t>
                  </w:r>
                  <w:r>
                    <w:rPr>
                      <w:rFonts w:hint="eastAsia" w:ascii="Times New Roman" w:hAnsi="Times New Roman" w:eastAsia="宋体" w:cs="Times New Roman"/>
                      <w:b w:val="0"/>
                      <w:bCs w:val="0"/>
                      <w:color w:val="000000"/>
                      <w:kern w:val="0"/>
                      <w:sz w:val="21"/>
                      <w:szCs w:val="21"/>
                      <w:highlight w:val="none"/>
                      <w:vertAlign w:val="baseline"/>
                      <w:lang w:val="en-US" w:eastAsia="zh-CN" w:bidi="ar"/>
                    </w:rPr>
                    <w:t>、灰分7%~40%、热值3000-6000</w:t>
                  </w:r>
                  <w:r>
                    <w:rPr>
                      <w:rFonts w:hint="eastAsia" w:cs="Times New Roman"/>
                      <w:b w:val="0"/>
                      <w:bCs w:val="0"/>
                      <w:color w:val="000000"/>
                      <w:kern w:val="0"/>
                      <w:sz w:val="21"/>
                      <w:szCs w:val="21"/>
                      <w:highlight w:val="none"/>
                      <w:vertAlign w:val="baseline"/>
                      <w:lang w:val="en-US" w:eastAsia="zh-CN" w:bidi="ar"/>
                    </w:rPr>
                    <w:t>k</w:t>
                  </w:r>
                  <w:r>
                    <w:rPr>
                      <w:rFonts w:hint="eastAsia" w:ascii="Times New Roman" w:hAnsi="Times New Roman" w:eastAsia="宋体" w:cs="Times New Roman"/>
                      <w:b w:val="0"/>
                      <w:bCs w:val="0"/>
                      <w:color w:val="000000"/>
                      <w:kern w:val="0"/>
                      <w:sz w:val="21"/>
                      <w:szCs w:val="21"/>
                      <w:highlight w:val="none"/>
                      <w:vertAlign w:val="baseline"/>
                      <w:lang w:val="en-US" w:eastAsia="zh-CN" w:bidi="ar"/>
                    </w:rPr>
                    <w:t>J/kg</w:t>
                  </w:r>
                </w:p>
              </w:tc>
            </w:tr>
            <w:tr w14:paraId="7D87F0B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98" w:type="pct"/>
                  <w:tcBorders>
                    <w:tl2br w:val="nil"/>
                    <w:tr2bl w:val="nil"/>
                  </w:tcBorders>
                  <w:noWrap w:val="0"/>
                  <w:vAlign w:val="center"/>
                </w:tcPr>
                <w:p w14:paraId="56EC0618">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eastAsia"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lang w:val="en-US" w:eastAsia="zh-CN" w:bidi="ar-SA"/>
                    </w:rPr>
                    <w:t>2</w:t>
                  </w:r>
                </w:p>
              </w:tc>
              <w:tc>
                <w:tcPr>
                  <w:tcW w:w="533" w:type="pct"/>
                  <w:tcBorders>
                    <w:tl2br w:val="nil"/>
                    <w:tr2bl w:val="nil"/>
                  </w:tcBorders>
                  <w:noWrap w:val="0"/>
                  <w:vAlign w:val="center"/>
                </w:tcPr>
                <w:p w14:paraId="18AFE8C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钢材</w:t>
                  </w:r>
                </w:p>
              </w:tc>
              <w:tc>
                <w:tcPr>
                  <w:tcW w:w="523" w:type="pct"/>
                  <w:tcBorders>
                    <w:tl2br w:val="nil"/>
                    <w:tr2bl w:val="nil"/>
                  </w:tcBorders>
                  <w:noWrap w:val="0"/>
                  <w:vAlign w:val="center"/>
                </w:tcPr>
                <w:p w14:paraId="3E2605A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t/a</w:t>
                  </w:r>
                </w:p>
              </w:tc>
              <w:tc>
                <w:tcPr>
                  <w:tcW w:w="600" w:type="pct"/>
                  <w:tcBorders>
                    <w:tl2br w:val="nil"/>
                    <w:tr2bl w:val="nil"/>
                  </w:tcBorders>
                  <w:noWrap w:val="0"/>
                  <w:vAlign w:val="center"/>
                </w:tcPr>
                <w:p w14:paraId="7E01227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400万</w:t>
                  </w:r>
                </w:p>
              </w:tc>
              <w:tc>
                <w:tcPr>
                  <w:tcW w:w="541" w:type="pct"/>
                  <w:tcBorders>
                    <w:tl2br w:val="nil"/>
                    <w:tr2bl w:val="nil"/>
                  </w:tcBorders>
                  <w:noWrap w:val="0"/>
                  <w:vAlign w:val="center"/>
                </w:tcPr>
                <w:p w14:paraId="44C61D3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78.02万</w:t>
                  </w:r>
                </w:p>
              </w:tc>
              <w:tc>
                <w:tcPr>
                  <w:tcW w:w="714" w:type="pct"/>
                  <w:tcBorders>
                    <w:tl2br w:val="nil"/>
                    <w:tr2bl w:val="nil"/>
                  </w:tcBorders>
                  <w:noWrap w:val="0"/>
                  <w:vAlign w:val="center"/>
                </w:tcPr>
                <w:p w14:paraId="405A687E">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堆存，库房</w:t>
                  </w:r>
                </w:p>
              </w:tc>
              <w:tc>
                <w:tcPr>
                  <w:tcW w:w="726" w:type="pct"/>
                  <w:tcBorders>
                    <w:tl2br w:val="nil"/>
                    <w:tr2bl w:val="nil"/>
                  </w:tcBorders>
                  <w:noWrap w:val="0"/>
                  <w:vAlign w:val="center"/>
                </w:tcPr>
                <w:p w14:paraId="40266D8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河北、内蒙古等地</w:t>
                  </w:r>
                </w:p>
              </w:tc>
              <w:tc>
                <w:tcPr>
                  <w:tcW w:w="1061" w:type="pct"/>
                  <w:tcBorders>
                    <w:tl2br w:val="nil"/>
                    <w:tr2bl w:val="nil"/>
                  </w:tcBorders>
                  <w:noWrap w:val="0"/>
                  <w:vAlign w:val="center"/>
                </w:tcPr>
                <w:p w14:paraId="4D33E96E">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包含型钢、钢板、钢板等</w:t>
                  </w:r>
                </w:p>
              </w:tc>
            </w:tr>
            <w:tr w14:paraId="0D14470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98" w:type="pct"/>
                  <w:tcBorders>
                    <w:tl2br w:val="nil"/>
                    <w:tr2bl w:val="nil"/>
                  </w:tcBorders>
                  <w:noWrap w:val="0"/>
                  <w:vAlign w:val="center"/>
                </w:tcPr>
                <w:p w14:paraId="2D503996">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3</w:t>
                  </w:r>
                </w:p>
              </w:tc>
              <w:tc>
                <w:tcPr>
                  <w:tcW w:w="533" w:type="pct"/>
                  <w:tcBorders>
                    <w:tl2br w:val="nil"/>
                    <w:tr2bl w:val="nil"/>
                  </w:tcBorders>
                  <w:noWrap w:val="0"/>
                  <w:vAlign w:val="center"/>
                </w:tcPr>
                <w:p w14:paraId="664CA60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矿建材料</w:t>
                  </w:r>
                </w:p>
              </w:tc>
              <w:tc>
                <w:tcPr>
                  <w:tcW w:w="523" w:type="pct"/>
                  <w:tcBorders>
                    <w:tl2br w:val="nil"/>
                    <w:tr2bl w:val="nil"/>
                  </w:tcBorders>
                  <w:noWrap w:val="0"/>
                  <w:vAlign w:val="center"/>
                </w:tcPr>
                <w:p w14:paraId="61693D79">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t/a</w:t>
                  </w:r>
                </w:p>
              </w:tc>
              <w:tc>
                <w:tcPr>
                  <w:tcW w:w="600" w:type="pct"/>
                  <w:tcBorders>
                    <w:tl2br w:val="nil"/>
                    <w:tr2bl w:val="nil"/>
                  </w:tcBorders>
                  <w:noWrap w:val="0"/>
                  <w:vAlign w:val="center"/>
                </w:tcPr>
                <w:p w14:paraId="2AD2832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10万</w:t>
                  </w:r>
                </w:p>
              </w:tc>
              <w:tc>
                <w:tcPr>
                  <w:tcW w:w="541" w:type="pct"/>
                  <w:tcBorders>
                    <w:tl2br w:val="nil"/>
                    <w:tr2bl w:val="nil"/>
                  </w:tcBorders>
                  <w:noWrap w:val="0"/>
                  <w:vAlign w:val="center"/>
                </w:tcPr>
                <w:p w14:paraId="4FC5A60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10万</w:t>
                  </w:r>
                </w:p>
              </w:tc>
              <w:tc>
                <w:tcPr>
                  <w:tcW w:w="714" w:type="pct"/>
                  <w:tcBorders>
                    <w:tl2br w:val="nil"/>
                    <w:tr2bl w:val="nil"/>
                  </w:tcBorders>
                  <w:noWrap w:val="0"/>
                  <w:vAlign w:val="center"/>
                </w:tcPr>
                <w:p w14:paraId="315AD21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堆存，库房</w:t>
                  </w:r>
                </w:p>
              </w:tc>
              <w:tc>
                <w:tcPr>
                  <w:tcW w:w="726" w:type="pct"/>
                  <w:tcBorders>
                    <w:tl2br w:val="nil"/>
                    <w:tr2bl w:val="nil"/>
                  </w:tcBorders>
                  <w:noWrap w:val="0"/>
                  <w:vAlign w:val="center"/>
                </w:tcPr>
                <w:p w14:paraId="6593101F">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河北、内蒙古等地</w:t>
                  </w:r>
                </w:p>
              </w:tc>
              <w:tc>
                <w:tcPr>
                  <w:tcW w:w="1061" w:type="pct"/>
                  <w:tcBorders>
                    <w:tl2br w:val="nil"/>
                    <w:tr2bl w:val="nil"/>
                  </w:tcBorders>
                  <w:noWrap w:val="0"/>
                  <w:vAlign w:val="center"/>
                </w:tcPr>
                <w:p w14:paraId="5A2597B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铁矿石、大理石、花岗岩等石材</w:t>
                  </w:r>
                </w:p>
              </w:tc>
            </w:tr>
            <w:tr w14:paraId="31B7059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98" w:type="pct"/>
                  <w:tcBorders>
                    <w:tl2br w:val="nil"/>
                    <w:tr2bl w:val="nil"/>
                  </w:tcBorders>
                  <w:noWrap w:val="0"/>
                  <w:vAlign w:val="center"/>
                </w:tcPr>
                <w:p w14:paraId="287DA9F1">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eastAsia" w:ascii="Times New Roman" w:hAnsi="Times New Roman" w:eastAsia="宋体" w:cs="Times New Roman"/>
                      <w:kern w:val="2"/>
                      <w:sz w:val="21"/>
                      <w:szCs w:val="21"/>
                      <w:highlight w:val="none"/>
                      <w:lang w:val="en-US" w:eastAsia="zh-CN" w:bidi="ar-SA"/>
                    </w:rPr>
                  </w:pPr>
                  <w:r>
                    <w:rPr>
                      <w:rFonts w:hint="eastAsia" w:cs="Times New Roman"/>
                      <w:kern w:val="2"/>
                      <w:sz w:val="21"/>
                      <w:szCs w:val="21"/>
                      <w:lang w:val="en-US" w:eastAsia="zh-CN" w:bidi="ar-SA"/>
                    </w:rPr>
                    <w:t>4</w:t>
                  </w:r>
                </w:p>
              </w:tc>
              <w:tc>
                <w:tcPr>
                  <w:tcW w:w="533" w:type="pct"/>
                  <w:tcBorders>
                    <w:tl2br w:val="nil"/>
                    <w:tr2bl w:val="nil"/>
                  </w:tcBorders>
                  <w:noWrap w:val="0"/>
                  <w:vAlign w:val="center"/>
                </w:tcPr>
                <w:p w14:paraId="422A2479">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润滑油</w:t>
                  </w:r>
                </w:p>
              </w:tc>
              <w:tc>
                <w:tcPr>
                  <w:tcW w:w="523" w:type="pct"/>
                  <w:tcBorders>
                    <w:tl2br w:val="nil"/>
                    <w:tr2bl w:val="nil"/>
                  </w:tcBorders>
                  <w:noWrap w:val="0"/>
                  <w:vAlign w:val="center"/>
                </w:tcPr>
                <w:p w14:paraId="6256F09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t/a</w:t>
                  </w:r>
                </w:p>
              </w:tc>
              <w:tc>
                <w:tcPr>
                  <w:tcW w:w="600" w:type="pct"/>
                  <w:tcBorders>
                    <w:tl2br w:val="nil"/>
                    <w:tr2bl w:val="nil"/>
                  </w:tcBorders>
                  <w:noWrap w:val="0"/>
                  <w:vAlign w:val="center"/>
                </w:tcPr>
                <w:p w14:paraId="0EF1350E">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0.75</w:t>
                  </w:r>
                </w:p>
              </w:tc>
              <w:tc>
                <w:tcPr>
                  <w:tcW w:w="541" w:type="pct"/>
                  <w:tcBorders>
                    <w:tl2br w:val="nil"/>
                    <w:tr2bl w:val="nil"/>
                  </w:tcBorders>
                  <w:noWrap w:val="0"/>
                  <w:vAlign w:val="center"/>
                </w:tcPr>
                <w:p w14:paraId="0F5BD91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w:t>
                  </w:r>
                </w:p>
              </w:tc>
              <w:tc>
                <w:tcPr>
                  <w:tcW w:w="714" w:type="pct"/>
                  <w:tcBorders>
                    <w:tl2br w:val="nil"/>
                    <w:tr2bl w:val="nil"/>
                  </w:tcBorders>
                  <w:noWrap w:val="0"/>
                  <w:vAlign w:val="center"/>
                </w:tcPr>
                <w:p w14:paraId="1FF905D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桶装，随用随买，不储存</w:t>
                  </w:r>
                </w:p>
              </w:tc>
              <w:tc>
                <w:tcPr>
                  <w:tcW w:w="726" w:type="pct"/>
                  <w:tcBorders>
                    <w:tl2br w:val="nil"/>
                    <w:tr2bl w:val="nil"/>
                  </w:tcBorders>
                  <w:noWrap w:val="0"/>
                  <w:vAlign w:val="center"/>
                </w:tcPr>
                <w:p w14:paraId="08AA99E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外购</w:t>
                  </w:r>
                </w:p>
              </w:tc>
              <w:tc>
                <w:tcPr>
                  <w:tcW w:w="1061" w:type="pct"/>
                  <w:tcBorders>
                    <w:tl2br w:val="nil"/>
                    <w:tr2bl w:val="nil"/>
                  </w:tcBorders>
                  <w:noWrap w:val="0"/>
                  <w:vAlign w:val="center"/>
                </w:tcPr>
                <w:p w14:paraId="775556C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设备维护保养使用</w:t>
                  </w:r>
                </w:p>
              </w:tc>
            </w:tr>
            <w:tr w14:paraId="383C067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98" w:type="pct"/>
                  <w:tcBorders>
                    <w:tl2br w:val="nil"/>
                    <w:tr2bl w:val="nil"/>
                  </w:tcBorders>
                  <w:shd w:val="clear" w:color="auto" w:fill="auto"/>
                  <w:noWrap w:val="0"/>
                  <w:vAlign w:val="center"/>
                </w:tcPr>
                <w:p w14:paraId="755E2D93">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eastAsia"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lang w:val="en-US" w:eastAsia="zh-CN" w:bidi="ar-SA"/>
                    </w:rPr>
                    <w:t>5</w:t>
                  </w:r>
                </w:p>
              </w:tc>
              <w:tc>
                <w:tcPr>
                  <w:tcW w:w="533" w:type="pct"/>
                  <w:tcBorders>
                    <w:tl2br w:val="nil"/>
                    <w:tr2bl w:val="nil"/>
                  </w:tcBorders>
                  <w:noWrap w:val="0"/>
                  <w:vAlign w:val="center"/>
                </w:tcPr>
                <w:p w14:paraId="57580C8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压滤机滤布</w:t>
                  </w:r>
                </w:p>
              </w:tc>
              <w:tc>
                <w:tcPr>
                  <w:tcW w:w="523" w:type="pct"/>
                  <w:tcBorders>
                    <w:tl2br w:val="nil"/>
                    <w:tr2bl w:val="nil"/>
                  </w:tcBorders>
                  <w:shd w:val="clear" w:color="auto" w:fill="auto"/>
                  <w:noWrap w:val="0"/>
                  <w:vAlign w:val="center"/>
                </w:tcPr>
                <w:p w14:paraId="12F6B178">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eastAsia" w:ascii="Times New Roman" w:hAnsi="Times New Roman" w:eastAsia="宋体" w:cs="Times New Roman"/>
                      <w:color w:val="auto"/>
                      <w:kern w:val="2"/>
                      <w:sz w:val="21"/>
                      <w:szCs w:val="21"/>
                      <w:highlight w:val="none"/>
                      <w:lang w:val="en-US" w:eastAsia="zh-CN" w:bidi="ar-SA"/>
                    </w:rPr>
                  </w:pPr>
                  <w:r>
                    <w:rPr>
                      <w:rFonts w:hint="eastAsia" w:cs="Times New Roman"/>
                      <w:b w:val="0"/>
                      <w:bCs w:val="0"/>
                      <w:color w:val="auto"/>
                      <w:kern w:val="0"/>
                      <w:sz w:val="21"/>
                      <w:szCs w:val="21"/>
                      <w:highlight w:val="none"/>
                      <w:vertAlign w:val="baseline"/>
                      <w:lang w:val="en-US" w:eastAsia="zh-CN" w:bidi="ar"/>
                    </w:rPr>
                    <w:t>t/a</w:t>
                  </w:r>
                </w:p>
              </w:tc>
              <w:tc>
                <w:tcPr>
                  <w:tcW w:w="600" w:type="pct"/>
                  <w:tcBorders>
                    <w:tl2br w:val="nil"/>
                    <w:tr2bl w:val="nil"/>
                  </w:tcBorders>
                  <w:noWrap w:val="0"/>
                  <w:vAlign w:val="center"/>
                </w:tcPr>
                <w:p w14:paraId="4E63CDE9">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0.5t</w:t>
                  </w:r>
                </w:p>
              </w:tc>
              <w:tc>
                <w:tcPr>
                  <w:tcW w:w="541" w:type="pct"/>
                  <w:tcBorders>
                    <w:tl2br w:val="nil"/>
                    <w:tr2bl w:val="nil"/>
                  </w:tcBorders>
                  <w:noWrap w:val="0"/>
                  <w:vAlign w:val="center"/>
                </w:tcPr>
                <w:p w14:paraId="74B677C8">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w:t>
                  </w:r>
                </w:p>
              </w:tc>
              <w:tc>
                <w:tcPr>
                  <w:tcW w:w="714" w:type="pct"/>
                  <w:tcBorders>
                    <w:tl2br w:val="nil"/>
                    <w:tr2bl w:val="nil"/>
                  </w:tcBorders>
                  <w:noWrap w:val="0"/>
                  <w:vAlign w:val="center"/>
                </w:tcPr>
                <w:p w14:paraId="76A7C85E">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库房</w:t>
                  </w:r>
                </w:p>
              </w:tc>
              <w:tc>
                <w:tcPr>
                  <w:tcW w:w="726" w:type="pct"/>
                  <w:tcBorders>
                    <w:tl2br w:val="nil"/>
                    <w:tr2bl w:val="nil"/>
                  </w:tcBorders>
                  <w:noWrap w:val="0"/>
                  <w:vAlign w:val="center"/>
                </w:tcPr>
                <w:p w14:paraId="2F702A6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外购</w:t>
                  </w:r>
                </w:p>
              </w:tc>
              <w:tc>
                <w:tcPr>
                  <w:tcW w:w="1061" w:type="pct"/>
                  <w:tcBorders>
                    <w:tl2br w:val="nil"/>
                    <w:tr2bl w:val="nil"/>
                  </w:tcBorders>
                  <w:noWrap w:val="0"/>
                  <w:vAlign w:val="center"/>
                </w:tcPr>
                <w:p w14:paraId="00152568">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压滤机使用</w:t>
                  </w:r>
                </w:p>
              </w:tc>
            </w:tr>
            <w:tr w14:paraId="1949D03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98" w:type="pct"/>
                  <w:tcBorders>
                    <w:tl2br w:val="nil"/>
                    <w:tr2bl w:val="nil"/>
                  </w:tcBorders>
                  <w:shd w:val="clear" w:color="auto" w:fill="auto"/>
                  <w:noWrap w:val="0"/>
                  <w:vAlign w:val="center"/>
                </w:tcPr>
                <w:p w14:paraId="6C825787">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eastAsia" w:ascii="Times New Roman" w:hAnsi="Times New Roman" w:eastAsia="宋体" w:cs="Times New Roman"/>
                      <w:kern w:val="2"/>
                      <w:sz w:val="21"/>
                      <w:szCs w:val="21"/>
                      <w:highlight w:val="none"/>
                      <w:lang w:val="en-US" w:eastAsia="zh-CN" w:bidi="ar-SA"/>
                    </w:rPr>
                  </w:pPr>
                  <w:r>
                    <w:rPr>
                      <w:rFonts w:hint="eastAsia" w:cs="Times New Roman"/>
                      <w:kern w:val="2"/>
                      <w:sz w:val="21"/>
                      <w:szCs w:val="21"/>
                      <w:highlight w:val="none"/>
                      <w:lang w:val="en-US" w:eastAsia="zh-CN" w:bidi="ar-SA"/>
                    </w:rPr>
                    <w:t>6</w:t>
                  </w:r>
                </w:p>
              </w:tc>
              <w:tc>
                <w:tcPr>
                  <w:tcW w:w="533" w:type="pct"/>
                  <w:tcBorders>
                    <w:tl2br w:val="nil"/>
                    <w:tr2bl w:val="nil"/>
                  </w:tcBorders>
                  <w:noWrap w:val="0"/>
                  <w:vAlign w:val="center"/>
                </w:tcPr>
                <w:p w14:paraId="65C709B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除尘器布袋</w:t>
                  </w:r>
                </w:p>
              </w:tc>
              <w:tc>
                <w:tcPr>
                  <w:tcW w:w="523" w:type="pct"/>
                  <w:tcBorders>
                    <w:tl2br w:val="nil"/>
                    <w:tr2bl w:val="nil"/>
                  </w:tcBorders>
                  <w:shd w:val="clear" w:color="auto" w:fill="auto"/>
                  <w:noWrap w:val="0"/>
                  <w:vAlign w:val="center"/>
                </w:tcPr>
                <w:p w14:paraId="2827973C">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eastAsia" w:ascii="Times New Roman" w:hAnsi="Times New Roman" w:eastAsia="宋体" w:cs="Times New Roman"/>
                      <w:color w:val="auto"/>
                      <w:kern w:val="2"/>
                      <w:sz w:val="21"/>
                      <w:szCs w:val="21"/>
                      <w:highlight w:val="none"/>
                      <w:lang w:val="en-US" w:eastAsia="zh-CN" w:bidi="ar-SA"/>
                    </w:rPr>
                  </w:pPr>
                  <w:r>
                    <w:rPr>
                      <w:rFonts w:hint="eastAsia" w:cs="Times New Roman"/>
                      <w:b w:val="0"/>
                      <w:bCs w:val="0"/>
                      <w:color w:val="auto"/>
                      <w:kern w:val="0"/>
                      <w:sz w:val="21"/>
                      <w:szCs w:val="21"/>
                      <w:highlight w:val="none"/>
                      <w:vertAlign w:val="baseline"/>
                      <w:lang w:val="en-US" w:eastAsia="zh-CN" w:bidi="ar"/>
                    </w:rPr>
                    <w:t>t/a</w:t>
                  </w:r>
                </w:p>
              </w:tc>
              <w:tc>
                <w:tcPr>
                  <w:tcW w:w="600" w:type="pct"/>
                  <w:tcBorders>
                    <w:tl2br w:val="nil"/>
                    <w:tr2bl w:val="nil"/>
                  </w:tcBorders>
                  <w:noWrap w:val="0"/>
                  <w:vAlign w:val="center"/>
                </w:tcPr>
                <w:p w14:paraId="7AD8A860">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default"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0.25t</w:t>
                  </w:r>
                </w:p>
              </w:tc>
              <w:tc>
                <w:tcPr>
                  <w:tcW w:w="541" w:type="pct"/>
                  <w:tcBorders>
                    <w:tl2br w:val="nil"/>
                    <w:tr2bl w:val="nil"/>
                  </w:tcBorders>
                  <w:noWrap w:val="0"/>
                  <w:vAlign w:val="center"/>
                </w:tcPr>
                <w:p w14:paraId="2D063B4C">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w:t>
                  </w:r>
                </w:p>
              </w:tc>
              <w:tc>
                <w:tcPr>
                  <w:tcW w:w="714" w:type="pct"/>
                  <w:tcBorders>
                    <w:tl2br w:val="nil"/>
                    <w:tr2bl w:val="nil"/>
                  </w:tcBorders>
                  <w:noWrap w:val="0"/>
                  <w:vAlign w:val="center"/>
                </w:tcPr>
                <w:p w14:paraId="67B0EFC3">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库房</w:t>
                  </w:r>
                </w:p>
              </w:tc>
              <w:tc>
                <w:tcPr>
                  <w:tcW w:w="726" w:type="pct"/>
                  <w:tcBorders>
                    <w:tl2br w:val="nil"/>
                    <w:tr2bl w:val="nil"/>
                  </w:tcBorders>
                  <w:noWrap w:val="0"/>
                  <w:vAlign w:val="center"/>
                </w:tcPr>
                <w:p w14:paraId="6AFA5B4C">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外购</w:t>
                  </w:r>
                </w:p>
              </w:tc>
              <w:tc>
                <w:tcPr>
                  <w:tcW w:w="1061" w:type="pct"/>
                  <w:tcBorders>
                    <w:tl2br w:val="nil"/>
                    <w:tr2bl w:val="nil"/>
                  </w:tcBorders>
                  <w:noWrap w:val="0"/>
                  <w:vAlign w:val="center"/>
                </w:tcPr>
                <w:p w14:paraId="08477683">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除尘器使用</w:t>
                  </w:r>
                </w:p>
              </w:tc>
            </w:tr>
            <w:tr w14:paraId="42BBAA9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2" w:hRule="atLeast"/>
                <w:jc w:val="center"/>
              </w:trPr>
              <w:tc>
                <w:tcPr>
                  <w:tcW w:w="298" w:type="pct"/>
                  <w:tcBorders>
                    <w:tl2br w:val="nil"/>
                    <w:tr2bl w:val="nil"/>
                  </w:tcBorders>
                  <w:noWrap w:val="0"/>
                  <w:vAlign w:val="center"/>
                </w:tcPr>
                <w:p w14:paraId="6D73D5AD">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default" w:ascii="Times New Roman" w:hAnsi="Times New Roman" w:eastAsia="宋体" w:cs="Times New Roman"/>
                      <w:kern w:val="2"/>
                      <w:sz w:val="21"/>
                      <w:szCs w:val="21"/>
                      <w:highlight w:val="none"/>
                      <w:lang w:val="en-US" w:eastAsia="zh-CN" w:bidi="ar-SA"/>
                    </w:rPr>
                  </w:pPr>
                  <w:r>
                    <w:rPr>
                      <w:rFonts w:hint="eastAsia" w:cs="Times New Roman"/>
                      <w:kern w:val="2"/>
                      <w:sz w:val="21"/>
                      <w:szCs w:val="21"/>
                      <w:highlight w:val="none"/>
                      <w:lang w:val="en-US" w:eastAsia="zh-CN" w:bidi="ar-SA"/>
                    </w:rPr>
                    <w:t>7</w:t>
                  </w:r>
                </w:p>
              </w:tc>
              <w:tc>
                <w:tcPr>
                  <w:tcW w:w="533" w:type="pct"/>
                  <w:tcBorders>
                    <w:tl2br w:val="nil"/>
                    <w:tr2bl w:val="nil"/>
                  </w:tcBorders>
                  <w:noWrap w:val="0"/>
                  <w:vAlign w:val="center"/>
                </w:tcPr>
                <w:p w14:paraId="30642EA4">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新水</w:t>
                  </w:r>
                </w:p>
              </w:tc>
              <w:tc>
                <w:tcPr>
                  <w:tcW w:w="523" w:type="pct"/>
                  <w:tcBorders>
                    <w:tl2br w:val="nil"/>
                    <w:tr2bl w:val="nil"/>
                  </w:tcBorders>
                  <w:noWrap w:val="0"/>
                  <w:vAlign w:val="center"/>
                </w:tcPr>
                <w:p w14:paraId="699CBB84">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t/a</w:t>
                  </w:r>
                </w:p>
              </w:tc>
              <w:tc>
                <w:tcPr>
                  <w:tcW w:w="600" w:type="pct"/>
                  <w:tcBorders>
                    <w:tl2br w:val="nil"/>
                    <w:tr2bl w:val="nil"/>
                  </w:tcBorders>
                  <w:noWrap w:val="0"/>
                  <w:vAlign w:val="center"/>
                </w:tcPr>
                <w:p w14:paraId="64821EEE">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default"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55695</w:t>
                  </w:r>
                </w:p>
              </w:tc>
              <w:tc>
                <w:tcPr>
                  <w:tcW w:w="541" w:type="pct"/>
                  <w:tcBorders>
                    <w:tl2br w:val="nil"/>
                    <w:tr2bl w:val="nil"/>
                  </w:tcBorders>
                  <w:noWrap w:val="0"/>
                  <w:vAlign w:val="center"/>
                </w:tcPr>
                <w:p w14:paraId="020A859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w:t>
                  </w:r>
                </w:p>
              </w:tc>
              <w:tc>
                <w:tcPr>
                  <w:tcW w:w="714" w:type="pct"/>
                  <w:tcBorders>
                    <w:tl2br w:val="nil"/>
                    <w:tr2bl w:val="nil"/>
                  </w:tcBorders>
                  <w:noWrap w:val="0"/>
                  <w:vAlign w:val="center"/>
                </w:tcPr>
                <w:p w14:paraId="34427C0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w:t>
                  </w:r>
                </w:p>
              </w:tc>
              <w:tc>
                <w:tcPr>
                  <w:tcW w:w="726" w:type="pct"/>
                  <w:tcBorders>
                    <w:tl2br w:val="nil"/>
                    <w:tr2bl w:val="nil"/>
                  </w:tcBorders>
                  <w:noWrap w:val="0"/>
                  <w:vAlign w:val="center"/>
                </w:tcPr>
                <w:p w14:paraId="2BE37CAC">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市政供水管网</w:t>
                  </w:r>
                </w:p>
              </w:tc>
              <w:tc>
                <w:tcPr>
                  <w:tcW w:w="1061" w:type="pct"/>
                  <w:tcBorders>
                    <w:tl2br w:val="nil"/>
                    <w:tr2bl w:val="nil"/>
                  </w:tcBorders>
                  <w:noWrap w:val="0"/>
                  <w:vAlign w:val="center"/>
                </w:tcPr>
                <w:p w14:paraId="64D7382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市政供水管网提供</w:t>
                  </w:r>
                </w:p>
              </w:tc>
            </w:tr>
            <w:tr w14:paraId="5FEDA00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98" w:type="pct"/>
                  <w:tcBorders>
                    <w:tl2br w:val="nil"/>
                    <w:tr2bl w:val="nil"/>
                  </w:tcBorders>
                  <w:noWrap w:val="0"/>
                  <w:vAlign w:val="center"/>
                </w:tcPr>
                <w:p w14:paraId="7BD64524">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default" w:ascii="Times New Roman" w:hAnsi="Times New Roman" w:eastAsia="宋体" w:cs="Times New Roman"/>
                      <w:kern w:val="2"/>
                      <w:sz w:val="21"/>
                      <w:szCs w:val="21"/>
                      <w:highlight w:val="none"/>
                      <w:lang w:val="en-US" w:eastAsia="zh-CN" w:bidi="ar-SA"/>
                    </w:rPr>
                  </w:pPr>
                  <w:r>
                    <w:rPr>
                      <w:rFonts w:hint="eastAsia" w:cs="Times New Roman"/>
                      <w:kern w:val="2"/>
                      <w:sz w:val="21"/>
                      <w:szCs w:val="21"/>
                      <w:highlight w:val="none"/>
                      <w:lang w:val="en-US" w:eastAsia="zh-CN" w:bidi="ar-SA"/>
                    </w:rPr>
                    <w:t>8</w:t>
                  </w:r>
                </w:p>
              </w:tc>
              <w:tc>
                <w:tcPr>
                  <w:tcW w:w="533" w:type="pct"/>
                  <w:tcBorders>
                    <w:tl2br w:val="nil"/>
                    <w:tr2bl w:val="nil"/>
                  </w:tcBorders>
                  <w:noWrap w:val="0"/>
                  <w:vAlign w:val="center"/>
                </w:tcPr>
                <w:p w14:paraId="110AFF74">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电</w:t>
                  </w:r>
                </w:p>
              </w:tc>
              <w:tc>
                <w:tcPr>
                  <w:tcW w:w="523" w:type="pct"/>
                  <w:tcBorders>
                    <w:tl2br w:val="nil"/>
                    <w:tr2bl w:val="nil"/>
                  </w:tcBorders>
                  <w:noWrap w:val="0"/>
                  <w:vAlign w:val="center"/>
                </w:tcPr>
                <w:p w14:paraId="0362B404">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万kW</w:t>
                  </w:r>
                  <w:r>
                    <w:rPr>
                      <w:rFonts w:hint="default" w:ascii="Times New Roman" w:hAnsi="Times New Roman" w:cs="Times New Roman"/>
                      <w:b w:val="0"/>
                      <w:bCs w:val="0"/>
                      <w:color w:val="000000"/>
                      <w:kern w:val="0"/>
                      <w:sz w:val="21"/>
                      <w:szCs w:val="21"/>
                      <w:highlight w:val="none"/>
                      <w:vertAlign w:val="baseline"/>
                      <w:lang w:val="en-US" w:eastAsia="zh-CN" w:bidi="ar"/>
                    </w:rPr>
                    <w:t>·</w:t>
                  </w:r>
                  <w:r>
                    <w:rPr>
                      <w:rFonts w:hint="eastAsia" w:cs="Times New Roman"/>
                      <w:b w:val="0"/>
                      <w:bCs w:val="0"/>
                      <w:color w:val="000000"/>
                      <w:kern w:val="0"/>
                      <w:sz w:val="21"/>
                      <w:szCs w:val="21"/>
                      <w:highlight w:val="none"/>
                      <w:vertAlign w:val="baseline"/>
                      <w:lang w:val="en-US" w:eastAsia="zh-CN" w:bidi="ar"/>
                    </w:rPr>
                    <w:t>h/a</w:t>
                  </w:r>
                </w:p>
              </w:tc>
              <w:tc>
                <w:tcPr>
                  <w:tcW w:w="600" w:type="pct"/>
                  <w:tcBorders>
                    <w:tl2br w:val="nil"/>
                    <w:tr2bl w:val="nil"/>
                  </w:tcBorders>
                  <w:noWrap w:val="0"/>
                  <w:vAlign w:val="center"/>
                </w:tcPr>
                <w:p w14:paraId="6DF60829">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eastAsia" w:ascii="Times New Roman" w:hAnsi="Times New Roman" w:cs="Times New Roman"/>
                      <w:b w:val="0"/>
                      <w:bCs w:val="0"/>
                      <w:color w:val="000000"/>
                      <w:kern w:val="0"/>
                      <w:sz w:val="21"/>
                      <w:szCs w:val="21"/>
                      <w:highlight w:val="none"/>
                      <w:vertAlign w:val="baseline"/>
                      <w:lang w:val="en-US" w:eastAsia="zh-CN" w:bidi="ar"/>
                    </w:rPr>
                    <w:t>285.05</w:t>
                  </w:r>
                </w:p>
              </w:tc>
              <w:tc>
                <w:tcPr>
                  <w:tcW w:w="541" w:type="pct"/>
                  <w:tcBorders>
                    <w:tl2br w:val="nil"/>
                    <w:tr2bl w:val="nil"/>
                  </w:tcBorders>
                  <w:noWrap w:val="0"/>
                  <w:vAlign w:val="center"/>
                </w:tcPr>
                <w:p w14:paraId="4579522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w:t>
                  </w:r>
                </w:p>
              </w:tc>
              <w:tc>
                <w:tcPr>
                  <w:tcW w:w="714" w:type="pct"/>
                  <w:tcBorders>
                    <w:tl2br w:val="nil"/>
                    <w:tr2bl w:val="nil"/>
                  </w:tcBorders>
                  <w:noWrap w:val="0"/>
                  <w:vAlign w:val="center"/>
                </w:tcPr>
                <w:p w14:paraId="0D89415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w:t>
                  </w:r>
                </w:p>
              </w:tc>
              <w:tc>
                <w:tcPr>
                  <w:tcW w:w="726" w:type="pct"/>
                  <w:tcBorders>
                    <w:tl2br w:val="nil"/>
                    <w:tr2bl w:val="nil"/>
                  </w:tcBorders>
                  <w:noWrap w:val="0"/>
                  <w:vAlign w:val="center"/>
                </w:tcPr>
                <w:p w14:paraId="36DFBAD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当地电网</w:t>
                  </w:r>
                </w:p>
              </w:tc>
              <w:tc>
                <w:tcPr>
                  <w:tcW w:w="1061" w:type="pct"/>
                  <w:tcBorders>
                    <w:tl2br w:val="nil"/>
                    <w:tr2bl w:val="nil"/>
                  </w:tcBorders>
                  <w:noWrap w:val="0"/>
                  <w:vAlign w:val="center"/>
                </w:tcPr>
                <w:p w14:paraId="6E2CA2F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当地电网提供</w:t>
                  </w:r>
                </w:p>
              </w:tc>
            </w:tr>
          </w:tbl>
          <w:p w14:paraId="5BA8514B">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cs="Times New Roman"/>
                <w:b w:val="0"/>
                <w:bCs w:val="0"/>
                <w:color w:val="0000FF"/>
                <w:kern w:val="0"/>
                <w:sz w:val="24"/>
                <w:szCs w:val="24"/>
                <w:highlight w:val="none"/>
                <w:lang w:val="en-US" w:eastAsia="zh-CN" w:bidi="ar"/>
              </w:rPr>
            </w:pPr>
            <w:r>
              <w:rPr>
                <w:rFonts w:hint="eastAsia" w:ascii="Times New Roman" w:hAnsi="Times New Roman" w:eastAsia="宋体" w:cs="Times New Roman"/>
                <w:b w:val="0"/>
                <w:bCs w:val="0"/>
                <w:color w:val="000000"/>
                <w:kern w:val="0"/>
                <w:sz w:val="24"/>
                <w:szCs w:val="24"/>
                <w:highlight w:val="none"/>
                <w:lang w:val="en-US" w:eastAsia="zh-CN" w:bidi="ar"/>
              </w:rPr>
              <w:t>煤炭堆存区有效容积核算：1#厂房内储存煤炭，厂房为东西向布置，南北两侧每隔</w:t>
            </w:r>
            <w:r>
              <w:rPr>
                <w:rFonts w:hint="default" w:ascii="Times New Roman" w:hAnsi="Times New Roman" w:eastAsia="宋体" w:cs="Times New Roman"/>
                <w:b w:val="0"/>
                <w:bCs w:val="0"/>
                <w:color w:val="000000"/>
                <w:kern w:val="0"/>
                <w:sz w:val="24"/>
                <w:szCs w:val="24"/>
                <w:highlight w:val="none"/>
                <w:lang w:val="en-US" w:eastAsia="zh-CN" w:bidi="ar"/>
              </w:rPr>
              <w:t>48m</w:t>
            </w:r>
            <w:r>
              <w:rPr>
                <w:rFonts w:hint="eastAsia" w:ascii="Times New Roman" w:hAnsi="Times New Roman" w:eastAsia="宋体" w:cs="Times New Roman"/>
                <w:b w:val="0"/>
                <w:bCs w:val="0"/>
                <w:color w:val="000000"/>
                <w:kern w:val="0"/>
                <w:sz w:val="24"/>
                <w:szCs w:val="24"/>
                <w:highlight w:val="none"/>
                <w:lang w:val="en-US" w:eastAsia="zh-CN" w:bidi="ar"/>
              </w:rPr>
              <w:t>设置一个出入口，厂房内车道宽</w:t>
            </w:r>
            <w:r>
              <w:rPr>
                <w:rFonts w:hint="default" w:ascii="Times New Roman" w:hAnsi="Times New Roman" w:eastAsia="宋体" w:cs="Times New Roman"/>
                <w:b w:val="0"/>
                <w:bCs w:val="0"/>
                <w:color w:val="000000"/>
                <w:kern w:val="0"/>
                <w:sz w:val="24"/>
                <w:szCs w:val="24"/>
                <w:highlight w:val="none"/>
                <w:lang w:val="en-US" w:eastAsia="zh-CN" w:bidi="ar"/>
              </w:rPr>
              <w:t>8m</w:t>
            </w:r>
            <w:r>
              <w:rPr>
                <w:rFonts w:hint="eastAsia" w:ascii="Times New Roman" w:hAnsi="Times New Roman" w:eastAsia="宋体" w:cs="Times New Roman"/>
                <w:b w:val="0"/>
                <w:bCs w:val="0"/>
                <w:color w:val="000000"/>
                <w:kern w:val="0"/>
                <w:sz w:val="24"/>
                <w:szCs w:val="24"/>
                <w:highlight w:val="none"/>
                <w:lang w:val="en-US" w:eastAsia="zh-CN" w:bidi="ar"/>
              </w:rPr>
              <w:t>，每两个出入口之间为堆存区，</w:t>
            </w:r>
            <w:r>
              <w:rPr>
                <w:rFonts w:hint="eastAsia" w:cs="Times New Roman"/>
                <w:b w:val="0"/>
                <w:bCs w:val="0"/>
                <w:color w:val="000000"/>
                <w:kern w:val="0"/>
                <w:sz w:val="24"/>
                <w:szCs w:val="24"/>
                <w:highlight w:val="none"/>
                <w:lang w:val="en-US" w:eastAsia="zh-CN" w:bidi="ar"/>
              </w:rPr>
              <w:t>设置</w:t>
            </w:r>
            <w:r>
              <w:rPr>
                <w:rFonts w:hint="default" w:ascii="Times New Roman" w:hAnsi="Times New Roman" w:eastAsia="宋体" w:cs="Times New Roman"/>
                <w:b w:val="0"/>
                <w:bCs w:val="0"/>
                <w:color w:val="000000"/>
                <w:kern w:val="0"/>
                <w:sz w:val="24"/>
                <w:szCs w:val="24"/>
                <w:highlight w:val="none"/>
                <w:lang w:val="en-US" w:eastAsia="zh-CN" w:bidi="ar"/>
              </w:rPr>
              <w:t>40m</w:t>
            </w:r>
            <w:r>
              <w:rPr>
                <w:rFonts w:hint="eastAsia" w:ascii="Times New Roman" w:hAnsi="Times New Roman" w:eastAsia="宋体" w:cs="Times New Roman"/>
                <w:b w:val="0"/>
                <w:bCs w:val="0"/>
                <w:color w:val="000000"/>
                <w:kern w:val="0"/>
                <w:sz w:val="24"/>
                <w:szCs w:val="24"/>
                <w:highlight w:val="none"/>
                <w:lang w:val="en-US" w:eastAsia="zh-CN" w:bidi="ar"/>
              </w:rPr>
              <w:t>×</w:t>
            </w:r>
            <w:r>
              <w:rPr>
                <w:rFonts w:hint="default" w:ascii="Times New Roman" w:hAnsi="Times New Roman" w:eastAsia="宋体" w:cs="Times New Roman"/>
                <w:b w:val="0"/>
                <w:bCs w:val="0"/>
                <w:color w:val="000000"/>
                <w:kern w:val="0"/>
                <w:sz w:val="24"/>
                <w:szCs w:val="24"/>
                <w:highlight w:val="none"/>
                <w:lang w:val="en-US" w:eastAsia="zh-CN" w:bidi="ar"/>
              </w:rPr>
              <w:t>80m</w:t>
            </w:r>
            <w:r>
              <w:rPr>
                <w:rFonts w:hint="eastAsia" w:ascii="Times New Roman" w:hAnsi="Times New Roman" w:eastAsia="宋体" w:cs="Times New Roman"/>
                <w:b w:val="0"/>
                <w:bCs w:val="0"/>
                <w:color w:val="000000"/>
                <w:kern w:val="0"/>
                <w:sz w:val="24"/>
                <w:szCs w:val="24"/>
                <w:highlight w:val="none"/>
                <w:lang w:val="en-US" w:eastAsia="zh-CN" w:bidi="ar"/>
              </w:rPr>
              <w:t>尺寸</w:t>
            </w:r>
            <w:r>
              <w:rPr>
                <w:rFonts w:hint="eastAsia" w:cs="Times New Roman"/>
                <w:b w:val="0"/>
                <w:bCs w:val="0"/>
                <w:color w:val="000000"/>
                <w:kern w:val="0"/>
                <w:sz w:val="24"/>
                <w:szCs w:val="24"/>
                <w:highlight w:val="none"/>
                <w:lang w:val="en-US" w:eastAsia="zh-CN" w:bidi="ar"/>
              </w:rPr>
              <w:t>堆存区4个，</w:t>
            </w:r>
            <w:r>
              <w:rPr>
                <w:rFonts w:hint="default" w:ascii="Times New Roman" w:hAnsi="Times New Roman" w:eastAsia="宋体" w:cs="Times New Roman"/>
                <w:b w:val="0"/>
                <w:bCs w:val="0"/>
                <w:color w:val="000000"/>
                <w:kern w:val="0"/>
                <w:sz w:val="24"/>
                <w:szCs w:val="24"/>
                <w:highlight w:val="none"/>
                <w:lang w:val="en-US" w:eastAsia="zh-CN" w:bidi="ar"/>
              </w:rPr>
              <w:t>28m</w:t>
            </w:r>
            <w:r>
              <w:rPr>
                <w:rFonts w:hint="eastAsia" w:ascii="Times New Roman" w:hAnsi="Times New Roman" w:eastAsia="宋体" w:cs="Times New Roman"/>
                <w:b w:val="0"/>
                <w:bCs w:val="0"/>
                <w:color w:val="000000"/>
                <w:kern w:val="0"/>
                <w:sz w:val="24"/>
                <w:szCs w:val="24"/>
                <w:highlight w:val="none"/>
                <w:lang w:val="en-US" w:eastAsia="zh-CN" w:bidi="ar"/>
              </w:rPr>
              <w:t>×</w:t>
            </w:r>
            <w:r>
              <w:rPr>
                <w:rFonts w:hint="default" w:ascii="Times New Roman" w:hAnsi="Times New Roman" w:eastAsia="宋体" w:cs="Times New Roman"/>
                <w:b w:val="0"/>
                <w:bCs w:val="0"/>
                <w:color w:val="000000"/>
                <w:kern w:val="0"/>
                <w:sz w:val="24"/>
                <w:szCs w:val="24"/>
                <w:highlight w:val="none"/>
                <w:lang w:val="en-US" w:eastAsia="zh-CN" w:bidi="ar"/>
              </w:rPr>
              <w:t>80m</w:t>
            </w:r>
            <w:r>
              <w:rPr>
                <w:rFonts w:hint="eastAsia" w:ascii="Times New Roman" w:hAnsi="Times New Roman" w:eastAsia="宋体" w:cs="Times New Roman"/>
                <w:b w:val="0"/>
                <w:bCs w:val="0"/>
                <w:color w:val="000000"/>
                <w:kern w:val="0"/>
                <w:sz w:val="24"/>
                <w:szCs w:val="24"/>
                <w:highlight w:val="none"/>
                <w:lang w:val="en-US" w:eastAsia="zh-CN" w:bidi="ar"/>
              </w:rPr>
              <w:t>尺寸</w:t>
            </w:r>
            <w:r>
              <w:rPr>
                <w:rFonts w:hint="eastAsia" w:cs="Times New Roman"/>
                <w:b w:val="0"/>
                <w:bCs w:val="0"/>
                <w:color w:val="000000"/>
                <w:kern w:val="0"/>
                <w:sz w:val="24"/>
                <w:szCs w:val="24"/>
                <w:highlight w:val="none"/>
                <w:lang w:val="en-US" w:eastAsia="zh-CN" w:bidi="ar"/>
              </w:rPr>
              <w:t>堆存区2个</w:t>
            </w:r>
            <w:r>
              <w:rPr>
                <w:rFonts w:hint="eastAsia" w:ascii="Times New Roman" w:hAnsi="Times New Roman" w:eastAsia="宋体" w:cs="Times New Roman"/>
                <w:b w:val="0"/>
                <w:bCs w:val="0"/>
                <w:color w:val="000000"/>
                <w:kern w:val="0"/>
                <w:sz w:val="24"/>
                <w:szCs w:val="24"/>
                <w:highlight w:val="none"/>
                <w:lang w:val="en-US" w:eastAsia="zh-CN" w:bidi="ar"/>
              </w:rPr>
              <w:t>，厂房内其他区域为车间内道路。为保证</w:t>
            </w:r>
            <w:r>
              <w:rPr>
                <w:rFonts w:hint="eastAsia" w:cs="Times New Roman"/>
                <w:b w:val="0"/>
                <w:bCs w:val="0"/>
                <w:color w:val="000000"/>
                <w:kern w:val="0"/>
                <w:sz w:val="24"/>
                <w:szCs w:val="24"/>
                <w:highlight w:val="none"/>
                <w:lang w:val="en-US" w:eastAsia="zh-CN" w:bidi="ar"/>
              </w:rPr>
              <w:t>堆存区</w:t>
            </w:r>
            <w:r>
              <w:rPr>
                <w:rFonts w:hint="eastAsia" w:ascii="Times New Roman" w:hAnsi="Times New Roman" w:eastAsia="宋体" w:cs="Times New Roman"/>
                <w:b w:val="0"/>
                <w:bCs w:val="0"/>
                <w:color w:val="000000"/>
                <w:kern w:val="0"/>
                <w:sz w:val="24"/>
                <w:szCs w:val="24"/>
                <w:highlight w:val="none"/>
                <w:lang w:val="en-US" w:eastAsia="zh-CN" w:bidi="ar"/>
              </w:rPr>
              <w:t>有效容积达到最大，使用</w:t>
            </w:r>
            <w:r>
              <w:rPr>
                <w:rFonts w:hint="eastAsia" w:cs="Times New Roman"/>
                <w:b w:val="0"/>
                <w:bCs w:val="0"/>
                <w:color w:val="000000"/>
                <w:kern w:val="0"/>
                <w:sz w:val="24"/>
                <w:szCs w:val="24"/>
                <w:highlight w:val="none"/>
                <w:lang w:val="en-US" w:eastAsia="zh-CN" w:bidi="ar"/>
              </w:rPr>
              <w:t>新能源电动铲车</w:t>
            </w:r>
            <w:r>
              <w:rPr>
                <w:rFonts w:hint="eastAsia" w:ascii="Times New Roman" w:hAnsi="Times New Roman" w:eastAsia="宋体" w:cs="Times New Roman"/>
                <w:b w:val="0"/>
                <w:bCs w:val="0"/>
                <w:color w:val="000000"/>
                <w:kern w:val="0"/>
                <w:sz w:val="24"/>
                <w:szCs w:val="24"/>
                <w:highlight w:val="none"/>
                <w:lang w:val="en-US" w:eastAsia="zh-CN" w:bidi="ar"/>
              </w:rPr>
              <w:t>对</w:t>
            </w:r>
            <w:r>
              <w:rPr>
                <w:rFonts w:hint="eastAsia" w:cs="Times New Roman"/>
                <w:b w:val="0"/>
                <w:bCs w:val="0"/>
                <w:color w:val="000000"/>
                <w:kern w:val="0"/>
                <w:sz w:val="24"/>
                <w:szCs w:val="24"/>
                <w:highlight w:val="none"/>
                <w:lang w:val="en-US" w:eastAsia="zh-CN" w:bidi="ar"/>
              </w:rPr>
              <w:t>煤炭</w:t>
            </w:r>
            <w:r>
              <w:rPr>
                <w:rFonts w:hint="eastAsia" w:ascii="Times New Roman" w:hAnsi="Times New Roman" w:eastAsia="宋体" w:cs="Times New Roman"/>
                <w:b w:val="0"/>
                <w:bCs w:val="0"/>
                <w:color w:val="000000"/>
                <w:kern w:val="0"/>
                <w:sz w:val="24"/>
                <w:szCs w:val="24"/>
                <w:highlight w:val="none"/>
                <w:lang w:val="en-US" w:eastAsia="zh-CN" w:bidi="ar"/>
              </w:rPr>
              <w:t>进行铲运、平整、堆高，</w:t>
            </w:r>
            <w:r>
              <w:rPr>
                <w:rFonts w:hint="eastAsia" w:cs="Times New Roman"/>
                <w:b w:val="0"/>
                <w:bCs w:val="0"/>
                <w:color w:val="000000"/>
                <w:kern w:val="0"/>
                <w:sz w:val="24"/>
                <w:szCs w:val="24"/>
                <w:highlight w:val="none"/>
                <w:lang w:val="en-US" w:eastAsia="zh-CN" w:bidi="ar"/>
              </w:rPr>
              <w:t>堆存区</w:t>
            </w:r>
            <w:r>
              <w:rPr>
                <w:rFonts w:hint="eastAsia" w:ascii="Times New Roman" w:hAnsi="Times New Roman" w:eastAsia="宋体" w:cs="Times New Roman"/>
                <w:b w:val="0"/>
                <w:bCs w:val="0"/>
                <w:color w:val="000000"/>
                <w:kern w:val="0"/>
                <w:sz w:val="24"/>
                <w:szCs w:val="24"/>
                <w:highlight w:val="none"/>
                <w:lang w:val="en-US" w:eastAsia="zh-CN" w:bidi="ar"/>
              </w:rPr>
              <w:t>堆高</w:t>
            </w:r>
            <w:r>
              <w:rPr>
                <w:rFonts w:hint="default" w:ascii="Times New Roman" w:hAnsi="Times New Roman" w:eastAsia="宋体" w:cs="Times New Roman"/>
                <w:b w:val="0"/>
                <w:bCs w:val="0"/>
                <w:color w:val="000000"/>
                <w:kern w:val="0"/>
                <w:sz w:val="24"/>
                <w:szCs w:val="24"/>
                <w:highlight w:val="none"/>
                <w:lang w:val="en-US" w:eastAsia="zh-CN" w:bidi="ar"/>
              </w:rPr>
              <w:t>8m</w:t>
            </w:r>
            <w:r>
              <w:rPr>
                <w:rFonts w:hint="eastAsia" w:ascii="Times New Roman" w:hAnsi="Times New Roman" w:eastAsia="宋体" w:cs="Times New Roman"/>
                <w:b w:val="0"/>
                <w:bCs w:val="0"/>
                <w:color w:val="000000"/>
                <w:kern w:val="0"/>
                <w:sz w:val="24"/>
                <w:szCs w:val="24"/>
                <w:highlight w:val="none"/>
                <w:lang w:val="en-US" w:eastAsia="zh-CN" w:bidi="ar"/>
              </w:rPr>
              <w:t>，根据一般经验值，本项目取煤堆的安息角</w:t>
            </w:r>
            <w:r>
              <w:rPr>
                <w:rFonts w:hint="default" w:ascii="Times New Roman" w:hAnsi="Times New Roman" w:eastAsia="宋体" w:cs="Times New Roman"/>
                <w:b w:val="0"/>
                <w:bCs w:val="0"/>
                <w:color w:val="000000"/>
                <w:kern w:val="0"/>
                <w:sz w:val="24"/>
                <w:szCs w:val="24"/>
                <w:highlight w:val="none"/>
                <w:lang w:val="en-US" w:eastAsia="zh-CN" w:bidi="ar"/>
              </w:rPr>
              <w:t>45°</w:t>
            </w:r>
            <w:r>
              <w:rPr>
                <w:rFonts w:hint="eastAsia" w:ascii="Times New Roman" w:hAnsi="Times New Roman" w:eastAsia="宋体" w:cs="Times New Roman"/>
                <w:b w:val="0"/>
                <w:bCs w:val="0"/>
                <w:color w:val="000000"/>
                <w:kern w:val="0"/>
                <w:sz w:val="24"/>
                <w:szCs w:val="24"/>
                <w:highlight w:val="none"/>
                <w:lang w:val="en-US" w:eastAsia="zh-CN" w:bidi="ar"/>
              </w:rPr>
              <w:t>，密度为</w:t>
            </w:r>
            <w:r>
              <w:rPr>
                <w:rFonts w:hint="default" w:ascii="Times New Roman" w:hAnsi="Times New Roman" w:eastAsia="宋体" w:cs="Times New Roman"/>
                <w:b w:val="0"/>
                <w:bCs w:val="0"/>
                <w:color w:val="000000"/>
                <w:kern w:val="0"/>
                <w:sz w:val="24"/>
                <w:szCs w:val="24"/>
                <w:highlight w:val="none"/>
                <w:lang w:val="en-US" w:eastAsia="zh-CN" w:bidi="ar"/>
              </w:rPr>
              <w:t>1.2g/cm</w:t>
            </w:r>
            <w:r>
              <w:rPr>
                <w:rFonts w:hint="default" w:ascii="Times New Roman" w:hAnsi="Times New Roman" w:eastAsia="宋体" w:cs="Times New Roman"/>
                <w:b w:val="0"/>
                <w:bCs w:val="0"/>
                <w:color w:val="000000"/>
                <w:kern w:val="0"/>
                <w:sz w:val="24"/>
                <w:szCs w:val="24"/>
                <w:highlight w:val="none"/>
                <w:vertAlign w:val="superscript"/>
                <w:lang w:val="en-US" w:eastAsia="zh-CN" w:bidi="ar"/>
              </w:rPr>
              <w:t>3</w:t>
            </w:r>
            <w:r>
              <w:rPr>
                <w:rFonts w:hint="eastAsia" w:ascii="Times New Roman" w:hAnsi="Times New Roman" w:eastAsia="宋体" w:cs="Times New Roman"/>
                <w:b w:val="0"/>
                <w:bCs w:val="0"/>
                <w:color w:val="000000"/>
                <w:kern w:val="0"/>
                <w:sz w:val="24"/>
                <w:szCs w:val="24"/>
                <w:highlight w:val="none"/>
                <w:lang w:val="en-US" w:eastAsia="zh-CN" w:bidi="ar"/>
              </w:rPr>
              <w:t>，根据四棱台体</w:t>
            </w:r>
            <w:r>
              <w:rPr>
                <w:rFonts w:hint="eastAsia" w:ascii="Times New Roman" w:hAnsi="Times New Roman" w:eastAsia="宋体" w:cs="Times New Roman"/>
                <w:b w:val="0"/>
                <w:bCs w:val="0"/>
                <w:color w:val="auto"/>
                <w:kern w:val="0"/>
                <w:sz w:val="24"/>
                <w:szCs w:val="24"/>
                <w:highlight w:val="none"/>
                <w:lang w:val="en-US" w:eastAsia="zh-CN" w:bidi="ar"/>
              </w:rPr>
              <w:t>积计算公式</w:t>
            </w:r>
            <w:r>
              <w:rPr>
                <w:color w:val="auto"/>
                <w:position w:val="-14"/>
              </w:rPr>
              <w:object>
                <v:shape id="_x0000_i1025" o:spt="75" type="#_x0000_t75" style="height:25.65pt;width:121.05pt;" o:ole="t" filled="f" o:preferrelative="t" stroked="f" coordsize="21600,21600">
                  <v:path/>
                  <v:fill on="f" focussize="0,0"/>
                  <v:stroke on="f"/>
                  <v:imagedata r:id="rId11" o:title=""/>
                  <o:lock v:ext="edit" aspectratio="t"/>
                  <w10:wrap type="none"/>
                  <w10:anchorlock/>
                </v:shape>
                <o:OLEObject Type="Embed" ProgID="Equation.KSEE3" ShapeID="_x0000_i1025" DrawAspect="Content" ObjectID="_1468075725" r:id="rId10">
                  <o:LockedField>false</o:LockedField>
                </o:OLEObject>
              </w:object>
            </w:r>
            <w:r>
              <w:rPr>
                <w:rFonts w:hint="eastAsia"/>
                <w:color w:val="auto"/>
                <w:lang w:eastAsia="zh-CN"/>
              </w:rPr>
              <w:t>，</w:t>
            </w:r>
            <w:r>
              <w:rPr>
                <w:rFonts w:hint="eastAsia" w:ascii="Times New Roman" w:hAnsi="Times New Roman" w:cs="Times New Roman"/>
                <w:b w:val="0"/>
                <w:bCs w:val="0"/>
                <w:color w:val="auto"/>
                <w:kern w:val="0"/>
                <w:sz w:val="24"/>
                <w:szCs w:val="24"/>
                <w:highlight w:val="none"/>
                <w:lang w:val="en-US" w:eastAsia="zh-CN" w:bidi="ar"/>
              </w:rPr>
              <w:t>则</w:t>
            </w:r>
            <w:r>
              <w:rPr>
                <w:rFonts w:hint="eastAsia" w:cs="Times New Roman"/>
                <w:b w:val="0"/>
                <w:bCs w:val="0"/>
                <w:color w:val="auto"/>
                <w:kern w:val="0"/>
                <w:sz w:val="24"/>
                <w:szCs w:val="24"/>
                <w:highlight w:val="none"/>
                <w:lang w:val="en-US" w:eastAsia="zh-CN" w:bidi="ar"/>
              </w:rPr>
              <w:t>煤炭最大储存量为5.83万吨，储存周期约为22天，平均1月转运一次；原煤（需加工）最大储存量为2.22万吨，储存周期约为37天，平均2-3月转运一次；成品煤炭最大储存量为3.6万吨，储存周期约为111天，平均3-4月转运一次</w:t>
            </w:r>
            <w:r>
              <w:rPr>
                <w:rFonts w:hint="eastAsia" w:ascii="Times New Roman" w:hAnsi="Times New Roman" w:cs="Times New Roman"/>
                <w:b w:val="0"/>
                <w:bCs w:val="0"/>
                <w:color w:val="auto"/>
                <w:kern w:val="0"/>
                <w:sz w:val="24"/>
                <w:szCs w:val="24"/>
                <w:highlight w:val="none"/>
                <w:lang w:val="en-US" w:eastAsia="zh-CN" w:bidi="ar"/>
              </w:rPr>
              <w:t>。</w:t>
            </w:r>
          </w:p>
          <w:p w14:paraId="1C82B314">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auto"/>
              <w:rPr>
                <w:rFonts w:hint="eastAsia" w:ascii="Times New Roman" w:hAnsi="Times New Roman" w:cs="Times New Roman"/>
                <w:b w:val="0"/>
                <w:bCs w:val="0"/>
                <w:color w:val="000000"/>
                <w:kern w:val="0"/>
                <w:sz w:val="24"/>
                <w:szCs w:val="24"/>
                <w:highlight w:val="none"/>
                <w:lang w:val="en-US" w:eastAsia="zh-CN" w:bidi="ar"/>
              </w:rPr>
            </w:pPr>
            <w:r>
              <w:rPr>
                <w:rFonts w:hint="eastAsia" w:ascii="Times New Roman" w:hAnsi="Times New Roman" w:eastAsia="宋体" w:cs="Times New Roman"/>
                <w:b w:val="0"/>
                <w:bCs w:val="0"/>
                <w:color w:val="000000"/>
                <w:kern w:val="0"/>
                <w:sz w:val="24"/>
                <w:szCs w:val="24"/>
                <w:highlight w:val="none"/>
                <w:lang w:val="en-US" w:eastAsia="zh-CN" w:bidi="ar"/>
              </w:rPr>
              <w:pict>
                <v:shape id="Object 5" o:spid="_x0000_s1029" o:spt="75" type="#_x0000_t75" style="position:absolute;left:0pt;margin-left:-5.4pt;margin-top:10.45pt;height:163.4pt;width:424.9pt;mso-wrap-distance-left:9pt;mso-wrap-distance-right:9pt;z-index:-251657216;mso-width-relative:page;mso-height-relative:page;" o:ole="t" filled="f" o:preferrelative="t" stroked="f" coordsize="21600,21600" wrapcoords="21592 -2 0 0 0 21600 21592 21602 8 21602 21600 21600 21600 0 8 -2 21592 -2">
                  <v:path/>
                  <v:fill on="f" focussize="0,0"/>
                  <v:stroke on="f"/>
                  <v:imagedata r:id="rId13" o:title=""/>
                  <o:lock v:ext="edit" aspectratio="f"/>
                  <w10:wrap type="tight"/>
                </v:shape>
                <o:OLEObject Type="Embed" ProgID="Visio.Drawing.11" ShapeID="Object 5" DrawAspect="Content" ObjectID="_1468075726" r:id="rId12">
                  <o:LockedField>false</o:LockedField>
                </o:OLEObject>
              </w:pict>
            </w:r>
            <w:r>
              <w:rPr>
                <w:rFonts w:hint="eastAsia" w:cs="Times New Roman"/>
                <w:b/>
                <w:bCs/>
                <w:color w:val="000000"/>
                <w:kern w:val="0"/>
                <w:sz w:val="24"/>
                <w:szCs w:val="24"/>
                <w:highlight w:val="none"/>
                <w:lang w:val="en-US" w:eastAsia="zh-CN" w:bidi="ar"/>
              </w:rPr>
              <w:t>图1 1#厂房堆存区示意图</w:t>
            </w:r>
          </w:p>
          <w:p w14:paraId="41E1F850">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auto"/>
                <w:kern w:val="0"/>
                <w:sz w:val="24"/>
                <w:szCs w:val="24"/>
                <w:highlight w:val="none"/>
                <w:lang w:val="en-US" w:eastAsia="zh-CN" w:bidi="ar"/>
              </w:rPr>
            </w:pPr>
            <w:r>
              <w:rPr>
                <w:rFonts w:hint="eastAsia" w:ascii="Times New Roman" w:hAnsi="Times New Roman" w:eastAsia="宋体" w:cs="Times New Roman"/>
                <w:b w:val="0"/>
                <w:bCs w:val="0"/>
                <w:color w:val="auto"/>
                <w:kern w:val="0"/>
                <w:sz w:val="24"/>
                <w:szCs w:val="24"/>
                <w:highlight w:val="none"/>
                <w:lang w:val="en-US" w:eastAsia="zh-CN" w:bidi="ar"/>
              </w:rPr>
              <w:t>矿建材料堆存量核算：2#~5#库房内储存，每个库房矿建材料堆存面积，按照2000</w:t>
            </w:r>
            <w:r>
              <w:rPr>
                <w:rFonts w:hint="default" w:ascii="Times New Roman" w:hAnsi="Times New Roman" w:eastAsia="宋体" w:cs="Times New Roman"/>
                <w:b w:val="0"/>
                <w:bCs w:val="0"/>
                <w:color w:val="auto"/>
                <w:kern w:val="0"/>
                <w:sz w:val="24"/>
                <w:szCs w:val="24"/>
                <w:highlight w:val="none"/>
                <w:lang w:val="en-US" w:eastAsia="zh-CN" w:bidi="ar"/>
              </w:rPr>
              <w:t>m</w:t>
            </w:r>
            <w:r>
              <w:rPr>
                <w:rFonts w:hint="eastAsia" w:ascii="Times New Roman" w:hAnsi="Times New Roman" w:eastAsia="宋体" w:cs="Times New Roman"/>
                <w:b w:val="0"/>
                <w:bCs w:val="0"/>
                <w:color w:val="auto"/>
                <w:kern w:val="0"/>
                <w:sz w:val="24"/>
                <w:szCs w:val="24"/>
                <w:highlight w:val="none"/>
                <w:vertAlign w:val="superscript"/>
                <w:lang w:val="en-US" w:eastAsia="zh-CN" w:bidi="ar"/>
              </w:rPr>
              <w:t>2</w:t>
            </w:r>
            <w:r>
              <w:rPr>
                <w:rFonts w:hint="eastAsia" w:cs="Times New Roman"/>
                <w:b w:val="0"/>
                <w:bCs w:val="0"/>
                <w:color w:val="auto"/>
                <w:kern w:val="0"/>
                <w:sz w:val="24"/>
                <w:szCs w:val="24"/>
                <w:highlight w:val="none"/>
                <w:vertAlign w:val="baseline"/>
                <w:lang w:val="en-US" w:eastAsia="zh-CN" w:bidi="ar"/>
              </w:rPr>
              <w:t>计算</w:t>
            </w:r>
            <w:r>
              <w:rPr>
                <w:rFonts w:hint="eastAsia" w:ascii="Times New Roman" w:hAnsi="Times New Roman" w:eastAsia="宋体" w:cs="Times New Roman"/>
                <w:b w:val="0"/>
                <w:bCs w:val="0"/>
                <w:color w:val="auto"/>
                <w:kern w:val="0"/>
                <w:sz w:val="24"/>
                <w:szCs w:val="24"/>
                <w:highlight w:val="none"/>
                <w:lang w:val="en-US" w:eastAsia="zh-CN" w:bidi="ar"/>
              </w:rPr>
              <w:t>，堆存密度2.5t/</w:t>
            </w:r>
            <w:r>
              <w:rPr>
                <w:rFonts w:hint="default" w:ascii="Times New Roman" w:hAnsi="Times New Roman" w:eastAsia="宋体" w:cs="Times New Roman"/>
                <w:b w:val="0"/>
                <w:bCs w:val="0"/>
                <w:color w:val="auto"/>
                <w:kern w:val="0"/>
                <w:sz w:val="24"/>
                <w:szCs w:val="24"/>
                <w:highlight w:val="none"/>
                <w:lang w:val="en-US" w:eastAsia="zh-CN" w:bidi="ar"/>
              </w:rPr>
              <w:t>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eastAsia" w:ascii="Times New Roman" w:hAnsi="Times New Roman" w:eastAsia="宋体" w:cs="Times New Roman"/>
                <w:b w:val="0"/>
                <w:bCs w:val="0"/>
                <w:color w:val="auto"/>
                <w:kern w:val="0"/>
                <w:sz w:val="24"/>
                <w:szCs w:val="24"/>
                <w:highlight w:val="none"/>
                <w:lang w:val="en-US" w:eastAsia="zh-CN" w:bidi="ar"/>
              </w:rPr>
              <w:t>，堆存区堆高3</w:t>
            </w:r>
            <w:r>
              <w:rPr>
                <w:rFonts w:hint="default" w:ascii="Times New Roman" w:hAnsi="Times New Roman" w:eastAsia="宋体" w:cs="Times New Roman"/>
                <w:b w:val="0"/>
                <w:bCs w:val="0"/>
                <w:color w:val="auto"/>
                <w:kern w:val="0"/>
                <w:sz w:val="24"/>
                <w:szCs w:val="24"/>
                <w:highlight w:val="none"/>
                <w:lang w:val="en-US" w:eastAsia="zh-CN" w:bidi="ar"/>
              </w:rPr>
              <w:t>m</w:t>
            </w:r>
            <w:r>
              <w:rPr>
                <w:rFonts w:hint="eastAsia" w:ascii="Times New Roman" w:hAnsi="Times New Roman" w:eastAsia="宋体" w:cs="Times New Roman"/>
                <w:b w:val="0"/>
                <w:bCs w:val="0"/>
                <w:color w:val="auto"/>
                <w:kern w:val="0"/>
                <w:sz w:val="24"/>
                <w:szCs w:val="24"/>
                <w:highlight w:val="none"/>
                <w:lang w:val="en-US" w:eastAsia="zh-CN" w:bidi="ar"/>
              </w:rPr>
              <w:t>，根据圆锥计算公式</w:t>
            </w:r>
            <w:r>
              <w:rPr>
                <w:rFonts w:hint="default" w:ascii="Times New Roman" w:hAnsi="Times New Roman" w:eastAsia="宋体" w:cs="Times New Roman"/>
                <w:b w:val="0"/>
                <w:bCs w:val="0"/>
                <w:color w:val="auto"/>
                <w:kern w:val="0"/>
                <w:sz w:val="24"/>
                <w:szCs w:val="24"/>
                <w:highlight w:val="none"/>
                <w:lang w:val="en-US" w:eastAsia="zh-CN" w:bidi="ar"/>
              </w:rPr>
              <w:t>V=(1/3)×π×(r</w:t>
            </w:r>
            <w:r>
              <w:rPr>
                <w:rFonts w:hint="default" w:ascii="Times New Roman" w:hAnsi="Times New Roman" w:eastAsia="宋体" w:cs="Times New Roman"/>
                <w:b w:val="0"/>
                <w:bCs w:val="0"/>
                <w:color w:val="auto"/>
                <w:kern w:val="0"/>
                <w:sz w:val="24"/>
                <w:szCs w:val="24"/>
                <w:highlight w:val="none"/>
                <w:vertAlign w:val="superscript"/>
                <w:lang w:val="en-US" w:eastAsia="zh-CN" w:bidi="ar"/>
              </w:rPr>
              <w:t>2</w:t>
            </w:r>
            <w:r>
              <w:rPr>
                <w:rFonts w:hint="default" w:ascii="Times New Roman" w:hAnsi="Times New Roman" w:eastAsia="宋体" w:cs="Times New Roman"/>
                <w:b w:val="0"/>
                <w:bCs w:val="0"/>
                <w:color w:val="auto"/>
                <w:kern w:val="0"/>
                <w:sz w:val="24"/>
                <w:szCs w:val="24"/>
                <w:highlight w:val="none"/>
                <w:lang w:val="en-US" w:eastAsia="zh-CN" w:bidi="ar"/>
              </w:rPr>
              <w:t>)×h</w:t>
            </w:r>
            <w:r>
              <w:rPr>
                <w:rFonts w:hint="eastAsia" w:ascii="Times New Roman" w:hAnsi="Times New Roman" w:eastAsia="宋体" w:cs="Times New Roman"/>
                <w:b w:val="0"/>
                <w:bCs w:val="0"/>
                <w:color w:val="auto"/>
                <w:kern w:val="0"/>
                <w:sz w:val="24"/>
                <w:szCs w:val="24"/>
                <w:highlight w:val="none"/>
                <w:lang w:val="en-US" w:eastAsia="zh-CN" w:bidi="ar"/>
              </w:rPr>
              <w:t>，则</w:t>
            </w:r>
            <w:r>
              <w:rPr>
                <w:rFonts w:hint="eastAsia" w:cs="Times New Roman"/>
                <w:b w:val="0"/>
                <w:bCs w:val="0"/>
                <w:color w:val="auto"/>
                <w:kern w:val="0"/>
                <w:sz w:val="24"/>
                <w:szCs w:val="24"/>
                <w:highlight w:val="none"/>
                <w:lang w:val="en-US" w:eastAsia="zh-CN" w:bidi="ar"/>
              </w:rPr>
              <w:t>矿建材料</w:t>
            </w:r>
            <w:r>
              <w:rPr>
                <w:rFonts w:hint="eastAsia" w:ascii="Times New Roman" w:hAnsi="Times New Roman" w:eastAsia="宋体" w:cs="Times New Roman"/>
                <w:b w:val="0"/>
                <w:bCs w:val="0"/>
                <w:color w:val="auto"/>
                <w:kern w:val="0"/>
                <w:sz w:val="24"/>
                <w:szCs w:val="24"/>
                <w:highlight w:val="none"/>
                <w:lang w:val="en-US" w:eastAsia="zh-CN" w:bidi="ar"/>
              </w:rPr>
              <w:t>有效堆存体积为</w:t>
            </w:r>
            <w:r>
              <w:rPr>
                <w:rFonts w:hint="eastAsia" w:cs="Times New Roman"/>
                <w:b w:val="0"/>
                <w:bCs w:val="0"/>
                <w:color w:val="auto"/>
                <w:kern w:val="0"/>
                <w:sz w:val="24"/>
                <w:szCs w:val="24"/>
                <w:highlight w:val="none"/>
                <w:lang w:val="en-US" w:eastAsia="zh-CN" w:bidi="ar"/>
              </w:rPr>
              <w:t>2</w:t>
            </w:r>
            <w:r>
              <w:rPr>
                <w:rFonts w:hint="default" w:ascii="Times New Roman" w:hAnsi="Times New Roman" w:eastAsia="宋体" w:cs="Times New Roman"/>
                <w:b w:val="0"/>
                <w:bCs w:val="0"/>
                <w:color w:val="auto"/>
                <w:kern w:val="0"/>
                <w:sz w:val="24"/>
                <w:szCs w:val="24"/>
                <w:highlight w:val="none"/>
                <w:lang w:val="en-US" w:eastAsia="zh-CN" w:bidi="ar"/>
              </w:rPr>
              <w:t>000m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eastAsia" w:ascii="Times New Roman" w:hAnsi="Times New Roman" w:eastAsia="宋体" w:cs="Times New Roman"/>
                <w:b w:val="0"/>
                <w:bCs w:val="0"/>
                <w:color w:val="auto"/>
                <w:kern w:val="0"/>
                <w:sz w:val="24"/>
                <w:szCs w:val="24"/>
                <w:highlight w:val="none"/>
                <w:lang w:val="en-US" w:eastAsia="zh-CN" w:bidi="ar"/>
              </w:rPr>
              <w:t>（堆存体积</w:t>
            </w:r>
            <w:r>
              <w:rPr>
                <w:rFonts w:hint="default" w:ascii="Times New Roman" w:hAnsi="Times New Roman" w:eastAsia="宋体" w:cs="Times New Roman"/>
                <w:b w:val="0"/>
                <w:bCs w:val="0"/>
                <w:color w:val="auto"/>
                <w:kern w:val="0"/>
                <w:sz w:val="24"/>
                <w:szCs w:val="24"/>
                <w:highlight w:val="none"/>
                <w:lang w:val="en-US" w:eastAsia="zh-CN" w:bidi="ar"/>
              </w:rPr>
              <w:t>=1/3×</w:t>
            </w:r>
            <w:r>
              <w:rPr>
                <w:rFonts w:hint="eastAsia" w:cs="Times New Roman"/>
                <w:b w:val="0"/>
                <w:bCs w:val="0"/>
                <w:color w:val="auto"/>
                <w:kern w:val="0"/>
                <w:sz w:val="24"/>
                <w:szCs w:val="24"/>
                <w:highlight w:val="none"/>
                <w:lang w:val="en-US" w:eastAsia="zh-CN" w:bidi="ar"/>
              </w:rPr>
              <w:t>2</w:t>
            </w:r>
            <w:r>
              <w:rPr>
                <w:rFonts w:hint="default" w:ascii="Times New Roman" w:hAnsi="Times New Roman" w:eastAsia="宋体" w:cs="Times New Roman"/>
                <w:b w:val="0"/>
                <w:bCs w:val="0"/>
                <w:color w:val="auto"/>
                <w:kern w:val="0"/>
                <w:sz w:val="24"/>
                <w:szCs w:val="24"/>
                <w:highlight w:val="none"/>
                <w:lang w:val="en-US" w:eastAsia="zh-CN" w:bidi="ar"/>
              </w:rPr>
              <w:t>000m</w:t>
            </w:r>
            <w:r>
              <w:rPr>
                <w:rFonts w:hint="default" w:ascii="Times New Roman" w:hAnsi="Times New Roman" w:eastAsia="宋体" w:cs="Times New Roman"/>
                <w:b w:val="0"/>
                <w:bCs w:val="0"/>
                <w:color w:val="auto"/>
                <w:kern w:val="0"/>
                <w:sz w:val="24"/>
                <w:szCs w:val="24"/>
                <w:highlight w:val="none"/>
                <w:vertAlign w:val="superscript"/>
                <w:lang w:val="en-US" w:eastAsia="zh-CN" w:bidi="ar"/>
              </w:rPr>
              <w:t>2</w:t>
            </w:r>
            <w:r>
              <w:rPr>
                <w:rFonts w:hint="default" w:ascii="Times New Roman" w:hAnsi="Times New Roman" w:eastAsia="宋体" w:cs="Times New Roman"/>
                <w:b w:val="0"/>
                <w:bCs w:val="0"/>
                <w:color w:val="auto"/>
                <w:kern w:val="0"/>
                <w:sz w:val="24"/>
                <w:szCs w:val="24"/>
                <w:highlight w:val="none"/>
                <w:lang w:val="en-US" w:eastAsia="zh-CN" w:bidi="ar"/>
              </w:rPr>
              <w:t>×3=</w:t>
            </w:r>
            <w:r>
              <w:rPr>
                <w:rFonts w:hint="eastAsia" w:cs="Times New Roman"/>
                <w:b w:val="0"/>
                <w:bCs w:val="0"/>
                <w:color w:val="auto"/>
                <w:kern w:val="0"/>
                <w:sz w:val="24"/>
                <w:szCs w:val="24"/>
                <w:highlight w:val="none"/>
                <w:lang w:val="en-US" w:eastAsia="zh-CN" w:bidi="ar"/>
              </w:rPr>
              <w:t>2</w:t>
            </w:r>
            <w:r>
              <w:rPr>
                <w:rFonts w:hint="default" w:ascii="Times New Roman" w:hAnsi="Times New Roman" w:eastAsia="宋体" w:cs="Times New Roman"/>
                <w:b w:val="0"/>
                <w:bCs w:val="0"/>
                <w:color w:val="auto"/>
                <w:kern w:val="0"/>
                <w:sz w:val="24"/>
                <w:szCs w:val="24"/>
                <w:highlight w:val="none"/>
                <w:lang w:val="en-US" w:eastAsia="zh-CN" w:bidi="ar"/>
              </w:rPr>
              <w:t>000m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eastAsia" w:ascii="Times New Roman" w:hAnsi="Times New Roman" w:eastAsia="宋体" w:cs="Times New Roman"/>
                <w:b w:val="0"/>
                <w:bCs w:val="0"/>
                <w:color w:val="auto"/>
                <w:kern w:val="0"/>
                <w:sz w:val="24"/>
                <w:szCs w:val="24"/>
                <w:highlight w:val="none"/>
                <w:lang w:val="en-US" w:eastAsia="zh-CN" w:bidi="ar"/>
              </w:rPr>
              <w:t>），</w:t>
            </w:r>
            <w:r>
              <w:rPr>
                <w:rFonts w:hint="eastAsia" w:cs="Times New Roman"/>
                <w:b w:val="0"/>
                <w:bCs w:val="0"/>
                <w:color w:val="auto"/>
                <w:kern w:val="0"/>
                <w:sz w:val="24"/>
                <w:szCs w:val="24"/>
                <w:highlight w:val="none"/>
                <w:lang w:val="en-US" w:eastAsia="zh-CN" w:bidi="ar"/>
              </w:rPr>
              <w:t>每个库房</w:t>
            </w:r>
            <w:r>
              <w:rPr>
                <w:rFonts w:hint="eastAsia" w:ascii="Times New Roman" w:hAnsi="Times New Roman" w:eastAsia="宋体" w:cs="Times New Roman"/>
                <w:b w:val="0"/>
                <w:bCs w:val="0"/>
                <w:color w:val="auto"/>
                <w:kern w:val="0"/>
                <w:sz w:val="24"/>
                <w:szCs w:val="24"/>
                <w:highlight w:val="none"/>
                <w:lang w:val="en-US" w:eastAsia="zh-CN" w:bidi="ar"/>
              </w:rPr>
              <w:t>最多可堆存</w:t>
            </w:r>
            <w:r>
              <w:rPr>
                <w:rFonts w:hint="eastAsia" w:cs="Times New Roman"/>
                <w:b w:val="0"/>
                <w:bCs w:val="0"/>
                <w:color w:val="auto"/>
                <w:kern w:val="0"/>
                <w:sz w:val="24"/>
                <w:szCs w:val="24"/>
                <w:highlight w:val="none"/>
                <w:lang w:val="en-US" w:eastAsia="zh-CN" w:bidi="ar"/>
              </w:rPr>
              <w:t>矿建材料5000</w:t>
            </w:r>
            <w:r>
              <w:rPr>
                <w:rFonts w:hint="default" w:ascii="Times New Roman" w:hAnsi="Times New Roman" w:eastAsia="宋体" w:cs="Times New Roman"/>
                <w:b w:val="0"/>
                <w:bCs w:val="0"/>
                <w:color w:val="auto"/>
                <w:kern w:val="0"/>
                <w:sz w:val="24"/>
                <w:szCs w:val="24"/>
                <w:highlight w:val="none"/>
                <w:lang w:val="en-US" w:eastAsia="zh-CN" w:bidi="ar"/>
              </w:rPr>
              <w:t>t</w:t>
            </w:r>
            <w:r>
              <w:rPr>
                <w:rFonts w:hint="eastAsia" w:cs="Times New Roman"/>
                <w:b w:val="0"/>
                <w:bCs w:val="0"/>
                <w:color w:val="auto"/>
                <w:kern w:val="0"/>
                <w:sz w:val="24"/>
                <w:szCs w:val="24"/>
                <w:highlight w:val="none"/>
                <w:lang w:val="en-US" w:eastAsia="zh-CN" w:bidi="ar"/>
              </w:rPr>
              <w:t>，合计最多可堆存矿建材料2万吨，储存周期约为72天，平均1-2月转运一次。</w:t>
            </w:r>
          </w:p>
          <w:p w14:paraId="2B1DA95D">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eastAsia" w:cs="Times New Roman"/>
                <w:b w:val="0"/>
                <w:bCs w:val="0"/>
                <w:color w:val="auto"/>
                <w:kern w:val="0"/>
                <w:sz w:val="24"/>
                <w:szCs w:val="24"/>
                <w:highlight w:val="none"/>
                <w:lang w:val="en-US" w:eastAsia="zh-CN" w:bidi="ar"/>
              </w:rPr>
            </w:pPr>
            <w:r>
              <w:rPr>
                <w:rFonts w:hint="eastAsia" w:cs="Times New Roman"/>
                <w:b w:val="0"/>
                <w:bCs w:val="0"/>
                <w:color w:val="auto"/>
                <w:kern w:val="0"/>
                <w:sz w:val="24"/>
                <w:szCs w:val="24"/>
                <w:highlight w:val="none"/>
                <w:lang w:val="en-US" w:eastAsia="zh-CN" w:bidi="ar"/>
              </w:rPr>
              <w:t>钢材堆存量计算：</w:t>
            </w:r>
            <w:r>
              <w:rPr>
                <w:rFonts w:hint="eastAsia" w:ascii="Times New Roman" w:hAnsi="Times New Roman" w:eastAsia="宋体" w:cs="Times New Roman"/>
                <w:b w:val="0"/>
                <w:bCs w:val="0"/>
                <w:color w:val="auto"/>
                <w:kern w:val="0"/>
                <w:sz w:val="24"/>
                <w:szCs w:val="24"/>
                <w:highlight w:val="none"/>
                <w:lang w:val="en-US" w:eastAsia="zh-CN" w:bidi="ar"/>
              </w:rPr>
              <w:t>2#~5#库房内储存，每个库房</w:t>
            </w:r>
            <w:r>
              <w:rPr>
                <w:rFonts w:hint="eastAsia" w:cs="Times New Roman"/>
                <w:b w:val="0"/>
                <w:bCs w:val="0"/>
                <w:color w:val="auto"/>
                <w:kern w:val="0"/>
                <w:sz w:val="24"/>
                <w:szCs w:val="24"/>
                <w:highlight w:val="none"/>
                <w:lang w:val="en-US" w:eastAsia="zh-CN" w:bidi="ar"/>
              </w:rPr>
              <w:t>钢材</w:t>
            </w:r>
            <w:r>
              <w:rPr>
                <w:rFonts w:hint="eastAsia" w:ascii="Times New Roman" w:hAnsi="Times New Roman" w:eastAsia="宋体" w:cs="Times New Roman"/>
                <w:b w:val="0"/>
                <w:bCs w:val="0"/>
                <w:color w:val="auto"/>
                <w:kern w:val="0"/>
                <w:sz w:val="24"/>
                <w:szCs w:val="24"/>
                <w:highlight w:val="none"/>
                <w:lang w:val="en-US" w:eastAsia="zh-CN" w:bidi="ar"/>
              </w:rPr>
              <w:t>堆存面积，按照</w:t>
            </w:r>
            <w:r>
              <w:rPr>
                <w:rFonts w:hint="eastAsia" w:cs="Times New Roman"/>
                <w:b w:val="0"/>
                <w:bCs w:val="0"/>
                <w:color w:val="auto"/>
                <w:kern w:val="0"/>
                <w:sz w:val="24"/>
                <w:szCs w:val="24"/>
                <w:highlight w:val="none"/>
                <w:lang w:val="en-US" w:eastAsia="zh-CN" w:bidi="ar"/>
              </w:rPr>
              <w:t>12800</w:t>
            </w:r>
            <w:r>
              <w:rPr>
                <w:rFonts w:hint="default" w:ascii="Times New Roman" w:hAnsi="Times New Roman" w:eastAsia="宋体" w:cs="Times New Roman"/>
                <w:b w:val="0"/>
                <w:bCs w:val="0"/>
                <w:color w:val="auto"/>
                <w:kern w:val="0"/>
                <w:sz w:val="24"/>
                <w:szCs w:val="24"/>
                <w:highlight w:val="none"/>
                <w:lang w:val="en-US" w:eastAsia="zh-CN" w:bidi="ar"/>
              </w:rPr>
              <w:t>m</w:t>
            </w:r>
            <w:r>
              <w:rPr>
                <w:rFonts w:hint="eastAsia" w:ascii="Times New Roman" w:hAnsi="Times New Roman" w:eastAsia="宋体" w:cs="Times New Roman"/>
                <w:b w:val="0"/>
                <w:bCs w:val="0"/>
                <w:color w:val="auto"/>
                <w:kern w:val="0"/>
                <w:sz w:val="24"/>
                <w:szCs w:val="24"/>
                <w:highlight w:val="none"/>
                <w:vertAlign w:val="superscript"/>
                <w:lang w:val="en-US" w:eastAsia="zh-CN" w:bidi="ar"/>
              </w:rPr>
              <w:t>2</w:t>
            </w:r>
            <w:r>
              <w:rPr>
                <w:rFonts w:hint="eastAsia" w:cs="Times New Roman"/>
                <w:b w:val="0"/>
                <w:bCs w:val="0"/>
                <w:color w:val="auto"/>
                <w:kern w:val="0"/>
                <w:sz w:val="24"/>
                <w:szCs w:val="24"/>
                <w:highlight w:val="none"/>
                <w:vertAlign w:val="baseline"/>
                <w:lang w:val="en-US" w:eastAsia="zh-CN" w:bidi="ar"/>
              </w:rPr>
              <w:t>计算</w:t>
            </w:r>
            <w:r>
              <w:rPr>
                <w:rFonts w:hint="eastAsia" w:ascii="Times New Roman" w:hAnsi="Times New Roman" w:eastAsia="宋体" w:cs="Times New Roman"/>
                <w:b w:val="0"/>
                <w:bCs w:val="0"/>
                <w:color w:val="auto"/>
                <w:kern w:val="0"/>
                <w:sz w:val="24"/>
                <w:szCs w:val="24"/>
                <w:highlight w:val="none"/>
                <w:lang w:val="en-US" w:eastAsia="zh-CN" w:bidi="ar"/>
              </w:rPr>
              <w:t>，堆存密度</w:t>
            </w:r>
            <w:r>
              <w:rPr>
                <w:rFonts w:hint="eastAsia" w:cs="Times New Roman"/>
                <w:b w:val="0"/>
                <w:bCs w:val="0"/>
                <w:color w:val="auto"/>
                <w:kern w:val="0"/>
                <w:sz w:val="24"/>
                <w:szCs w:val="24"/>
                <w:highlight w:val="none"/>
                <w:lang w:val="en-US" w:eastAsia="zh-CN" w:bidi="ar"/>
              </w:rPr>
              <w:t>7.85</w:t>
            </w:r>
            <w:r>
              <w:rPr>
                <w:rFonts w:hint="eastAsia" w:ascii="Times New Roman" w:hAnsi="Times New Roman" w:eastAsia="宋体" w:cs="Times New Roman"/>
                <w:b w:val="0"/>
                <w:bCs w:val="0"/>
                <w:color w:val="auto"/>
                <w:kern w:val="0"/>
                <w:sz w:val="24"/>
                <w:szCs w:val="24"/>
                <w:highlight w:val="none"/>
                <w:lang w:val="en-US" w:eastAsia="zh-CN" w:bidi="ar"/>
              </w:rPr>
              <w:t>t/</w:t>
            </w:r>
            <w:r>
              <w:rPr>
                <w:rFonts w:hint="default" w:ascii="Times New Roman" w:hAnsi="Times New Roman" w:eastAsia="宋体" w:cs="Times New Roman"/>
                <w:b w:val="0"/>
                <w:bCs w:val="0"/>
                <w:color w:val="auto"/>
                <w:kern w:val="0"/>
                <w:sz w:val="24"/>
                <w:szCs w:val="24"/>
                <w:highlight w:val="none"/>
                <w:lang w:val="en-US" w:eastAsia="zh-CN" w:bidi="ar"/>
              </w:rPr>
              <w:t>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eastAsia" w:ascii="Times New Roman" w:hAnsi="Times New Roman" w:eastAsia="宋体" w:cs="Times New Roman"/>
                <w:b w:val="0"/>
                <w:bCs w:val="0"/>
                <w:color w:val="auto"/>
                <w:kern w:val="0"/>
                <w:sz w:val="24"/>
                <w:szCs w:val="24"/>
                <w:highlight w:val="none"/>
                <w:lang w:val="en-US" w:eastAsia="zh-CN" w:bidi="ar"/>
              </w:rPr>
              <w:t>，堆存区堆高</w:t>
            </w:r>
            <w:r>
              <w:rPr>
                <w:rFonts w:hint="eastAsia" w:cs="Times New Roman"/>
                <w:b w:val="0"/>
                <w:bCs w:val="0"/>
                <w:color w:val="auto"/>
                <w:kern w:val="0"/>
                <w:sz w:val="24"/>
                <w:szCs w:val="24"/>
                <w:highlight w:val="none"/>
                <w:lang w:val="en-US" w:eastAsia="zh-CN" w:bidi="ar"/>
              </w:rPr>
              <w:t>2</w:t>
            </w:r>
            <w:r>
              <w:rPr>
                <w:rFonts w:hint="default" w:ascii="Times New Roman" w:hAnsi="Times New Roman" w:eastAsia="宋体" w:cs="Times New Roman"/>
                <w:b w:val="0"/>
                <w:bCs w:val="0"/>
                <w:color w:val="auto"/>
                <w:kern w:val="0"/>
                <w:sz w:val="24"/>
                <w:szCs w:val="24"/>
                <w:highlight w:val="none"/>
                <w:lang w:val="en-US" w:eastAsia="zh-CN" w:bidi="ar"/>
              </w:rPr>
              <w:t>m</w:t>
            </w:r>
            <w:r>
              <w:rPr>
                <w:rFonts w:hint="eastAsia" w:ascii="Times New Roman" w:hAnsi="Times New Roman" w:eastAsia="宋体" w:cs="Times New Roman"/>
                <w:b w:val="0"/>
                <w:bCs w:val="0"/>
                <w:color w:val="auto"/>
                <w:kern w:val="0"/>
                <w:sz w:val="24"/>
                <w:szCs w:val="24"/>
                <w:highlight w:val="none"/>
                <w:lang w:val="en-US" w:eastAsia="zh-CN" w:bidi="ar"/>
              </w:rPr>
              <w:t>，则</w:t>
            </w:r>
            <w:r>
              <w:rPr>
                <w:rFonts w:hint="eastAsia" w:cs="Times New Roman"/>
                <w:b w:val="0"/>
                <w:bCs w:val="0"/>
                <w:color w:val="auto"/>
                <w:kern w:val="0"/>
                <w:sz w:val="24"/>
                <w:szCs w:val="24"/>
                <w:highlight w:val="none"/>
                <w:lang w:val="en-US" w:eastAsia="zh-CN" w:bidi="ar"/>
              </w:rPr>
              <w:t>钢材</w:t>
            </w:r>
            <w:r>
              <w:rPr>
                <w:rFonts w:hint="eastAsia" w:ascii="Times New Roman" w:hAnsi="Times New Roman" w:eastAsia="宋体" w:cs="Times New Roman"/>
                <w:b w:val="0"/>
                <w:bCs w:val="0"/>
                <w:color w:val="auto"/>
                <w:kern w:val="0"/>
                <w:sz w:val="24"/>
                <w:szCs w:val="24"/>
                <w:highlight w:val="none"/>
                <w:lang w:val="en-US" w:eastAsia="zh-CN" w:bidi="ar"/>
              </w:rPr>
              <w:t>有效堆存体积为</w:t>
            </w:r>
            <w:r>
              <w:rPr>
                <w:rFonts w:hint="eastAsia" w:cs="Times New Roman"/>
                <w:b w:val="0"/>
                <w:bCs w:val="0"/>
                <w:color w:val="auto"/>
                <w:kern w:val="0"/>
                <w:sz w:val="24"/>
                <w:szCs w:val="24"/>
                <w:highlight w:val="none"/>
                <w:lang w:val="en-US" w:eastAsia="zh-CN" w:bidi="ar"/>
              </w:rPr>
              <w:t>25600</w:t>
            </w:r>
            <w:r>
              <w:rPr>
                <w:rFonts w:hint="default" w:ascii="Times New Roman" w:hAnsi="Times New Roman" w:eastAsia="宋体" w:cs="Times New Roman"/>
                <w:b w:val="0"/>
                <w:bCs w:val="0"/>
                <w:color w:val="auto"/>
                <w:kern w:val="0"/>
                <w:sz w:val="24"/>
                <w:szCs w:val="24"/>
                <w:highlight w:val="none"/>
                <w:lang w:val="en-US" w:eastAsia="zh-CN" w:bidi="ar"/>
              </w:rPr>
              <w:t>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eastAsia" w:ascii="Times New Roman" w:hAnsi="Times New Roman" w:eastAsia="宋体" w:cs="Times New Roman"/>
                <w:b w:val="0"/>
                <w:bCs w:val="0"/>
                <w:color w:val="auto"/>
                <w:kern w:val="0"/>
                <w:sz w:val="24"/>
                <w:szCs w:val="24"/>
                <w:highlight w:val="none"/>
                <w:lang w:val="en-US" w:eastAsia="zh-CN" w:bidi="ar"/>
              </w:rPr>
              <w:t>（</w:t>
            </w:r>
            <w:r>
              <w:rPr>
                <w:rFonts w:hint="eastAsia" w:cs="Times New Roman"/>
                <w:b w:val="0"/>
                <w:bCs w:val="0"/>
                <w:color w:val="auto"/>
                <w:kern w:val="0"/>
                <w:sz w:val="24"/>
                <w:szCs w:val="24"/>
                <w:highlight w:val="none"/>
                <w:lang w:val="en-US" w:eastAsia="zh-CN" w:bidi="ar"/>
              </w:rPr>
              <w:t>每个库房</w:t>
            </w:r>
            <w:r>
              <w:rPr>
                <w:rFonts w:hint="eastAsia" w:ascii="Times New Roman" w:hAnsi="Times New Roman" w:eastAsia="宋体" w:cs="Times New Roman"/>
                <w:b w:val="0"/>
                <w:bCs w:val="0"/>
                <w:color w:val="auto"/>
                <w:kern w:val="0"/>
                <w:sz w:val="24"/>
                <w:szCs w:val="24"/>
                <w:highlight w:val="none"/>
                <w:lang w:val="en-US" w:eastAsia="zh-CN" w:bidi="ar"/>
              </w:rPr>
              <w:t>最多可堆存</w:t>
            </w:r>
            <w:r>
              <w:rPr>
                <w:rFonts w:hint="eastAsia" w:cs="Times New Roman"/>
                <w:b w:val="0"/>
                <w:bCs w:val="0"/>
                <w:color w:val="auto"/>
                <w:kern w:val="0"/>
                <w:sz w:val="24"/>
                <w:szCs w:val="24"/>
                <w:highlight w:val="none"/>
                <w:lang w:val="en-US" w:eastAsia="zh-CN" w:bidi="ar"/>
              </w:rPr>
              <w:t>钢材20万吨，合计最多可堆存钢材80万吨，储存周期约为144天，平均4-5月转运一次。</w:t>
            </w:r>
          </w:p>
          <w:p w14:paraId="7AB76087">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auto"/>
              <w:rPr>
                <w:rFonts w:hint="eastAsia" w:ascii="Times New Roman" w:hAnsi="Times New Roman" w:eastAsia="宋体" w:cs="Times New Roman"/>
                <w:color w:val="auto"/>
                <w:sz w:val="24"/>
                <w:highlight w:val="none"/>
                <w:lang w:val="en-US" w:eastAsia="zh-CN"/>
              </w:rPr>
            </w:pPr>
            <w:r>
              <w:rPr>
                <w:rFonts w:hint="eastAsia" w:ascii="Times New Roman" w:hAnsi="Times New Roman" w:eastAsia="宋体" w:cs="Times New Roman"/>
                <w:b w:val="0"/>
                <w:bCs w:val="0"/>
                <w:color w:val="000000"/>
                <w:kern w:val="0"/>
                <w:sz w:val="24"/>
                <w:szCs w:val="24"/>
                <w:highlight w:val="none"/>
                <w:lang w:val="en-US" w:eastAsia="zh-CN" w:bidi="ar"/>
              </w:rPr>
              <w:pict>
                <v:shape id="_x0000_s1032" o:spid="_x0000_s1032" o:spt="75" type="#_x0000_t75" style="position:absolute;left:0pt;margin-left:-1.25pt;margin-top:1.75pt;height:131.9pt;width:424.9pt;mso-wrap-distance-left:9pt;mso-wrap-distance-right:9pt;z-index:-251653120;mso-width-relative:page;mso-height-relative:page;" o:ole="t" filled="f" o:preferrelative="t" stroked="f" coordsize="21600,21600" wrapcoords="21592 -2 0 0 0 21600 21592 21602 8 21602 21600 21600 21600 0 8 -2 21592 -2">
                  <v:path/>
                  <v:fill on="f" focussize="0,0"/>
                  <v:stroke on="f"/>
                  <v:imagedata r:id="rId15" cropbottom="12634f" o:title=""/>
                  <o:lock v:ext="edit" aspectratio="f"/>
                  <w10:wrap type="tight"/>
                </v:shape>
                <o:OLEObject Type="Embed" ProgID="Visio.Drawing.11" ShapeID="_x0000_s1032" DrawAspect="Content" ObjectID="_1468075727" r:id="rId14">
                  <o:LockedField>false</o:LockedField>
                </o:OLEObject>
              </w:pict>
            </w:r>
            <w:r>
              <w:rPr>
                <w:rFonts w:hint="eastAsia" w:cs="Times New Roman"/>
                <w:b/>
                <w:bCs/>
                <w:color w:val="000000"/>
                <w:kern w:val="0"/>
                <w:sz w:val="24"/>
                <w:szCs w:val="24"/>
                <w:highlight w:val="none"/>
                <w:lang w:val="en-US" w:eastAsia="zh-CN" w:bidi="ar"/>
              </w:rPr>
              <w:t>图2 2#~5#库房堆存区示意图</w:t>
            </w:r>
          </w:p>
          <w:p w14:paraId="54D81319">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Times New Roman" w:hAnsi="Times New Roman" w:eastAsia="宋体" w:cs="Times New Roman"/>
                <w:color w:val="auto"/>
                <w:sz w:val="24"/>
                <w:highlight w:val="none"/>
                <w:lang w:val="en-US" w:eastAsia="zh-CN"/>
              </w:rPr>
            </w:pPr>
            <w:r>
              <w:rPr>
                <w:rFonts w:hint="eastAsia" w:ascii="Times New Roman" w:hAnsi="Times New Roman" w:eastAsia="宋体" w:cs="Times New Roman"/>
                <w:color w:val="auto"/>
                <w:sz w:val="24"/>
                <w:highlight w:val="none"/>
                <w:lang w:val="en-US" w:eastAsia="zh-CN"/>
              </w:rPr>
              <w:t>本项目的物料平衡见表2-4及图</w:t>
            </w:r>
            <w:r>
              <w:rPr>
                <w:rFonts w:hint="eastAsia" w:cs="Times New Roman"/>
                <w:color w:val="auto"/>
                <w:sz w:val="24"/>
                <w:highlight w:val="none"/>
                <w:lang w:val="en-US" w:eastAsia="zh-CN"/>
              </w:rPr>
              <w:t>3</w:t>
            </w:r>
            <w:r>
              <w:rPr>
                <w:rFonts w:hint="eastAsia" w:ascii="Times New Roman" w:hAnsi="Times New Roman" w:eastAsia="宋体" w:cs="Times New Roman"/>
                <w:color w:val="auto"/>
                <w:sz w:val="24"/>
                <w:highlight w:val="none"/>
                <w:lang w:val="en-US" w:eastAsia="zh-CN"/>
              </w:rPr>
              <w:t>。</w:t>
            </w:r>
          </w:p>
          <w:p w14:paraId="228E4F0E">
            <w:pPr>
              <w:keepNext w:val="0"/>
              <w:keepLines w:val="0"/>
              <w:pageBreakBefore w:val="0"/>
              <w:widowControl w:val="0"/>
              <w:kinsoku/>
              <w:wordWrap/>
              <w:overflowPunct/>
              <w:topLinePunct w:val="0"/>
              <w:autoSpaceDE/>
              <w:autoSpaceDN/>
              <w:bidi w:val="0"/>
              <w:adjustRightInd/>
              <w:snapToGrid/>
              <w:spacing w:line="500" w:lineRule="exact"/>
              <w:jc w:val="center"/>
              <w:textAlignment w:val="auto"/>
              <w:rPr>
                <w:rFonts w:hint="eastAsia" w:ascii="Times New Roman" w:hAnsi="Times New Roman" w:eastAsia="宋体" w:cs="Times New Roman"/>
                <w:b/>
                <w:bCs/>
                <w:color w:val="auto"/>
                <w:sz w:val="24"/>
                <w:highlight w:val="none"/>
                <w:lang w:val="en-US" w:eastAsia="zh-CN"/>
              </w:rPr>
            </w:pPr>
            <w:r>
              <w:rPr>
                <w:rFonts w:hint="eastAsia" w:ascii="Times New Roman" w:hAnsi="Times New Roman" w:eastAsia="宋体" w:cs="Times New Roman"/>
                <w:b/>
                <w:bCs/>
                <w:color w:val="auto"/>
                <w:sz w:val="24"/>
                <w:highlight w:val="none"/>
                <w:lang w:val="en-US" w:eastAsia="zh-CN"/>
              </w:rPr>
              <w:t>表2-4 项目</w:t>
            </w:r>
            <w:r>
              <w:rPr>
                <w:rFonts w:hint="eastAsia" w:cs="Times New Roman"/>
                <w:b/>
                <w:bCs/>
                <w:color w:val="auto"/>
                <w:sz w:val="24"/>
                <w:highlight w:val="none"/>
                <w:lang w:val="en-US" w:eastAsia="zh-CN"/>
              </w:rPr>
              <w:t>煤炭加工</w:t>
            </w:r>
            <w:r>
              <w:rPr>
                <w:rFonts w:hint="eastAsia" w:ascii="Times New Roman" w:hAnsi="Times New Roman" w:eastAsia="宋体" w:cs="Times New Roman"/>
                <w:b/>
                <w:bCs/>
                <w:color w:val="auto"/>
                <w:sz w:val="24"/>
                <w:highlight w:val="none"/>
                <w:lang w:val="en-US" w:eastAsia="zh-CN"/>
              </w:rPr>
              <w:t>物料平衡一览表</w:t>
            </w:r>
          </w:p>
          <w:tbl>
            <w:tblPr>
              <w:tblStyle w:val="25"/>
              <w:tblW w:w="4948"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570"/>
              <w:gridCol w:w="1123"/>
              <w:gridCol w:w="2688"/>
              <w:gridCol w:w="1924"/>
            </w:tblGrid>
            <w:tr w14:paraId="58FFDD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jc w:val="center"/>
              </w:trPr>
              <w:tc>
                <w:tcPr>
                  <w:tcW w:w="2223" w:type="pct"/>
                  <w:gridSpan w:val="2"/>
                  <w:tcBorders>
                    <w:top w:val="single" w:color="000000" w:sz="4" w:space="0"/>
                    <w:left w:val="single" w:color="000000" w:sz="4" w:space="0"/>
                    <w:bottom w:val="single" w:color="000000" w:sz="4" w:space="0"/>
                    <w:right w:val="single" w:color="000000" w:sz="4" w:space="0"/>
                  </w:tcBorders>
                  <w:noWrap w:val="0"/>
                  <w:vAlign w:val="center"/>
                </w:tcPr>
                <w:p w14:paraId="6E36A9AE">
                  <w:pPr>
                    <w:keepNext w:val="0"/>
                    <w:keepLines w:val="0"/>
                    <w:widowControl/>
                    <w:suppressLineNumbers w:val="0"/>
                    <w:jc w:val="center"/>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输入</w:t>
                  </w:r>
                </w:p>
              </w:tc>
              <w:tc>
                <w:tcPr>
                  <w:tcW w:w="2776" w:type="pct"/>
                  <w:gridSpan w:val="2"/>
                  <w:tcBorders>
                    <w:top w:val="single" w:color="000000" w:sz="4" w:space="0"/>
                    <w:left w:val="single" w:color="000000" w:sz="4" w:space="0"/>
                    <w:bottom w:val="single" w:color="000000" w:sz="4" w:space="0"/>
                    <w:right w:val="single" w:color="000000" w:sz="4" w:space="0"/>
                  </w:tcBorders>
                  <w:noWrap w:val="0"/>
                  <w:vAlign w:val="center"/>
                </w:tcPr>
                <w:p w14:paraId="20D00055">
                  <w:pPr>
                    <w:keepNext w:val="0"/>
                    <w:keepLines w:val="0"/>
                    <w:widowControl/>
                    <w:suppressLineNumbers w:val="0"/>
                    <w:jc w:val="center"/>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输出</w:t>
                  </w:r>
                </w:p>
              </w:tc>
            </w:tr>
            <w:tr w14:paraId="72B886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547" w:type="pct"/>
                  <w:tcBorders>
                    <w:top w:val="single" w:color="000000" w:sz="4" w:space="0"/>
                    <w:left w:val="single" w:color="000000" w:sz="4" w:space="0"/>
                    <w:bottom w:val="single" w:color="000000" w:sz="4" w:space="0"/>
                    <w:right w:val="single" w:color="000000" w:sz="4" w:space="0"/>
                  </w:tcBorders>
                  <w:noWrap/>
                  <w:vAlign w:val="center"/>
                </w:tcPr>
                <w:p w14:paraId="3FDA9973">
                  <w:pPr>
                    <w:keepNext w:val="0"/>
                    <w:keepLines w:val="0"/>
                    <w:widowControl/>
                    <w:suppressLineNumbers w:val="0"/>
                    <w:jc w:val="center"/>
                    <w:textAlignment w:val="center"/>
                    <w:rPr>
                      <w:rFonts w:hint="default" w:ascii="Times New Roman" w:hAnsi="Times New Roman" w:eastAsia="宋体" w:cs="Times New Roman"/>
                      <w:b/>
                      <w:bCs/>
                      <w:i w:val="0"/>
                      <w:iCs w:val="0"/>
                      <w:color w:val="auto"/>
                      <w:sz w:val="22"/>
                      <w:szCs w:val="22"/>
                      <w:u w:val="none"/>
                    </w:rPr>
                  </w:pPr>
                  <w:r>
                    <w:rPr>
                      <w:rFonts w:hint="default" w:ascii="Times New Roman" w:hAnsi="Times New Roman" w:eastAsia="宋体" w:cs="Times New Roman"/>
                      <w:b/>
                      <w:bCs/>
                      <w:i w:val="0"/>
                      <w:iCs w:val="0"/>
                      <w:color w:val="auto"/>
                      <w:kern w:val="0"/>
                      <w:sz w:val="22"/>
                      <w:szCs w:val="22"/>
                      <w:u w:val="none"/>
                      <w:lang w:val="en-US" w:eastAsia="zh-CN" w:bidi="ar"/>
                    </w:rPr>
                    <w:t>物料名称</w:t>
                  </w:r>
                </w:p>
              </w:tc>
              <w:tc>
                <w:tcPr>
                  <w:tcW w:w="676" w:type="pct"/>
                  <w:tcBorders>
                    <w:top w:val="single" w:color="000000" w:sz="4" w:space="0"/>
                    <w:left w:val="single" w:color="000000" w:sz="4" w:space="0"/>
                    <w:bottom w:val="single" w:color="000000" w:sz="4" w:space="0"/>
                    <w:right w:val="single" w:color="000000" w:sz="4" w:space="0"/>
                  </w:tcBorders>
                  <w:noWrap w:val="0"/>
                  <w:vAlign w:val="center"/>
                </w:tcPr>
                <w:p w14:paraId="4378CEA2">
                  <w:pPr>
                    <w:keepNext w:val="0"/>
                    <w:keepLines w:val="0"/>
                    <w:widowControl/>
                    <w:suppressLineNumbers w:val="0"/>
                    <w:jc w:val="center"/>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数量</w:t>
                  </w:r>
                  <w:r>
                    <w:rPr>
                      <w:rFonts w:hint="default" w:ascii="Times New Roman" w:hAnsi="Times New Roman" w:eastAsia="宋体" w:cs="Times New Roman"/>
                      <w:b/>
                      <w:bCs/>
                      <w:color w:val="auto"/>
                      <w:sz w:val="21"/>
                      <w:szCs w:val="21"/>
                      <w:u w:val="none"/>
                      <w:lang w:val="en-US" w:eastAsia="zh-CN" w:bidi="ar"/>
                    </w:rPr>
                    <w:t>（t/a）</w:t>
                  </w:r>
                </w:p>
              </w:tc>
              <w:tc>
                <w:tcPr>
                  <w:tcW w:w="1618" w:type="pct"/>
                  <w:tcBorders>
                    <w:top w:val="single" w:color="000000" w:sz="4" w:space="0"/>
                    <w:left w:val="single" w:color="000000" w:sz="4" w:space="0"/>
                    <w:bottom w:val="single" w:color="000000" w:sz="4" w:space="0"/>
                    <w:right w:val="single" w:color="000000" w:sz="4" w:space="0"/>
                  </w:tcBorders>
                  <w:noWrap w:val="0"/>
                  <w:vAlign w:val="center"/>
                </w:tcPr>
                <w:p w14:paraId="751D02B3">
                  <w:pPr>
                    <w:keepNext w:val="0"/>
                    <w:keepLines w:val="0"/>
                    <w:widowControl/>
                    <w:suppressLineNumbers w:val="0"/>
                    <w:jc w:val="center"/>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物料名称</w:t>
                  </w:r>
                </w:p>
              </w:tc>
              <w:tc>
                <w:tcPr>
                  <w:tcW w:w="1158" w:type="pct"/>
                  <w:tcBorders>
                    <w:top w:val="single" w:color="000000" w:sz="4" w:space="0"/>
                    <w:left w:val="single" w:color="000000" w:sz="4" w:space="0"/>
                    <w:bottom w:val="single" w:color="000000" w:sz="4" w:space="0"/>
                    <w:right w:val="single" w:color="000000" w:sz="4" w:space="0"/>
                  </w:tcBorders>
                  <w:noWrap w:val="0"/>
                  <w:vAlign w:val="center"/>
                </w:tcPr>
                <w:p w14:paraId="7F4479A3">
                  <w:pPr>
                    <w:keepNext w:val="0"/>
                    <w:keepLines w:val="0"/>
                    <w:widowControl/>
                    <w:suppressLineNumbers w:val="0"/>
                    <w:jc w:val="center"/>
                    <w:textAlignment w:val="center"/>
                    <w:rPr>
                      <w:rFonts w:hint="eastAsia" w:ascii="宋体" w:hAnsi="宋体" w:eastAsia="宋体" w:cs="宋体"/>
                      <w:b/>
                      <w:bCs/>
                      <w:i w:val="0"/>
                      <w:iCs w:val="0"/>
                      <w:color w:val="auto"/>
                      <w:sz w:val="21"/>
                      <w:szCs w:val="21"/>
                      <w:u w:val="none"/>
                    </w:rPr>
                  </w:pPr>
                  <w:r>
                    <w:rPr>
                      <w:rFonts w:hint="eastAsia" w:ascii="宋体" w:hAnsi="宋体" w:eastAsia="宋体" w:cs="宋体"/>
                      <w:b/>
                      <w:bCs/>
                      <w:i w:val="0"/>
                      <w:iCs w:val="0"/>
                      <w:color w:val="auto"/>
                      <w:kern w:val="0"/>
                      <w:sz w:val="21"/>
                      <w:szCs w:val="21"/>
                      <w:u w:val="none"/>
                      <w:lang w:val="en-US" w:eastAsia="zh-CN" w:bidi="ar"/>
                    </w:rPr>
                    <w:t>数量</w:t>
                  </w:r>
                  <w:r>
                    <w:rPr>
                      <w:rStyle w:val="80"/>
                      <w:b/>
                      <w:bCs/>
                      <w:color w:val="auto"/>
                      <w:lang w:val="en-US" w:eastAsia="zh-CN" w:bidi="ar"/>
                    </w:rPr>
                    <w:t>（</w:t>
                  </w:r>
                  <w:r>
                    <w:rPr>
                      <w:rStyle w:val="81"/>
                      <w:rFonts w:eastAsia="宋体"/>
                      <w:b/>
                      <w:bCs/>
                      <w:color w:val="auto"/>
                      <w:lang w:val="en-US" w:eastAsia="zh-CN" w:bidi="ar"/>
                    </w:rPr>
                    <w:t>t/a</w:t>
                  </w:r>
                  <w:r>
                    <w:rPr>
                      <w:rStyle w:val="80"/>
                      <w:b/>
                      <w:bCs/>
                      <w:color w:val="auto"/>
                      <w:lang w:val="en-US" w:eastAsia="zh-CN" w:bidi="ar"/>
                    </w:rPr>
                    <w:t>）</w:t>
                  </w:r>
                </w:p>
              </w:tc>
            </w:tr>
            <w:tr w14:paraId="2648236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2" w:hRule="atLeast"/>
                <w:jc w:val="center"/>
              </w:trPr>
              <w:tc>
                <w:tcPr>
                  <w:tcW w:w="1547" w:type="pct"/>
                  <w:tcBorders>
                    <w:top w:val="single" w:color="000000" w:sz="4" w:space="0"/>
                    <w:left w:val="single" w:color="000000" w:sz="4" w:space="0"/>
                    <w:bottom w:val="single" w:color="000000" w:sz="4" w:space="0"/>
                    <w:right w:val="single" w:color="000000" w:sz="4" w:space="0"/>
                  </w:tcBorders>
                  <w:noWrap/>
                  <w:vAlign w:val="center"/>
                </w:tcPr>
                <w:p w14:paraId="09D9270C">
                  <w:pPr>
                    <w:keepNext w:val="0"/>
                    <w:keepLines w:val="0"/>
                    <w:widowControl/>
                    <w:suppressLineNumbers w:val="0"/>
                    <w:jc w:val="center"/>
                    <w:textAlignment w:val="center"/>
                    <w:rPr>
                      <w:rFonts w:hint="default" w:ascii="Times New Roman" w:hAnsi="Times New Roman" w:eastAsia="宋体" w:cs="Times New Roman"/>
                      <w:i w:val="0"/>
                      <w:iCs w:val="0"/>
                      <w:color w:val="auto"/>
                      <w:sz w:val="22"/>
                      <w:szCs w:val="22"/>
                      <w:u w:val="none"/>
                    </w:rPr>
                  </w:pPr>
                  <w:r>
                    <w:rPr>
                      <w:rFonts w:hint="eastAsia" w:cs="Times New Roman"/>
                      <w:b w:val="0"/>
                      <w:bCs w:val="0"/>
                      <w:color w:val="000000"/>
                      <w:kern w:val="0"/>
                      <w:sz w:val="21"/>
                      <w:szCs w:val="21"/>
                      <w:highlight w:val="none"/>
                      <w:vertAlign w:val="baseline"/>
                      <w:lang w:val="en-US" w:eastAsia="zh-CN" w:bidi="ar"/>
                    </w:rPr>
                    <w:t>煤炭</w:t>
                  </w:r>
                </w:p>
              </w:tc>
              <w:tc>
                <w:tcPr>
                  <w:tcW w:w="676" w:type="pct"/>
                  <w:tcBorders>
                    <w:top w:val="single" w:color="000000" w:sz="4" w:space="0"/>
                    <w:left w:val="single" w:color="000000" w:sz="4" w:space="0"/>
                    <w:bottom w:val="single" w:color="000000" w:sz="4" w:space="0"/>
                    <w:right w:val="single" w:color="000000" w:sz="4" w:space="0"/>
                  </w:tcBorders>
                  <w:noWrap w:val="0"/>
                  <w:vAlign w:val="center"/>
                </w:tcPr>
                <w:p w14:paraId="1F5143C6">
                  <w:pPr>
                    <w:keepNext w:val="0"/>
                    <w:keepLines w:val="0"/>
                    <w:widowControl/>
                    <w:suppressLineNumbers w:val="0"/>
                    <w:jc w:val="center"/>
                    <w:textAlignment w:val="center"/>
                    <w:rPr>
                      <w:rFonts w:hint="default" w:ascii="Times New Roman" w:hAnsi="Times New Roman" w:eastAsia="宋体" w:cs="Times New Roman"/>
                      <w:i w:val="0"/>
                      <w:iCs w:val="0"/>
                      <w:color w:val="auto"/>
                      <w:sz w:val="21"/>
                      <w:szCs w:val="21"/>
                      <w:u w:val="none"/>
                      <w:lang w:val="en-US"/>
                    </w:rPr>
                  </w:pPr>
                  <w:r>
                    <w:rPr>
                      <w:rFonts w:hint="eastAsia" w:cs="Times New Roman"/>
                      <w:i w:val="0"/>
                      <w:iCs w:val="0"/>
                      <w:color w:val="auto"/>
                      <w:kern w:val="0"/>
                      <w:sz w:val="21"/>
                      <w:szCs w:val="21"/>
                      <w:u w:val="none"/>
                      <w:lang w:val="en-US" w:eastAsia="zh-CN" w:bidi="ar"/>
                    </w:rPr>
                    <w:t>10</w:t>
                  </w:r>
                  <w:r>
                    <w:rPr>
                      <w:rFonts w:hint="eastAsia" w:ascii="Times New Roman" w:hAnsi="Times New Roman" w:eastAsia="宋体" w:cs="Times New Roman"/>
                      <w:i w:val="0"/>
                      <w:iCs w:val="0"/>
                      <w:color w:val="auto"/>
                      <w:kern w:val="0"/>
                      <w:sz w:val="21"/>
                      <w:szCs w:val="21"/>
                      <w:u w:val="none"/>
                      <w:lang w:val="en-US" w:eastAsia="zh-CN" w:bidi="ar"/>
                    </w:rPr>
                    <w:t>万</w:t>
                  </w:r>
                </w:p>
              </w:tc>
              <w:tc>
                <w:tcPr>
                  <w:tcW w:w="1618" w:type="pct"/>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7D11003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面煤（粒径&lt;1cm）</w:t>
                  </w:r>
                </w:p>
              </w:tc>
              <w:tc>
                <w:tcPr>
                  <w:tcW w:w="1158" w:type="pct"/>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7356EB29">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3万</w:t>
                  </w:r>
                </w:p>
              </w:tc>
            </w:tr>
            <w:tr w14:paraId="5FC916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jc w:val="center"/>
              </w:trPr>
              <w:tc>
                <w:tcPr>
                  <w:tcW w:w="15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455C36">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水</w:t>
                  </w:r>
                </w:p>
              </w:tc>
              <w:tc>
                <w:tcPr>
                  <w:tcW w:w="676" w:type="pct"/>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00AE012E">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6000</w:t>
                  </w:r>
                </w:p>
              </w:tc>
              <w:tc>
                <w:tcPr>
                  <w:tcW w:w="1618" w:type="pct"/>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45B14673">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面煤（粒径1cm-3cm）</w:t>
                  </w:r>
                </w:p>
              </w:tc>
              <w:tc>
                <w:tcPr>
                  <w:tcW w:w="1158" w:type="pct"/>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3CAE601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3万</w:t>
                  </w:r>
                </w:p>
              </w:tc>
            </w:tr>
            <w:tr w14:paraId="3B788C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jc w:val="center"/>
              </w:trPr>
              <w:tc>
                <w:tcPr>
                  <w:tcW w:w="1547" w:type="pct"/>
                  <w:tcBorders>
                    <w:top w:val="single" w:color="000000" w:sz="4" w:space="0"/>
                    <w:left w:val="single" w:color="000000" w:sz="4" w:space="0"/>
                    <w:bottom w:val="single" w:color="000000" w:sz="4" w:space="0"/>
                    <w:right w:val="single" w:color="000000" w:sz="4" w:space="0"/>
                  </w:tcBorders>
                  <w:noWrap/>
                  <w:vAlign w:val="center"/>
                </w:tcPr>
                <w:p w14:paraId="70A30CA5">
                  <w:pPr>
                    <w:keepNext w:val="0"/>
                    <w:keepLines w:val="0"/>
                    <w:widowControl/>
                    <w:suppressLineNumbers w:val="0"/>
                    <w:jc w:val="center"/>
                    <w:textAlignment w:val="center"/>
                    <w:rPr>
                      <w:rFonts w:hint="eastAsia" w:cs="Times New Roman"/>
                      <w:b w:val="0"/>
                      <w:bCs w:val="0"/>
                      <w:color w:val="000000"/>
                      <w:kern w:val="0"/>
                      <w:sz w:val="21"/>
                      <w:szCs w:val="21"/>
                      <w:highlight w:val="none"/>
                      <w:vertAlign w:val="baseline"/>
                      <w:lang w:val="en-US" w:eastAsia="zh-CN" w:bidi="ar"/>
                    </w:rPr>
                  </w:pPr>
                </w:p>
              </w:tc>
              <w:tc>
                <w:tcPr>
                  <w:tcW w:w="676" w:type="pct"/>
                  <w:tcBorders>
                    <w:top w:val="single" w:color="000000" w:sz="4" w:space="0"/>
                    <w:left w:val="single" w:color="000000" w:sz="4" w:space="0"/>
                    <w:bottom w:val="single" w:color="000000" w:sz="4" w:space="0"/>
                    <w:right w:val="single" w:color="000000" w:sz="4" w:space="0"/>
                  </w:tcBorders>
                  <w:noWrap w:val="0"/>
                  <w:vAlign w:val="center"/>
                </w:tcPr>
                <w:p w14:paraId="63001A7B">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u w:val="none"/>
                      <w:lang w:val="en-US" w:eastAsia="zh-CN" w:bidi="ar"/>
                    </w:rPr>
                  </w:pPr>
                </w:p>
              </w:tc>
              <w:tc>
                <w:tcPr>
                  <w:tcW w:w="1618" w:type="pct"/>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59B303D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块煤（粒径3cm-8cm）</w:t>
                  </w:r>
                </w:p>
              </w:tc>
              <w:tc>
                <w:tcPr>
                  <w:tcW w:w="1158" w:type="pct"/>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250DB45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2万</w:t>
                  </w:r>
                </w:p>
              </w:tc>
            </w:tr>
            <w:tr w14:paraId="7E5091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jc w:val="center"/>
              </w:trPr>
              <w:tc>
                <w:tcPr>
                  <w:tcW w:w="1547" w:type="pct"/>
                  <w:tcBorders>
                    <w:top w:val="single" w:color="000000" w:sz="4" w:space="0"/>
                    <w:left w:val="single" w:color="000000" w:sz="4" w:space="0"/>
                    <w:bottom w:val="single" w:color="000000" w:sz="4" w:space="0"/>
                    <w:right w:val="single" w:color="000000" w:sz="4" w:space="0"/>
                  </w:tcBorders>
                  <w:noWrap/>
                  <w:vAlign w:val="center"/>
                </w:tcPr>
                <w:p w14:paraId="446C0E11">
                  <w:pPr>
                    <w:keepNext w:val="0"/>
                    <w:keepLines w:val="0"/>
                    <w:widowControl/>
                    <w:suppressLineNumbers w:val="0"/>
                    <w:jc w:val="center"/>
                    <w:textAlignment w:val="center"/>
                    <w:rPr>
                      <w:rFonts w:hint="eastAsia" w:cs="Times New Roman"/>
                      <w:b w:val="0"/>
                      <w:bCs w:val="0"/>
                      <w:color w:val="000000"/>
                      <w:kern w:val="0"/>
                      <w:sz w:val="21"/>
                      <w:szCs w:val="21"/>
                      <w:highlight w:val="none"/>
                      <w:vertAlign w:val="baseline"/>
                      <w:lang w:val="en-US" w:eastAsia="zh-CN" w:bidi="ar"/>
                    </w:rPr>
                  </w:pPr>
                </w:p>
              </w:tc>
              <w:tc>
                <w:tcPr>
                  <w:tcW w:w="676" w:type="pct"/>
                  <w:tcBorders>
                    <w:top w:val="single" w:color="000000" w:sz="4" w:space="0"/>
                    <w:left w:val="single" w:color="000000" w:sz="4" w:space="0"/>
                    <w:bottom w:val="single" w:color="000000" w:sz="4" w:space="0"/>
                    <w:right w:val="single" w:color="000000" w:sz="4" w:space="0"/>
                  </w:tcBorders>
                  <w:noWrap w:val="0"/>
                  <w:vAlign w:val="center"/>
                </w:tcPr>
                <w:p w14:paraId="01B2D6B4">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u w:val="none"/>
                      <w:lang w:val="en-US" w:eastAsia="zh-CN" w:bidi="ar"/>
                    </w:rPr>
                  </w:pPr>
                </w:p>
              </w:tc>
              <w:tc>
                <w:tcPr>
                  <w:tcW w:w="1618" w:type="pct"/>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39266EF4">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块煤（粒径8cm-35cm）</w:t>
                  </w:r>
                </w:p>
              </w:tc>
              <w:tc>
                <w:tcPr>
                  <w:tcW w:w="1158" w:type="pct"/>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3C51FAA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1.8万</w:t>
                  </w:r>
                </w:p>
              </w:tc>
            </w:tr>
            <w:tr w14:paraId="03FE6E2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7" w:hRule="atLeast"/>
                <w:jc w:val="center"/>
              </w:trPr>
              <w:tc>
                <w:tcPr>
                  <w:tcW w:w="1547" w:type="pct"/>
                  <w:tcBorders>
                    <w:top w:val="single" w:color="000000" w:sz="4" w:space="0"/>
                    <w:left w:val="single" w:color="000000" w:sz="4" w:space="0"/>
                    <w:bottom w:val="single" w:color="000000" w:sz="4" w:space="0"/>
                    <w:right w:val="single" w:color="000000" w:sz="4" w:space="0"/>
                  </w:tcBorders>
                  <w:noWrap/>
                  <w:vAlign w:val="center"/>
                </w:tcPr>
                <w:p w14:paraId="66A88469">
                  <w:pPr>
                    <w:keepNext w:val="0"/>
                    <w:keepLines w:val="0"/>
                    <w:widowControl/>
                    <w:suppressLineNumbers w:val="0"/>
                    <w:jc w:val="center"/>
                    <w:textAlignment w:val="center"/>
                    <w:rPr>
                      <w:rFonts w:hint="eastAsia" w:cs="Times New Roman"/>
                      <w:b w:val="0"/>
                      <w:bCs w:val="0"/>
                      <w:color w:val="000000"/>
                      <w:kern w:val="0"/>
                      <w:sz w:val="21"/>
                      <w:szCs w:val="21"/>
                      <w:highlight w:val="none"/>
                      <w:vertAlign w:val="baseline"/>
                      <w:lang w:val="en-US" w:eastAsia="zh-CN" w:bidi="ar"/>
                    </w:rPr>
                  </w:pPr>
                </w:p>
              </w:tc>
              <w:tc>
                <w:tcPr>
                  <w:tcW w:w="676" w:type="pct"/>
                  <w:tcBorders>
                    <w:top w:val="single" w:color="000000" w:sz="4" w:space="0"/>
                    <w:left w:val="single" w:color="000000" w:sz="4" w:space="0"/>
                    <w:bottom w:val="single" w:color="000000" w:sz="4" w:space="0"/>
                    <w:right w:val="single" w:color="000000" w:sz="4" w:space="0"/>
                  </w:tcBorders>
                  <w:noWrap w:val="0"/>
                  <w:vAlign w:val="center"/>
                </w:tcPr>
                <w:p w14:paraId="63C5B8F1">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u w:val="none"/>
                      <w:lang w:val="en-US" w:eastAsia="zh-CN" w:bidi="ar"/>
                    </w:rPr>
                  </w:pPr>
                </w:p>
              </w:tc>
              <w:tc>
                <w:tcPr>
                  <w:tcW w:w="1618" w:type="pct"/>
                  <w:tcBorders>
                    <w:top w:val="single" w:color="000000" w:sz="4" w:space="0"/>
                    <w:left w:val="single" w:color="000000" w:sz="4" w:space="0"/>
                    <w:bottom w:val="single" w:color="000000" w:sz="4" w:space="0"/>
                    <w:right w:val="single" w:color="000000" w:sz="4" w:space="0"/>
                  </w:tcBorders>
                  <w:noWrap w:val="0"/>
                  <w:vAlign w:val="center"/>
                </w:tcPr>
                <w:p w14:paraId="64F45E1A">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ascii="Times New Roman" w:hAnsi="Times New Roman" w:eastAsia="宋体" w:cs="Times New Roman"/>
                      <w:i w:val="0"/>
                      <w:iCs w:val="0"/>
                      <w:color w:val="auto"/>
                      <w:kern w:val="0"/>
                      <w:sz w:val="21"/>
                      <w:szCs w:val="21"/>
                      <w:u w:val="none"/>
                      <w:lang w:val="en-US" w:eastAsia="zh-CN" w:bidi="ar"/>
                    </w:rPr>
                    <w:t>循环用水</w:t>
                  </w:r>
                </w:p>
              </w:tc>
              <w:tc>
                <w:tcPr>
                  <w:tcW w:w="1158" w:type="pct"/>
                  <w:tcBorders>
                    <w:top w:val="single" w:color="000000" w:sz="4" w:space="0"/>
                    <w:left w:val="single" w:color="000000" w:sz="4" w:space="0"/>
                    <w:bottom w:val="single" w:color="000000" w:sz="4" w:space="0"/>
                    <w:right w:val="single" w:color="000000" w:sz="4" w:space="0"/>
                  </w:tcBorders>
                  <w:noWrap w:val="0"/>
                  <w:vAlign w:val="center"/>
                </w:tcPr>
                <w:p w14:paraId="47B9E562">
                  <w:pPr>
                    <w:keepNext w:val="0"/>
                    <w:keepLines w:val="0"/>
                    <w:widowControl/>
                    <w:suppressLineNumbers w:val="0"/>
                    <w:jc w:val="center"/>
                    <w:textAlignment w:val="center"/>
                    <w:rPr>
                      <w:rFonts w:hint="default"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5700</w:t>
                  </w:r>
                </w:p>
              </w:tc>
            </w:tr>
            <w:tr w14:paraId="66D152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jc w:val="center"/>
              </w:trPr>
              <w:tc>
                <w:tcPr>
                  <w:tcW w:w="1547" w:type="pct"/>
                  <w:tcBorders>
                    <w:top w:val="single" w:color="000000" w:sz="4" w:space="0"/>
                    <w:left w:val="single" w:color="000000" w:sz="4" w:space="0"/>
                    <w:bottom w:val="single" w:color="000000" w:sz="4" w:space="0"/>
                    <w:right w:val="single" w:color="000000" w:sz="4" w:space="0"/>
                  </w:tcBorders>
                  <w:noWrap/>
                  <w:vAlign w:val="center"/>
                </w:tcPr>
                <w:p w14:paraId="79EBB577">
                  <w:pPr>
                    <w:rPr>
                      <w:rFonts w:hint="eastAsia" w:ascii="宋体" w:hAnsi="宋体" w:eastAsia="宋体" w:cs="宋体"/>
                      <w:i w:val="0"/>
                      <w:iCs w:val="0"/>
                      <w:color w:val="auto"/>
                      <w:sz w:val="22"/>
                      <w:szCs w:val="22"/>
                      <w:u w:val="none"/>
                    </w:rPr>
                  </w:pPr>
                </w:p>
              </w:tc>
              <w:tc>
                <w:tcPr>
                  <w:tcW w:w="676" w:type="pct"/>
                  <w:tcBorders>
                    <w:top w:val="single" w:color="000000" w:sz="4" w:space="0"/>
                    <w:left w:val="single" w:color="000000" w:sz="4" w:space="0"/>
                    <w:bottom w:val="single" w:color="000000" w:sz="4" w:space="0"/>
                    <w:right w:val="single" w:color="000000" w:sz="4" w:space="0"/>
                  </w:tcBorders>
                  <w:noWrap w:val="0"/>
                  <w:vAlign w:val="center"/>
                </w:tcPr>
                <w:p w14:paraId="4DBE6F4C">
                  <w:pPr>
                    <w:jc w:val="center"/>
                    <w:rPr>
                      <w:rFonts w:hint="eastAsia" w:ascii="宋体" w:hAnsi="宋体" w:eastAsia="宋体" w:cs="宋体"/>
                      <w:i w:val="0"/>
                      <w:iCs w:val="0"/>
                      <w:color w:val="auto"/>
                      <w:sz w:val="21"/>
                      <w:szCs w:val="21"/>
                      <w:u w:val="none"/>
                    </w:rPr>
                  </w:pPr>
                </w:p>
              </w:tc>
              <w:tc>
                <w:tcPr>
                  <w:tcW w:w="1618" w:type="pct"/>
                  <w:tcBorders>
                    <w:top w:val="single" w:color="000000" w:sz="4" w:space="0"/>
                    <w:left w:val="single" w:color="000000" w:sz="4" w:space="0"/>
                    <w:bottom w:val="single" w:color="000000" w:sz="4" w:space="0"/>
                    <w:right w:val="single" w:color="000000" w:sz="4" w:space="0"/>
                  </w:tcBorders>
                  <w:noWrap w:val="0"/>
                  <w:vAlign w:val="center"/>
                </w:tcPr>
                <w:p w14:paraId="0C6216ED">
                  <w:pPr>
                    <w:keepNext w:val="0"/>
                    <w:keepLines w:val="0"/>
                    <w:widowControl/>
                    <w:suppressLineNumbers w:val="0"/>
                    <w:jc w:val="center"/>
                    <w:textAlignment w:val="center"/>
                    <w:rPr>
                      <w:rFonts w:hint="eastAsia" w:ascii="宋体" w:hAnsi="宋体" w:eastAsia="宋体" w:cs="宋体"/>
                      <w:i w:val="0"/>
                      <w:iCs w:val="0"/>
                      <w:color w:val="auto"/>
                      <w:sz w:val="21"/>
                      <w:szCs w:val="21"/>
                      <w:u w:val="none"/>
                      <w:lang w:eastAsia="zh-CN"/>
                    </w:rPr>
                  </w:pPr>
                  <w:r>
                    <w:rPr>
                      <w:rFonts w:hint="eastAsia" w:ascii="宋体" w:hAnsi="宋体" w:eastAsia="宋体" w:cs="宋体"/>
                      <w:i w:val="0"/>
                      <w:iCs w:val="0"/>
                      <w:color w:val="auto"/>
                      <w:sz w:val="21"/>
                      <w:szCs w:val="21"/>
                      <w:u w:val="none"/>
                      <w:lang w:eastAsia="zh-CN"/>
                    </w:rPr>
                    <w:t>原煤吸附水</w:t>
                  </w:r>
                </w:p>
              </w:tc>
              <w:tc>
                <w:tcPr>
                  <w:tcW w:w="1158" w:type="pct"/>
                  <w:tcBorders>
                    <w:top w:val="single" w:color="000000" w:sz="4" w:space="0"/>
                    <w:left w:val="single" w:color="000000" w:sz="4" w:space="0"/>
                    <w:bottom w:val="single" w:color="000000" w:sz="4" w:space="0"/>
                    <w:right w:val="single" w:color="000000" w:sz="4" w:space="0"/>
                  </w:tcBorders>
                  <w:noWrap w:val="0"/>
                  <w:vAlign w:val="center"/>
                </w:tcPr>
                <w:p w14:paraId="27A2E14A">
                  <w:pPr>
                    <w:keepNext w:val="0"/>
                    <w:keepLines w:val="0"/>
                    <w:widowControl/>
                    <w:suppressLineNumbers w:val="0"/>
                    <w:jc w:val="center"/>
                    <w:textAlignment w:val="center"/>
                    <w:rPr>
                      <w:rFonts w:hint="default"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300</w:t>
                  </w:r>
                </w:p>
              </w:tc>
            </w:tr>
            <w:tr w14:paraId="6491E1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547" w:type="pct"/>
                  <w:tcBorders>
                    <w:top w:val="single" w:color="000000" w:sz="4" w:space="0"/>
                    <w:left w:val="single" w:color="000000" w:sz="4" w:space="0"/>
                    <w:bottom w:val="single" w:color="000000" w:sz="4" w:space="0"/>
                    <w:right w:val="single" w:color="000000" w:sz="4" w:space="0"/>
                  </w:tcBorders>
                  <w:noWrap/>
                  <w:vAlign w:val="center"/>
                </w:tcPr>
                <w:p w14:paraId="589343F2">
                  <w:pPr>
                    <w:rPr>
                      <w:rFonts w:hint="eastAsia" w:ascii="宋体" w:hAnsi="宋体" w:eastAsia="宋体" w:cs="宋体"/>
                      <w:i w:val="0"/>
                      <w:iCs w:val="0"/>
                      <w:color w:val="auto"/>
                      <w:sz w:val="22"/>
                      <w:szCs w:val="22"/>
                      <w:u w:val="none"/>
                    </w:rPr>
                  </w:pPr>
                </w:p>
              </w:tc>
              <w:tc>
                <w:tcPr>
                  <w:tcW w:w="676" w:type="pct"/>
                  <w:tcBorders>
                    <w:top w:val="single" w:color="000000" w:sz="4" w:space="0"/>
                    <w:left w:val="single" w:color="000000" w:sz="4" w:space="0"/>
                    <w:bottom w:val="single" w:color="000000" w:sz="4" w:space="0"/>
                    <w:right w:val="single" w:color="000000" w:sz="4" w:space="0"/>
                  </w:tcBorders>
                  <w:noWrap w:val="0"/>
                  <w:vAlign w:val="center"/>
                </w:tcPr>
                <w:p w14:paraId="5F5258CD">
                  <w:pPr>
                    <w:jc w:val="center"/>
                    <w:rPr>
                      <w:rFonts w:hint="eastAsia" w:ascii="宋体" w:hAnsi="宋体" w:eastAsia="宋体" w:cs="宋体"/>
                      <w:i w:val="0"/>
                      <w:iCs w:val="0"/>
                      <w:color w:val="auto"/>
                      <w:sz w:val="21"/>
                      <w:szCs w:val="21"/>
                      <w:u w:val="none"/>
                    </w:rPr>
                  </w:pPr>
                </w:p>
              </w:tc>
              <w:tc>
                <w:tcPr>
                  <w:tcW w:w="1618" w:type="pct"/>
                  <w:tcBorders>
                    <w:top w:val="single" w:color="000000" w:sz="4" w:space="0"/>
                    <w:left w:val="single" w:color="000000" w:sz="4" w:space="0"/>
                    <w:bottom w:val="single" w:color="000000" w:sz="4" w:space="0"/>
                    <w:right w:val="single" w:color="000000" w:sz="4" w:space="0"/>
                  </w:tcBorders>
                  <w:noWrap w:val="0"/>
                  <w:vAlign w:val="center"/>
                </w:tcPr>
                <w:p w14:paraId="065D7ECD">
                  <w:pPr>
                    <w:keepNext w:val="0"/>
                    <w:keepLines w:val="0"/>
                    <w:widowControl/>
                    <w:suppressLineNumbers w:val="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除尘灰</w:t>
                  </w:r>
                </w:p>
              </w:tc>
              <w:tc>
                <w:tcPr>
                  <w:tcW w:w="1158" w:type="pct"/>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27747D1F">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cs="Times New Roman"/>
                      <w:i w:val="0"/>
                      <w:iCs w:val="0"/>
                      <w:color w:val="000000"/>
                      <w:kern w:val="0"/>
                      <w:sz w:val="21"/>
                      <w:szCs w:val="21"/>
                      <w:u w:val="none"/>
                      <w:lang w:val="en-US" w:eastAsia="zh-CN" w:bidi="ar"/>
                    </w:rPr>
                    <w:t>5</w:t>
                  </w:r>
                  <w:r>
                    <w:rPr>
                      <w:rFonts w:hint="default" w:ascii="Times New Roman" w:hAnsi="Times New Roman" w:eastAsia="宋体" w:cs="Times New Roman"/>
                      <w:i w:val="0"/>
                      <w:iCs w:val="0"/>
                      <w:color w:val="000000"/>
                      <w:kern w:val="0"/>
                      <w:sz w:val="21"/>
                      <w:szCs w:val="21"/>
                      <w:u w:val="none"/>
                      <w:lang w:val="en-US" w:eastAsia="zh-CN" w:bidi="ar"/>
                    </w:rPr>
                    <w:t>78.9</w:t>
                  </w:r>
                </w:p>
              </w:tc>
            </w:tr>
            <w:tr w14:paraId="206F2A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jc w:val="center"/>
              </w:trPr>
              <w:tc>
                <w:tcPr>
                  <w:tcW w:w="1547" w:type="pct"/>
                  <w:tcBorders>
                    <w:top w:val="single" w:color="000000" w:sz="4" w:space="0"/>
                    <w:left w:val="single" w:color="000000" w:sz="4" w:space="0"/>
                    <w:bottom w:val="single" w:color="000000" w:sz="4" w:space="0"/>
                    <w:right w:val="single" w:color="000000" w:sz="4" w:space="0"/>
                  </w:tcBorders>
                  <w:noWrap/>
                  <w:vAlign w:val="center"/>
                </w:tcPr>
                <w:p w14:paraId="7F519B3E">
                  <w:pPr>
                    <w:rPr>
                      <w:rFonts w:hint="eastAsia" w:ascii="宋体" w:hAnsi="宋体" w:eastAsia="宋体" w:cs="宋体"/>
                      <w:i w:val="0"/>
                      <w:iCs w:val="0"/>
                      <w:color w:val="auto"/>
                      <w:sz w:val="22"/>
                      <w:szCs w:val="22"/>
                      <w:u w:val="none"/>
                    </w:rPr>
                  </w:pPr>
                </w:p>
              </w:tc>
              <w:tc>
                <w:tcPr>
                  <w:tcW w:w="676" w:type="pct"/>
                  <w:tcBorders>
                    <w:top w:val="single" w:color="000000" w:sz="4" w:space="0"/>
                    <w:left w:val="single" w:color="000000" w:sz="4" w:space="0"/>
                    <w:bottom w:val="single" w:color="000000" w:sz="4" w:space="0"/>
                    <w:right w:val="single" w:color="000000" w:sz="4" w:space="0"/>
                  </w:tcBorders>
                  <w:noWrap w:val="0"/>
                  <w:vAlign w:val="center"/>
                </w:tcPr>
                <w:p w14:paraId="001F0242">
                  <w:pPr>
                    <w:jc w:val="center"/>
                    <w:rPr>
                      <w:rFonts w:hint="eastAsia" w:ascii="宋体" w:hAnsi="宋体" w:eastAsia="宋体" w:cs="宋体"/>
                      <w:i w:val="0"/>
                      <w:iCs w:val="0"/>
                      <w:color w:val="auto"/>
                      <w:sz w:val="21"/>
                      <w:szCs w:val="21"/>
                      <w:u w:val="none"/>
                    </w:rPr>
                  </w:pPr>
                </w:p>
              </w:tc>
              <w:tc>
                <w:tcPr>
                  <w:tcW w:w="1618" w:type="pct"/>
                  <w:tcBorders>
                    <w:top w:val="single" w:color="000000" w:sz="4" w:space="0"/>
                    <w:left w:val="single" w:color="000000" w:sz="4" w:space="0"/>
                    <w:bottom w:val="single" w:color="000000" w:sz="4" w:space="0"/>
                    <w:right w:val="single" w:color="000000" w:sz="4" w:space="0"/>
                  </w:tcBorders>
                  <w:noWrap w:val="0"/>
                  <w:vAlign w:val="center"/>
                </w:tcPr>
                <w:p w14:paraId="21ECE893">
                  <w:pPr>
                    <w:keepNext w:val="0"/>
                    <w:keepLines w:val="0"/>
                    <w:widowControl/>
                    <w:suppressLineNumbers w:val="0"/>
                    <w:jc w:val="center"/>
                    <w:textAlignment w:val="center"/>
                    <w:rPr>
                      <w:rFonts w:hint="eastAsia" w:ascii="宋体" w:hAnsi="宋体" w:eastAsia="宋体" w:cs="宋体"/>
                      <w:i w:val="0"/>
                      <w:iCs w:val="0"/>
                      <w:color w:val="auto"/>
                      <w:sz w:val="21"/>
                      <w:szCs w:val="21"/>
                      <w:u w:val="none"/>
                      <w:lang w:val="en-US" w:eastAsia="zh-CN"/>
                    </w:rPr>
                  </w:pPr>
                  <w:r>
                    <w:rPr>
                      <w:rFonts w:hint="eastAsia" w:ascii="宋体" w:hAnsi="宋体" w:eastAsia="宋体" w:cs="宋体"/>
                      <w:i w:val="0"/>
                      <w:iCs w:val="0"/>
                      <w:color w:val="auto"/>
                      <w:sz w:val="21"/>
                      <w:szCs w:val="21"/>
                      <w:u w:val="none"/>
                      <w:lang w:val="en-US" w:eastAsia="zh-CN"/>
                    </w:rPr>
                    <w:t>压缩机劣质煤</w:t>
                  </w:r>
                </w:p>
              </w:tc>
              <w:tc>
                <w:tcPr>
                  <w:tcW w:w="1158" w:type="pct"/>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0DEF0F4F">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ascii="Times New Roman" w:hAnsi="Times New Roman" w:eastAsia="宋体" w:cs="Times New Roman"/>
                      <w:i w:val="0"/>
                      <w:iCs w:val="0"/>
                      <w:color w:val="000000"/>
                      <w:kern w:val="0"/>
                      <w:sz w:val="21"/>
                      <w:szCs w:val="21"/>
                      <w:u w:val="none"/>
                      <w:lang w:val="en-US" w:eastAsia="zh-CN" w:bidi="ar"/>
                    </w:rPr>
                    <w:t>1</w:t>
                  </w:r>
                  <w:r>
                    <w:rPr>
                      <w:rFonts w:hint="eastAsia" w:cs="Times New Roman"/>
                      <w:i w:val="0"/>
                      <w:iCs w:val="0"/>
                      <w:color w:val="000000"/>
                      <w:kern w:val="0"/>
                      <w:sz w:val="21"/>
                      <w:szCs w:val="21"/>
                      <w:u w:val="none"/>
                      <w:lang w:val="en-US" w:eastAsia="zh-CN" w:bidi="ar"/>
                    </w:rPr>
                    <w:t>4</w:t>
                  </w:r>
                  <w:r>
                    <w:rPr>
                      <w:rFonts w:hint="eastAsia" w:ascii="Times New Roman" w:hAnsi="Times New Roman" w:eastAsia="宋体" w:cs="Times New Roman"/>
                      <w:i w:val="0"/>
                      <w:iCs w:val="0"/>
                      <w:color w:val="000000"/>
                      <w:kern w:val="0"/>
                      <w:sz w:val="21"/>
                      <w:szCs w:val="21"/>
                      <w:u w:val="none"/>
                      <w:lang w:val="en-US" w:eastAsia="zh-CN" w:bidi="ar"/>
                    </w:rPr>
                    <w:t>18.141</w:t>
                  </w:r>
                </w:p>
              </w:tc>
            </w:tr>
            <w:tr w14:paraId="0003CE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jc w:val="center"/>
              </w:trPr>
              <w:tc>
                <w:tcPr>
                  <w:tcW w:w="1547" w:type="pct"/>
                  <w:tcBorders>
                    <w:top w:val="single" w:color="000000" w:sz="4" w:space="0"/>
                    <w:left w:val="single" w:color="000000" w:sz="4" w:space="0"/>
                    <w:bottom w:val="single" w:color="000000" w:sz="4" w:space="0"/>
                    <w:right w:val="single" w:color="000000" w:sz="4" w:space="0"/>
                  </w:tcBorders>
                  <w:noWrap/>
                  <w:vAlign w:val="center"/>
                </w:tcPr>
                <w:p w14:paraId="07E299AA">
                  <w:pPr>
                    <w:rPr>
                      <w:rFonts w:hint="eastAsia" w:ascii="宋体" w:hAnsi="宋体" w:eastAsia="宋体" w:cs="宋体"/>
                      <w:i w:val="0"/>
                      <w:iCs w:val="0"/>
                      <w:color w:val="auto"/>
                      <w:sz w:val="22"/>
                      <w:szCs w:val="22"/>
                      <w:u w:val="none"/>
                    </w:rPr>
                  </w:pPr>
                </w:p>
              </w:tc>
              <w:tc>
                <w:tcPr>
                  <w:tcW w:w="676" w:type="pct"/>
                  <w:tcBorders>
                    <w:top w:val="single" w:color="000000" w:sz="4" w:space="0"/>
                    <w:left w:val="single" w:color="000000" w:sz="4" w:space="0"/>
                    <w:bottom w:val="single" w:color="000000" w:sz="4" w:space="0"/>
                    <w:right w:val="single" w:color="000000" w:sz="4" w:space="0"/>
                  </w:tcBorders>
                  <w:noWrap w:val="0"/>
                  <w:vAlign w:val="center"/>
                </w:tcPr>
                <w:p w14:paraId="7EB05F2F">
                  <w:pPr>
                    <w:jc w:val="center"/>
                    <w:rPr>
                      <w:rFonts w:hint="eastAsia" w:ascii="宋体" w:hAnsi="宋体" w:eastAsia="宋体" w:cs="宋体"/>
                      <w:i w:val="0"/>
                      <w:iCs w:val="0"/>
                      <w:color w:val="auto"/>
                      <w:sz w:val="21"/>
                      <w:szCs w:val="21"/>
                      <w:u w:val="none"/>
                    </w:rPr>
                  </w:pPr>
                </w:p>
              </w:tc>
              <w:tc>
                <w:tcPr>
                  <w:tcW w:w="1618" w:type="pct"/>
                  <w:tcBorders>
                    <w:top w:val="single" w:color="000000" w:sz="4" w:space="0"/>
                    <w:left w:val="single" w:color="000000" w:sz="4" w:space="0"/>
                    <w:bottom w:val="single" w:color="000000" w:sz="4" w:space="0"/>
                    <w:right w:val="single" w:color="000000" w:sz="4" w:space="0"/>
                  </w:tcBorders>
                  <w:noWrap w:val="0"/>
                  <w:vAlign w:val="center"/>
                </w:tcPr>
                <w:p w14:paraId="1FFD4A7F">
                  <w:pPr>
                    <w:keepNext w:val="0"/>
                    <w:keepLines w:val="0"/>
                    <w:widowControl/>
                    <w:suppressLineNumbers w:val="0"/>
                    <w:jc w:val="center"/>
                    <w:textAlignment w:val="center"/>
                    <w:rPr>
                      <w:rFonts w:hint="eastAsia" w:ascii="宋体" w:hAnsi="宋体" w:eastAsia="宋体" w:cs="宋体"/>
                      <w:i w:val="0"/>
                      <w:iCs w:val="0"/>
                      <w:color w:val="auto"/>
                      <w:sz w:val="21"/>
                      <w:szCs w:val="21"/>
                      <w:u w:val="none"/>
                      <w:lang w:val="en-US" w:eastAsia="zh-CN"/>
                    </w:rPr>
                  </w:pPr>
                  <w:r>
                    <w:rPr>
                      <w:rFonts w:hint="eastAsia" w:ascii="宋体" w:hAnsi="宋体" w:eastAsia="宋体" w:cs="宋体"/>
                      <w:i w:val="0"/>
                      <w:iCs w:val="0"/>
                      <w:color w:val="auto"/>
                      <w:sz w:val="21"/>
                      <w:szCs w:val="21"/>
                      <w:u w:val="none"/>
                      <w:lang w:val="en-US" w:eastAsia="zh-CN"/>
                    </w:rPr>
                    <w:t>废气</w:t>
                  </w:r>
                </w:p>
              </w:tc>
              <w:tc>
                <w:tcPr>
                  <w:tcW w:w="1158" w:type="pct"/>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5C72F781">
                  <w:pPr>
                    <w:keepNext w:val="0"/>
                    <w:keepLines w:val="0"/>
                    <w:widowControl/>
                    <w:suppressLineNumbers w:val="0"/>
                    <w:jc w:val="center"/>
                    <w:textAlignment w:val="center"/>
                    <w:rPr>
                      <w:rFonts w:hint="default" w:ascii="Times New Roman" w:hAnsi="Times New Roman" w:eastAsia="宋体"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2.959</w:t>
                  </w:r>
                </w:p>
              </w:tc>
            </w:tr>
            <w:tr w14:paraId="0C772D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547" w:type="pct"/>
                  <w:tcBorders>
                    <w:top w:val="single" w:color="000000" w:sz="4" w:space="0"/>
                    <w:left w:val="single" w:color="000000" w:sz="4" w:space="0"/>
                    <w:bottom w:val="single" w:color="000000" w:sz="4" w:space="0"/>
                    <w:right w:val="single" w:color="000000" w:sz="4" w:space="0"/>
                  </w:tcBorders>
                  <w:noWrap/>
                  <w:vAlign w:val="center"/>
                </w:tcPr>
                <w:p w14:paraId="68CB7098">
                  <w:pPr>
                    <w:rPr>
                      <w:rFonts w:hint="default" w:ascii="Times New Roman" w:hAnsi="Times New Roman" w:eastAsia="宋体" w:cs="Times New Roman"/>
                      <w:i w:val="0"/>
                      <w:iCs w:val="0"/>
                      <w:color w:val="auto"/>
                      <w:sz w:val="22"/>
                      <w:szCs w:val="22"/>
                      <w:u w:val="none"/>
                      <w:lang w:val="en-US" w:eastAsia="zh-CN"/>
                    </w:rPr>
                  </w:pPr>
                  <w:r>
                    <w:rPr>
                      <w:rFonts w:hint="default" w:ascii="Times New Roman" w:hAnsi="Times New Roman" w:eastAsia="宋体" w:cs="Times New Roman"/>
                      <w:i w:val="0"/>
                      <w:iCs w:val="0"/>
                      <w:color w:val="auto"/>
                      <w:sz w:val="22"/>
                      <w:szCs w:val="22"/>
                      <w:u w:val="none"/>
                      <w:lang w:val="en-US" w:eastAsia="zh-CN"/>
                    </w:rPr>
                    <w:t>合计</w:t>
                  </w:r>
                </w:p>
              </w:tc>
              <w:tc>
                <w:tcPr>
                  <w:tcW w:w="676" w:type="pct"/>
                  <w:tcBorders>
                    <w:top w:val="single" w:color="000000" w:sz="4" w:space="0"/>
                    <w:left w:val="single" w:color="000000" w:sz="4" w:space="0"/>
                    <w:bottom w:val="single" w:color="000000" w:sz="4" w:space="0"/>
                    <w:right w:val="single" w:color="000000" w:sz="4" w:space="0"/>
                  </w:tcBorders>
                  <w:noWrap w:val="0"/>
                  <w:vAlign w:val="center"/>
                </w:tcPr>
                <w:p w14:paraId="31558F55">
                  <w:pPr>
                    <w:keepNext w:val="0"/>
                    <w:keepLines w:val="0"/>
                    <w:widowControl/>
                    <w:suppressLineNumbers w:val="0"/>
                    <w:jc w:val="center"/>
                    <w:textAlignment w:val="center"/>
                    <w:rPr>
                      <w:rFonts w:hint="default" w:ascii="Times New Roman" w:hAnsi="Times New Roman" w:eastAsia="宋体" w:cs="Times New Roman"/>
                      <w:i w:val="0"/>
                      <w:iCs w:val="0"/>
                      <w:color w:val="auto"/>
                      <w:sz w:val="21"/>
                      <w:szCs w:val="21"/>
                      <w:u w:val="none"/>
                      <w:lang w:val="en-US" w:eastAsia="zh-CN"/>
                    </w:rPr>
                  </w:pPr>
                  <w:r>
                    <w:rPr>
                      <w:rFonts w:hint="eastAsia" w:ascii="Times New Roman" w:hAnsi="Times New Roman" w:eastAsia="宋体" w:cs="Times New Roman"/>
                      <w:i w:val="0"/>
                      <w:iCs w:val="0"/>
                      <w:color w:val="auto"/>
                      <w:sz w:val="21"/>
                      <w:szCs w:val="21"/>
                      <w:u w:val="none"/>
                      <w:lang w:val="en-US" w:eastAsia="zh-CN"/>
                    </w:rPr>
                    <w:t>1</w:t>
                  </w:r>
                  <w:r>
                    <w:rPr>
                      <w:rFonts w:hint="eastAsia" w:cs="Times New Roman"/>
                      <w:i w:val="0"/>
                      <w:iCs w:val="0"/>
                      <w:color w:val="auto"/>
                      <w:sz w:val="21"/>
                      <w:szCs w:val="21"/>
                      <w:u w:val="none"/>
                      <w:lang w:val="en-US" w:eastAsia="zh-CN"/>
                    </w:rPr>
                    <w:t>0.6</w:t>
                  </w:r>
                  <w:r>
                    <w:rPr>
                      <w:rFonts w:hint="eastAsia" w:ascii="Times New Roman" w:hAnsi="Times New Roman" w:eastAsia="宋体" w:cs="Times New Roman"/>
                      <w:i w:val="0"/>
                      <w:iCs w:val="0"/>
                      <w:color w:val="auto"/>
                      <w:kern w:val="0"/>
                      <w:sz w:val="21"/>
                      <w:szCs w:val="21"/>
                      <w:u w:val="none"/>
                      <w:lang w:val="en-US" w:eastAsia="zh-CN" w:bidi="ar"/>
                    </w:rPr>
                    <w:t>万</w:t>
                  </w:r>
                </w:p>
              </w:tc>
              <w:tc>
                <w:tcPr>
                  <w:tcW w:w="1618" w:type="pct"/>
                  <w:tcBorders>
                    <w:top w:val="single" w:color="000000" w:sz="4" w:space="0"/>
                    <w:left w:val="single" w:color="000000" w:sz="4" w:space="0"/>
                    <w:bottom w:val="single" w:color="000000" w:sz="4" w:space="0"/>
                    <w:right w:val="single" w:color="000000" w:sz="4" w:space="0"/>
                  </w:tcBorders>
                  <w:noWrap w:val="0"/>
                  <w:vAlign w:val="center"/>
                </w:tcPr>
                <w:p w14:paraId="6BF1CF68">
                  <w:pPr>
                    <w:jc w:val="center"/>
                    <w:rPr>
                      <w:rFonts w:hint="default" w:ascii="Times New Roman" w:hAnsi="Times New Roman" w:eastAsia="宋体" w:cs="Times New Roman"/>
                      <w:i w:val="0"/>
                      <w:iCs w:val="0"/>
                      <w:color w:val="auto"/>
                      <w:sz w:val="21"/>
                      <w:szCs w:val="21"/>
                      <w:u w:val="none"/>
                    </w:rPr>
                  </w:pPr>
                </w:p>
              </w:tc>
              <w:tc>
                <w:tcPr>
                  <w:tcW w:w="1158" w:type="pct"/>
                  <w:tcBorders>
                    <w:top w:val="single" w:color="000000" w:sz="4" w:space="0"/>
                    <w:left w:val="single" w:color="000000" w:sz="4" w:space="0"/>
                    <w:bottom w:val="single" w:color="000000" w:sz="4" w:space="0"/>
                    <w:right w:val="single" w:color="000000" w:sz="4" w:space="0"/>
                  </w:tcBorders>
                  <w:noWrap w:val="0"/>
                  <w:vAlign w:val="center"/>
                </w:tcPr>
                <w:p w14:paraId="5D9ABC8C">
                  <w:pPr>
                    <w:keepNext w:val="0"/>
                    <w:keepLines w:val="0"/>
                    <w:widowControl/>
                    <w:suppressLineNumbers w:val="0"/>
                    <w:jc w:val="center"/>
                    <w:textAlignment w:val="center"/>
                    <w:rPr>
                      <w:rFonts w:hint="default" w:ascii="Times New Roman" w:hAnsi="Times New Roman" w:eastAsia="宋体" w:cs="Times New Roman"/>
                      <w:i w:val="0"/>
                      <w:iCs w:val="0"/>
                      <w:color w:val="auto"/>
                      <w:sz w:val="21"/>
                      <w:szCs w:val="21"/>
                      <w:u w:val="none"/>
                    </w:rPr>
                  </w:pPr>
                  <w:r>
                    <w:rPr>
                      <w:rFonts w:hint="eastAsia" w:ascii="Times New Roman" w:hAnsi="Times New Roman" w:eastAsia="宋体" w:cs="Times New Roman"/>
                      <w:i w:val="0"/>
                      <w:iCs w:val="0"/>
                      <w:color w:val="auto"/>
                      <w:sz w:val="21"/>
                      <w:szCs w:val="21"/>
                      <w:u w:val="none"/>
                      <w:lang w:val="en-US" w:eastAsia="zh-CN"/>
                    </w:rPr>
                    <w:t>1</w:t>
                  </w:r>
                  <w:r>
                    <w:rPr>
                      <w:rFonts w:hint="eastAsia" w:cs="Times New Roman"/>
                      <w:i w:val="0"/>
                      <w:iCs w:val="0"/>
                      <w:color w:val="auto"/>
                      <w:sz w:val="21"/>
                      <w:szCs w:val="21"/>
                      <w:u w:val="none"/>
                      <w:lang w:val="en-US" w:eastAsia="zh-CN"/>
                    </w:rPr>
                    <w:t>0.6</w:t>
                  </w:r>
                  <w:r>
                    <w:rPr>
                      <w:rFonts w:hint="eastAsia" w:ascii="Times New Roman" w:hAnsi="Times New Roman" w:eastAsia="宋体" w:cs="Times New Roman"/>
                      <w:i w:val="0"/>
                      <w:iCs w:val="0"/>
                      <w:color w:val="auto"/>
                      <w:kern w:val="0"/>
                      <w:sz w:val="21"/>
                      <w:szCs w:val="21"/>
                      <w:u w:val="none"/>
                      <w:lang w:val="en-US" w:eastAsia="zh-CN" w:bidi="ar"/>
                    </w:rPr>
                    <w:t>万</w:t>
                  </w:r>
                </w:p>
              </w:tc>
            </w:tr>
          </w:tbl>
          <w:p w14:paraId="34528DE5">
            <w:pPr>
              <w:keepNext w:val="0"/>
              <w:keepLines w:val="0"/>
              <w:pageBreakBefore w:val="0"/>
              <w:widowControl w:val="0"/>
              <w:kinsoku/>
              <w:wordWrap/>
              <w:overflowPunct/>
              <w:topLinePunct w:val="0"/>
              <w:autoSpaceDE w:val="0"/>
              <w:autoSpaceDN w:val="0"/>
              <w:bidi w:val="0"/>
              <w:adjustRightInd w:val="0"/>
              <w:snapToGrid/>
              <w:spacing w:line="500" w:lineRule="exact"/>
              <w:jc w:val="center"/>
              <w:textAlignment w:val="auto"/>
              <w:rPr>
                <w:rFonts w:hint="default"/>
                <w:color w:val="auto"/>
                <w:lang w:val="en-US"/>
              </w:rPr>
            </w:pPr>
            <w:r>
              <w:rPr>
                <w:color w:val="auto"/>
              </w:rPr>
              <w:pict>
                <v:shape id="_x0000_s1031" o:spid="_x0000_s1031" o:spt="75" type="#_x0000_t75" style="position:absolute;left:0pt;margin-left:-6.55pt;margin-top:12.6pt;height:216.9pt;width:420.65pt;mso-wrap-distance-left:9pt;mso-wrap-distance-right:9pt;z-index:-251655168;mso-width-relative:page;mso-height-relative:page;" o:ole="t" filled="f" o:preferrelative="t" stroked="f" coordsize="21600,21600" wrapcoords="21592 -2 0 0 0 21600 21592 21602 8 21602 21600 21600 21600 0 8 -2 21592 -2">
                  <v:path/>
                  <v:fill on="f" focussize="0,0"/>
                  <v:stroke on="f"/>
                  <v:imagedata r:id="rId17" o:title=""/>
                  <o:lock v:ext="edit" aspectratio="f"/>
                  <w10:wrap type="tight"/>
                </v:shape>
                <o:OLEObject Type="Embed" ProgID="Visio.Drawing.11" ShapeID="_x0000_s1031" DrawAspect="Content" ObjectID="_1468075728" r:id="rId16">
                  <o:LockedField>false</o:LockedField>
                </o:OLEObject>
              </w:pict>
            </w:r>
            <w:r>
              <w:rPr>
                <w:rFonts w:hint="eastAsia" w:cs="Times New Roman"/>
                <w:b/>
                <w:bCs/>
                <w:color w:val="auto"/>
                <w:kern w:val="0"/>
                <w:sz w:val="24"/>
                <w:szCs w:val="24"/>
                <w:highlight w:val="none"/>
                <w:lang w:val="en-US" w:eastAsia="zh-CN" w:bidi="ar"/>
              </w:rPr>
              <w:t xml:space="preserve">图3 </w:t>
            </w:r>
            <w:r>
              <w:rPr>
                <w:rFonts w:hint="eastAsia" w:ascii="Times New Roman" w:hAnsi="Times New Roman" w:eastAsia="宋体" w:cs="Times New Roman"/>
                <w:b/>
                <w:bCs/>
                <w:color w:val="auto"/>
                <w:sz w:val="24"/>
                <w:highlight w:val="none"/>
                <w:lang w:val="en-US" w:eastAsia="zh-CN"/>
              </w:rPr>
              <w:t>物料平衡</w:t>
            </w:r>
            <w:r>
              <w:rPr>
                <w:rFonts w:hint="eastAsia" w:cs="Times New Roman"/>
                <w:b/>
                <w:bCs/>
                <w:color w:val="auto"/>
                <w:kern w:val="0"/>
                <w:sz w:val="24"/>
                <w:szCs w:val="24"/>
                <w:highlight w:val="none"/>
                <w:lang w:val="en-US" w:eastAsia="zh-CN" w:bidi="ar"/>
              </w:rPr>
              <w:t>图  单</w:t>
            </w:r>
            <w:r>
              <w:rPr>
                <w:rFonts w:hint="eastAsia" w:ascii="Times New Roman" w:hAnsi="Times New Roman" w:eastAsia="宋体" w:cs="Times New Roman"/>
                <w:b/>
                <w:bCs/>
                <w:color w:val="auto"/>
                <w:sz w:val="24"/>
                <w:highlight w:val="none"/>
                <w:lang w:val="en-US" w:eastAsia="zh-CN"/>
              </w:rPr>
              <w:t>位：</w:t>
            </w:r>
            <w:r>
              <w:rPr>
                <w:rFonts w:hint="default" w:ascii="Times New Roman" w:hAnsi="Times New Roman" w:eastAsia="宋体" w:cs="Times New Roman"/>
                <w:b/>
                <w:bCs/>
                <w:color w:val="auto"/>
                <w:sz w:val="24"/>
                <w:highlight w:val="none"/>
                <w:lang w:val="en-US" w:eastAsia="zh-CN"/>
              </w:rPr>
              <w:t>t/a</w:t>
            </w:r>
          </w:p>
          <w:p w14:paraId="540AC7A8">
            <w:pPr>
              <w:keepNext w:val="0"/>
              <w:keepLines w:val="0"/>
              <w:pageBreakBefore w:val="0"/>
              <w:widowControl w:val="0"/>
              <w:kinsoku/>
              <w:wordWrap/>
              <w:overflowPunct/>
              <w:topLinePunct w:val="0"/>
              <w:autoSpaceDE w:val="0"/>
              <w:autoSpaceDN w:val="0"/>
              <w:bidi w:val="0"/>
              <w:adjustRightInd w:val="0"/>
              <w:snapToGrid/>
              <w:spacing w:line="500" w:lineRule="exact"/>
              <w:ind w:firstLine="480" w:firstLineChars="200"/>
              <w:jc w:val="both"/>
              <w:textAlignment w:val="auto"/>
              <w:rPr>
                <w:rFonts w:hint="eastAsia" w:ascii="Times New Roman" w:hAnsi="Times New Roman" w:cs="Times New Roman"/>
                <w:b w:val="0"/>
                <w:bCs/>
                <w:color w:val="auto"/>
                <w:sz w:val="24"/>
                <w:szCs w:val="24"/>
                <w:highlight w:val="none"/>
                <w:lang w:val="en-US" w:eastAsia="zh-CN"/>
              </w:rPr>
            </w:pPr>
            <w:r>
              <w:rPr>
                <w:rFonts w:hint="eastAsia" w:ascii="Times New Roman" w:hAnsi="Times New Roman" w:cs="Times New Roman"/>
                <w:b w:val="0"/>
                <w:bCs/>
                <w:color w:val="auto"/>
                <w:sz w:val="24"/>
                <w:szCs w:val="24"/>
                <w:highlight w:val="none"/>
                <w:lang w:val="en-US" w:eastAsia="zh-CN"/>
              </w:rPr>
              <w:t>（</w:t>
            </w:r>
            <w:r>
              <w:rPr>
                <w:rFonts w:hint="eastAsia" w:cs="Times New Roman"/>
                <w:b w:val="0"/>
                <w:bCs/>
                <w:color w:val="auto"/>
                <w:sz w:val="24"/>
                <w:szCs w:val="24"/>
                <w:highlight w:val="none"/>
                <w:lang w:val="en-US" w:eastAsia="zh-CN"/>
              </w:rPr>
              <w:t>11</w:t>
            </w:r>
            <w:r>
              <w:rPr>
                <w:rFonts w:hint="eastAsia" w:ascii="Times New Roman" w:hAnsi="Times New Roman" w:cs="Times New Roman"/>
                <w:b w:val="0"/>
                <w:bCs/>
                <w:color w:val="auto"/>
                <w:sz w:val="24"/>
                <w:szCs w:val="24"/>
                <w:highlight w:val="none"/>
                <w:lang w:val="en-US" w:eastAsia="zh-CN"/>
              </w:rPr>
              <w:t>）</w:t>
            </w:r>
            <w:r>
              <w:rPr>
                <w:rFonts w:hint="eastAsia" w:cs="Times New Roman"/>
                <w:b w:val="0"/>
                <w:bCs/>
                <w:color w:val="auto"/>
                <w:sz w:val="24"/>
                <w:szCs w:val="24"/>
                <w:highlight w:val="none"/>
                <w:lang w:val="en-US" w:eastAsia="zh-CN"/>
              </w:rPr>
              <w:t>本项目产品方案见下表。</w:t>
            </w:r>
          </w:p>
          <w:p w14:paraId="743F1347">
            <w:pPr>
              <w:keepNext w:val="0"/>
              <w:keepLines w:val="0"/>
              <w:pageBreakBefore w:val="0"/>
              <w:widowControl/>
              <w:suppressLineNumbers w:val="0"/>
              <w:kinsoku/>
              <w:wordWrap/>
              <w:overflowPunct/>
              <w:topLinePunct w:val="0"/>
              <w:autoSpaceDE/>
              <w:autoSpaceDN/>
              <w:bidi w:val="0"/>
              <w:adjustRightInd/>
              <w:snapToGrid/>
              <w:spacing w:line="480" w:lineRule="exact"/>
              <w:ind w:firstLine="482" w:firstLineChars="200"/>
              <w:jc w:val="center"/>
              <w:textAlignment w:val="auto"/>
              <w:rPr>
                <w:rFonts w:hint="eastAsia" w:cs="Times New Roman"/>
                <w:b w:val="0"/>
                <w:bCs w:val="0"/>
                <w:color w:val="000000"/>
                <w:kern w:val="0"/>
                <w:sz w:val="24"/>
                <w:szCs w:val="24"/>
                <w:highlight w:val="none"/>
                <w:vertAlign w:val="baseline"/>
                <w:lang w:val="en-US" w:eastAsia="zh-CN" w:bidi="ar"/>
              </w:rPr>
            </w:pPr>
            <w:r>
              <w:rPr>
                <w:rFonts w:hint="eastAsia" w:cs="Times New Roman"/>
                <w:b/>
                <w:bCs/>
                <w:color w:val="000000"/>
                <w:kern w:val="0"/>
                <w:sz w:val="24"/>
                <w:szCs w:val="24"/>
                <w:highlight w:val="none"/>
                <w:vertAlign w:val="baseline"/>
                <w:lang w:val="en-US" w:eastAsia="zh-CN" w:bidi="ar"/>
              </w:rPr>
              <w:t>表2-5 本项目产品方案一览表</w:t>
            </w:r>
          </w:p>
          <w:tbl>
            <w:tblPr>
              <w:tblStyle w:val="26"/>
              <w:tblW w:w="4997"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678"/>
              <w:gridCol w:w="1202"/>
              <w:gridCol w:w="1177"/>
              <w:gridCol w:w="1209"/>
              <w:gridCol w:w="2178"/>
              <w:gridCol w:w="1923"/>
            </w:tblGrid>
            <w:tr w14:paraId="1B274C9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75" w:hRule="atLeast"/>
                <w:jc w:val="center"/>
              </w:trPr>
              <w:tc>
                <w:tcPr>
                  <w:tcW w:w="405" w:type="pct"/>
                  <w:tcBorders>
                    <w:tl2br w:val="nil"/>
                    <w:tr2bl w:val="nil"/>
                  </w:tcBorders>
                  <w:noWrap w:val="0"/>
                  <w:vAlign w:val="center"/>
                </w:tcPr>
                <w:p w14:paraId="5CC4869E">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序号</w:t>
                  </w:r>
                </w:p>
              </w:tc>
              <w:tc>
                <w:tcPr>
                  <w:tcW w:w="718" w:type="pct"/>
                  <w:tcBorders>
                    <w:tl2br w:val="nil"/>
                    <w:tr2bl w:val="nil"/>
                  </w:tcBorders>
                  <w:noWrap w:val="0"/>
                  <w:vAlign w:val="center"/>
                </w:tcPr>
                <w:p w14:paraId="2DC6213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原料</w:t>
                  </w:r>
                </w:p>
              </w:tc>
              <w:tc>
                <w:tcPr>
                  <w:tcW w:w="703" w:type="pct"/>
                  <w:tcBorders>
                    <w:tl2br w:val="nil"/>
                    <w:tr2bl w:val="nil"/>
                  </w:tcBorders>
                  <w:noWrap w:val="0"/>
                  <w:vAlign w:val="center"/>
                </w:tcPr>
                <w:p w14:paraId="3F398D4E">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单位</w:t>
                  </w:r>
                </w:p>
              </w:tc>
              <w:tc>
                <w:tcPr>
                  <w:tcW w:w="722" w:type="pct"/>
                  <w:tcBorders>
                    <w:tl2br w:val="nil"/>
                    <w:tr2bl w:val="nil"/>
                  </w:tcBorders>
                  <w:noWrap w:val="0"/>
                  <w:vAlign w:val="center"/>
                </w:tcPr>
                <w:p w14:paraId="27D0D25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年产量</w:t>
                  </w:r>
                </w:p>
              </w:tc>
              <w:tc>
                <w:tcPr>
                  <w:tcW w:w="1301" w:type="pct"/>
                  <w:tcBorders>
                    <w:tl2br w:val="nil"/>
                    <w:tr2bl w:val="nil"/>
                  </w:tcBorders>
                  <w:noWrap w:val="0"/>
                  <w:vAlign w:val="center"/>
                </w:tcPr>
                <w:p w14:paraId="6D443618">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规格</w:t>
                  </w:r>
                </w:p>
              </w:tc>
              <w:tc>
                <w:tcPr>
                  <w:tcW w:w="1149" w:type="pct"/>
                  <w:tcBorders>
                    <w:tl2br w:val="nil"/>
                    <w:tr2bl w:val="nil"/>
                  </w:tcBorders>
                  <w:noWrap w:val="0"/>
                  <w:vAlign w:val="center"/>
                </w:tcPr>
                <w:p w14:paraId="4EFCE9D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储存方式及位置</w:t>
                  </w:r>
                </w:p>
              </w:tc>
            </w:tr>
            <w:tr w14:paraId="65294A4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05" w:type="pct"/>
                  <w:tcBorders>
                    <w:tl2br w:val="nil"/>
                    <w:tr2bl w:val="nil"/>
                  </w:tcBorders>
                  <w:noWrap w:val="0"/>
                  <w:vAlign w:val="center"/>
                </w:tcPr>
                <w:p w14:paraId="5C21DB23">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eastAsia"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lang w:val="en-US" w:eastAsia="zh-CN" w:bidi="ar-SA"/>
                    </w:rPr>
                    <w:t>1</w:t>
                  </w:r>
                </w:p>
              </w:tc>
              <w:tc>
                <w:tcPr>
                  <w:tcW w:w="718" w:type="pct"/>
                  <w:tcBorders>
                    <w:tl2br w:val="nil"/>
                    <w:tr2bl w:val="nil"/>
                  </w:tcBorders>
                  <w:noWrap w:val="0"/>
                  <w:vAlign w:val="center"/>
                </w:tcPr>
                <w:p w14:paraId="5433032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面煤</w:t>
                  </w:r>
                </w:p>
              </w:tc>
              <w:tc>
                <w:tcPr>
                  <w:tcW w:w="703" w:type="pct"/>
                  <w:tcBorders>
                    <w:tl2br w:val="nil"/>
                    <w:tr2bl w:val="nil"/>
                  </w:tcBorders>
                  <w:noWrap w:val="0"/>
                  <w:vAlign w:val="center"/>
                </w:tcPr>
                <w:p w14:paraId="16AC2D2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t/a</w:t>
                  </w:r>
                </w:p>
              </w:tc>
              <w:tc>
                <w:tcPr>
                  <w:tcW w:w="1209" w:type="dxa"/>
                  <w:tcBorders>
                    <w:tl2br w:val="nil"/>
                    <w:tr2bl w:val="nil"/>
                  </w:tcBorders>
                  <w:noWrap w:val="0"/>
                  <w:vAlign w:val="center"/>
                </w:tcPr>
                <w:p w14:paraId="604BCBD3">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3万</w:t>
                  </w:r>
                </w:p>
              </w:tc>
              <w:tc>
                <w:tcPr>
                  <w:tcW w:w="1301" w:type="pct"/>
                  <w:tcBorders>
                    <w:tl2br w:val="nil"/>
                    <w:tr2bl w:val="nil"/>
                  </w:tcBorders>
                  <w:noWrap w:val="0"/>
                  <w:vAlign w:val="center"/>
                </w:tcPr>
                <w:p w14:paraId="30C3214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粒径&lt;1cm，含水率20-30%</w:t>
                  </w:r>
                </w:p>
              </w:tc>
              <w:tc>
                <w:tcPr>
                  <w:tcW w:w="1149" w:type="pct"/>
                  <w:tcBorders>
                    <w:tl2br w:val="nil"/>
                    <w:tr2bl w:val="nil"/>
                  </w:tcBorders>
                  <w:noWrap w:val="0"/>
                  <w:vAlign w:val="center"/>
                </w:tcPr>
                <w:p w14:paraId="79CA6797">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堆存，1#厂房</w:t>
                  </w:r>
                </w:p>
              </w:tc>
            </w:tr>
            <w:tr w14:paraId="3AC9FDF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05" w:type="pct"/>
                  <w:tcBorders>
                    <w:tl2br w:val="nil"/>
                    <w:tr2bl w:val="nil"/>
                  </w:tcBorders>
                  <w:noWrap w:val="0"/>
                  <w:vAlign w:val="center"/>
                </w:tcPr>
                <w:p w14:paraId="522E4404">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eastAsia"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lang w:val="en-US" w:eastAsia="zh-CN" w:bidi="ar-SA"/>
                    </w:rPr>
                    <w:t>2</w:t>
                  </w:r>
                </w:p>
              </w:tc>
              <w:tc>
                <w:tcPr>
                  <w:tcW w:w="718" w:type="pct"/>
                  <w:tcBorders>
                    <w:tl2br w:val="nil"/>
                    <w:tr2bl w:val="nil"/>
                  </w:tcBorders>
                  <w:noWrap w:val="0"/>
                  <w:vAlign w:val="center"/>
                </w:tcPr>
                <w:p w14:paraId="7F9C426C">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面煤</w:t>
                  </w:r>
                </w:p>
              </w:tc>
              <w:tc>
                <w:tcPr>
                  <w:tcW w:w="703" w:type="pct"/>
                  <w:tcBorders>
                    <w:tl2br w:val="nil"/>
                    <w:tr2bl w:val="nil"/>
                  </w:tcBorders>
                  <w:noWrap w:val="0"/>
                  <w:vAlign w:val="center"/>
                </w:tcPr>
                <w:p w14:paraId="587575E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t/a</w:t>
                  </w:r>
                </w:p>
              </w:tc>
              <w:tc>
                <w:tcPr>
                  <w:tcW w:w="1209" w:type="dxa"/>
                  <w:tcBorders>
                    <w:tl2br w:val="nil"/>
                    <w:tr2bl w:val="nil"/>
                  </w:tcBorders>
                  <w:noWrap w:val="0"/>
                  <w:vAlign w:val="center"/>
                </w:tcPr>
                <w:p w14:paraId="23F430C7">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3万</w:t>
                  </w:r>
                </w:p>
              </w:tc>
              <w:tc>
                <w:tcPr>
                  <w:tcW w:w="1301" w:type="pct"/>
                  <w:tcBorders>
                    <w:tl2br w:val="nil"/>
                    <w:tr2bl w:val="nil"/>
                  </w:tcBorders>
                  <w:noWrap w:val="0"/>
                  <w:vAlign w:val="center"/>
                </w:tcPr>
                <w:p w14:paraId="792BA30E">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粒径1cm-3cm，含水率20-30%</w:t>
                  </w:r>
                </w:p>
              </w:tc>
              <w:tc>
                <w:tcPr>
                  <w:tcW w:w="1149" w:type="pct"/>
                  <w:tcBorders>
                    <w:tl2br w:val="nil"/>
                    <w:tr2bl w:val="nil"/>
                  </w:tcBorders>
                  <w:noWrap w:val="0"/>
                  <w:vAlign w:val="center"/>
                </w:tcPr>
                <w:p w14:paraId="3F9908E7">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堆存，1#厂房</w:t>
                  </w:r>
                </w:p>
              </w:tc>
            </w:tr>
            <w:tr w14:paraId="78801F5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05" w:type="pct"/>
                  <w:tcBorders>
                    <w:tl2br w:val="nil"/>
                    <w:tr2bl w:val="nil"/>
                  </w:tcBorders>
                  <w:noWrap w:val="0"/>
                  <w:vAlign w:val="center"/>
                </w:tcPr>
                <w:p w14:paraId="139DBF96">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eastAsia"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lang w:val="en-US" w:eastAsia="zh-CN" w:bidi="ar-SA"/>
                    </w:rPr>
                    <w:t>3</w:t>
                  </w:r>
                </w:p>
              </w:tc>
              <w:tc>
                <w:tcPr>
                  <w:tcW w:w="718" w:type="pct"/>
                  <w:tcBorders>
                    <w:tl2br w:val="nil"/>
                    <w:tr2bl w:val="nil"/>
                  </w:tcBorders>
                  <w:noWrap w:val="0"/>
                  <w:vAlign w:val="center"/>
                </w:tcPr>
                <w:p w14:paraId="48CAC728">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块煤</w:t>
                  </w:r>
                </w:p>
              </w:tc>
              <w:tc>
                <w:tcPr>
                  <w:tcW w:w="703" w:type="pct"/>
                  <w:tcBorders>
                    <w:tl2br w:val="nil"/>
                    <w:tr2bl w:val="nil"/>
                  </w:tcBorders>
                  <w:noWrap w:val="0"/>
                  <w:vAlign w:val="center"/>
                </w:tcPr>
                <w:p w14:paraId="520871F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t/a</w:t>
                  </w:r>
                </w:p>
              </w:tc>
              <w:tc>
                <w:tcPr>
                  <w:tcW w:w="1209" w:type="dxa"/>
                  <w:tcBorders>
                    <w:tl2br w:val="nil"/>
                    <w:tr2bl w:val="nil"/>
                  </w:tcBorders>
                  <w:noWrap w:val="0"/>
                  <w:vAlign w:val="center"/>
                </w:tcPr>
                <w:p w14:paraId="0A9D06F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2万</w:t>
                  </w:r>
                </w:p>
              </w:tc>
              <w:tc>
                <w:tcPr>
                  <w:tcW w:w="1301" w:type="pct"/>
                  <w:tcBorders>
                    <w:tl2br w:val="nil"/>
                    <w:tr2bl w:val="nil"/>
                  </w:tcBorders>
                  <w:noWrap w:val="0"/>
                  <w:vAlign w:val="center"/>
                </w:tcPr>
                <w:p w14:paraId="4926699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粒径3cm-8cm，含水率15-20%</w:t>
                  </w:r>
                </w:p>
              </w:tc>
              <w:tc>
                <w:tcPr>
                  <w:tcW w:w="1149" w:type="pct"/>
                  <w:tcBorders>
                    <w:tl2br w:val="nil"/>
                    <w:tr2bl w:val="nil"/>
                  </w:tcBorders>
                  <w:noWrap w:val="0"/>
                  <w:vAlign w:val="center"/>
                </w:tcPr>
                <w:p w14:paraId="32A8CDD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堆存，1#厂房</w:t>
                  </w:r>
                </w:p>
              </w:tc>
            </w:tr>
            <w:tr w14:paraId="617BC2B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05" w:type="pct"/>
                  <w:tcBorders>
                    <w:tl2br w:val="nil"/>
                    <w:tr2bl w:val="nil"/>
                  </w:tcBorders>
                  <w:noWrap w:val="0"/>
                  <w:vAlign w:val="center"/>
                </w:tcPr>
                <w:p w14:paraId="161C96A5">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lang w:val="en-US" w:eastAsia="zh-CN" w:bidi="ar-SA"/>
                    </w:rPr>
                    <w:t>4</w:t>
                  </w:r>
                </w:p>
              </w:tc>
              <w:tc>
                <w:tcPr>
                  <w:tcW w:w="718" w:type="pct"/>
                  <w:tcBorders>
                    <w:tl2br w:val="nil"/>
                    <w:tr2bl w:val="nil"/>
                  </w:tcBorders>
                  <w:noWrap w:val="0"/>
                  <w:vAlign w:val="center"/>
                </w:tcPr>
                <w:p w14:paraId="25C9E2D7">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块煤</w:t>
                  </w:r>
                </w:p>
              </w:tc>
              <w:tc>
                <w:tcPr>
                  <w:tcW w:w="703" w:type="pct"/>
                  <w:tcBorders>
                    <w:tl2br w:val="nil"/>
                    <w:tr2bl w:val="nil"/>
                  </w:tcBorders>
                  <w:noWrap w:val="0"/>
                  <w:vAlign w:val="center"/>
                </w:tcPr>
                <w:p w14:paraId="46CFC01F">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t/a</w:t>
                  </w:r>
                </w:p>
              </w:tc>
              <w:tc>
                <w:tcPr>
                  <w:tcW w:w="1209" w:type="dxa"/>
                  <w:tcBorders>
                    <w:tl2br w:val="nil"/>
                    <w:tr2bl w:val="nil"/>
                  </w:tcBorders>
                  <w:noWrap w:val="0"/>
                  <w:vAlign w:val="center"/>
                </w:tcPr>
                <w:p w14:paraId="0E7CD5AC">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1.8万</w:t>
                  </w:r>
                </w:p>
              </w:tc>
              <w:tc>
                <w:tcPr>
                  <w:tcW w:w="1301" w:type="pct"/>
                  <w:tcBorders>
                    <w:tl2br w:val="nil"/>
                    <w:tr2bl w:val="nil"/>
                  </w:tcBorders>
                  <w:noWrap w:val="0"/>
                  <w:vAlign w:val="center"/>
                </w:tcPr>
                <w:p w14:paraId="0E012E57">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粒径8cm-35cm，含水率15-20%</w:t>
                  </w:r>
                </w:p>
              </w:tc>
              <w:tc>
                <w:tcPr>
                  <w:tcW w:w="1149" w:type="pct"/>
                  <w:tcBorders>
                    <w:tl2br w:val="nil"/>
                    <w:tr2bl w:val="nil"/>
                  </w:tcBorders>
                  <w:noWrap w:val="0"/>
                  <w:vAlign w:val="center"/>
                </w:tcPr>
                <w:p w14:paraId="267C3AD7">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堆存，1#厂房</w:t>
                  </w:r>
                </w:p>
              </w:tc>
            </w:tr>
            <w:tr w14:paraId="5596AD9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05" w:type="pct"/>
                  <w:tcBorders>
                    <w:tl2br w:val="nil"/>
                    <w:tr2bl w:val="nil"/>
                  </w:tcBorders>
                  <w:shd w:val="clear" w:color="auto" w:fill="auto"/>
                  <w:noWrap w:val="0"/>
                  <w:vAlign w:val="center"/>
                </w:tcPr>
                <w:p w14:paraId="71783774">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5</w:t>
                  </w:r>
                </w:p>
              </w:tc>
              <w:tc>
                <w:tcPr>
                  <w:tcW w:w="718" w:type="pct"/>
                  <w:tcBorders>
                    <w:tl2br w:val="nil"/>
                    <w:tr2bl w:val="nil"/>
                  </w:tcBorders>
                  <w:noWrap w:val="0"/>
                  <w:vAlign w:val="center"/>
                </w:tcPr>
                <w:p w14:paraId="5329DE97">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煤炭（仅仓储）</w:t>
                  </w:r>
                </w:p>
              </w:tc>
              <w:tc>
                <w:tcPr>
                  <w:tcW w:w="703" w:type="pct"/>
                  <w:tcBorders>
                    <w:tl2br w:val="nil"/>
                    <w:tr2bl w:val="nil"/>
                  </w:tcBorders>
                  <w:noWrap w:val="0"/>
                  <w:vAlign w:val="center"/>
                </w:tcPr>
                <w:p w14:paraId="2FCC4E9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t/a</w:t>
                  </w:r>
                </w:p>
              </w:tc>
              <w:tc>
                <w:tcPr>
                  <w:tcW w:w="722" w:type="pct"/>
                  <w:tcBorders>
                    <w:tl2br w:val="nil"/>
                    <w:tr2bl w:val="nil"/>
                  </w:tcBorders>
                  <w:noWrap w:val="0"/>
                  <w:vAlign w:val="center"/>
                </w:tcPr>
                <w:p w14:paraId="570CDD8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80万</w:t>
                  </w:r>
                </w:p>
              </w:tc>
              <w:tc>
                <w:tcPr>
                  <w:tcW w:w="1301" w:type="pct"/>
                  <w:tcBorders>
                    <w:tl2br w:val="nil"/>
                    <w:tr2bl w:val="nil"/>
                  </w:tcBorders>
                  <w:noWrap w:val="0"/>
                  <w:vAlign w:val="center"/>
                </w:tcPr>
                <w:p w14:paraId="46DAA40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粒径</w:t>
                  </w:r>
                  <w:r>
                    <w:rPr>
                      <w:rFonts w:hint="default" w:ascii="Arial" w:hAnsi="Arial" w:cs="Arial"/>
                      <w:b w:val="0"/>
                      <w:bCs w:val="0"/>
                      <w:color w:val="auto"/>
                      <w:kern w:val="0"/>
                      <w:sz w:val="21"/>
                      <w:szCs w:val="21"/>
                      <w:highlight w:val="none"/>
                      <w:vertAlign w:val="baseline"/>
                      <w:lang w:val="en-US" w:eastAsia="zh-CN" w:bidi="ar"/>
                    </w:rPr>
                    <w:t>≤</w:t>
                  </w:r>
                  <w:r>
                    <w:rPr>
                      <w:rFonts w:hint="eastAsia" w:cs="Times New Roman"/>
                      <w:b w:val="0"/>
                      <w:bCs w:val="0"/>
                      <w:color w:val="auto"/>
                      <w:kern w:val="0"/>
                      <w:sz w:val="21"/>
                      <w:szCs w:val="21"/>
                      <w:highlight w:val="none"/>
                      <w:vertAlign w:val="baseline"/>
                      <w:lang w:val="en-US" w:eastAsia="zh-CN" w:bidi="ar"/>
                    </w:rPr>
                    <w:t>35cm</w:t>
                  </w:r>
                </w:p>
              </w:tc>
              <w:tc>
                <w:tcPr>
                  <w:tcW w:w="1149" w:type="pct"/>
                  <w:tcBorders>
                    <w:tl2br w:val="nil"/>
                    <w:tr2bl w:val="nil"/>
                  </w:tcBorders>
                  <w:noWrap w:val="0"/>
                  <w:vAlign w:val="center"/>
                </w:tcPr>
                <w:p w14:paraId="7B73208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堆存，1#厂房</w:t>
                  </w:r>
                </w:p>
              </w:tc>
            </w:tr>
            <w:tr w14:paraId="0CCB589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05" w:type="pct"/>
                  <w:tcBorders>
                    <w:tl2br w:val="nil"/>
                    <w:tr2bl w:val="nil"/>
                  </w:tcBorders>
                  <w:shd w:val="clear" w:color="auto" w:fill="auto"/>
                  <w:noWrap w:val="0"/>
                  <w:vAlign w:val="center"/>
                </w:tcPr>
                <w:p w14:paraId="50D28FB4">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6</w:t>
                  </w:r>
                </w:p>
              </w:tc>
              <w:tc>
                <w:tcPr>
                  <w:tcW w:w="718" w:type="pct"/>
                  <w:tcBorders>
                    <w:tl2br w:val="nil"/>
                    <w:tr2bl w:val="nil"/>
                  </w:tcBorders>
                  <w:noWrap w:val="0"/>
                  <w:vAlign w:val="center"/>
                </w:tcPr>
                <w:p w14:paraId="70F58199">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钢材（仅仓储）</w:t>
                  </w:r>
                </w:p>
              </w:tc>
              <w:tc>
                <w:tcPr>
                  <w:tcW w:w="703" w:type="pct"/>
                  <w:tcBorders>
                    <w:tl2br w:val="nil"/>
                    <w:tr2bl w:val="nil"/>
                  </w:tcBorders>
                  <w:noWrap w:val="0"/>
                  <w:vAlign w:val="center"/>
                </w:tcPr>
                <w:p w14:paraId="11062113">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t/a</w:t>
                  </w:r>
                </w:p>
              </w:tc>
              <w:tc>
                <w:tcPr>
                  <w:tcW w:w="722" w:type="pct"/>
                  <w:tcBorders>
                    <w:tl2br w:val="nil"/>
                    <w:tr2bl w:val="nil"/>
                  </w:tcBorders>
                  <w:noWrap w:val="0"/>
                  <w:vAlign w:val="center"/>
                </w:tcPr>
                <w:p w14:paraId="319B323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400万</w:t>
                  </w:r>
                </w:p>
              </w:tc>
              <w:tc>
                <w:tcPr>
                  <w:tcW w:w="1301" w:type="pct"/>
                  <w:tcBorders>
                    <w:tl2br w:val="nil"/>
                    <w:tr2bl w:val="nil"/>
                  </w:tcBorders>
                  <w:noWrap w:val="0"/>
                  <w:vAlign w:val="center"/>
                </w:tcPr>
                <w:p w14:paraId="629B77B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型钢、钢板、钢板等</w:t>
                  </w:r>
                </w:p>
              </w:tc>
              <w:tc>
                <w:tcPr>
                  <w:tcW w:w="1149" w:type="pct"/>
                  <w:tcBorders>
                    <w:tl2br w:val="nil"/>
                    <w:tr2bl w:val="nil"/>
                  </w:tcBorders>
                  <w:noWrap w:val="0"/>
                  <w:vAlign w:val="center"/>
                </w:tcPr>
                <w:p w14:paraId="1267753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堆存，2#~5#厂房</w:t>
                  </w:r>
                </w:p>
              </w:tc>
            </w:tr>
            <w:tr w14:paraId="392A84E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05" w:type="pct"/>
                  <w:tcBorders>
                    <w:tl2br w:val="nil"/>
                    <w:tr2bl w:val="nil"/>
                  </w:tcBorders>
                  <w:noWrap w:val="0"/>
                  <w:vAlign w:val="center"/>
                </w:tcPr>
                <w:p w14:paraId="1874EA6C">
                  <w:pPr>
                    <w:keepNext w:val="0"/>
                    <w:keepLines w:val="0"/>
                    <w:pageBreakBefore w:val="0"/>
                    <w:numPr>
                      <w:ilvl w:val="0"/>
                      <w:numId w:val="0"/>
                    </w:numPr>
                    <w:kinsoku/>
                    <w:wordWrap/>
                    <w:overflowPunct/>
                    <w:topLinePunct w:val="0"/>
                    <w:autoSpaceDE/>
                    <w:autoSpaceDN/>
                    <w:bidi w:val="0"/>
                    <w:adjustRightInd/>
                    <w:snapToGrid/>
                    <w:ind w:left="425" w:leftChars="0" w:hanging="425" w:firstLineChars="0"/>
                    <w:jc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7</w:t>
                  </w:r>
                </w:p>
              </w:tc>
              <w:tc>
                <w:tcPr>
                  <w:tcW w:w="718" w:type="pct"/>
                  <w:tcBorders>
                    <w:tl2br w:val="nil"/>
                    <w:tr2bl w:val="nil"/>
                  </w:tcBorders>
                  <w:noWrap w:val="0"/>
                  <w:vAlign w:val="center"/>
                </w:tcPr>
                <w:p w14:paraId="6CB6223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矿建材料（仅仓储）</w:t>
                  </w:r>
                </w:p>
              </w:tc>
              <w:tc>
                <w:tcPr>
                  <w:tcW w:w="703" w:type="pct"/>
                  <w:tcBorders>
                    <w:tl2br w:val="nil"/>
                    <w:tr2bl w:val="nil"/>
                  </w:tcBorders>
                  <w:noWrap w:val="0"/>
                  <w:vAlign w:val="center"/>
                </w:tcPr>
                <w:p w14:paraId="2BADBB3F">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t/a</w:t>
                  </w:r>
                </w:p>
              </w:tc>
              <w:tc>
                <w:tcPr>
                  <w:tcW w:w="722" w:type="pct"/>
                  <w:tcBorders>
                    <w:tl2br w:val="nil"/>
                    <w:tr2bl w:val="nil"/>
                  </w:tcBorders>
                  <w:noWrap w:val="0"/>
                  <w:vAlign w:val="center"/>
                </w:tcPr>
                <w:p w14:paraId="41B0A4D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10万</w:t>
                  </w:r>
                </w:p>
              </w:tc>
              <w:tc>
                <w:tcPr>
                  <w:tcW w:w="1301" w:type="pct"/>
                  <w:tcBorders>
                    <w:tl2br w:val="nil"/>
                    <w:tr2bl w:val="nil"/>
                  </w:tcBorders>
                  <w:noWrap w:val="0"/>
                  <w:vAlign w:val="center"/>
                </w:tcPr>
                <w:p w14:paraId="528D6873">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铁矿石、大理石、花岗岩等石材</w:t>
                  </w:r>
                </w:p>
              </w:tc>
              <w:tc>
                <w:tcPr>
                  <w:tcW w:w="1149" w:type="pct"/>
                  <w:tcBorders>
                    <w:tl2br w:val="nil"/>
                    <w:tr2bl w:val="nil"/>
                  </w:tcBorders>
                  <w:noWrap w:val="0"/>
                  <w:vAlign w:val="center"/>
                </w:tcPr>
                <w:p w14:paraId="2FE2B1D9">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堆存，2#~5#厂房</w:t>
                  </w:r>
                </w:p>
              </w:tc>
            </w:tr>
          </w:tbl>
          <w:p w14:paraId="7A421D71">
            <w:pPr>
              <w:keepNext w:val="0"/>
              <w:keepLines w:val="0"/>
              <w:pageBreakBefore w:val="0"/>
              <w:widowControl w:val="0"/>
              <w:kinsoku/>
              <w:wordWrap/>
              <w:overflowPunct/>
              <w:topLinePunct w:val="0"/>
              <w:autoSpaceDE w:val="0"/>
              <w:autoSpaceDN w:val="0"/>
              <w:bidi w:val="0"/>
              <w:adjustRightInd w:val="0"/>
              <w:snapToGrid/>
              <w:spacing w:line="500" w:lineRule="exact"/>
              <w:ind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cs="Times New Roman"/>
                <w:b w:val="0"/>
                <w:bCs/>
                <w:color w:val="auto"/>
                <w:sz w:val="24"/>
                <w:szCs w:val="24"/>
                <w:highlight w:val="none"/>
                <w:lang w:val="en-US" w:eastAsia="zh-CN"/>
              </w:rPr>
              <w:t>（12）本项目</w:t>
            </w:r>
            <w:r>
              <w:rPr>
                <w:rFonts w:hint="eastAsia" w:ascii="Times New Roman" w:hAnsi="Times New Roman" w:cs="Times New Roman"/>
                <w:b w:val="0"/>
                <w:bCs/>
                <w:color w:val="auto"/>
                <w:sz w:val="24"/>
                <w:szCs w:val="24"/>
                <w:highlight w:val="none"/>
                <w:lang w:val="en-US" w:eastAsia="zh-CN"/>
              </w:rPr>
              <w:t>主要设备</w:t>
            </w:r>
            <w:r>
              <w:rPr>
                <w:rFonts w:hint="eastAsia" w:ascii="Times New Roman" w:hAnsi="Times New Roman" w:cs="Times New Roman"/>
                <w:b w:val="0"/>
                <w:bCs/>
                <w:color w:val="auto"/>
                <w:sz w:val="24"/>
                <w:szCs w:val="24"/>
                <w:highlight w:val="none"/>
                <w:lang w:val="zh-CN"/>
              </w:rPr>
              <w:t>见下表</w:t>
            </w:r>
            <w:r>
              <w:rPr>
                <w:rFonts w:hint="eastAsia" w:ascii="Times New Roman" w:hAnsi="Times New Roman" w:cs="Times New Roman"/>
                <w:b w:val="0"/>
                <w:bCs/>
                <w:color w:val="auto"/>
                <w:sz w:val="24"/>
                <w:szCs w:val="24"/>
                <w:highlight w:val="none"/>
                <w:lang w:val="zh-CN" w:eastAsia="zh-CN"/>
              </w:rPr>
              <w:t>。</w:t>
            </w:r>
          </w:p>
          <w:p w14:paraId="5CA0458C">
            <w:pPr>
              <w:keepNext w:val="0"/>
              <w:keepLines w:val="0"/>
              <w:pageBreakBefore w:val="0"/>
              <w:widowControl/>
              <w:suppressLineNumbers w:val="0"/>
              <w:kinsoku/>
              <w:wordWrap/>
              <w:overflowPunct/>
              <w:topLinePunct w:val="0"/>
              <w:autoSpaceDE/>
              <w:autoSpaceDN/>
              <w:bidi w:val="0"/>
              <w:adjustRightInd/>
              <w:snapToGrid/>
              <w:spacing w:line="480" w:lineRule="exact"/>
              <w:ind w:firstLine="482" w:firstLineChars="200"/>
              <w:jc w:val="center"/>
              <w:textAlignment w:val="auto"/>
              <w:rPr>
                <w:rFonts w:hint="eastAsia" w:ascii="Times New Roman" w:hAnsi="Times New Roman" w:eastAsia="宋体" w:cs="Times New Roman"/>
                <w:b/>
                <w:bCs/>
                <w:color w:val="000000"/>
                <w:kern w:val="0"/>
                <w:sz w:val="24"/>
                <w:szCs w:val="24"/>
                <w:highlight w:val="none"/>
                <w:lang w:val="en-US" w:eastAsia="zh-CN" w:bidi="ar"/>
              </w:rPr>
            </w:pPr>
            <w:r>
              <w:rPr>
                <w:rFonts w:hint="eastAsia" w:ascii="Times New Roman" w:hAnsi="Times New Roman" w:eastAsia="宋体" w:cs="Times New Roman"/>
                <w:b/>
                <w:bCs/>
                <w:color w:val="000000"/>
                <w:kern w:val="0"/>
                <w:sz w:val="24"/>
                <w:szCs w:val="24"/>
                <w:highlight w:val="none"/>
                <w:lang w:val="en-US" w:eastAsia="zh-CN" w:bidi="ar"/>
              </w:rPr>
              <w:t>表2-</w:t>
            </w:r>
            <w:r>
              <w:rPr>
                <w:rFonts w:hint="eastAsia" w:cs="Times New Roman"/>
                <w:b/>
                <w:bCs/>
                <w:color w:val="000000"/>
                <w:kern w:val="0"/>
                <w:sz w:val="24"/>
                <w:szCs w:val="24"/>
                <w:highlight w:val="none"/>
                <w:lang w:val="en-US" w:eastAsia="zh-CN" w:bidi="ar"/>
              </w:rPr>
              <w:t>6</w:t>
            </w:r>
            <w:r>
              <w:rPr>
                <w:rFonts w:hint="eastAsia" w:ascii="Times New Roman" w:hAnsi="Times New Roman" w:eastAsia="宋体" w:cs="Times New Roman"/>
                <w:b/>
                <w:bCs/>
                <w:color w:val="000000"/>
                <w:kern w:val="0"/>
                <w:sz w:val="24"/>
                <w:szCs w:val="24"/>
                <w:highlight w:val="none"/>
                <w:lang w:val="en-US" w:eastAsia="zh-CN" w:bidi="ar"/>
              </w:rPr>
              <w:t xml:space="preserve"> </w:t>
            </w:r>
            <w:r>
              <w:rPr>
                <w:rFonts w:hint="eastAsia" w:cs="Times New Roman"/>
                <w:b/>
                <w:bCs/>
                <w:color w:val="000000"/>
                <w:kern w:val="0"/>
                <w:sz w:val="24"/>
                <w:szCs w:val="24"/>
                <w:highlight w:val="none"/>
                <w:lang w:val="en-US" w:eastAsia="zh-CN" w:bidi="ar"/>
              </w:rPr>
              <w:t>本项目</w:t>
            </w:r>
            <w:r>
              <w:rPr>
                <w:rFonts w:hint="eastAsia" w:ascii="Times New Roman" w:hAnsi="Times New Roman" w:eastAsia="宋体" w:cs="Times New Roman"/>
                <w:b/>
                <w:bCs/>
                <w:color w:val="000000"/>
                <w:kern w:val="0"/>
                <w:sz w:val="24"/>
                <w:szCs w:val="24"/>
                <w:highlight w:val="none"/>
                <w:lang w:val="en-US" w:eastAsia="zh-CN" w:bidi="ar"/>
              </w:rPr>
              <w:t>主要设备一览表</w:t>
            </w:r>
          </w:p>
          <w:tbl>
            <w:tblPr>
              <w:tblStyle w:val="26"/>
              <w:tblW w:w="4998"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48"/>
              <w:gridCol w:w="2675"/>
              <w:gridCol w:w="1905"/>
              <w:gridCol w:w="2941"/>
            </w:tblGrid>
            <w:tr w14:paraId="7902D1D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1" w:hRule="atLeast"/>
                <w:jc w:val="center"/>
              </w:trPr>
              <w:tc>
                <w:tcPr>
                  <w:tcW w:w="507" w:type="pct"/>
                  <w:tcBorders>
                    <w:tl2br w:val="nil"/>
                    <w:tr2bl w:val="nil"/>
                  </w:tcBorders>
                  <w:noWrap w:val="0"/>
                  <w:vAlign w:val="center"/>
                </w:tcPr>
                <w:p w14:paraId="2D9A274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cs="Times New Roman"/>
                      <w:b w:val="0"/>
                      <w:bCs w:val="0"/>
                      <w:color w:val="000000"/>
                      <w:kern w:val="0"/>
                      <w:sz w:val="21"/>
                      <w:szCs w:val="21"/>
                      <w:highlight w:val="none"/>
                      <w:vertAlign w:val="baseline"/>
                      <w:lang w:val="en-US" w:eastAsia="zh-CN" w:bidi="ar"/>
                    </w:rPr>
                    <w:t>序号</w:t>
                  </w:r>
                </w:p>
              </w:tc>
              <w:tc>
                <w:tcPr>
                  <w:tcW w:w="1598" w:type="pct"/>
                  <w:tcBorders>
                    <w:tl2br w:val="nil"/>
                    <w:tr2bl w:val="nil"/>
                  </w:tcBorders>
                  <w:noWrap w:val="0"/>
                  <w:vAlign w:val="center"/>
                </w:tcPr>
                <w:p w14:paraId="73ECD91E">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cs="Times New Roman"/>
                      <w:b w:val="0"/>
                      <w:bCs w:val="0"/>
                      <w:color w:val="000000"/>
                      <w:kern w:val="0"/>
                      <w:sz w:val="21"/>
                      <w:szCs w:val="21"/>
                      <w:highlight w:val="none"/>
                      <w:vertAlign w:val="baseline"/>
                      <w:lang w:val="en-US" w:eastAsia="zh-CN" w:bidi="ar"/>
                    </w:rPr>
                    <w:t>设备名称</w:t>
                  </w:r>
                </w:p>
              </w:tc>
              <w:tc>
                <w:tcPr>
                  <w:tcW w:w="1138" w:type="pct"/>
                  <w:tcBorders>
                    <w:tl2br w:val="nil"/>
                    <w:tr2bl w:val="nil"/>
                  </w:tcBorders>
                  <w:noWrap w:val="0"/>
                  <w:vAlign w:val="center"/>
                </w:tcPr>
                <w:p w14:paraId="7A3CD189">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cs="Times New Roman"/>
                      <w:b w:val="0"/>
                      <w:bCs w:val="0"/>
                      <w:color w:val="000000"/>
                      <w:kern w:val="0"/>
                      <w:sz w:val="21"/>
                      <w:szCs w:val="21"/>
                      <w:highlight w:val="none"/>
                      <w:vertAlign w:val="baseline"/>
                      <w:lang w:val="en-US" w:eastAsia="zh-CN" w:bidi="ar"/>
                    </w:rPr>
                    <w:t>数量</w:t>
                  </w:r>
                </w:p>
              </w:tc>
              <w:tc>
                <w:tcPr>
                  <w:tcW w:w="1755" w:type="pct"/>
                  <w:tcBorders>
                    <w:tl2br w:val="nil"/>
                    <w:tr2bl w:val="nil"/>
                  </w:tcBorders>
                  <w:noWrap w:val="0"/>
                  <w:vAlign w:val="center"/>
                </w:tcPr>
                <w:p w14:paraId="0BB384B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cs="Times New Roman"/>
                      <w:b w:val="0"/>
                      <w:bCs w:val="0"/>
                      <w:color w:val="000000"/>
                      <w:kern w:val="0"/>
                      <w:sz w:val="21"/>
                      <w:szCs w:val="21"/>
                      <w:highlight w:val="none"/>
                      <w:vertAlign w:val="baseline"/>
                      <w:lang w:val="en-US" w:eastAsia="zh-CN" w:bidi="ar"/>
                    </w:rPr>
                    <w:t>设备型号</w:t>
                  </w:r>
                </w:p>
              </w:tc>
            </w:tr>
            <w:tr w14:paraId="6A16F5E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00" w:type="pct"/>
                  <w:gridSpan w:val="4"/>
                  <w:tcBorders>
                    <w:tl2br w:val="nil"/>
                    <w:tr2bl w:val="nil"/>
                  </w:tcBorders>
                  <w:noWrap w:val="0"/>
                  <w:vAlign w:val="center"/>
                </w:tcPr>
                <w:p w14:paraId="558611D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生产设备</w:t>
                  </w:r>
                </w:p>
              </w:tc>
            </w:tr>
            <w:tr w14:paraId="6B87A53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9" w:hRule="atLeast"/>
                <w:jc w:val="center"/>
              </w:trPr>
              <w:tc>
                <w:tcPr>
                  <w:tcW w:w="507" w:type="pct"/>
                  <w:tcBorders>
                    <w:tl2br w:val="nil"/>
                    <w:tr2bl w:val="nil"/>
                  </w:tcBorders>
                  <w:noWrap w:val="0"/>
                  <w:vAlign w:val="center"/>
                </w:tcPr>
                <w:p w14:paraId="2747B336">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1</w:t>
                  </w:r>
                </w:p>
              </w:tc>
              <w:tc>
                <w:tcPr>
                  <w:tcW w:w="1598" w:type="pct"/>
                  <w:tcBorders>
                    <w:tl2br w:val="nil"/>
                    <w:tr2bl w:val="nil"/>
                  </w:tcBorders>
                  <w:noWrap w:val="0"/>
                  <w:vAlign w:val="center"/>
                </w:tcPr>
                <w:p w14:paraId="200EEBE4">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移动式破碎机</w:t>
                  </w:r>
                </w:p>
              </w:tc>
              <w:tc>
                <w:tcPr>
                  <w:tcW w:w="1138" w:type="pct"/>
                  <w:tcBorders>
                    <w:tl2br w:val="nil"/>
                    <w:tr2bl w:val="nil"/>
                  </w:tcBorders>
                  <w:noWrap w:val="0"/>
                  <w:vAlign w:val="center"/>
                </w:tcPr>
                <w:p w14:paraId="0909F66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5台</w:t>
                  </w:r>
                </w:p>
              </w:tc>
              <w:tc>
                <w:tcPr>
                  <w:tcW w:w="1755" w:type="pct"/>
                  <w:tcBorders>
                    <w:tl2br w:val="nil"/>
                    <w:tr2bl w:val="nil"/>
                  </w:tcBorders>
                  <w:noWrap w:val="0"/>
                  <w:vAlign w:val="center"/>
                </w:tcPr>
                <w:p w14:paraId="79C7C795">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500/700型</w:t>
                  </w:r>
                </w:p>
                <w:p w14:paraId="2C9B1F9D">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处理能力：200t/h</w:t>
                  </w:r>
                </w:p>
              </w:tc>
            </w:tr>
            <w:tr w14:paraId="71BE2CE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731109DE">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2</w:t>
                  </w:r>
                </w:p>
              </w:tc>
              <w:tc>
                <w:tcPr>
                  <w:tcW w:w="1598" w:type="pct"/>
                  <w:tcBorders>
                    <w:tl2br w:val="nil"/>
                    <w:tr2bl w:val="nil"/>
                  </w:tcBorders>
                  <w:noWrap w:val="0"/>
                  <w:vAlign w:val="center"/>
                </w:tcPr>
                <w:p w14:paraId="06C7B7BC">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给煤机</w:t>
                  </w:r>
                </w:p>
              </w:tc>
              <w:tc>
                <w:tcPr>
                  <w:tcW w:w="1138" w:type="pct"/>
                  <w:tcBorders>
                    <w:tl2br w:val="nil"/>
                    <w:tr2bl w:val="nil"/>
                  </w:tcBorders>
                  <w:noWrap w:val="0"/>
                  <w:vAlign w:val="center"/>
                </w:tcPr>
                <w:p w14:paraId="15401A2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1台</w:t>
                  </w:r>
                </w:p>
              </w:tc>
              <w:tc>
                <w:tcPr>
                  <w:tcW w:w="1755" w:type="pct"/>
                  <w:tcBorders>
                    <w:tl2br w:val="nil"/>
                    <w:tr2bl w:val="nil"/>
                  </w:tcBorders>
                  <w:noWrap w:val="0"/>
                  <w:vAlign w:val="center"/>
                </w:tcPr>
                <w:p w14:paraId="207D2779">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处理能力：100-150t/h</w:t>
                  </w:r>
                </w:p>
              </w:tc>
            </w:tr>
            <w:tr w14:paraId="11CC04C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3A131468">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3</w:t>
                  </w:r>
                </w:p>
              </w:tc>
              <w:tc>
                <w:tcPr>
                  <w:tcW w:w="1598" w:type="pct"/>
                  <w:tcBorders>
                    <w:tl2br w:val="nil"/>
                    <w:tr2bl w:val="nil"/>
                  </w:tcBorders>
                  <w:noWrap w:val="0"/>
                  <w:vAlign w:val="center"/>
                </w:tcPr>
                <w:p w14:paraId="39BB70D4">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原煤分级筛</w:t>
                  </w:r>
                </w:p>
              </w:tc>
              <w:tc>
                <w:tcPr>
                  <w:tcW w:w="1138" w:type="pct"/>
                  <w:tcBorders>
                    <w:tl2br w:val="nil"/>
                    <w:tr2bl w:val="nil"/>
                  </w:tcBorders>
                  <w:noWrap w:val="0"/>
                  <w:vAlign w:val="center"/>
                </w:tcPr>
                <w:p w14:paraId="027F511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1台</w:t>
                  </w:r>
                </w:p>
              </w:tc>
              <w:tc>
                <w:tcPr>
                  <w:tcW w:w="1755" w:type="pct"/>
                  <w:tcBorders>
                    <w:tl2br w:val="nil"/>
                    <w:tr2bl w:val="nil"/>
                  </w:tcBorders>
                  <w:noWrap w:val="0"/>
                  <w:vAlign w:val="center"/>
                </w:tcPr>
                <w:p w14:paraId="178BDB44">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处理能力：80-100t/h</w:t>
                  </w:r>
                </w:p>
              </w:tc>
            </w:tr>
            <w:tr w14:paraId="07C8943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3773C9C4">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4</w:t>
                  </w:r>
                </w:p>
              </w:tc>
              <w:tc>
                <w:tcPr>
                  <w:tcW w:w="1598" w:type="pct"/>
                  <w:tcBorders>
                    <w:tl2br w:val="nil"/>
                    <w:tr2bl w:val="nil"/>
                  </w:tcBorders>
                  <w:noWrap w:val="0"/>
                  <w:vAlign w:val="center"/>
                </w:tcPr>
                <w:p w14:paraId="3807018D">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固定破碎机</w:t>
                  </w:r>
                </w:p>
              </w:tc>
              <w:tc>
                <w:tcPr>
                  <w:tcW w:w="1138" w:type="pct"/>
                  <w:tcBorders>
                    <w:tl2br w:val="nil"/>
                    <w:tr2bl w:val="nil"/>
                  </w:tcBorders>
                  <w:noWrap w:val="0"/>
                  <w:vAlign w:val="center"/>
                </w:tcPr>
                <w:p w14:paraId="5249F09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1台</w:t>
                  </w:r>
                </w:p>
              </w:tc>
              <w:tc>
                <w:tcPr>
                  <w:tcW w:w="1755" w:type="pct"/>
                  <w:tcBorders>
                    <w:tl2br w:val="nil"/>
                    <w:tr2bl w:val="nil"/>
                  </w:tcBorders>
                  <w:noWrap w:val="0"/>
                  <w:vAlign w:val="center"/>
                </w:tcPr>
                <w:p w14:paraId="31F6F64A">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处理能力：80-100t/h</w:t>
                  </w:r>
                </w:p>
              </w:tc>
            </w:tr>
            <w:tr w14:paraId="53CC472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5E933A24">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5</w:t>
                  </w:r>
                </w:p>
              </w:tc>
              <w:tc>
                <w:tcPr>
                  <w:tcW w:w="1598" w:type="pct"/>
                  <w:tcBorders>
                    <w:tl2br w:val="nil"/>
                    <w:tr2bl w:val="nil"/>
                  </w:tcBorders>
                  <w:noWrap w:val="0"/>
                  <w:vAlign w:val="center"/>
                </w:tcPr>
                <w:p w14:paraId="5A77147C">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带式输送机</w:t>
                  </w:r>
                </w:p>
              </w:tc>
              <w:tc>
                <w:tcPr>
                  <w:tcW w:w="1138" w:type="pct"/>
                  <w:tcBorders>
                    <w:tl2br w:val="nil"/>
                    <w:tr2bl w:val="nil"/>
                  </w:tcBorders>
                  <w:noWrap w:val="0"/>
                  <w:vAlign w:val="center"/>
                </w:tcPr>
                <w:p w14:paraId="76F7CA7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2台</w:t>
                  </w:r>
                </w:p>
              </w:tc>
              <w:tc>
                <w:tcPr>
                  <w:tcW w:w="1755" w:type="pct"/>
                  <w:tcBorders>
                    <w:tl2br w:val="nil"/>
                    <w:tr2bl w:val="nil"/>
                  </w:tcBorders>
                  <w:noWrap w:val="0"/>
                  <w:vAlign w:val="center"/>
                </w:tcPr>
                <w:p w14:paraId="442B0F3F">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额定运输能力</w:t>
                  </w:r>
                  <w:r>
                    <w:rPr>
                      <w:rFonts w:hint="default" w:cs="Times New Roman"/>
                      <w:b w:val="0"/>
                      <w:bCs w:val="0"/>
                      <w:color w:val="000000"/>
                      <w:kern w:val="0"/>
                      <w:sz w:val="21"/>
                      <w:szCs w:val="21"/>
                      <w:highlight w:val="none"/>
                      <w:vertAlign w:val="baseline"/>
                      <w:lang w:val="en-US" w:eastAsia="zh-CN" w:bidi="ar"/>
                    </w:rPr>
                    <w:t>Q=1800t/h</w:t>
                  </w:r>
                  <w:r>
                    <w:rPr>
                      <w:rFonts w:hint="eastAsia" w:cs="Times New Roman"/>
                      <w:b w:val="0"/>
                      <w:bCs w:val="0"/>
                      <w:color w:val="000000"/>
                      <w:kern w:val="0"/>
                      <w:sz w:val="21"/>
                      <w:szCs w:val="21"/>
                      <w:highlight w:val="none"/>
                      <w:vertAlign w:val="baseline"/>
                      <w:lang w:val="en-US" w:eastAsia="zh-CN" w:bidi="ar"/>
                    </w:rPr>
                    <w:t>，带宽</w:t>
                  </w:r>
                  <w:r>
                    <w:rPr>
                      <w:rFonts w:hint="default" w:cs="Times New Roman"/>
                      <w:b w:val="0"/>
                      <w:bCs w:val="0"/>
                      <w:color w:val="000000"/>
                      <w:kern w:val="0"/>
                      <w:sz w:val="21"/>
                      <w:szCs w:val="21"/>
                      <w:highlight w:val="none"/>
                      <w:vertAlign w:val="baseline"/>
                      <w:lang w:val="en-US" w:eastAsia="zh-CN" w:bidi="ar"/>
                    </w:rPr>
                    <w:t>B=1200mm</w:t>
                  </w:r>
                  <w:r>
                    <w:rPr>
                      <w:rFonts w:hint="eastAsia" w:cs="Times New Roman"/>
                      <w:b w:val="0"/>
                      <w:bCs w:val="0"/>
                      <w:color w:val="000000"/>
                      <w:kern w:val="0"/>
                      <w:sz w:val="21"/>
                      <w:szCs w:val="21"/>
                      <w:highlight w:val="none"/>
                      <w:vertAlign w:val="baseline"/>
                      <w:lang w:val="en-US" w:eastAsia="zh-CN" w:bidi="ar"/>
                    </w:rPr>
                    <w:t>，带速</w:t>
                  </w:r>
                  <w:r>
                    <w:rPr>
                      <w:rFonts w:hint="default" w:cs="Times New Roman"/>
                      <w:b w:val="0"/>
                      <w:bCs w:val="0"/>
                      <w:color w:val="000000"/>
                      <w:kern w:val="0"/>
                      <w:sz w:val="21"/>
                      <w:szCs w:val="21"/>
                      <w:highlight w:val="none"/>
                      <w:vertAlign w:val="baseline"/>
                      <w:lang w:val="en-US" w:eastAsia="zh-CN" w:bidi="ar"/>
                    </w:rPr>
                    <w:t>v=3.3m/s</w:t>
                  </w:r>
                  <w:r>
                    <w:rPr>
                      <w:rFonts w:hint="eastAsia" w:cs="Times New Roman"/>
                      <w:b w:val="0"/>
                      <w:bCs w:val="0"/>
                      <w:color w:val="000000"/>
                      <w:kern w:val="0"/>
                      <w:sz w:val="21"/>
                      <w:szCs w:val="21"/>
                      <w:highlight w:val="none"/>
                      <w:vertAlign w:val="baseline"/>
                      <w:lang w:val="en-US" w:eastAsia="zh-CN" w:bidi="ar"/>
                    </w:rPr>
                    <w:t>，</w:t>
                  </w:r>
                </w:p>
              </w:tc>
            </w:tr>
            <w:tr w14:paraId="7BFC473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7943747E">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6</w:t>
                  </w:r>
                </w:p>
              </w:tc>
              <w:tc>
                <w:tcPr>
                  <w:tcW w:w="1598" w:type="pct"/>
                  <w:tcBorders>
                    <w:tl2br w:val="nil"/>
                    <w:tr2bl w:val="nil"/>
                  </w:tcBorders>
                  <w:noWrap w:val="0"/>
                  <w:vAlign w:val="center"/>
                </w:tcPr>
                <w:p w14:paraId="777E6E9D">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块煤皮带</w:t>
                  </w:r>
                </w:p>
              </w:tc>
              <w:tc>
                <w:tcPr>
                  <w:tcW w:w="1138" w:type="pct"/>
                  <w:tcBorders>
                    <w:tl2br w:val="nil"/>
                    <w:tr2bl w:val="nil"/>
                  </w:tcBorders>
                  <w:noWrap w:val="0"/>
                  <w:vAlign w:val="center"/>
                </w:tcPr>
                <w:p w14:paraId="3F778BEF">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1台</w:t>
                  </w:r>
                </w:p>
              </w:tc>
              <w:tc>
                <w:tcPr>
                  <w:tcW w:w="1755" w:type="pct"/>
                  <w:tcBorders>
                    <w:tl2br w:val="nil"/>
                    <w:tr2bl w:val="nil"/>
                  </w:tcBorders>
                  <w:noWrap w:val="0"/>
                  <w:vAlign w:val="center"/>
                </w:tcPr>
                <w:p w14:paraId="02FC2021">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w:t>
                  </w:r>
                </w:p>
              </w:tc>
            </w:tr>
            <w:tr w14:paraId="77136B9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22A61A4C">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7</w:t>
                  </w:r>
                </w:p>
              </w:tc>
              <w:tc>
                <w:tcPr>
                  <w:tcW w:w="1598" w:type="pct"/>
                  <w:tcBorders>
                    <w:tl2br w:val="nil"/>
                    <w:tr2bl w:val="nil"/>
                  </w:tcBorders>
                  <w:noWrap w:val="0"/>
                  <w:vAlign w:val="center"/>
                </w:tcPr>
                <w:p w14:paraId="0CF96D7F">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振动给料机</w:t>
                  </w:r>
                </w:p>
              </w:tc>
              <w:tc>
                <w:tcPr>
                  <w:tcW w:w="1138" w:type="pct"/>
                  <w:tcBorders>
                    <w:tl2br w:val="nil"/>
                    <w:tr2bl w:val="nil"/>
                  </w:tcBorders>
                  <w:noWrap w:val="0"/>
                  <w:vAlign w:val="center"/>
                </w:tcPr>
                <w:p w14:paraId="4E25259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1台</w:t>
                  </w:r>
                </w:p>
              </w:tc>
              <w:tc>
                <w:tcPr>
                  <w:tcW w:w="1755" w:type="pct"/>
                  <w:tcBorders>
                    <w:tl2br w:val="nil"/>
                    <w:tr2bl w:val="nil"/>
                  </w:tcBorders>
                  <w:noWrap w:val="0"/>
                  <w:vAlign w:val="center"/>
                </w:tcPr>
                <w:p w14:paraId="24DCF8A1">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处理能力：80-100t/h</w:t>
                  </w:r>
                </w:p>
              </w:tc>
            </w:tr>
            <w:tr w14:paraId="3077BE1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36334391">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8</w:t>
                  </w:r>
                </w:p>
              </w:tc>
              <w:tc>
                <w:tcPr>
                  <w:tcW w:w="1598" w:type="pct"/>
                  <w:tcBorders>
                    <w:tl2br w:val="nil"/>
                    <w:tr2bl w:val="nil"/>
                  </w:tcBorders>
                  <w:noWrap w:val="0"/>
                  <w:vAlign w:val="center"/>
                </w:tcPr>
                <w:p w14:paraId="374BF5BF">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物料预处理机</w:t>
                  </w:r>
                </w:p>
              </w:tc>
              <w:tc>
                <w:tcPr>
                  <w:tcW w:w="1138" w:type="pct"/>
                  <w:tcBorders>
                    <w:tl2br w:val="nil"/>
                    <w:tr2bl w:val="nil"/>
                  </w:tcBorders>
                  <w:noWrap w:val="0"/>
                  <w:vAlign w:val="center"/>
                </w:tcPr>
                <w:p w14:paraId="40060A53">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1台</w:t>
                  </w:r>
                </w:p>
              </w:tc>
              <w:tc>
                <w:tcPr>
                  <w:tcW w:w="1755" w:type="pct"/>
                  <w:tcBorders>
                    <w:tl2br w:val="nil"/>
                    <w:tr2bl w:val="nil"/>
                  </w:tcBorders>
                  <w:noWrap w:val="0"/>
                  <w:vAlign w:val="center"/>
                </w:tcPr>
                <w:p w14:paraId="4C3AFAE3">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w:t>
                  </w:r>
                </w:p>
              </w:tc>
            </w:tr>
            <w:tr w14:paraId="0C08065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39B3FA53">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9</w:t>
                  </w:r>
                </w:p>
              </w:tc>
              <w:tc>
                <w:tcPr>
                  <w:tcW w:w="1598" w:type="pct"/>
                  <w:tcBorders>
                    <w:tl2br w:val="nil"/>
                    <w:tr2bl w:val="nil"/>
                  </w:tcBorders>
                  <w:noWrap w:val="0"/>
                  <w:vAlign w:val="center"/>
                </w:tcPr>
                <w:p w14:paraId="7B03230C">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块煤分级筛</w:t>
                  </w:r>
                </w:p>
              </w:tc>
              <w:tc>
                <w:tcPr>
                  <w:tcW w:w="1138" w:type="pct"/>
                  <w:tcBorders>
                    <w:tl2br w:val="nil"/>
                    <w:tr2bl w:val="nil"/>
                  </w:tcBorders>
                  <w:noWrap w:val="0"/>
                  <w:vAlign w:val="center"/>
                </w:tcPr>
                <w:p w14:paraId="2FC9433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1台</w:t>
                  </w:r>
                </w:p>
              </w:tc>
              <w:tc>
                <w:tcPr>
                  <w:tcW w:w="1755" w:type="pct"/>
                  <w:tcBorders>
                    <w:tl2br w:val="nil"/>
                    <w:tr2bl w:val="nil"/>
                  </w:tcBorders>
                  <w:noWrap w:val="0"/>
                  <w:vAlign w:val="center"/>
                </w:tcPr>
                <w:p w14:paraId="5F263EFB">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处理能力：50-100t/h</w:t>
                  </w:r>
                </w:p>
              </w:tc>
            </w:tr>
            <w:tr w14:paraId="73B3E37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6A48B7BE">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10</w:t>
                  </w:r>
                </w:p>
              </w:tc>
              <w:tc>
                <w:tcPr>
                  <w:tcW w:w="1598" w:type="pct"/>
                  <w:tcBorders>
                    <w:tl2br w:val="nil"/>
                    <w:tr2bl w:val="nil"/>
                  </w:tcBorders>
                  <w:noWrap w:val="0"/>
                  <w:vAlign w:val="center"/>
                </w:tcPr>
                <w:p w14:paraId="1058E2C5">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面煤脱水筛</w:t>
                  </w:r>
                </w:p>
              </w:tc>
              <w:tc>
                <w:tcPr>
                  <w:tcW w:w="1138" w:type="pct"/>
                  <w:tcBorders>
                    <w:tl2br w:val="nil"/>
                    <w:tr2bl w:val="nil"/>
                  </w:tcBorders>
                  <w:noWrap w:val="0"/>
                  <w:vAlign w:val="center"/>
                </w:tcPr>
                <w:p w14:paraId="2CA5483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1台</w:t>
                  </w:r>
                </w:p>
              </w:tc>
              <w:tc>
                <w:tcPr>
                  <w:tcW w:w="1755" w:type="pct"/>
                  <w:tcBorders>
                    <w:tl2br w:val="nil"/>
                    <w:tr2bl w:val="nil"/>
                  </w:tcBorders>
                  <w:noWrap w:val="0"/>
                  <w:vAlign w:val="center"/>
                </w:tcPr>
                <w:p w14:paraId="754179EF">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处理能力：50-100t/h</w:t>
                  </w:r>
                </w:p>
              </w:tc>
            </w:tr>
            <w:tr w14:paraId="0141C69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3962C6F7">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11</w:t>
                  </w:r>
                </w:p>
              </w:tc>
              <w:tc>
                <w:tcPr>
                  <w:tcW w:w="1598" w:type="pct"/>
                  <w:tcBorders>
                    <w:tl2br w:val="nil"/>
                    <w:tr2bl w:val="nil"/>
                  </w:tcBorders>
                  <w:noWrap w:val="0"/>
                  <w:vAlign w:val="center"/>
                </w:tcPr>
                <w:p w14:paraId="163B9C0C">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弧形筛</w:t>
                  </w:r>
                </w:p>
              </w:tc>
              <w:tc>
                <w:tcPr>
                  <w:tcW w:w="1138" w:type="pct"/>
                  <w:tcBorders>
                    <w:tl2br w:val="nil"/>
                    <w:tr2bl w:val="nil"/>
                  </w:tcBorders>
                  <w:noWrap w:val="0"/>
                  <w:vAlign w:val="center"/>
                </w:tcPr>
                <w:p w14:paraId="24CDB1E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1台</w:t>
                  </w:r>
                </w:p>
              </w:tc>
              <w:tc>
                <w:tcPr>
                  <w:tcW w:w="1755" w:type="pct"/>
                  <w:tcBorders>
                    <w:tl2br w:val="nil"/>
                    <w:tr2bl w:val="nil"/>
                  </w:tcBorders>
                  <w:noWrap w:val="0"/>
                  <w:vAlign w:val="center"/>
                </w:tcPr>
                <w:p w14:paraId="193F4453">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处理能力：50-100t/h</w:t>
                  </w:r>
                </w:p>
              </w:tc>
            </w:tr>
            <w:tr w14:paraId="6209BB4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0FF530C8">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12</w:t>
                  </w:r>
                </w:p>
              </w:tc>
              <w:tc>
                <w:tcPr>
                  <w:tcW w:w="1598" w:type="pct"/>
                  <w:tcBorders>
                    <w:tl2br w:val="nil"/>
                    <w:tr2bl w:val="nil"/>
                  </w:tcBorders>
                  <w:noWrap w:val="0"/>
                  <w:vAlign w:val="center"/>
                </w:tcPr>
                <w:p w14:paraId="39A975DA">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精煤脱水筛</w:t>
                  </w:r>
                </w:p>
              </w:tc>
              <w:tc>
                <w:tcPr>
                  <w:tcW w:w="1138" w:type="pct"/>
                  <w:tcBorders>
                    <w:tl2br w:val="nil"/>
                    <w:tr2bl w:val="nil"/>
                  </w:tcBorders>
                  <w:noWrap w:val="0"/>
                  <w:vAlign w:val="center"/>
                </w:tcPr>
                <w:p w14:paraId="44CD3CC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1台</w:t>
                  </w:r>
                </w:p>
              </w:tc>
              <w:tc>
                <w:tcPr>
                  <w:tcW w:w="1755" w:type="pct"/>
                  <w:tcBorders>
                    <w:tl2br w:val="nil"/>
                    <w:tr2bl w:val="nil"/>
                  </w:tcBorders>
                  <w:noWrap w:val="0"/>
                  <w:vAlign w:val="center"/>
                </w:tcPr>
                <w:p w14:paraId="2D11DF28">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处理能力：50-100t/h</w:t>
                  </w:r>
                </w:p>
              </w:tc>
            </w:tr>
            <w:tr w14:paraId="36696AF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78F1905B">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13</w:t>
                  </w:r>
                </w:p>
              </w:tc>
              <w:tc>
                <w:tcPr>
                  <w:tcW w:w="1598" w:type="pct"/>
                  <w:tcBorders>
                    <w:tl2br w:val="nil"/>
                    <w:tr2bl w:val="nil"/>
                  </w:tcBorders>
                  <w:noWrap w:val="0"/>
                  <w:vAlign w:val="center"/>
                </w:tcPr>
                <w:p w14:paraId="42E58E6C">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精煤回收筛</w:t>
                  </w:r>
                </w:p>
              </w:tc>
              <w:tc>
                <w:tcPr>
                  <w:tcW w:w="1138" w:type="pct"/>
                  <w:tcBorders>
                    <w:tl2br w:val="nil"/>
                    <w:tr2bl w:val="nil"/>
                  </w:tcBorders>
                  <w:noWrap w:val="0"/>
                  <w:vAlign w:val="center"/>
                </w:tcPr>
                <w:p w14:paraId="56428F2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1台</w:t>
                  </w:r>
                </w:p>
              </w:tc>
              <w:tc>
                <w:tcPr>
                  <w:tcW w:w="1755" w:type="pct"/>
                  <w:tcBorders>
                    <w:tl2br w:val="nil"/>
                    <w:tr2bl w:val="nil"/>
                  </w:tcBorders>
                  <w:noWrap w:val="0"/>
                  <w:vAlign w:val="center"/>
                </w:tcPr>
                <w:p w14:paraId="4CA51957">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处理能力：50-100t/h</w:t>
                  </w:r>
                </w:p>
              </w:tc>
            </w:tr>
            <w:tr w14:paraId="3BC3832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6E8B1EE1">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14</w:t>
                  </w:r>
                </w:p>
              </w:tc>
              <w:tc>
                <w:tcPr>
                  <w:tcW w:w="1598" w:type="pct"/>
                  <w:tcBorders>
                    <w:tl2br w:val="nil"/>
                    <w:tr2bl w:val="nil"/>
                  </w:tcBorders>
                  <w:noWrap w:val="0"/>
                  <w:vAlign w:val="center"/>
                </w:tcPr>
                <w:p w14:paraId="5B16FC68">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旋流器</w:t>
                  </w:r>
                </w:p>
              </w:tc>
              <w:tc>
                <w:tcPr>
                  <w:tcW w:w="1138" w:type="pct"/>
                  <w:tcBorders>
                    <w:tl2br w:val="nil"/>
                    <w:tr2bl w:val="nil"/>
                  </w:tcBorders>
                  <w:noWrap w:val="0"/>
                  <w:vAlign w:val="center"/>
                </w:tcPr>
                <w:p w14:paraId="20692044">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1台</w:t>
                  </w:r>
                </w:p>
              </w:tc>
              <w:tc>
                <w:tcPr>
                  <w:tcW w:w="1755" w:type="pct"/>
                  <w:tcBorders>
                    <w:tl2br w:val="nil"/>
                    <w:tr2bl w:val="nil"/>
                  </w:tcBorders>
                  <w:noWrap w:val="0"/>
                  <w:vAlign w:val="center"/>
                </w:tcPr>
                <w:p w14:paraId="0C47A8A0">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w:t>
                  </w:r>
                </w:p>
              </w:tc>
            </w:tr>
            <w:tr w14:paraId="124163C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0CDF202E">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15</w:t>
                  </w:r>
                </w:p>
              </w:tc>
              <w:tc>
                <w:tcPr>
                  <w:tcW w:w="1598" w:type="pct"/>
                  <w:tcBorders>
                    <w:tl2br w:val="nil"/>
                    <w:tr2bl w:val="nil"/>
                  </w:tcBorders>
                  <w:noWrap w:val="0"/>
                  <w:vAlign w:val="center"/>
                </w:tcPr>
                <w:p w14:paraId="60AF6060">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螺旋分选器</w:t>
                  </w:r>
                </w:p>
              </w:tc>
              <w:tc>
                <w:tcPr>
                  <w:tcW w:w="1138" w:type="pct"/>
                  <w:tcBorders>
                    <w:tl2br w:val="nil"/>
                    <w:tr2bl w:val="nil"/>
                  </w:tcBorders>
                  <w:noWrap w:val="0"/>
                  <w:vAlign w:val="center"/>
                </w:tcPr>
                <w:p w14:paraId="4A2D832F">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1台</w:t>
                  </w:r>
                </w:p>
              </w:tc>
              <w:tc>
                <w:tcPr>
                  <w:tcW w:w="1755" w:type="pct"/>
                  <w:tcBorders>
                    <w:tl2br w:val="nil"/>
                    <w:tr2bl w:val="nil"/>
                  </w:tcBorders>
                  <w:noWrap w:val="0"/>
                  <w:vAlign w:val="center"/>
                </w:tcPr>
                <w:p w14:paraId="63D30C87">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w:t>
                  </w:r>
                </w:p>
              </w:tc>
            </w:tr>
            <w:tr w14:paraId="3F0FBE5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4DEFA46D">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16</w:t>
                  </w:r>
                </w:p>
              </w:tc>
              <w:tc>
                <w:tcPr>
                  <w:tcW w:w="1598" w:type="pct"/>
                  <w:tcBorders>
                    <w:tl2br w:val="nil"/>
                    <w:tr2bl w:val="nil"/>
                  </w:tcBorders>
                  <w:noWrap w:val="0"/>
                  <w:vAlign w:val="center"/>
                </w:tcPr>
                <w:p w14:paraId="5C9F4D7E">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旋流上料泵</w:t>
                  </w:r>
                </w:p>
              </w:tc>
              <w:tc>
                <w:tcPr>
                  <w:tcW w:w="1138" w:type="pct"/>
                  <w:tcBorders>
                    <w:tl2br w:val="nil"/>
                    <w:tr2bl w:val="nil"/>
                  </w:tcBorders>
                  <w:noWrap w:val="0"/>
                  <w:vAlign w:val="center"/>
                </w:tcPr>
                <w:p w14:paraId="30CC9B9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1台</w:t>
                  </w:r>
                </w:p>
              </w:tc>
              <w:tc>
                <w:tcPr>
                  <w:tcW w:w="1755" w:type="pct"/>
                  <w:tcBorders>
                    <w:tl2br w:val="nil"/>
                    <w:tr2bl w:val="nil"/>
                  </w:tcBorders>
                  <w:noWrap w:val="0"/>
                  <w:vAlign w:val="center"/>
                </w:tcPr>
                <w:p w14:paraId="06AAFA53">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w:t>
                  </w:r>
                </w:p>
              </w:tc>
            </w:tr>
            <w:tr w14:paraId="0140DCC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53765574">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17</w:t>
                  </w:r>
                </w:p>
              </w:tc>
              <w:tc>
                <w:tcPr>
                  <w:tcW w:w="1598" w:type="pct"/>
                  <w:tcBorders>
                    <w:tl2br w:val="nil"/>
                    <w:tr2bl w:val="nil"/>
                  </w:tcBorders>
                  <w:noWrap w:val="0"/>
                  <w:vAlign w:val="center"/>
                </w:tcPr>
                <w:p w14:paraId="6217BB05">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压缩机</w:t>
                  </w:r>
                </w:p>
              </w:tc>
              <w:tc>
                <w:tcPr>
                  <w:tcW w:w="1138" w:type="pct"/>
                  <w:tcBorders>
                    <w:tl2br w:val="nil"/>
                    <w:tr2bl w:val="nil"/>
                  </w:tcBorders>
                  <w:noWrap w:val="0"/>
                  <w:vAlign w:val="center"/>
                </w:tcPr>
                <w:p w14:paraId="3ADA9F2E">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1台</w:t>
                  </w:r>
                </w:p>
              </w:tc>
              <w:tc>
                <w:tcPr>
                  <w:tcW w:w="1755" w:type="pct"/>
                  <w:tcBorders>
                    <w:tl2br w:val="nil"/>
                    <w:tr2bl w:val="nil"/>
                  </w:tcBorders>
                  <w:noWrap w:val="0"/>
                  <w:vAlign w:val="center"/>
                </w:tcPr>
                <w:p w14:paraId="66052AF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处理能力：</w:t>
                  </w:r>
                  <w:r>
                    <w:rPr>
                      <w:rFonts w:hint="eastAsia" w:cs="Times New Roman"/>
                      <w:b w:val="0"/>
                      <w:bCs w:val="0"/>
                      <w:color w:val="000000"/>
                      <w:kern w:val="0"/>
                      <w:sz w:val="21"/>
                      <w:szCs w:val="21"/>
                      <w:highlight w:val="none"/>
                      <w:vertAlign w:val="baseline"/>
                      <w:lang w:val="en-US" w:eastAsia="zh-CN" w:bidi="ar"/>
                    </w:rPr>
                    <w:t>50-80</w:t>
                  </w:r>
                  <w:r>
                    <w:rPr>
                      <w:rFonts w:hint="eastAsia" w:ascii="Times New Roman" w:hAnsi="Times New Roman" w:eastAsia="宋体" w:cs="Times New Roman"/>
                      <w:b w:val="0"/>
                      <w:bCs w:val="0"/>
                      <w:color w:val="000000"/>
                      <w:kern w:val="0"/>
                      <w:sz w:val="21"/>
                      <w:szCs w:val="21"/>
                      <w:highlight w:val="none"/>
                      <w:vertAlign w:val="baseline"/>
                      <w:lang w:val="en-US" w:eastAsia="zh-CN" w:bidi="ar"/>
                    </w:rPr>
                    <w:t>t/h</w:t>
                  </w:r>
                </w:p>
              </w:tc>
            </w:tr>
            <w:tr w14:paraId="10C135B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264D95BF">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18</w:t>
                  </w:r>
                </w:p>
              </w:tc>
              <w:tc>
                <w:tcPr>
                  <w:tcW w:w="1598" w:type="pct"/>
                  <w:tcBorders>
                    <w:tl2br w:val="nil"/>
                    <w:tr2bl w:val="nil"/>
                  </w:tcBorders>
                  <w:noWrap w:val="0"/>
                  <w:vAlign w:val="center"/>
                </w:tcPr>
                <w:p w14:paraId="3FBA1B5D">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清水池</w:t>
                  </w:r>
                </w:p>
              </w:tc>
              <w:tc>
                <w:tcPr>
                  <w:tcW w:w="1138" w:type="pct"/>
                  <w:tcBorders>
                    <w:tl2br w:val="nil"/>
                    <w:tr2bl w:val="nil"/>
                  </w:tcBorders>
                  <w:noWrap w:val="0"/>
                  <w:vAlign w:val="center"/>
                </w:tcPr>
                <w:p w14:paraId="2744DA17">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1个</w:t>
                  </w:r>
                </w:p>
              </w:tc>
              <w:tc>
                <w:tcPr>
                  <w:tcW w:w="1755" w:type="pct"/>
                  <w:tcBorders>
                    <w:tl2br w:val="nil"/>
                    <w:tr2bl w:val="nil"/>
                  </w:tcBorders>
                  <w:noWrap w:val="0"/>
                  <w:vAlign w:val="center"/>
                </w:tcPr>
                <w:p w14:paraId="1168E5E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d=30m，h=1.2m</w:t>
                  </w:r>
                </w:p>
              </w:tc>
            </w:tr>
            <w:tr w14:paraId="306A9C1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5887707E">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19</w:t>
                  </w:r>
                </w:p>
              </w:tc>
              <w:tc>
                <w:tcPr>
                  <w:tcW w:w="1598" w:type="pct"/>
                  <w:tcBorders>
                    <w:tl2br w:val="nil"/>
                    <w:tr2bl w:val="nil"/>
                  </w:tcBorders>
                  <w:noWrap w:val="0"/>
                  <w:vAlign w:val="center"/>
                </w:tcPr>
                <w:p w14:paraId="0863E64D">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脱水筛下池</w:t>
                  </w:r>
                </w:p>
              </w:tc>
              <w:tc>
                <w:tcPr>
                  <w:tcW w:w="1138" w:type="pct"/>
                  <w:tcBorders>
                    <w:tl2br w:val="nil"/>
                    <w:tr2bl w:val="nil"/>
                  </w:tcBorders>
                  <w:noWrap w:val="0"/>
                  <w:vAlign w:val="center"/>
                </w:tcPr>
                <w:p w14:paraId="4EB933D7">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1个</w:t>
                  </w:r>
                </w:p>
              </w:tc>
              <w:tc>
                <w:tcPr>
                  <w:tcW w:w="1755" w:type="pct"/>
                  <w:tcBorders>
                    <w:tl2br w:val="nil"/>
                    <w:tr2bl w:val="nil"/>
                  </w:tcBorders>
                  <w:noWrap w:val="0"/>
                  <w:vAlign w:val="center"/>
                </w:tcPr>
                <w:p w14:paraId="053F883F">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d=30m，h=1.2m</w:t>
                  </w:r>
                </w:p>
              </w:tc>
            </w:tr>
            <w:tr w14:paraId="27660D8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466F448A">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20</w:t>
                  </w:r>
                </w:p>
              </w:tc>
              <w:tc>
                <w:tcPr>
                  <w:tcW w:w="1598" w:type="pct"/>
                  <w:tcBorders>
                    <w:tl2br w:val="nil"/>
                    <w:tr2bl w:val="nil"/>
                  </w:tcBorders>
                  <w:noWrap w:val="0"/>
                  <w:vAlign w:val="center"/>
                </w:tcPr>
                <w:p w14:paraId="418AE811">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煤泥水池</w:t>
                  </w:r>
                </w:p>
              </w:tc>
              <w:tc>
                <w:tcPr>
                  <w:tcW w:w="1138" w:type="pct"/>
                  <w:tcBorders>
                    <w:tl2br w:val="nil"/>
                    <w:tr2bl w:val="nil"/>
                  </w:tcBorders>
                  <w:noWrap w:val="0"/>
                  <w:vAlign w:val="center"/>
                </w:tcPr>
                <w:p w14:paraId="19E516F8">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1个</w:t>
                  </w:r>
                </w:p>
              </w:tc>
              <w:tc>
                <w:tcPr>
                  <w:tcW w:w="1755" w:type="pct"/>
                  <w:tcBorders>
                    <w:tl2br w:val="nil"/>
                    <w:tr2bl w:val="nil"/>
                  </w:tcBorders>
                  <w:noWrap w:val="0"/>
                  <w:vAlign w:val="center"/>
                </w:tcPr>
                <w:p w14:paraId="1516EFD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d=30m，h=1.2m</w:t>
                  </w:r>
                </w:p>
              </w:tc>
            </w:tr>
            <w:tr w14:paraId="16F2479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61C46A65">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21</w:t>
                  </w:r>
                </w:p>
              </w:tc>
              <w:tc>
                <w:tcPr>
                  <w:tcW w:w="1598" w:type="pct"/>
                  <w:tcBorders>
                    <w:tl2br w:val="nil"/>
                    <w:tr2bl w:val="nil"/>
                  </w:tcBorders>
                  <w:noWrap w:val="0"/>
                  <w:vAlign w:val="center"/>
                </w:tcPr>
                <w:p w14:paraId="193DFBE4">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地磅</w:t>
                  </w:r>
                </w:p>
              </w:tc>
              <w:tc>
                <w:tcPr>
                  <w:tcW w:w="1138" w:type="pct"/>
                  <w:tcBorders>
                    <w:tl2br w:val="nil"/>
                    <w:tr2bl w:val="nil"/>
                  </w:tcBorders>
                  <w:noWrap w:val="0"/>
                  <w:vAlign w:val="center"/>
                </w:tcPr>
                <w:p w14:paraId="4AF8B63C">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7座</w:t>
                  </w:r>
                </w:p>
              </w:tc>
              <w:tc>
                <w:tcPr>
                  <w:tcW w:w="1755" w:type="pct"/>
                  <w:tcBorders>
                    <w:tl2br w:val="nil"/>
                    <w:tr2bl w:val="nil"/>
                  </w:tcBorders>
                  <w:noWrap w:val="0"/>
                  <w:vAlign w:val="center"/>
                </w:tcPr>
                <w:p w14:paraId="6E1CEEE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cs="Times New Roman"/>
                      <w:b w:val="0"/>
                      <w:bCs w:val="0"/>
                      <w:color w:val="000000"/>
                      <w:kern w:val="0"/>
                      <w:sz w:val="21"/>
                      <w:szCs w:val="21"/>
                      <w:highlight w:val="none"/>
                      <w:vertAlign w:val="baseline"/>
                      <w:lang w:val="en-US" w:eastAsia="zh-CN" w:bidi="ar"/>
                    </w:rPr>
                    <w:t>最大承重：</w:t>
                  </w:r>
                  <w:r>
                    <w:rPr>
                      <w:rFonts w:hint="eastAsia" w:cs="Times New Roman"/>
                      <w:b w:val="0"/>
                      <w:bCs w:val="0"/>
                      <w:color w:val="000000"/>
                      <w:kern w:val="0"/>
                      <w:sz w:val="21"/>
                      <w:szCs w:val="21"/>
                      <w:highlight w:val="none"/>
                      <w:vertAlign w:val="baseline"/>
                      <w:lang w:val="en-US" w:eastAsia="zh-CN" w:bidi="ar"/>
                    </w:rPr>
                    <w:t>150</w:t>
                  </w:r>
                  <w:r>
                    <w:rPr>
                      <w:rFonts w:hint="eastAsia" w:ascii="Times New Roman" w:hAnsi="Times New Roman" w:cs="Times New Roman"/>
                      <w:b w:val="0"/>
                      <w:bCs w:val="0"/>
                      <w:color w:val="000000"/>
                      <w:kern w:val="0"/>
                      <w:sz w:val="21"/>
                      <w:szCs w:val="21"/>
                      <w:highlight w:val="none"/>
                      <w:vertAlign w:val="baseline"/>
                      <w:lang w:val="en-US" w:eastAsia="zh-CN" w:bidi="ar"/>
                    </w:rPr>
                    <w:t>t</w:t>
                  </w:r>
                </w:p>
              </w:tc>
            </w:tr>
            <w:tr w14:paraId="124FD3A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3C936710">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22</w:t>
                  </w:r>
                </w:p>
              </w:tc>
              <w:tc>
                <w:tcPr>
                  <w:tcW w:w="1598" w:type="pct"/>
                  <w:tcBorders>
                    <w:tl2br w:val="nil"/>
                    <w:tr2bl w:val="nil"/>
                  </w:tcBorders>
                  <w:noWrap w:val="0"/>
                  <w:vAlign w:val="center"/>
                </w:tcPr>
                <w:p w14:paraId="09C7BFAD">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cs="Times New Roman"/>
                      <w:b w:val="0"/>
                      <w:bCs w:val="0"/>
                      <w:color w:val="000000"/>
                      <w:kern w:val="0"/>
                      <w:sz w:val="21"/>
                      <w:szCs w:val="21"/>
                      <w:highlight w:val="none"/>
                      <w:vertAlign w:val="baseline"/>
                      <w:lang w:val="en-US" w:eastAsia="zh-CN" w:bidi="ar"/>
                    </w:rPr>
                    <w:t>新能源电动铲车</w:t>
                  </w:r>
                </w:p>
              </w:tc>
              <w:tc>
                <w:tcPr>
                  <w:tcW w:w="1138" w:type="pct"/>
                  <w:tcBorders>
                    <w:tl2br w:val="nil"/>
                    <w:tr2bl w:val="nil"/>
                  </w:tcBorders>
                  <w:noWrap w:val="0"/>
                  <w:vAlign w:val="center"/>
                </w:tcPr>
                <w:p w14:paraId="129C0907">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20辆</w:t>
                  </w:r>
                </w:p>
              </w:tc>
              <w:tc>
                <w:tcPr>
                  <w:tcW w:w="1755" w:type="pct"/>
                  <w:tcBorders>
                    <w:tl2br w:val="nil"/>
                    <w:tr2bl w:val="nil"/>
                  </w:tcBorders>
                  <w:noWrap w:val="0"/>
                  <w:vAlign w:val="center"/>
                </w:tcPr>
                <w:p w14:paraId="42287F14">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w:t>
                  </w:r>
                </w:p>
              </w:tc>
            </w:tr>
            <w:tr w14:paraId="0C336EE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3D80B223">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23</w:t>
                  </w:r>
                </w:p>
              </w:tc>
              <w:tc>
                <w:tcPr>
                  <w:tcW w:w="1598" w:type="pct"/>
                  <w:tcBorders>
                    <w:tl2br w:val="nil"/>
                    <w:tr2bl w:val="nil"/>
                  </w:tcBorders>
                  <w:noWrap w:val="0"/>
                  <w:vAlign w:val="center"/>
                </w:tcPr>
                <w:p w14:paraId="2A2C438D">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环保清扫车</w:t>
                  </w:r>
                </w:p>
              </w:tc>
              <w:tc>
                <w:tcPr>
                  <w:tcW w:w="1138" w:type="pct"/>
                  <w:tcBorders>
                    <w:tl2br w:val="nil"/>
                    <w:tr2bl w:val="nil"/>
                  </w:tcBorders>
                  <w:noWrap w:val="0"/>
                  <w:vAlign w:val="center"/>
                </w:tcPr>
                <w:p w14:paraId="684BBC9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3辆</w:t>
                  </w:r>
                </w:p>
              </w:tc>
              <w:tc>
                <w:tcPr>
                  <w:tcW w:w="1755" w:type="pct"/>
                  <w:tcBorders>
                    <w:tl2br w:val="nil"/>
                    <w:tr2bl w:val="nil"/>
                  </w:tcBorders>
                  <w:noWrap w:val="0"/>
                  <w:vAlign w:val="center"/>
                </w:tcPr>
                <w:p w14:paraId="66542BC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w:t>
                  </w:r>
                </w:p>
              </w:tc>
            </w:tr>
            <w:tr w14:paraId="3F0BD0A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158195E4">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24</w:t>
                  </w:r>
                </w:p>
              </w:tc>
              <w:tc>
                <w:tcPr>
                  <w:tcW w:w="1598" w:type="pct"/>
                  <w:tcBorders>
                    <w:tl2br w:val="nil"/>
                    <w:tr2bl w:val="nil"/>
                  </w:tcBorders>
                  <w:noWrap w:val="0"/>
                  <w:vAlign w:val="center"/>
                </w:tcPr>
                <w:p w14:paraId="22C62130">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洒</w:t>
                  </w:r>
                  <w:r>
                    <w:rPr>
                      <w:rFonts w:hint="default" w:ascii="Times New Roman" w:hAnsi="Times New Roman" w:cs="Times New Roman"/>
                      <w:b w:val="0"/>
                      <w:bCs w:val="0"/>
                      <w:color w:val="auto"/>
                      <w:kern w:val="0"/>
                      <w:sz w:val="21"/>
                      <w:szCs w:val="21"/>
                      <w:highlight w:val="none"/>
                      <w:vertAlign w:val="baseline"/>
                      <w:lang w:val="en-US" w:eastAsia="zh-CN" w:bidi="ar"/>
                    </w:rPr>
                    <w:t>水车</w:t>
                  </w:r>
                </w:p>
              </w:tc>
              <w:tc>
                <w:tcPr>
                  <w:tcW w:w="1138" w:type="pct"/>
                  <w:tcBorders>
                    <w:tl2br w:val="nil"/>
                    <w:tr2bl w:val="nil"/>
                  </w:tcBorders>
                  <w:noWrap w:val="0"/>
                  <w:vAlign w:val="center"/>
                </w:tcPr>
                <w:p w14:paraId="6CD8D6E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3辆</w:t>
                  </w:r>
                </w:p>
              </w:tc>
              <w:tc>
                <w:tcPr>
                  <w:tcW w:w="1755" w:type="pct"/>
                  <w:tcBorders>
                    <w:tl2br w:val="nil"/>
                    <w:tr2bl w:val="nil"/>
                  </w:tcBorders>
                  <w:noWrap w:val="0"/>
                  <w:vAlign w:val="center"/>
                </w:tcPr>
                <w:p w14:paraId="303EE05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国六</w:t>
                  </w:r>
                </w:p>
              </w:tc>
            </w:tr>
            <w:tr w14:paraId="4EB99CC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39D83F32">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25</w:t>
                  </w:r>
                </w:p>
              </w:tc>
              <w:tc>
                <w:tcPr>
                  <w:tcW w:w="1598" w:type="pct"/>
                  <w:tcBorders>
                    <w:tl2br w:val="nil"/>
                    <w:tr2bl w:val="nil"/>
                  </w:tcBorders>
                  <w:noWrap w:val="0"/>
                  <w:vAlign w:val="center"/>
                </w:tcPr>
                <w:p w14:paraId="320C4EE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cs="Times New Roman"/>
                      <w:b w:val="0"/>
                      <w:bCs w:val="0"/>
                      <w:color w:val="000000"/>
                      <w:kern w:val="0"/>
                      <w:sz w:val="21"/>
                      <w:szCs w:val="21"/>
                      <w:highlight w:val="none"/>
                      <w:vertAlign w:val="baseline"/>
                      <w:lang w:val="en-US" w:eastAsia="zh-CN" w:bidi="ar"/>
                    </w:rPr>
                    <w:t>新能源电动牵引车</w:t>
                  </w:r>
                </w:p>
              </w:tc>
              <w:tc>
                <w:tcPr>
                  <w:tcW w:w="1138" w:type="pct"/>
                  <w:tcBorders>
                    <w:tl2br w:val="nil"/>
                    <w:tr2bl w:val="nil"/>
                  </w:tcBorders>
                  <w:noWrap w:val="0"/>
                  <w:vAlign w:val="center"/>
                </w:tcPr>
                <w:p w14:paraId="3FCCB97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20辆</w:t>
                  </w:r>
                </w:p>
              </w:tc>
              <w:tc>
                <w:tcPr>
                  <w:tcW w:w="1755" w:type="pct"/>
                  <w:tcBorders>
                    <w:tl2br w:val="nil"/>
                    <w:tr2bl w:val="nil"/>
                  </w:tcBorders>
                  <w:noWrap w:val="0"/>
                  <w:vAlign w:val="center"/>
                </w:tcPr>
                <w:p w14:paraId="52E848E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w:t>
                  </w:r>
                </w:p>
              </w:tc>
            </w:tr>
            <w:tr w14:paraId="23FB3D9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51F54A77">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26</w:t>
                  </w:r>
                </w:p>
              </w:tc>
              <w:tc>
                <w:tcPr>
                  <w:tcW w:w="1598" w:type="pct"/>
                  <w:tcBorders>
                    <w:tl2br w:val="nil"/>
                    <w:tr2bl w:val="nil"/>
                  </w:tcBorders>
                  <w:noWrap w:val="0"/>
                  <w:vAlign w:val="center"/>
                </w:tcPr>
                <w:p w14:paraId="7415F463">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cs="Times New Roman"/>
                      <w:b w:val="0"/>
                      <w:bCs w:val="0"/>
                      <w:color w:val="000000"/>
                      <w:kern w:val="0"/>
                      <w:sz w:val="21"/>
                      <w:szCs w:val="21"/>
                      <w:highlight w:val="none"/>
                      <w:vertAlign w:val="baseline"/>
                      <w:lang w:val="en-US" w:eastAsia="zh-CN" w:bidi="ar"/>
                    </w:rPr>
                    <w:t>新能源电动翻斗车</w:t>
                  </w:r>
                </w:p>
              </w:tc>
              <w:tc>
                <w:tcPr>
                  <w:tcW w:w="1138" w:type="pct"/>
                  <w:tcBorders>
                    <w:tl2br w:val="nil"/>
                    <w:tr2bl w:val="nil"/>
                  </w:tcBorders>
                  <w:noWrap w:val="0"/>
                  <w:vAlign w:val="center"/>
                </w:tcPr>
                <w:p w14:paraId="71DC5BA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30辆</w:t>
                  </w:r>
                </w:p>
              </w:tc>
              <w:tc>
                <w:tcPr>
                  <w:tcW w:w="1755" w:type="pct"/>
                  <w:tcBorders>
                    <w:tl2br w:val="nil"/>
                    <w:tr2bl w:val="nil"/>
                  </w:tcBorders>
                  <w:noWrap w:val="0"/>
                  <w:vAlign w:val="center"/>
                </w:tcPr>
                <w:p w14:paraId="24CE372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w:t>
                  </w:r>
                </w:p>
              </w:tc>
            </w:tr>
            <w:tr w14:paraId="4BB6032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239BB8DF">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27</w:t>
                  </w:r>
                </w:p>
              </w:tc>
              <w:tc>
                <w:tcPr>
                  <w:tcW w:w="1598" w:type="pct"/>
                  <w:tcBorders>
                    <w:tl2br w:val="nil"/>
                    <w:tr2bl w:val="nil"/>
                  </w:tcBorders>
                  <w:noWrap w:val="0"/>
                  <w:vAlign w:val="center"/>
                </w:tcPr>
                <w:p w14:paraId="2E904947">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cs="Times New Roman"/>
                      <w:b w:val="0"/>
                      <w:bCs w:val="0"/>
                      <w:color w:val="000000"/>
                      <w:kern w:val="0"/>
                      <w:sz w:val="21"/>
                      <w:szCs w:val="21"/>
                      <w:highlight w:val="none"/>
                      <w:vertAlign w:val="baseline"/>
                      <w:lang w:val="en-US" w:eastAsia="zh-CN" w:bidi="ar"/>
                    </w:rPr>
                    <w:t>换电站</w:t>
                  </w:r>
                </w:p>
              </w:tc>
              <w:tc>
                <w:tcPr>
                  <w:tcW w:w="1138" w:type="pct"/>
                  <w:tcBorders>
                    <w:tl2br w:val="nil"/>
                    <w:tr2bl w:val="nil"/>
                  </w:tcBorders>
                  <w:noWrap w:val="0"/>
                  <w:vAlign w:val="center"/>
                </w:tcPr>
                <w:p w14:paraId="2AC56E3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1座</w:t>
                  </w:r>
                </w:p>
              </w:tc>
              <w:tc>
                <w:tcPr>
                  <w:tcW w:w="1755" w:type="pct"/>
                  <w:tcBorders>
                    <w:tl2br w:val="nil"/>
                    <w:tr2bl w:val="nil"/>
                  </w:tcBorders>
                  <w:noWrap w:val="0"/>
                  <w:vAlign w:val="center"/>
                </w:tcPr>
                <w:p w14:paraId="7B4ACAA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w:t>
                  </w:r>
                </w:p>
              </w:tc>
            </w:tr>
            <w:tr w14:paraId="1B36D49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011536F8">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28</w:t>
                  </w:r>
                </w:p>
              </w:tc>
              <w:tc>
                <w:tcPr>
                  <w:tcW w:w="1598" w:type="pct"/>
                  <w:tcBorders>
                    <w:tl2br w:val="nil"/>
                    <w:tr2bl w:val="nil"/>
                  </w:tcBorders>
                  <w:noWrap w:val="0"/>
                  <w:vAlign w:val="center"/>
                </w:tcPr>
                <w:p w14:paraId="0B0C507A">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cs="Times New Roman"/>
                      <w:b w:val="0"/>
                      <w:bCs w:val="0"/>
                      <w:color w:val="000000"/>
                      <w:kern w:val="0"/>
                      <w:sz w:val="21"/>
                      <w:szCs w:val="21"/>
                      <w:highlight w:val="none"/>
                      <w:vertAlign w:val="baseline"/>
                      <w:lang w:val="en-US" w:eastAsia="zh-CN" w:bidi="ar"/>
                    </w:rPr>
                    <w:t>充电桩</w:t>
                  </w:r>
                </w:p>
              </w:tc>
              <w:tc>
                <w:tcPr>
                  <w:tcW w:w="1138" w:type="pct"/>
                  <w:tcBorders>
                    <w:tl2br w:val="nil"/>
                    <w:tr2bl w:val="nil"/>
                  </w:tcBorders>
                  <w:noWrap w:val="0"/>
                  <w:vAlign w:val="center"/>
                </w:tcPr>
                <w:p w14:paraId="0F497B4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20台</w:t>
                  </w:r>
                </w:p>
              </w:tc>
              <w:tc>
                <w:tcPr>
                  <w:tcW w:w="1755" w:type="pct"/>
                  <w:tcBorders>
                    <w:tl2br w:val="nil"/>
                    <w:tr2bl w:val="nil"/>
                  </w:tcBorders>
                  <w:noWrap w:val="0"/>
                  <w:vAlign w:val="center"/>
                </w:tcPr>
                <w:p w14:paraId="14724E7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w:t>
                  </w:r>
                </w:p>
              </w:tc>
            </w:tr>
            <w:tr w14:paraId="6DF65C1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7A04F5F8">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29</w:t>
                  </w:r>
                </w:p>
              </w:tc>
              <w:tc>
                <w:tcPr>
                  <w:tcW w:w="1598" w:type="pct"/>
                  <w:tcBorders>
                    <w:tl2br w:val="nil"/>
                    <w:tr2bl w:val="nil"/>
                  </w:tcBorders>
                  <w:noWrap w:val="0"/>
                  <w:vAlign w:val="center"/>
                </w:tcPr>
                <w:p w14:paraId="454541A4">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cs="Times New Roman"/>
                      <w:b w:val="0"/>
                      <w:bCs w:val="0"/>
                      <w:color w:val="000000"/>
                      <w:kern w:val="0"/>
                      <w:sz w:val="21"/>
                      <w:szCs w:val="21"/>
                      <w:highlight w:val="none"/>
                      <w:vertAlign w:val="baseline"/>
                      <w:lang w:val="en-US" w:eastAsia="zh-CN" w:bidi="ar"/>
                    </w:rPr>
                    <w:t>新能源电动</w:t>
                  </w:r>
                  <w:r>
                    <w:rPr>
                      <w:rFonts w:hint="eastAsia" w:cs="Times New Roman"/>
                      <w:b w:val="0"/>
                      <w:bCs w:val="0"/>
                      <w:color w:val="000000"/>
                      <w:kern w:val="0"/>
                      <w:sz w:val="21"/>
                      <w:szCs w:val="21"/>
                      <w:highlight w:val="none"/>
                      <w:vertAlign w:val="baseline"/>
                      <w:lang w:val="en-US" w:eastAsia="zh-CN" w:bidi="ar"/>
                    </w:rPr>
                    <w:t>叉</w:t>
                  </w:r>
                  <w:r>
                    <w:rPr>
                      <w:rFonts w:hint="default" w:ascii="Times New Roman" w:hAnsi="Times New Roman" w:cs="Times New Roman"/>
                      <w:b w:val="0"/>
                      <w:bCs w:val="0"/>
                      <w:color w:val="000000"/>
                      <w:kern w:val="0"/>
                      <w:sz w:val="21"/>
                      <w:szCs w:val="21"/>
                      <w:highlight w:val="none"/>
                      <w:vertAlign w:val="baseline"/>
                      <w:lang w:val="en-US" w:eastAsia="zh-CN" w:bidi="ar"/>
                    </w:rPr>
                    <w:t>车</w:t>
                  </w:r>
                </w:p>
              </w:tc>
              <w:tc>
                <w:tcPr>
                  <w:tcW w:w="1138" w:type="pct"/>
                  <w:tcBorders>
                    <w:tl2br w:val="nil"/>
                    <w:tr2bl w:val="nil"/>
                  </w:tcBorders>
                  <w:noWrap w:val="0"/>
                  <w:vAlign w:val="center"/>
                </w:tcPr>
                <w:p w14:paraId="04708E1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10辆</w:t>
                  </w:r>
                </w:p>
              </w:tc>
              <w:tc>
                <w:tcPr>
                  <w:tcW w:w="1755" w:type="pct"/>
                  <w:tcBorders>
                    <w:tl2br w:val="nil"/>
                    <w:tr2bl w:val="nil"/>
                  </w:tcBorders>
                  <w:noWrap w:val="0"/>
                  <w:vAlign w:val="center"/>
                </w:tcPr>
                <w:p w14:paraId="784ADE3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w:t>
                  </w:r>
                </w:p>
              </w:tc>
            </w:tr>
            <w:tr w14:paraId="5CDE634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60CF749E">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30</w:t>
                  </w:r>
                </w:p>
              </w:tc>
              <w:tc>
                <w:tcPr>
                  <w:tcW w:w="1598" w:type="pct"/>
                  <w:tcBorders>
                    <w:tl2br w:val="nil"/>
                    <w:tr2bl w:val="nil"/>
                  </w:tcBorders>
                  <w:noWrap w:val="0"/>
                  <w:vAlign w:val="center"/>
                </w:tcPr>
                <w:p w14:paraId="3632FBC4">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吊车</w:t>
                  </w:r>
                </w:p>
              </w:tc>
              <w:tc>
                <w:tcPr>
                  <w:tcW w:w="1138" w:type="pct"/>
                  <w:tcBorders>
                    <w:tl2br w:val="nil"/>
                    <w:tr2bl w:val="nil"/>
                  </w:tcBorders>
                  <w:noWrap w:val="0"/>
                  <w:vAlign w:val="center"/>
                </w:tcPr>
                <w:p w14:paraId="04C9492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10辆</w:t>
                  </w:r>
                </w:p>
              </w:tc>
              <w:tc>
                <w:tcPr>
                  <w:tcW w:w="1755" w:type="pct"/>
                  <w:tcBorders>
                    <w:tl2br w:val="nil"/>
                    <w:tr2bl w:val="nil"/>
                  </w:tcBorders>
                  <w:noWrap w:val="0"/>
                  <w:vAlign w:val="center"/>
                </w:tcPr>
                <w:p w14:paraId="289011E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国四</w:t>
                  </w:r>
                </w:p>
              </w:tc>
            </w:tr>
            <w:tr w14:paraId="3FB0B48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476D69D1">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31</w:t>
                  </w:r>
                </w:p>
              </w:tc>
              <w:tc>
                <w:tcPr>
                  <w:tcW w:w="1598" w:type="pct"/>
                  <w:tcBorders>
                    <w:tl2br w:val="nil"/>
                    <w:tr2bl w:val="nil"/>
                  </w:tcBorders>
                  <w:noWrap w:val="0"/>
                  <w:vAlign w:val="center"/>
                </w:tcPr>
                <w:p w14:paraId="5AF380F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挖掘机</w:t>
                  </w:r>
                </w:p>
              </w:tc>
              <w:tc>
                <w:tcPr>
                  <w:tcW w:w="1138" w:type="pct"/>
                  <w:tcBorders>
                    <w:tl2br w:val="nil"/>
                    <w:tr2bl w:val="nil"/>
                  </w:tcBorders>
                  <w:noWrap w:val="0"/>
                  <w:vAlign w:val="center"/>
                </w:tcPr>
                <w:p w14:paraId="0A587463">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10辆</w:t>
                  </w:r>
                </w:p>
              </w:tc>
              <w:tc>
                <w:tcPr>
                  <w:tcW w:w="1755" w:type="pct"/>
                  <w:tcBorders>
                    <w:tl2br w:val="nil"/>
                    <w:tr2bl w:val="nil"/>
                  </w:tcBorders>
                  <w:noWrap w:val="0"/>
                  <w:vAlign w:val="center"/>
                </w:tcPr>
                <w:p w14:paraId="3E3C718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国四</w:t>
                  </w:r>
                </w:p>
              </w:tc>
            </w:tr>
            <w:tr w14:paraId="2354844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67DAA3E8">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32</w:t>
                  </w:r>
                </w:p>
              </w:tc>
              <w:tc>
                <w:tcPr>
                  <w:tcW w:w="1598" w:type="pct"/>
                  <w:tcBorders>
                    <w:tl2br w:val="nil"/>
                    <w:tr2bl w:val="nil"/>
                  </w:tcBorders>
                  <w:noWrap w:val="0"/>
                  <w:vAlign w:val="center"/>
                </w:tcPr>
                <w:p w14:paraId="01F1382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eastAsia" w:ascii="Times New Roman" w:hAnsi="Times New Roman" w:cs="Times New Roman"/>
                      <w:b w:val="0"/>
                      <w:bCs w:val="0"/>
                      <w:color w:val="auto"/>
                      <w:kern w:val="0"/>
                      <w:sz w:val="21"/>
                      <w:szCs w:val="21"/>
                      <w:highlight w:val="none"/>
                      <w:vertAlign w:val="baseline"/>
                      <w:lang w:val="en-US" w:eastAsia="zh-CN" w:bidi="ar"/>
                    </w:rPr>
                    <w:t>智慧监控平台</w:t>
                  </w:r>
                </w:p>
              </w:tc>
              <w:tc>
                <w:tcPr>
                  <w:tcW w:w="1138" w:type="pct"/>
                  <w:tcBorders>
                    <w:tl2br w:val="nil"/>
                    <w:tr2bl w:val="nil"/>
                  </w:tcBorders>
                  <w:noWrap w:val="0"/>
                  <w:vAlign w:val="center"/>
                </w:tcPr>
                <w:p w14:paraId="2745869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kern w:val="0"/>
                      <w:sz w:val="21"/>
                      <w:szCs w:val="21"/>
                      <w:highlight w:val="none"/>
                      <w:vertAlign w:val="baseline"/>
                      <w:lang w:val="en-US" w:eastAsia="zh-CN" w:bidi="ar"/>
                    </w:rPr>
                  </w:pPr>
                  <w:r>
                    <w:rPr>
                      <w:rFonts w:hint="eastAsia" w:ascii="Times New Roman" w:hAnsi="Times New Roman" w:cs="Times New Roman"/>
                      <w:b w:val="0"/>
                      <w:bCs w:val="0"/>
                      <w:color w:val="auto"/>
                      <w:kern w:val="0"/>
                      <w:sz w:val="21"/>
                      <w:szCs w:val="21"/>
                      <w:highlight w:val="none"/>
                      <w:vertAlign w:val="baseline"/>
                      <w:lang w:val="en-US" w:eastAsia="zh-CN" w:bidi="ar"/>
                    </w:rPr>
                    <w:t>1套</w:t>
                  </w:r>
                </w:p>
              </w:tc>
              <w:tc>
                <w:tcPr>
                  <w:tcW w:w="1755" w:type="pct"/>
                  <w:tcBorders>
                    <w:tl2br w:val="nil"/>
                    <w:tr2bl w:val="nil"/>
                  </w:tcBorders>
                  <w:noWrap w:val="0"/>
                  <w:vAlign w:val="center"/>
                </w:tcPr>
                <w:p w14:paraId="4AE8F37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kern w:val="0"/>
                      <w:sz w:val="21"/>
                      <w:szCs w:val="21"/>
                      <w:highlight w:val="none"/>
                      <w:vertAlign w:val="baseline"/>
                      <w:lang w:val="en-US" w:eastAsia="zh-CN" w:bidi="ar"/>
                    </w:rPr>
                  </w:pPr>
                  <w:r>
                    <w:rPr>
                      <w:rFonts w:hint="eastAsia" w:ascii="Times New Roman" w:hAnsi="Times New Roman" w:cs="Times New Roman"/>
                      <w:b w:val="0"/>
                      <w:bCs w:val="0"/>
                      <w:color w:val="auto"/>
                      <w:kern w:val="0"/>
                      <w:sz w:val="21"/>
                      <w:szCs w:val="21"/>
                      <w:highlight w:val="none"/>
                      <w:vertAlign w:val="baseline"/>
                      <w:lang w:val="en-US" w:eastAsia="zh-CN" w:bidi="ar"/>
                    </w:rPr>
                    <w:t>含智慧识别系统、智慧监控探头、智慧物流车载端、智慧物流平台、智慧物流设备端</w:t>
                  </w:r>
                </w:p>
              </w:tc>
            </w:tr>
            <w:tr w14:paraId="5F32BA1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6746F81F">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33</w:t>
                  </w:r>
                </w:p>
              </w:tc>
              <w:tc>
                <w:tcPr>
                  <w:tcW w:w="1598" w:type="pct"/>
                  <w:tcBorders>
                    <w:tl2br w:val="nil"/>
                    <w:tr2bl w:val="nil"/>
                  </w:tcBorders>
                  <w:noWrap w:val="0"/>
                  <w:vAlign w:val="center"/>
                </w:tcPr>
                <w:p w14:paraId="24EDC46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洗车平台</w:t>
                  </w:r>
                </w:p>
              </w:tc>
              <w:tc>
                <w:tcPr>
                  <w:tcW w:w="1138" w:type="pct"/>
                  <w:tcBorders>
                    <w:tl2br w:val="nil"/>
                    <w:tr2bl w:val="nil"/>
                  </w:tcBorders>
                  <w:noWrap w:val="0"/>
                  <w:vAlign w:val="center"/>
                </w:tcPr>
                <w:p w14:paraId="07B1B248">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2座</w:t>
                  </w:r>
                </w:p>
              </w:tc>
              <w:tc>
                <w:tcPr>
                  <w:tcW w:w="1755" w:type="pct"/>
                  <w:tcBorders>
                    <w:tl2br w:val="nil"/>
                    <w:tr2bl w:val="nil"/>
                  </w:tcBorders>
                  <w:noWrap w:val="0"/>
                  <w:vAlign w:val="center"/>
                </w:tcPr>
                <w:p w14:paraId="6300E6EC">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b w:val="0"/>
                      <w:bCs w:val="0"/>
                      <w:color w:val="auto"/>
                      <w:kern w:val="0"/>
                      <w:sz w:val="21"/>
                      <w:szCs w:val="21"/>
                      <w:highlight w:val="none"/>
                      <w:vertAlign w:val="baseline"/>
                      <w:lang w:val="en-US" w:eastAsia="zh-CN" w:bidi="ar"/>
                    </w:rPr>
                  </w:pPr>
                  <w:r>
                    <w:rPr>
                      <w:rFonts w:hint="default" w:ascii="Times New Roman" w:hAnsi="Times New Roman" w:cs="Times New Roman"/>
                      <w:b w:val="0"/>
                      <w:bCs w:val="0"/>
                      <w:color w:val="auto"/>
                      <w:kern w:val="0"/>
                      <w:sz w:val="21"/>
                      <w:szCs w:val="21"/>
                      <w:highlight w:val="none"/>
                      <w:vertAlign w:val="baseline"/>
                      <w:lang w:val="en-US" w:eastAsia="zh-CN" w:bidi="ar"/>
                    </w:rPr>
                    <w:t>14</w:t>
                  </w:r>
                  <w:r>
                    <w:rPr>
                      <w:rFonts w:hint="eastAsia" w:ascii="Times New Roman" w:hAnsi="Times New Roman" w:cs="Times New Roman"/>
                      <w:b w:val="0"/>
                      <w:bCs w:val="0"/>
                      <w:color w:val="auto"/>
                      <w:kern w:val="0"/>
                      <w:sz w:val="21"/>
                      <w:szCs w:val="21"/>
                      <w:highlight w:val="none"/>
                      <w:vertAlign w:val="baseline"/>
                      <w:lang w:val="en-US" w:eastAsia="zh-CN" w:bidi="ar"/>
                    </w:rPr>
                    <w:t>m</w:t>
                  </w:r>
                  <w:r>
                    <w:rPr>
                      <w:rFonts w:hint="default" w:ascii="Times New Roman" w:hAnsi="Times New Roman" w:cs="Times New Roman"/>
                      <w:b w:val="0"/>
                      <w:bCs w:val="0"/>
                      <w:color w:val="auto"/>
                      <w:kern w:val="0"/>
                      <w:sz w:val="21"/>
                      <w:szCs w:val="21"/>
                      <w:highlight w:val="none"/>
                      <w:vertAlign w:val="baseline"/>
                      <w:lang w:val="en-US" w:eastAsia="zh-CN" w:bidi="ar"/>
                    </w:rPr>
                    <w:t>×4</w:t>
                  </w:r>
                  <w:r>
                    <w:rPr>
                      <w:rFonts w:hint="eastAsia" w:ascii="Times New Roman" w:hAnsi="Times New Roman" w:cs="Times New Roman"/>
                      <w:b w:val="0"/>
                      <w:bCs w:val="0"/>
                      <w:color w:val="auto"/>
                      <w:kern w:val="0"/>
                      <w:sz w:val="21"/>
                      <w:szCs w:val="21"/>
                      <w:highlight w:val="none"/>
                      <w:vertAlign w:val="baseline"/>
                      <w:lang w:val="en-US" w:eastAsia="zh-CN" w:bidi="ar"/>
                    </w:rPr>
                    <w:t>m</w:t>
                  </w:r>
                  <w:r>
                    <w:rPr>
                      <w:rFonts w:hint="default" w:ascii="Times New Roman" w:hAnsi="Times New Roman" w:cs="Times New Roman"/>
                      <w:b w:val="0"/>
                      <w:bCs w:val="0"/>
                      <w:color w:val="auto"/>
                      <w:kern w:val="0"/>
                      <w:sz w:val="21"/>
                      <w:szCs w:val="21"/>
                      <w:highlight w:val="none"/>
                      <w:vertAlign w:val="baseline"/>
                      <w:lang w:val="en-US" w:eastAsia="zh-CN" w:bidi="ar"/>
                    </w:rPr>
                    <w:t>×2.5</w:t>
                  </w:r>
                  <w:r>
                    <w:rPr>
                      <w:rFonts w:hint="eastAsia" w:ascii="Times New Roman" w:hAnsi="Times New Roman" w:cs="Times New Roman"/>
                      <w:b w:val="0"/>
                      <w:bCs w:val="0"/>
                      <w:color w:val="auto"/>
                      <w:kern w:val="0"/>
                      <w:sz w:val="21"/>
                      <w:szCs w:val="21"/>
                      <w:highlight w:val="none"/>
                      <w:vertAlign w:val="baseline"/>
                      <w:lang w:val="en-US" w:eastAsia="zh-CN" w:bidi="ar"/>
                    </w:rPr>
                    <w:t>m</w:t>
                  </w:r>
                </w:p>
                <w:p w14:paraId="2D31A61F">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配套设置</w:t>
                  </w:r>
                  <w:r>
                    <w:rPr>
                      <w:rFonts w:hint="eastAsia" w:ascii="Times New Roman" w:hAnsi="Times New Roman" w:cs="Times New Roman"/>
                      <w:b w:val="0"/>
                      <w:bCs w:val="0"/>
                      <w:color w:val="auto"/>
                      <w:kern w:val="0"/>
                      <w:sz w:val="21"/>
                      <w:szCs w:val="21"/>
                      <w:highlight w:val="none"/>
                      <w:vertAlign w:val="baseline"/>
                      <w:lang w:val="en-US" w:eastAsia="zh-CN" w:bidi="ar"/>
                    </w:rPr>
                    <w:t>沉淀池、清水池</w:t>
                  </w:r>
                </w:p>
              </w:tc>
            </w:tr>
            <w:tr w14:paraId="58DE892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48171286">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34</w:t>
                  </w:r>
                </w:p>
              </w:tc>
              <w:tc>
                <w:tcPr>
                  <w:tcW w:w="1598" w:type="pct"/>
                  <w:tcBorders>
                    <w:tl2br w:val="nil"/>
                    <w:tr2bl w:val="nil"/>
                  </w:tcBorders>
                  <w:noWrap w:val="0"/>
                  <w:vAlign w:val="center"/>
                </w:tcPr>
                <w:p w14:paraId="097E0B7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脉冲式布袋除尘器</w:t>
                  </w:r>
                </w:p>
              </w:tc>
              <w:tc>
                <w:tcPr>
                  <w:tcW w:w="1138" w:type="pct"/>
                  <w:tcBorders>
                    <w:tl2br w:val="nil"/>
                    <w:tr2bl w:val="nil"/>
                  </w:tcBorders>
                  <w:noWrap w:val="0"/>
                  <w:vAlign w:val="center"/>
                </w:tcPr>
                <w:p w14:paraId="58FFB5D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1台</w:t>
                  </w:r>
                </w:p>
              </w:tc>
              <w:tc>
                <w:tcPr>
                  <w:tcW w:w="1755" w:type="pct"/>
                  <w:tcBorders>
                    <w:tl2br w:val="nil"/>
                    <w:tr2bl w:val="nil"/>
                  </w:tcBorders>
                  <w:noWrap w:val="0"/>
                  <w:vAlign w:val="center"/>
                </w:tcPr>
                <w:p w14:paraId="2B410F3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kern w:val="0"/>
                      <w:sz w:val="21"/>
                      <w:szCs w:val="21"/>
                      <w:highlight w:val="none"/>
                      <w:vertAlign w:val="baseline"/>
                      <w:lang w:val="en-US" w:eastAsia="zh-CN" w:bidi="ar"/>
                    </w:rPr>
                  </w:pPr>
                  <w:r>
                    <w:rPr>
                      <w:rFonts w:hint="eastAsia" w:ascii="Times New Roman" w:hAnsi="Times New Roman" w:cs="Times New Roman"/>
                      <w:b w:val="0"/>
                      <w:bCs w:val="0"/>
                      <w:color w:val="auto"/>
                      <w:kern w:val="0"/>
                      <w:sz w:val="21"/>
                      <w:szCs w:val="21"/>
                      <w:highlight w:val="none"/>
                      <w:vertAlign w:val="baseline"/>
                      <w:lang w:val="en-US" w:eastAsia="zh-CN" w:bidi="ar"/>
                    </w:rPr>
                    <w:t>风量：75000m</w:t>
                  </w:r>
                  <w:r>
                    <w:rPr>
                      <w:rFonts w:hint="eastAsia" w:ascii="Times New Roman" w:hAnsi="Times New Roman" w:cs="Times New Roman"/>
                      <w:b w:val="0"/>
                      <w:bCs w:val="0"/>
                      <w:color w:val="auto"/>
                      <w:kern w:val="0"/>
                      <w:sz w:val="21"/>
                      <w:szCs w:val="21"/>
                      <w:highlight w:val="none"/>
                      <w:vertAlign w:val="superscript"/>
                      <w:lang w:val="en-US" w:eastAsia="zh-CN" w:bidi="ar"/>
                    </w:rPr>
                    <w:t>3</w:t>
                  </w:r>
                  <w:r>
                    <w:rPr>
                      <w:rFonts w:hint="eastAsia" w:ascii="Times New Roman" w:hAnsi="Times New Roman" w:cs="Times New Roman"/>
                      <w:b w:val="0"/>
                      <w:bCs w:val="0"/>
                      <w:color w:val="auto"/>
                      <w:kern w:val="0"/>
                      <w:sz w:val="21"/>
                      <w:szCs w:val="21"/>
                      <w:highlight w:val="none"/>
                      <w:vertAlign w:val="baseline"/>
                      <w:lang w:val="en-US" w:eastAsia="zh-CN" w:bidi="ar"/>
                    </w:rPr>
                    <w:t>/h</w:t>
                  </w:r>
                </w:p>
              </w:tc>
            </w:tr>
            <w:tr w14:paraId="3C94EA6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10D0B435">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35</w:t>
                  </w:r>
                </w:p>
              </w:tc>
              <w:tc>
                <w:tcPr>
                  <w:tcW w:w="1598" w:type="pct"/>
                  <w:tcBorders>
                    <w:tl2br w:val="nil"/>
                    <w:tr2bl w:val="nil"/>
                  </w:tcBorders>
                  <w:noWrap w:val="0"/>
                  <w:vAlign w:val="center"/>
                </w:tcPr>
                <w:p w14:paraId="6B12584C">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脉冲式布袋除尘器</w:t>
                  </w:r>
                </w:p>
              </w:tc>
              <w:tc>
                <w:tcPr>
                  <w:tcW w:w="1138" w:type="pct"/>
                  <w:tcBorders>
                    <w:tl2br w:val="nil"/>
                    <w:tr2bl w:val="nil"/>
                  </w:tcBorders>
                  <w:noWrap w:val="0"/>
                  <w:vAlign w:val="center"/>
                </w:tcPr>
                <w:p w14:paraId="41E695FC">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1台</w:t>
                  </w:r>
                </w:p>
              </w:tc>
              <w:tc>
                <w:tcPr>
                  <w:tcW w:w="1755" w:type="pct"/>
                  <w:tcBorders>
                    <w:tl2br w:val="nil"/>
                    <w:tr2bl w:val="nil"/>
                  </w:tcBorders>
                  <w:noWrap w:val="0"/>
                  <w:vAlign w:val="center"/>
                </w:tcPr>
                <w:p w14:paraId="088092E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风量：</w:t>
                  </w:r>
                  <w:r>
                    <w:rPr>
                      <w:rFonts w:hint="eastAsia" w:cs="Times New Roman"/>
                      <w:color w:val="auto"/>
                      <w:sz w:val="21"/>
                      <w:szCs w:val="21"/>
                      <w:highlight w:val="none"/>
                      <w:lang w:val="en-US" w:eastAsia="zh-CN"/>
                    </w:rPr>
                    <w:t>55000</w:t>
                  </w:r>
                  <w:r>
                    <w:rPr>
                      <w:rFonts w:hint="eastAsia" w:ascii="Times New Roman" w:hAnsi="Times New Roman" w:eastAsia="宋体" w:cs="Times New Roman"/>
                      <w:color w:val="auto"/>
                      <w:sz w:val="21"/>
                      <w:szCs w:val="21"/>
                      <w:highlight w:val="none"/>
                      <w:lang w:val="en-US" w:eastAsia="zh-CN"/>
                    </w:rPr>
                    <w:t>m</w:t>
                  </w:r>
                  <w:r>
                    <w:rPr>
                      <w:rFonts w:hint="eastAsia" w:ascii="Times New Roman" w:hAnsi="Times New Roman" w:eastAsia="宋体" w:cs="Times New Roman"/>
                      <w:color w:val="auto"/>
                      <w:sz w:val="21"/>
                      <w:szCs w:val="21"/>
                      <w:highlight w:val="none"/>
                      <w:vertAlign w:val="superscript"/>
                      <w:lang w:val="en-US" w:eastAsia="zh-CN"/>
                    </w:rPr>
                    <w:t>3</w:t>
                  </w:r>
                  <w:r>
                    <w:rPr>
                      <w:rFonts w:hint="eastAsia" w:ascii="Times New Roman" w:hAnsi="Times New Roman" w:eastAsia="宋体" w:cs="Times New Roman"/>
                      <w:color w:val="auto"/>
                      <w:sz w:val="21"/>
                      <w:szCs w:val="21"/>
                      <w:highlight w:val="none"/>
                      <w:lang w:val="en-US" w:eastAsia="zh-CN"/>
                    </w:rPr>
                    <w:t>/h</w:t>
                  </w:r>
                </w:p>
              </w:tc>
            </w:tr>
            <w:tr w14:paraId="3848AEF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3F84B9F3">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Chars="0"/>
                    <w:jc w:val="center"/>
                    <w:textAlignment w:val="auto"/>
                    <w:rPr>
                      <w:rFonts w:hint="default"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36</w:t>
                  </w:r>
                </w:p>
              </w:tc>
              <w:tc>
                <w:tcPr>
                  <w:tcW w:w="1598" w:type="pct"/>
                  <w:tcBorders>
                    <w:tl2br w:val="nil"/>
                    <w:tr2bl w:val="nil"/>
                  </w:tcBorders>
                  <w:noWrap w:val="0"/>
                  <w:vAlign w:val="center"/>
                </w:tcPr>
                <w:p w14:paraId="790B267F">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简易车轮清洗装置</w:t>
                  </w:r>
                </w:p>
              </w:tc>
              <w:tc>
                <w:tcPr>
                  <w:tcW w:w="1138" w:type="pct"/>
                  <w:tcBorders>
                    <w:tl2br w:val="nil"/>
                    <w:tr2bl w:val="nil"/>
                  </w:tcBorders>
                  <w:noWrap w:val="0"/>
                  <w:vAlign w:val="center"/>
                </w:tcPr>
                <w:p w14:paraId="52028B18">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1台</w:t>
                  </w:r>
                </w:p>
              </w:tc>
              <w:tc>
                <w:tcPr>
                  <w:tcW w:w="1755" w:type="pct"/>
                  <w:tcBorders>
                    <w:tl2br w:val="nil"/>
                    <w:tr2bl w:val="nil"/>
                  </w:tcBorders>
                  <w:noWrap w:val="0"/>
                  <w:vAlign w:val="center"/>
                </w:tcPr>
                <w:p w14:paraId="30B6807F">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w:t>
                  </w:r>
                </w:p>
              </w:tc>
            </w:tr>
            <w:tr w14:paraId="21EC277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7454030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合计</w:t>
                  </w:r>
                </w:p>
              </w:tc>
              <w:tc>
                <w:tcPr>
                  <w:tcW w:w="1598" w:type="pct"/>
                  <w:tcBorders>
                    <w:tl2br w:val="nil"/>
                    <w:tr2bl w:val="nil"/>
                  </w:tcBorders>
                  <w:noWrap w:val="0"/>
                  <w:vAlign w:val="center"/>
                </w:tcPr>
                <w:p w14:paraId="26158F49">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ascii="Times New Roman" w:hAnsi="Times New Roman" w:cs="Times New Roman"/>
                      <w:b w:val="0"/>
                      <w:bCs w:val="0"/>
                      <w:color w:val="000000"/>
                      <w:kern w:val="0"/>
                      <w:sz w:val="21"/>
                      <w:szCs w:val="21"/>
                      <w:highlight w:val="none"/>
                      <w:vertAlign w:val="baseline"/>
                      <w:lang w:val="en-US" w:eastAsia="zh-CN" w:bidi="ar"/>
                    </w:rPr>
                    <w:t>/</w:t>
                  </w:r>
                </w:p>
              </w:tc>
              <w:tc>
                <w:tcPr>
                  <w:tcW w:w="1138" w:type="pct"/>
                  <w:tcBorders>
                    <w:tl2br w:val="nil"/>
                    <w:tr2bl w:val="nil"/>
                  </w:tcBorders>
                  <w:noWrap w:val="0"/>
                  <w:vAlign w:val="center"/>
                </w:tcPr>
                <w:p w14:paraId="1271044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165</w:t>
                  </w:r>
                </w:p>
              </w:tc>
              <w:tc>
                <w:tcPr>
                  <w:tcW w:w="1755" w:type="pct"/>
                  <w:tcBorders>
                    <w:tl2br w:val="nil"/>
                    <w:tr2bl w:val="nil"/>
                  </w:tcBorders>
                  <w:noWrap w:val="0"/>
                  <w:vAlign w:val="center"/>
                </w:tcPr>
                <w:p w14:paraId="0C7B116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ascii="Times New Roman" w:hAnsi="Times New Roman" w:cs="Times New Roman"/>
                      <w:b w:val="0"/>
                      <w:bCs w:val="0"/>
                      <w:color w:val="000000"/>
                      <w:kern w:val="0"/>
                      <w:sz w:val="21"/>
                      <w:szCs w:val="21"/>
                      <w:highlight w:val="none"/>
                      <w:vertAlign w:val="baseline"/>
                      <w:lang w:val="en-US" w:eastAsia="zh-CN" w:bidi="ar"/>
                    </w:rPr>
                    <w:t>/</w:t>
                  </w:r>
                </w:p>
              </w:tc>
            </w:tr>
            <w:tr w14:paraId="3624E06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00" w:type="pct"/>
                  <w:gridSpan w:val="4"/>
                  <w:tcBorders>
                    <w:tl2br w:val="nil"/>
                    <w:tr2bl w:val="nil"/>
                  </w:tcBorders>
                  <w:noWrap w:val="0"/>
                  <w:vAlign w:val="center"/>
                </w:tcPr>
                <w:p w14:paraId="646FDA7F">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实验室设备</w:t>
                  </w:r>
                </w:p>
              </w:tc>
            </w:tr>
            <w:tr w14:paraId="673CC96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tcBorders>
                    <w:tl2br w:val="nil"/>
                    <w:tr2bl w:val="nil"/>
                  </w:tcBorders>
                  <w:noWrap w:val="0"/>
                  <w:vAlign w:val="center"/>
                </w:tcPr>
                <w:p w14:paraId="37170B17">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1</w:t>
                  </w:r>
                </w:p>
              </w:tc>
              <w:tc>
                <w:tcPr>
                  <w:tcW w:w="1598" w:type="pct"/>
                  <w:tcBorders>
                    <w:tl2br w:val="nil"/>
                    <w:tr2bl w:val="nil"/>
                  </w:tcBorders>
                  <w:noWrap w:val="0"/>
                  <w:vAlign w:val="center"/>
                </w:tcPr>
                <w:p w14:paraId="150F4DFF">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万分之一电子天平</w:t>
                  </w:r>
                </w:p>
              </w:tc>
              <w:tc>
                <w:tcPr>
                  <w:tcW w:w="1138" w:type="pct"/>
                  <w:tcBorders>
                    <w:tl2br w:val="nil"/>
                    <w:tr2bl w:val="nil"/>
                  </w:tcBorders>
                  <w:noWrap w:val="0"/>
                  <w:vAlign w:val="center"/>
                </w:tcPr>
                <w:p w14:paraId="498F0768">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4</w:t>
                  </w:r>
                  <w:r>
                    <w:rPr>
                      <w:rFonts w:hint="eastAsia" w:cs="Times New Roman"/>
                      <w:b w:val="0"/>
                      <w:bCs w:val="0"/>
                      <w:color w:val="000000"/>
                      <w:kern w:val="0"/>
                      <w:sz w:val="21"/>
                      <w:szCs w:val="21"/>
                      <w:highlight w:val="none"/>
                      <w:vertAlign w:val="baseline"/>
                      <w:lang w:val="en-US" w:eastAsia="zh-CN" w:bidi="ar"/>
                    </w:rPr>
                    <w:t>台</w:t>
                  </w:r>
                </w:p>
              </w:tc>
              <w:tc>
                <w:tcPr>
                  <w:tcW w:w="1755" w:type="pct"/>
                  <w:tcBorders>
                    <w:tl2br w:val="nil"/>
                    <w:tr2bl w:val="nil"/>
                  </w:tcBorders>
                  <w:noWrap w:val="0"/>
                  <w:vAlign w:val="center"/>
                </w:tcPr>
                <w:p w14:paraId="74355D8E">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cs="Times New Roman"/>
                      <w:b w:val="0"/>
                      <w:bCs w:val="0"/>
                      <w:color w:val="000000"/>
                      <w:kern w:val="0"/>
                      <w:sz w:val="21"/>
                      <w:szCs w:val="21"/>
                      <w:highlight w:val="none"/>
                      <w:vertAlign w:val="baseline"/>
                      <w:lang w:val="en-US" w:eastAsia="zh-CN" w:bidi="ar"/>
                    </w:rPr>
                    <w:t>/</w:t>
                  </w:r>
                </w:p>
              </w:tc>
            </w:tr>
            <w:tr w14:paraId="3CAB9DC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noWrap w:val="0"/>
                  <w:vAlign w:val="center"/>
                </w:tcPr>
                <w:p w14:paraId="75567A55">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2</w:t>
                  </w:r>
                </w:p>
              </w:tc>
              <w:tc>
                <w:tcPr>
                  <w:tcW w:w="1598" w:type="pct"/>
                  <w:noWrap w:val="0"/>
                  <w:vAlign w:val="center"/>
                </w:tcPr>
                <w:p w14:paraId="6DCB96D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十分之一电子天平</w:t>
                  </w:r>
                </w:p>
              </w:tc>
              <w:tc>
                <w:tcPr>
                  <w:tcW w:w="1138" w:type="pct"/>
                  <w:noWrap w:val="0"/>
                  <w:vAlign w:val="center"/>
                </w:tcPr>
                <w:p w14:paraId="6AB3353E">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2</w:t>
                  </w:r>
                  <w:r>
                    <w:rPr>
                      <w:rFonts w:hint="eastAsia" w:cs="Times New Roman"/>
                      <w:b w:val="0"/>
                      <w:bCs w:val="0"/>
                      <w:color w:val="000000"/>
                      <w:kern w:val="0"/>
                      <w:sz w:val="21"/>
                      <w:szCs w:val="21"/>
                      <w:highlight w:val="none"/>
                      <w:vertAlign w:val="baseline"/>
                      <w:lang w:val="en-US" w:eastAsia="zh-CN" w:bidi="ar"/>
                    </w:rPr>
                    <w:t>台</w:t>
                  </w:r>
                </w:p>
              </w:tc>
              <w:tc>
                <w:tcPr>
                  <w:tcW w:w="1755" w:type="pct"/>
                  <w:noWrap w:val="0"/>
                  <w:vAlign w:val="center"/>
                </w:tcPr>
                <w:p w14:paraId="360C336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cs="Times New Roman"/>
                      <w:b w:val="0"/>
                      <w:bCs w:val="0"/>
                      <w:color w:val="000000"/>
                      <w:kern w:val="0"/>
                      <w:sz w:val="21"/>
                      <w:szCs w:val="21"/>
                      <w:highlight w:val="none"/>
                      <w:vertAlign w:val="baseline"/>
                      <w:lang w:val="en-US" w:eastAsia="zh-CN" w:bidi="ar"/>
                    </w:rPr>
                    <w:t>/</w:t>
                  </w:r>
                </w:p>
              </w:tc>
            </w:tr>
            <w:tr w14:paraId="7CB9865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noWrap w:val="0"/>
                  <w:vAlign w:val="center"/>
                </w:tcPr>
                <w:p w14:paraId="285BF2F3">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3</w:t>
                  </w:r>
                </w:p>
              </w:tc>
              <w:tc>
                <w:tcPr>
                  <w:tcW w:w="1598" w:type="pct"/>
                  <w:noWrap w:val="0"/>
                  <w:vAlign w:val="center"/>
                </w:tcPr>
                <w:p w14:paraId="51CE350E">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电热鼓风干燥箱</w:t>
                  </w:r>
                </w:p>
              </w:tc>
              <w:tc>
                <w:tcPr>
                  <w:tcW w:w="1138" w:type="pct"/>
                  <w:noWrap w:val="0"/>
                  <w:vAlign w:val="center"/>
                </w:tcPr>
                <w:p w14:paraId="40AFC8E9">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6</w:t>
                  </w:r>
                  <w:r>
                    <w:rPr>
                      <w:rFonts w:hint="eastAsia" w:cs="Times New Roman"/>
                      <w:b w:val="0"/>
                      <w:bCs w:val="0"/>
                      <w:color w:val="000000"/>
                      <w:kern w:val="0"/>
                      <w:sz w:val="21"/>
                      <w:szCs w:val="21"/>
                      <w:highlight w:val="none"/>
                      <w:vertAlign w:val="baseline"/>
                      <w:lang w:val="en-US" w:eastAsia="zh-CN" w:bidi="ar"/>
                    </w:rPr>
                    <w:t>台</w:t>
                  </w:r>
                </w:p>
              </w:tc>
              <w:tc>
                <w:tcPr>
                  <w:tcW w:w="1755" w:type="pct"/>
                  <w:noWrap w:val="0"/>
                  <w:vAlign w:val="center"/>
                </w:tcPr>
                <w:p w14:paraId="3DEC621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cs="Times New Roman"/>
                      <w:b w:val="0"/>
                      <w:bCs w:val="0"/>
                      <w:color w:val="000000"/>
                      <w:kern w:val="0"/>
                      <w:sz w:val="21"/>
                      <w:szCs w:val="21"/>
                      <w:highlight w:val="none"/>
                      <w:vertAlign w:val="baseline"/>
                      <w:lang w:val="en-US" w:eastAsia="zh-CN" w:bidi="ar"/>
                    </w:rPr>
                    <w:t>/</w:t>
                  </w:r>
                </w:p>
              </w:tc>
            </w:tr>
            <w:tr w14:paraId="73F9A81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noWrap w:val="0"/>
                  <w:vAlign w:val="center"/>
                </w:tcPr>
                <w:p w14:paraId="3D6876B9">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4</w:t>
                  </w:r>
                </w:p>
              </w:tc>
              <w:tc>
                <w:tcPr>
                  <w:tcW w:w="1598" w:type="pct"/>
                  <w:noWrap w:val="0"/>
                  <w:vAlign w:val="center"/>
                </w:tcPr>
                <w:p w14:paraId="0752BAC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定硫仪</w:t>
                  </w:r>
                </w:p>
              </w:tc>
              <w:tc>
                <w:tcPr>
                  <w:tcW w:w="1138" w:type="pct"/>
                  <w:noWrap w:val="0"/>
                  <w:vAlign w:val="center"/>
                </w:tcPr>
                <w:p w14:paraId="5E8B719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2</w:t>
                  </w:r>
                  <w:r>
                    <w:rPr>
                      <w:rFonts w:hint="eastAsia" w:cs="Times New Roman"/>
                      <w:b w:val="0"/>
                      <w:bCs w:val="0"/>
                      <w:color w:val="000000"/>
                      <w:kern w:val="0"/>
                      <w:sz w:val="21"/>
                      <w:szCs w:val="21"/>
                      <w:highlight w:val="none"/>
                      <w:vertAlign w:val="baseline"/>
                      <w:lang w:val="en-US" w:eastAsia="zh-CN" w:bidi="ar"/>
                    </w:rPr>
                    <w:t>台</w:t>
                  </w:r>
                </w:p>
              </w:tc>
              <w:tc>
                <w:tcPr>
                  <w:tcW w:w="1755" w:type="pct"/>
                  <w:noWrap w:val="0"/>
                  <w:vAlign w:val="center"/>
                </w:tcPr>
                <w:p w14:paraId="33885FF7">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cs="Times New Roman"/>
                      <w:b w:val="0"/>
                      <w:bCs w:val="0"/>
                      <w:color w:val="000000"/>
                      <w:kern w:val="0"/>
                      <w:sz w:val="21"/>
                      <w:szCs w:val="21"/>
                      <w:highlight w:val="none"/>
                      <w:vertAlign w:val="baseline"/>
                      <w:lang w:val="en-US" w:eastAsia="zh-CN" w:bidi="ar"/>
                    </w:rPr>
                    <w:t>/</w:t>
                  </w:r>
                </w:p>
              </w:tc>
            </w:tr>
            <w:tr w14:paraId="6ADD63F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noWrap w:val="0"/>
                  <w:vAlign w:val="center"/>
                </w:tcPr>
                <w:p w14:paraId="72D17954">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5</w:t>
                  </w:r>
                </w:p>
              </w:tc>
              <w:tc>
                <w:tcPr>
                  <w:tcW w:w="1598" w:type="pct"/>
                  <w:noWrap w:val="0"/>
                  <w:vAlign w:val="center"/>
                </w:tcPr>
                <w:p w14:paraId="650CAD5F">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工业分析仪</w:t>
                  </w:r>
                </w:p>
              </w:tc>
              <w:tc>
                <w:tcPr>
                  <w:tcW w:w="1138" w:type="pct"/>
                  <w:noWrap w:val="0"/>
                  <w:vAlign w:val="center"/>
                </w:tcPr>
                <w:p w14:paraId="07BAFDC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2</w:t>
                  </w:r>
                  <w:r>
                    <w:rPr>
                      <w:rFonts w:hint="eastAsia" w:cs="Times New Roman"/>
                      <w:b w:val="0"/>
                      <w:bCs w:val="0"/>
                      <w:color w:val="000000"/>
                      <w:kern w:val="0"/>
                      <w:sz w:val="21"/>
                      <w:szCs w:val="21"/>
                      <w:highlight w:val="none"/>
                      <w:vertAlign w:val="baseline"/>
                      <w:lang w:val="en-US" w:eastAsia="zh-CN" w:bidi="ar"/>
                    </w:rPr>
                    <w:t>台</w:t>
                  </w:r>
                </w:p>
              </w:tc>
              <w:tc>
                <w:tcPr>
                  <w:tcW w:w="1755" w:type="pct"/>
                  <w:noWrap w:val="0"/>
                  <w:vAlign w:val="center"/>
                </w:tcPr>
                <w:p w14:paraId="5C9451E4">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cs="Times New Roman"/>
                      <w:b w:val="0"/>
                      <w:bCs w:val="0"/>
                      <w:color w:val="000000"/>
                      <w:kern w:val="0"/>
                      <w:sz w:val="21"/>
                      <w:szCs w:val="21"/>
                      <w:highlight w:val="none"/>
                      <w:vertAlign w:val="baseline"/>
                      <w:lang w:val="en-US" w:eastAsia="zh-CN" w:bidi="ar"/>
                    </w:rPr>
                    <w:t>/</w:t>
                  </w:r>
                </w:p>
              </w:tc>
            </w:tr>
            <w:tr w14:paraId="201835B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noWrap w:val="0"/>
                  <w:vAlign w:val="center"/>
                </w:tcPr>
                <w:p w14:paraId="6B1A05CA">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6</w:t>
                  </w:r>
                </w:p>
              </w:tc>
              <w:tc>
                <w:tcPr>
                  <w:tcW w:w="1598" w:type="pct"/>
                  <w:noWrap w:val="0"/>
                  <w:vAlign w:val="center"/>
                </w:tcPr>
                <w:p w14:paraId="6E85951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量热仪</w:t>
                  </w:r>
                </w:p>
              </w:tc>
              <w:tc>
                <w:tcPr>
                  <w:tcW w:w="1138" w:type="pct"/>
                  <w:noWrap w:val="0"/>
                  <w:vAlign w:val="center"/>
                </w:tcPr>
                <w:p w14:paraId="55449F1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6</w:t>
                  </w:r>
                  <w:r>
                    <w:rPr>
                      <w:rFonts w:hint="eastAsia" w:cs="Times New Roman"/>
                      <w:b w:val="0"/>
                      <w:bCs w:val="0"/>
                      <w:color w:val="000000"/>
                      <w:kern w:val="0"/>
                      <w:sz w:val="21"/>
                      <w:szCs w:val="21"/>
                      <w:highlight w:val="none"/>
                      <w:vertAlign w:val="baseline"/>
                      <w:lang w:val="en-US" w:eastAsia="zh-CN" w:bidi="ar"/>
                    </w:rPr>
                    <w:t>台</w:t>
                  </w:r>
                </w:p>
              </w:tc>
              <w:tc>
                <w:tcPr>
                  <w:tcW w:w="1755" w:type="pct"/>
                  <w:noWrap w:val="0"/>
                  <w:vAlign w:val="center"/>
                </w:tcPr>
                <w:p w14:paraId="6B1557BC">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cs="Times New Roman"/>
                      <w:b w:val="0"/>
                      <w:bCs w:val="0"/>
                      <w:color w:val="000000"/>
                      <w:kern w:val="0"/>
                      <w:sz w:val="21"/>
                      <w:szCs w:val="21"/>
                      <w:highlight w:val="none"/>
                      <w:vertAlign w:val="baseline"/>
                      <w:lang w:val="en-US" w:eastAsia="zh-CN" w:bidi="ar"/>
                    </w:rPr>
                    <w:t>/</w:t>
                  </w:r>
                </w:p>
              </w:tc>
            </w:tr>
            <w:tr w14:paraId="5584373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noWrap w:val="0"/>
                  <w:vAlign w:val="center"/>
                </w:tcPr>
                <w:p w14:paraId="209B615F">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7</w:t>
                  </w:r>
                </w:p>
              </w:tc>
              <w:tc>
                <w:tcPr>
                  <w:tcW w:w="1598" w:type="pct"/>
                  <w:noWrap w:val="0"/>
                  <w:vAlign w:val="center"/>
                </w:tcPr>
                <w:p w14:paraId="249ECDB4">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灰熔融性测试仪</w:t>
                  </w:r>
                </w:p>
              </w:tc>
              <w:tc>
                <w:tcPr>
                  <w:tcW w:w="1138" w:type="pct"/>
                  <w:noWrap w:val="0"/>
                  <w:vAlign w:val="center"/>
                </w:tcPr>
                <w:p w14:paraId="3021B8B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2</w:t>
                  </w:r>
                  <w:r>
                    <w:rPr>
                      <w:rFonts w:hint="eastAsia" w:cs="Times New Roman"/>
                      <w:b w:val="0"/>
                      <w:bCs w:val="0"/>
                      <w:color w:val="000000"/>
                      <w:kern w:val="0"/>
                      <w:sz w:val="21"/>
                      <w:szCs w:val="21"/>
                      <w:highlight w:val="none"/>
                      <w:vertAlign w:val="baseline"/>
                      <w:lang w:val="en-US" w:eastAsia="zh-CN" w:bidi="ar"/>
                    </w:rPr>
                    <w:t>台</w:t>
                  </w:r>
                </w:p>
              </w:tc>
              <w:tc>
                <w:tcPr>
                  <w:tcW w:w="1755" w:type="pct"/>
                  <w:noWrap w:val="0"/>
                  <w:vAlign w:val="center"/>
                </w:tcPr>
                <w:p w14:paraId="37D6A2F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cs="Times New Roman"/>
                      <w:b w:val="0"/>
                      <w:bCs w:val="0"/>
                      <w:color w:val="000000"/>
                      <w:kern w:val="0"/>
                      <w:sz w:val="21"/>
                      <w:szCs w:val="21"/>
                      <w:highlight w:val="none"/>
                      <w:vertAlign w:val="baseline"/>
                      <w:lang w:val="en-US" w:eastAsia="zh-CN" w:bidi="ar"/>
                    </w:rPr>
                    <w:t>/</w:t>
                  </w:r>
                </w:p>
              </w:tc>
            </w:tr>
            <w:tr w14:paraId="16BF78B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noWrap w:val="0"/>
                  <w:vAlign w:val="center"/>
                </w:tcPr>
                <w:p w14:paraId="21A317FE">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8</w:t>
                  </w:r>
                </w:p>
              </w:tc>
              <w:tc>
                <w:tcPr>
                  <w:tcW w:w="1598" w:type="pct"/>
                  <w:noWrap w:val="0"/>
                  <w:vAlign w:val="center"/>
                </w:tcPr>
                <w:p w14:paraId="60DE769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全自动哈氏可磨仪</w:t>
                  </w:r>
                </w:p>
              </w:tc>
              <w:tc>
                <w:tcPr>
                  <w:tcW w:w="1138" w:type="pct"/>
                  <w:noWrap w:val="0"/>
                  <w:vAlign w:val="center"/>
                </w:tcPr>
                <w:p w14:paraId="52EB005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1</w:t>
                  </w:r>
                  <w:r>
                    <w:rPr>
                      <w:rFonts w:hint="eastAsia" w:cs="Times New Roman"/>
                      <w:b w:val="0"/>
                      <w:bCs w:val="0"/>
                      <w:color w:val="000000"/>
                      <w:kern w:val="0"/>
                      <w:sz w:val="21"/>
                      <w:szCs w:val="21"/>
                      <w:highlight w:val="none"/>
                      <w:vertAlign w:val="baseline"/>
                      <w:lang w:val="en-US" w:eastAsia="zh-CN" w:bidi="ar"/>
                    </w:rPr>
                    <w:t>台</w:t>
                  </w:r>
                </w:p>
              </w:tc>
              <w:tc>
                <w:tcPr>
                  <w:tcW w:w="1755" w:type="pct"/>
                  <w:noWrap w:val="0"/>
                  <w:vAlign w:val="center"/>
                </w:tcPr>
                <w:p w14:paraId="2EB3CD7C">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cs="Times New Roman"/>
                      <w:b w:val="0"/>
                      <w:bCs w:val="0"/>
                      <w:color w:val="000000"/>
                      <w:kern w:val="0"/>
                      <w:sz w:val="21"/>
                      <w:szCs w:val="21"/>
                      <w:highlight w:val="none"/>
                      <w:vertAlign w:val="baseline"/>
                      <w:lang w:val="en-US" w:eastAsia="zh-CN" w:bidi="ar"/>
                    </w:rPr>
                    <w:t>/</w:t>
                  </w:r>
                </w:p>
              </w:tc>
            </w:tr>
            <w:tr w14:paraId="78796B6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noWrap w:val="0"/>
                  <w:vAlign w:val="center"/>
                </w:tcPr>
                <w:p w14:paraId="3D81CF33">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9</w:t>
                  </w:r>
                </w:p>
              </w:tc>
              <w:tc>
                <w:tcPr>
                  <w:tcW w:w="1598" w:type="pct"/>
                  <w:noWrap w:val="0"/>
                  <w:vAlign w:val="center"/>
                </w:tcPr>
                <w:p w14:paraId="7DE8533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马弗炉</w:t>
                  </w:r>
                </w:p>
              </w:tc>
              <w:tc>
                <w:tcPr>
                  <w:tcW w:w="1138" w:type="pct"/>
                  <w:noWrap w:val="0"/>
                  <w:vAlign w:val="center"/>
                </w:tcPr>
                <w:p w14:paraId="0A0F431F">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6</w:t>
                  </w:r>
                  <w:r>
                    <w:rPr>
                      <w:rFonts w:hint="eastAsia" w:cs="Times New Roman"/>
                      <w:b w:val="0"/>
                      <w:bCs w:val="0"/>
                      <w:color w:val="000000"/>
                      <w:kern w:val="0"/>
                      <w:sz w:val="21"/>
                      <w:szCs w:val="21"/>
                      <w:highlight w:val="none"/>
                      <w:vertAlign w:val="baseline"/>
                      <w:lang w:val="en-US" w:eastAsia="zh-CN" w:bidi="ar"/>
                    </w:rPr>
                    <w:t>台</w:t>
                  </w:r>
                </w:p>
              </w:tc>
              <w:tc>
                <w:tcPr>
                  <w:tcW w:w="1755" w:type="pct"/>
                  <w:noWrap w:val="0"/>
                  <w:vAlign w:val="center"/>
                </w:tcPr>
                <w:p w14:paraId="3200CF0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cs="Times New Roman"/>
                      <w:b w:val="0"/>
                      <w:bCs w:val="0"/>
                      <w:color w:val="000000"/>
                      <w:kern w:val="0"/>
                      <w:sz w:val="21"/>
                      <w:szCs w:val="21"/>
                      <w:highlight w:val="none"/>
                      <w:vertAlign w:val="baseline"/>
                      <w:lang w:val="en-US" w:eastAsia="zh-CN" w:bidi="ar"/>
                    </w:rPr>
                    <w:t>/</w:t>
                  </w:r>
                </w:p>
              </w:tc>
            </w:tr>
            <w:tr w14:paraId="1A92219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noWrap w:val="0"/>
                  <w:vAlign w:val="center"/>
                </w:tcPr>
                <w:p w14:paraId="595B1658">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10</w:t>
                  </w:r>
                </w:p>
              </w:tc>
              <w:tc>
                <w:tcPr>
                  <w:tcW w:w="1598" w:type="pct"/>
                  <w:noWrap w:val="0"/>
                  <w:vAlign w:val="center"/>
                </w:tcPr>
                <w:p w14:paraId="058CC29E">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充氮干燥箱</w:t>
                  </w:r>
                </w:p>
              </w:tc>
              <w:tc>
                <w:tcPr>
                  <w:tcW w:w="1138" w:type="pct"/>
                  <w:noWrap w:val="0"/>
                  <w:vAlign w:val="center"/>
                </w:tcPr>
                <w:p w14:paraId="0C38083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1</w:t>
                  </w:r>
                  <w:r>
                    <w:rPr>
                      <w:rFonts w:hint="eastAsia" w:cs="Times New Roman"/>
                      <w:b w:val="0"/>
                      <w:bCs w:val="0"/>
                      <w:color w:val="000000"/>
                      <w:kern w:val="0"/>
                      <w:sz w:val="21"/>
                      <w:szCs w:val="21"/>
                      <w:highlight w:val="none"/>
                      <w:vertAlign w:val="baseline"/>
                      <w:lang w:val="en-US" w:eastAsia="zh-CN" w:bidi="ar"/>
                    </w:rPr>
                    <w:t>台</w:t>
                  </w:r>
                </w:p>
              </w:tc>
              <w:tc>
                <w:tcPr>
                  <w:tcW w:w="1755" w:type="pct"/>
                  <w:noWrap w:val="0"/>
                  <w:vAlign w:val="center"/>
                </w:tcPr>
                <w:p w14:paraId="3407D3DE">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cs="Times New Roman"/>
                      <w:b w:val="0"/>
                      <w:bCs w:val="0"/>
                      <w:color w:val="000000"/>
                      <w:kern w:val="0"/>
                      <w:sz w:val="21"/>
                      <w:szCs w:val="21"/>
                      <w:highlight w:val="none"/>
                      <w:vertAlign w:val="baseline"/>
                      <w:lang w:val="en-US" w:eastAsia="zh-CN" w:bidi="ar"/>
                    </w:rPr>
                    <w:t>/</w:t>
                  </w:r>
                </w:p>
              </w:tc>
            </w:tr>
            <w:tr w14:paraId="66CE6A1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noWrap w:val="0"/>
                  <w:vAlign w:val="center"/>
                </w:tcPr>
                <w:p w14:paraId="398A3344">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11</w:t>
                  </w:r>
                </w:p>
              </w:tc>
              <w:tc>
                <w:tcPr>
                  <w:tcW w:w="1598" w:type="pct"/>
                  <w:noWrap w:val="0"/>
                  <w:vAlign w:val="center"/>
                </w:tcPr>
                <w:p w14:paraId="3681290C">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半自动碳氢测定仪</w:t>
                  </w:r>
                </w:p>
              </w:tc>
              <w:tc>
                <w:tcPr>
                  <w:tcW w:w="1138" w:type="pct"/>
                  <w:noWrap w:val="0"/>
                  <w:vAlign w:val="center"/>
                </w:tcPr>
                <w:p w14:paraId="41CF84C9">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2</w:t>
                  </w:r>
                  <w:r>
                    <w:rPr>
                      <w:rFonts w:hint="eastAsia" w:cs="Times New Roman"/>
                      <w:b w:val="0"/>
                      <w:bCs w:val="0"/>
                      <w:color w:val="000000"/>
                      <w:kern w:val="0"/>
                      <w:sz w:val="21"/>
                      <w:szCs w:val="21"/>
                      <w:highlight w:val="none"/>
                      <w:vertAlign w:val="baseline"/>
                      <w:lang w:val="en-US" w:eastAsia="zh-CN" w:bidi="ar"/>
                    </w:rPr>
                    <w:t>台</w:t>
                  </w:r>
                </w:p>
              </w:tc>
              <w:tc>
                <w:tcPr>
                  <w:tcW w:w="1755" w:type="pct"/>
                  <w:noWrap w:val="0"/>
                  <w:vAlign w:val="center"/>
                </w:tcPr>
                <w:p w14:paraId="5DA66AA9">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cs="Times New Roman"/>
                      <w:b w:val="0"/>
                      <w:bCs w:val="0"/>
                      <w:color w:val="000000"/>
                      <w:kern w:val="0"/>
                      <w:sz w:val="21"/>
                      <w:szCs w:val="21"/>
                      <w:highlight w:val="none"/>
                      <w:vertAlign w:val="baseline"/>
                      <w:lang w:val="en-US" w:eastAsia="zh-CN" w:bidi="ar"/>
                    </w:rPr>
                    <w:t>/</w:t>
                  </w:r>
                </w:p>
              </w:tc>
            </w:tr>
            <w:tr w14:paraId="5AD7364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noWrap w:val="0"/>
                  <w:vAlign w:val="center"/>
                </w:tcPr>
                <w:p w14:paraId="60390E39">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12</w:t>
                  </w:r>
                </w:p>
              </w:tc>
              <w:tc>
                <w:tcPr>
                  <w:tcW w:w="1598" w:type="pct"/>
                  <w:noWrap w:val="0"/>
                  <w:vAlign w:val="center"/>
                </w:tcPr>
                <w:p w14:paraId="3B71ADB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快速连续灰分测定仪</w:t>
                  </w:r>
                </w:p>
              </w:tc>
              <w:tc>
                <w:tcPr>
                  <w:tcW w:w="1138" w:type="pct"/>
                  <w:noWrap w:val="0"/>
                  <w:vAlign w:val="center"/>
                </w:tcPr>
                <w:p w14:paraId="4BD1D86C">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1</w:t>
                  </w:r>
                  <w:r>
                    <w:rPr>
                      <w:rFonts w:hint="eastAsia" w:cs="Times New Roman"/>
                      <w:b w:val="0"/>
                      <w:bCs w:val="0"/>
                      <w:color w:val="000000"/>
                      <w:kern w:val="0"/>
                      <w:sz w:val="21"/>
                      <w:szCs w:val="21"/>
                      <w:highlight w:val="none"/>
                      <w:vertAlign w:val="baseline"/>
                      <w:lang w:val="en-US" w:eastAsia="zh-CN" w:bidi="ar"/>
                    </w:rPr>
                    <w:t>台</w:t>
                  </w:r>
                </w:p>
              </w:tc>
              <w:tc>
                <w:tcPr>
                  <w:tcW w:w="1755" w:type="pct"/>
                  <w:noWrap w:val="0"/>
                  <w:vAlign w:val="center"/>
                </w:tcPr>
                <w:p w14:paraId="157E06A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cs="Times New Roman"/>
                      <w:b w:val="0"/>
                      <w:bCs w:val="0"/>
                      <w:color w:val="000000"/>
                      <w:kern w:val="0"/>
                      <w:sz w:val="21"/>
                      <w:szCs w:val="21"/>
                      <w:highlight w:val="none"/>
                      <w:vertAlign w:val="baseline"/>
                      <w:lang w:val="en-US" w:eastAsia="zh-CN" w:bidi="ar"/>
                    </w:rPr>
                    <w:t>/</w:t>
                  </w:r>
                </w:p>
              </w:tc>
            </w:tr>
            <w:tr w14:paraId="2D6F8AC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noWrap w:val="0"/>
                  <w:vAlign w:val="center"/>
                </w:tcPr>
                <w:p w14:paraId="18C0A271">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13</w:t>
                  </w:r>
                </w:p>
              </w:tc>
              <w:tc>
                <w:tcPr>
                  <w:tcW w:w="1598" w:type="pct"/>
                  <w:noWrap w:val="0"/>
                  <w:vAlign w:val="center"/>
                </w:tcPr>
                <w:p w14:paraId="5CC0F94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灰熔融性测试仪</w:t>
                  </w:r>
                </w:p>
              </w:tc>
              <w:tc>
                <w:tcPr>
                  <w:tcW w:w="1138" w:type="pct"/>
                  <w:noWrap w:val="0"/>
                  <w:vAlign w:val="center"/>
                </w:tcPr>
                <w:p w14:paraId="197461F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2</w:t>
                  </w:r>
                  <w:r>
                    <w:rPr>
                      <w:rFonts w:hint="eastAsia" w:cs="Times New Roman"/>
                      <w:b w:val="0"/>
                      <w:bCs w:val="0"/>
                      <w:color w:val="000000"/>
                      <w:kern w:val="0"/>
                      <w:sz w:val="21"/>
                      <w:szCs w:val="21"/>
                      <w:highlight w:val="none"/>
                      <w:vertAlign w:val="baseline"/>
                      <w:lang w:val="en-US" w:eastAsia="zh-CN" w:bidi="ar"/>
                    </w:rPr>
                    <w:t>台</w:t>
                  </w:r>
                </w:p>
              </w:tc>
              <w:tc>
                <w:tcPr>
                  <w:tcW w:w="1755" w:type="pct"/>
                  <w:noWrap w:val="0"/>
                  <w:vAlign w:val="center"/>
                </w:tcPr>
                <w:p w14:paraId="1F77247C">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cs="Times New Roman"/>
                      <w:b w:val="0"/>
                      <w:bCs w:val="0"/>
                      <w:color w:val="000000"/>
                      <w:kern w:val="0"/>
                      <w:sz w:val="21"/>
                      <w:szCs w:val="21"/>
                      <w:highlight w:val="none"/>
                      <w:vertAlign w:val="baseline"/>
                      <w:lang w:val="en-US" w:eastAsia="zh-CN" w:bidi="ar"/>
                    </w:rPr>
                    <w:t>/</w:t>
                  </w:r>
                </w:p>
              </w:tc>
            </w:tr>
            <w:tr w14:paraId="43196C5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noWrap w:val="0"/>
                  <w:vAlign w:val="center"/>
                </w:tcPr>
                <w:p w14:paraId="6D011915">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14</w:t>
                  </w:r>
                </w:p>
              </w:tc>
              <w:tc>
                <w:tcPr>
                  <w:tcW w:w="1598" w:type="pct"/>
                  <w:noWrap w:val="0"/>
                  <w:vAlign w:val="center"/>
                </w:tcPr>
                <w:p w14:paraId="21068D9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红外碳氢测定仪</w:t>
                  </w:r>
                </w:p>
              </w:tc>
              <w:tc>
                <w:tcPr>
                  <w:tcW w:w="1138" w:type="pct"/>
                  <w:noWrap w:val="0"/>
                  <w:vAlign w:val="center"/>
                </w:tcPr>
                <w:p w14:paraId="02F2B8C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1</w:t>
                  </w:r>
                  <w:r>
                    <w:rPr>
                      <w:rFonts w:hint="eastAsia" w:cs="Times New Roman"/>
                      <w:b w:val="0"/>
                      <w:bCs w:val="0"/>
                      <w:color w:val="000000"/>
                      <w:kern w:val="0"/>
                      <w:sz w:val="21"/>
                      <w:szCs w:val="21"/>
                      <w:highlight w:val="none"/>
                      <w:vertAlign w:val="baseline"/>
                      <w:lang w:val="en-US" w:eastAsia="zh-CN" w:bidi="ar"/>
                    </w:rPr>
                    <w:t>台</w:t>
                  </w:r>
                </w:p>
              </w:tc>
              <w:tc>
                <w:tcPr>
                  <w:tcW w:w="1755" w:type="pct"/>
                  <w:noWrap w:val="0"/>
                  <w:vAlign w:val="center"/>
                </w:tcPr>
                <w:p w14:paraId="75BDDDD8">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cs="Times New Roman"/>
                      <w:b w:val="0"/>
                      <w:bCs w:val="0"/>
                      <w:color w:val="000000"/>
                      <w:kern w:val="0"/>
                      <w:sz w:val="21"/>
                      <w:szCs w:val="21"/>
                      <w:highlight w:val="none"/>
                      <w:vertAlign w:val="baseline"/>
                      <w:lang w:val="en-US" w:eastAsia="zh-CN" w:bidi="ar"/>
                    </w:rPr>
                    <w:t>/</w:t>
                  </w:r>
                </w:p>
              </w:tc>
            </w:tr>
            <w:tr w14:paraId="3CC099F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7" w:type="pct"/>
                  <w:noWrap w:val="0"/>
                  <w:vAlign w:val="center"/>
                </w:tcPr>
                <w:p w14:paraId="5AC342DB">
                  <w:pPr>
                    <w:keepNext w:val="0"/>
                    <w:keepLines w:val="0"/>
                    <w:pageBreakBefore w:val="0"/>
                    <w:widowControl/>
                    <w:numPr>
                      <w:ilvl w:val="0"/>
                      <w:numId w:val="0"/>
                    </w:numPr>
                    <w:suppressLineNumbers w:val="0"/>
                    <w:tabs>
                      <w:tab w:val="left" w:pos="0"/>
                    </w:tabs>
                    <w:kinsoku/>
                    <w:wordWrap/>
                    <w:overflowPunct/>
                    <w:topLinePunct w:val="0"/>
                    <w:autoSpaceDE/>
                    <w:autoSpaceDN/>
                    <w:bidi w:val="0"/>
                    <w:adjustRightInd/>
                    <w:snapToGrid/>
                    <w:spacing w:line="240" w:lineRule="auto"/>
                    <w:ind w:leftChars="0"/>
                    <w:jc w:val="center"/>
                    <w:textAlignment w:val="auto"/>
                    <w:rPr>
                      <w:rFonts w:hint="default" w:ascii="Times New Roman" w:hAnsi="Times New Roman"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合计</w:t>
                  </w:r>
                </w:p>
              </w:tc>
              <w:tc>
                <w:tcPr>
                  <w:tcW w:w="1598" w:type="pct"/>
                  <w:noWrap w:val="0"/>
                  <w:vAlign w:val="center"/>
                </w:tcPr>
                <w:p w14:paraId="1D616A2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cs="Times New Roman"/>
                      <w:b w:val="0"/>
                      <w:bCs w:val="0"/>
                      <w:color w:val="000000"/>
                      <w:kern w:val="0"/>
                      <w:sz w:val="21"/>
                      <w:szCs w:val="21"/>
                      <w:highlight w:val="none"/>
                      <w:vertAlign w:val="baseline"/>
                      <w:lang w:val="en-US" w:eastAsia="zh-CN" w:bidi="ar"/>
                    </w:rPr>
                    <w:t>/</w:t>
                  </w:r>
                </w:p>
              </w:tc>
              <w:tc>
                <w:tcPr>
                  <w:tcW w:w="1138" w:type="pct"/>
                  <w:noWrap w:val="0"/>
                  <w:vAlign w:val="center"/>
                </w:tcPr>
                <w:p w14:paraId="0CE4D07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34台</w:t>
                  </w:r>
                </w:p>
              </w:tc>
              <w:tc>
                <w:tcPr>
                  <w:tcW w:w="1755" w:type="pct"/>
                  <w:noWrap w:val="0"/>
                  <w:vAlign w:val="center"/>
                </w:tcPr>
                <w:p w14:paraId="679D9799">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pPr>
                  <w:r>
                    <w:rPr>
                      <w:rFonts w:hint="eastAsia" w:ascii="Times New Roman" w:hAnsi="Times New Roman" w:cs="Times New Roman"/>
                      <w:b w:val="0"/>
                      <w:bCs w:val="0"/>
                      <w:color w:val="000000"/>
                      <w:kern w:val="0"/>
                      <w:sz w:val="21"/>
                      <w:szCs w:val="21"/>
                      <w:highlight w:val="none"/>
                      <w:vertAlign w:val="baseline"/>
                      <w:lang w:val="en-US" w:eastAsia="zh-CN" w:bidi="ar"/>
                    </w:rPr>
                    <w:t>/</w:t>
                  </w:r>
                </w:p>
              </w:tc>
            </w:tr>
          </w:tbl>
          <w:p w14:paraId="77C50707">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0" w:firstLineChars="200"/>
              <w:textAlignment w:val="auto"/>
              <w:rPr>
                <w:rFonts w:hint="default" w:ascii="Times New Roman" w:hAnsi="Times New Roman" w:cs="Times New Roman"/>
                <w:highlight w:val="none"/>
                <w:lang w:val="en-US" w:eastAsia="zh-CN"/>
              </w:rPr>
            </w:pPr>
            <w:r>
              <w:rPr>
                <w:rFonts w:hint="default" w:ascii="Times New Roman" w:hAnsi="Times New Roman" w:eastAsia="宋体" w:cs="Times New Roman"/>
                <w:kern w:val="2"/>
                <w:sz w:val="24"/>
                <w:szCs w:val="24"/>
                <w:highlight w:val="none"/>
                <w:lang w:val="en-US" w:eastAsia="zh-CN" w:bidi="ar-SA"/>
              </w:rPr>
              <w:t>（</w:t>
            </w:r>
            <w:r>
              <w:rPr>
                <w:rFonts w:hint="default" w:ascii="Times New Roman" w:hAnsi="Times New Roman" w:cs="Times New Roman"/>
                <w:kern w:val="2"/>
                <w:sz w:val="24"/>
                <w:szCs w:val="24"/>
                <w:highlight w:val="none"/>
                <w:lang w:val="en-US" w:eastAsia="zh-CN" w:bidi="ar-SA"/>
              </w:rPr>
              <w:t>8</w:t>
            </w:r>
            <w:r>
              <w:rPr>
                <w:rFonts w:hint="default" w:ascii="Times New Roman" w:hAnsi="Times New Roman" w:eastAsia="宋体" w:cs="Times New Roman"/>
                <w:kern w:val="2"/>
                <w:sz w:val="24"/>
                <w:szCs w:val="24"/>
                <w:highlight w:val="none"/>
                <w:lang w:val="en-US" w:eastAsia="zh-CN" w:bidi="ar-SA"/>
              </w:rPr>
              <w:t>）</w:t>
            </w:r>
            <w:r>
              <w:rPr>
                <w:rFonts w:hint="default" w:ascii="Times New Roman" w:hAnsi="Times New Roman" w:cs="Times New Roman"/>
                <w:b w:val="0"/>
                <w:bCs/>
                <w:color w:val="auto"/>
                <w:sz w:val="24"/>
                <w:szCs w:val="24"/>
                <w:highlight w:val="none"/>
                <w:lang w:val="en-US" w:eastAsia="zh-CN"/>
              </w:rPr>
              <w:t>本项目公用工程</w:t>
            </w:r>
          </w:p>
          <w:p w14:paraId="1C90A227">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①供电：电源引自附近变电站，供电电压为10k</w:t>
            </w:r>
            <w:r>
              <w:rPr>
                <w:rFonts w:hint="default" w:ascii="Times New Roman" w:hAnsi="Times New Roman" w:cs="Times New Roman"/>
                <w:b w:val="0"/>
                <w:bCs w:val="0"/>
                <w:color w:val="000000"/>
                <w:kern w:val="0"/>
                <w:sz w:val="24"/>
                <w:szCs w:val="24"/>
                <w:highlight w:val="none"/>
                <w:lang w:val="en-US" w:eastAsia="zh-CN" w:bidi="ar"/>
              </w:rPr>
              <w:t>V</w:t>
            </w:r>
            <w:r>
              <w:rPr>
                <w:rFonts w:hint="default" w:ascii="Times New Roman" w:hAnsi="Times New Roman" w:eastAsia="宋体" w:cs="Times New Roman"/>
                <w:b w:val="0"/>
                <w:bCs w:val="0"/>
                <w:color w:val="000000"/>
                <w:kern w:val="0"/>
                <w:sz w:val="24"/>
                <w:szCs w:val="24"/>
                <w:highlight w:val="none"/>
                <w:lang w:val="en-US" w:eastAsia="zh-CN" w:bidi="ar"/>
              </w:rPr>
              <w:t>，采用单母线分段运行方式，两路电源，互为备用。</w:t>
            </w:r>
          </w:p>
          <w:p w14:paraId="1841B411">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②供热：本项目生产车间无需供暖</w:t>
            </w:r>
            <w:r>
              <w:rPr>
                <w:rFonts w:hint="default" w:ascii="Times New Roman" w:hAnsi="Times New Roman" w:eastAsia="宋体" w:cs="Times New Roman"/>
                <w:color w:val="000000"/>
                <w:kern w:val="0"/>
                <w:sz w:val="24"/>
                <w:szCs w:val="24"/>
                <w:lang w:val="en-US" w:eastAsia="zh-CN" w:bidi="ar"/>
              </w:rPr>
              <w:t>，办公楼</w:t>
            </w:r>
            <w:r>
              <w:rPr>
                <w:rFonts w:hint="eastAsia" w:cs="Times New Roman"/>
                <w:color w:val="000000"/>
                <w:kern w:val="0"/>
                <w:sz w:val="24"/>
                <w:szCs w:val="24"/>
                <w:lang w:val="en-US" w:eastAsia="zh-CN" w:bidi="ar"/>
              </w:rPr>
              <w:t>、综合楼、检测楼</w:t>
            </w:r>
            <w:r>
              <w:rPr>
                <w:rFonts w:hint="default" w:ascii="Times New Roman" w:hAnsi="Times New Roman" w:eastAsia="宋体" w:cs="Times New Roman"/>
                <w:color w:val="000000"/>
                <w:kern w:val="0"/>
                <w:sz w:val="24"/>
                <w:szCs w:val="24"/>
                <w:highlight w:val="none"/>
                <w:lang w:val="en-US" w:eastAsia="zh-CN" w:bidi="ar"/>
              </w:rPr>
              <w:t>采</w:t>
            </w:r>
            <w:r>
              <w:rPr>
                <w:rFonts w:hint="default" w:ascii="Times New Roman" w:hAnsi="Times New Roman" w:eastAsia="宋体" w:cs="Times New Roman"/>
                <w:color w:val="000000"/>
                <w:kern w:val="0"/>
                <w:sz w:val="24"/>
                <w:szCs w:val="24"/>
                <w:lang w:val="en-US" w:eastAsia="zh-CN" w:bidi="ar"/>
              </w:rPr>
              <w:t>用空调采暖制冷</w:t>
            </w:r>
            <w:r>
              <w:rPr>
                <w:rFonts w:hint="default" w:ascii="Times New Roman" w:hAnsi="Times New Roman" w:eastAsia="宋体" w:cs="Times New Roman"/>
                <w:b w:val="0"/>
                <w:bCs w:val="0"/>
                <w:color w:val="000000"/>
                <w:kern w:val="0"/>
                <w:sz w:val="24"/>
                <w:szCs w:val="24"/>
                <w:highlight w:val="none"/>
                <w:lang w:val="en-US" w:eastAsia="zh-CN" w:bidi="ar"/>
              </w:rPr>
              <w:t>。</w:t>
            </w:r>
          </w:p>
          <w:p w14:paraId="0ABE9DE1">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③给排水：</w:t>
            </w:r>
          </w:p>
          <w:p w14:paraId="194D3428">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给水：本项目由市政供水管网供水，总用水量</w:t>
            </w:r>
            <w:r>
              <w:rPr>
                <w:rFonts w:hint="eastAsia" w:ascii="Times New Roman" w:hAnsi="Times New Roman" w:eastAsia="宋体" w:cs="Times New Roman"/>
                <w:b w:val="0"/>
                <w:bCs w:val="0"/>
                <w:color w:val="000000"/>
                <w:kern w:val="0"/>
                <w:sz w:val="24"/>
                <w:szCs w:val="24"/>
                <w:highlight w:val="none"/>
                <w:lang w:val="en-US" w:eastAsia="zh-CN" w:bidi="ar"/>
              </w:rPr>
              <w:t>185.65</w:t>
            </w:r>
            <w:r>
              <w:rPr>
                <w:rFonts w:hint="default" w:ascii="Times New Roman" w:hAnsi="Times New Roman" w:eastAsia="宋体" w:cs="Times New Roman"/>
                <w:b w:val="0"/>
                <w:bCs w:val="0"/>
                <w:color w:val="000000"/>
                <w:kern w:val="0"/>
                <w:sz w:val="24"/>
                <w:szCs w:val="24"/>
                <w:highlight w:val="none"/>
                <w:lang w:val="en-US" w:eastAsia="zh-CN" w:bidi="ar"/>
              </w:rPr>
              <w:t>m</w:t>
            </w:r>
            <w:r>
              <w:rPr>
                <w:rFonts w:hint="default" w:ascii="Times New Roman" w:hAnsi="Times New Roman" w:eastAsia="宋体" w:cs="Times New Roman"/>
                <w:b w:val="0"/>
                <w:bCs w:val="0"/>
                <w:color w:val="000000"/>
                <w:kern w:val="0"/>
                <w:sz w:val="24"/>
                <w:szCs w:val="24"/>
                <w:highlight w:val="none"/>
                <w:vertAlign w:val="superscript"/>
                <w:lang w:val="en-US" w:eastAsia="zh-CN" w:bidi="ar"/>
              </w:rPr>
              <w:t>3</w:t>
            </w:r>
            <w:r>
              <w:rPr>
                <w:rFonts w:hint="default" w:ascii="Times New Roman" w:hAnsi="Times New Roman" w:eastAsia="宋体" w:cs="Times New Roman"/>
                <w:b w:val="0"/>
                <w:bCs w:val="0"/>
                <w:color w:val="000000"/>
                <w:kern w:val="0"/>
                <w:sz w:val="24"/>
                <w:szCs w:val="24"/>
                <w:highlight w:val="none"/>
                <w:lang w:val="en-US" w:eastAsia="zh-CN" w:bidi="ar"/>
              </w:rPr>
              <w:t>/d（</w:t>
            </w:r>
            <w:r>
              <w:rPr>
                <w:rFonts w:hint="eastAsia" w:cs="Times New Roman"/>
                <w:b w:val="0"/>
                <w:bCs w:val="0"/>
                <w:color w:val="000000"/>
                <w:kern w:val="0"/>
                <w:sz w:val="24"/>
                <w:szCs w:val="24"/>
                <w:highlight w:val="none"/>
                <w:lang w:val="en-US" w:eastAsia="zh-CN" w:bidi="ar"/>
              </w:rPr>
              <w:t>55695</w:t>
            </w:r>
            <w:r>
              <w:rPr>
                <w:rFonts w:hint="default" w:ascii="Times New Roman" w:hAnsi="Times New Roman" w:eastAsia="宋体" w:cs="Times New Roman"/>
                <w:b w:val="0"/>
                <w:bCs w:val="0"/>
                <w:color w:val="000000"/>
                <w:kern w:val="0"/>
                <w:sz w:val="24"/>
                <w:szCs w:val="24"/>
                <w:highlight w:val="none"/>
                <w:lang w:val="en-US" w:eastAsia="zh-CN" w:bidi="ar"/>
              </w:rPr>
              <w:t>m</w:t>
            </w:r>
            <w:r>
              <w:rPr>
                <w:rFonts w:hint="default" w:ascii="Times New Roman" w:hAnsi="Times New Roman" w:eastAsia="宋体" w:cs="Times New Roman"/>
                <w:b w:val="0"/>
                <w:bCs w:val="0"/>
                <w:color w:val="000000"/>
                <w:kern w:val="0"/>
                <w:sz w:val="24"/>
                <w:szCs w:val="24"/>
                <w:highlight w:val="none"/>
                <w:vertAlign w:val="superscript"/>
                <w:lang w:val="en-US" w:eastAsia="zh-CN" w:bidi="ar"/>
              </w:rPr>
              <w:t>3</w:t>
            </w:r>
            <w:r>
              <w:rPr>
                <w:rFonts w:hint="default" w:ascii="Times New Roman" w:hAnsi="Times New Roman" w:eastAsia="宋体" w:cs="Times New Roman"/>
                <w:b w:val="0"/>
                <w:bCs w:val="0"/>
                <w:color w:val="000000"/>
                <w:kern w:val="0"/>
                <w:sz w:val="24"/>
                <w:szCs w:val="24"/>
                <w:highlight w:val="none"/>
                <w:lang w:val="en-US" w:eastAsia="zh-CN" w:bidi="ar"/>
              </w:rPr>
              <w:t>/a），从城市自来水管网引入两条进水管，管径DN200，水压大于0.2Mpa，园区内呈环状设置埋地管网，向建筑物供给生产、生活用水。生活用水主要为职工饮用、盥洗及冲厕用水，食堂用水单独计算。</w:t>
            </w:r>
          </w:p>
          <w:p w14:paraId="20769D27">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auto"/>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生产用水主要为配煤加工用水、车辆冲洗用水、喷淋用水、道路洒水抑尘用水、绿化用</w:t>
            </w:r>
            <w:r>
              <w:rPr>
                <w:rFonts w:hint="default" w:ascii="Times New Roman" w:hAnsi="Times New Roman" w:eastAsia="宋体" w:cs="Times New Roman"/>
                <w:b w:val="0"/>
                <w:bCs w:val="0"/>
                <w:color w:val="auto"/>
                <w:kern w:val="0"/>
                <w:sz w:val="24"/>
                <w:szCs w:val="24"/>
                <w:highlight w:val="none"/>
                <w:lang w:val="en-US" w:eastAsia="zh-CN" w:bidi="ar"/>
              </w:rPr>
              <w:t>水。</w:t>
            </w:r>
          </w:p>
          <w:p w14:paraId="48639270">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auto"/>
                <w:kern w:val="0"/>
                <w:sz w:val="24"/>
                <w:szCs w:val="24"/>
                <w:highlight w:val="none"/>
                <w:lang w:val="en-US" w:eastAsia="zh-CN" w:bidi="ar"/>
              </w:rPr>
            </w:pPr>
            <w:r>
              <w:rPr>
                <w:rFonts w:hint="default" w:ascii="Times New Roman" w:hAnsi="Times New Roman" w:eastAsia="宋体" w:cs="Times New Roman"/>
                <w:b w:val="0"/>
                <w:bCs w:val="0"/>
                <w:color w:val="auto"/>
                <w:kern w:val="0"/>
                <w:sz w:val="24"/>
                <w:szCs w:val="24"/>
                <w:highlight w:val="none"/>
                <w:lang w:val="en-US" w:eastAsia="zh-CN" w:bidi="ar"/>
              </w:rPr>
              <w:t>配煤加工用水</w:t>
            </w:r>
            <w:r>
              <w:rPr>
                <w:rFonts w:hint="default" w:ascii="Times New Roman" w:hAnsi="Times New Roman" w:cs="Times New Roman"/>
                <w:b w:val="0"/>
                <w:bCs w:val="0"/>
                <w:color w:val="auto"/>
                <w:kern w:val="0"/>
                <w:sz w:val="24"/>
                <w:szCs w:val="24"/>
                <w:highlight w:val="none"/>
                <w:lang w:val="en-US" w:eastAsia="zh-CN" w:bidi="ar"/>
              </w:rPr>
              <w:t>：</w:t>
            </w:r>
            <w:r>
              <w:rPr>
                <w:rFonts w:hint="default" w:ascii="Times New Roman" w:hAnsi="Times New Roman" w:eastAsia="宋体" w:cs="Times New Roman"/>
                <w:b w:val="0"/>
                <w:bCs w:val="0"/>
                <w:color w:val="auto"/>
                <w:kern w:val="0"/>
                <w:sz w:val="24"/>
                <w:szCs w:val="24"/>
                <w:highlight w:val="none"/>
                <w:lang w:val="en-US" w:eastAsia="zh-CN" w:bidi="ar"/>
              </w:rPr>
              <w:t>配煤加工时用水量0.06m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default" w:ascii="Times New Roman" w:hAnsi="Times New Roman" w:eastAsia="宋体" w:cs="Times New Roman"/>
                <w:b w:val="0"/>
                <w:bCs w:val="0"/>
                <w:color w:val="auto"/>
                <w:kern w:val="0"/>
                <w:sz w:val="24"/>
                <w:szCs w:val="24"/>
                <w:highlight w:val="none"/>
                <w:lang w:val="en-US" w:eastAsia="zh-CN" w:bidi="ar"/>
              </w:rPr>
              <w:t>/t，项目年储存周转量</w:t>
            </w:r>
            <w:r>
              <w:rPr>
                <w:rFonts w:hint="eastAsia" w:cs="Times New Roman"/>
                <w:b w:val="0"/>
                <w:bCs w:val="0"/>
                <w:color w:val="auto"/>
                <w:kern w:val="0"/>
                <w:sz w:val="24"/>
                <w:szCs w:val="24"/>
                <w:highlight w:val="none"/>
                <w:lang w:val="en-US" w:eastAsia="zh-CN" w:bidi="ar"/>
              </w:rPr>
              <w:t>90</w:t>
            </w:r>
            <w:r>
              <w:rPr>
                <w:rFonts w:hint="default" w:ascii="Times New Roman" w:hAnsi="Times New Roman" w:eastAsia="宋体" w:cs="Times New Roman"/>
                <w:b w:val="0"/>
                <w:bCs w:val="0"/>
                <w:color w:val="auto"/>
                <w:kern w:val="0"/>
                <w:sz w:val="24"/>
                <w:szCs w:val="24"/>
                <w:highlight w:val="none"/>
                <w:lang w:val="en-US" w:eastAsia="zh-CN" w:bidi="ar"/>
              </w:rPr>
              <w:t>万吨，</w:t>
            </w:r>
            <w:r>
              <w:rPr>
                <w:rFonts w:hint="eastAsia" w:cs="Times New Roman"/>
                <w:b w:val="0"/>
                <w:bCs w:val="0"/>
                <w:color w:val="auto"/>
                <w:kern w:val="0"/>
                <w:sz w:val="24"/>
                <w:szCs w:val="24"/>
                <w:highlight w:val="none"/>
                <w:lang w:val="en-US" w:eastAsia="zh-CN" w:bidi="ar"/>
              </w:rPr>
              <w:t>其中80万吨无需加工即为成品，10万吨原煤需进行破碎、筛分等工序加工，</w:t>
            </w:r>
            <w:r>
              <w:rPr>
                <w:rFonts w:hint="default" w:ascii="Times New Roman" w:hAnsi="Times New Roman" w:eastAsia="宋体" w:cs="Times New Roman"/>
                <w:b w:val="0"/>
                <w:bCs w:val="0"/>
                <w:color w:val="auto"/>
                <w:kern w:val="0"/>
                <w:sz w:val="24"/>
                <w:szCs w:val="24"/>
                <w:highlight w:val="none"/>
                <w:lang w:val="en-US" w:eastAsia="zh-CN" w:bidi="ar"/>
              </w:rPr>
              <w:t>故</w:t>
            </w:r>
            <w:r>
              <w:rPr>
                <w:rFonts w:hint="default" w:ascii="Times New Roman" w:hAnsi="Times New Roman" w:eastAsia="宋体" w:cs="Times New Roman"/>
                <w:b w:val="0"/>
                <w:bCs w:val="0"/>
                <w:color w:val="auto"/>
                <w:kern w:val="0"/>
                <w:sz w:val="24"/>
                <w:szCs w:val="24"/>
                <w:highlight w:val="none"/>
                <w:vertAlign w:val="baseline"/>
                <w:lang w:val="en-US" w:eastAsia="zh-CN" w:bidi="ar"/>
              </w:rPr>
              <w:t>用水量为</w:t>
            </w:r>
            <w:r>
              <w:rPr>
                <w:rFonts w:hint="eastAsia" w:cs="Times New Roman"/>
                <w:b w:val="0"/>
                <w:bCs w:val="0"/>
                <w:color w:val="auto"/>
                <w:kern w:val="0"/>
                <w:sz w:val="24"/>
                <w:szCs w:val="24"/>
                <w:highlight w:val="none"/>
                <w:vertAlign w:val="baseline"/>
                <w:lang w:val="en-US" w:eastAsia="zh-CN" w:bidi="ar"/>
              </w:rPr>
              <w:t>20</w:t>
            </w:r>
            <w:r>
              <w:rPr>
                <w:rFonts w:hint="default" w:ascii="Times New Roman" w:hAnsi="Times New Roman" w:eastAsia="宋体" w:cs="Times New Roman"/>
                <w:b w:val="0"/>
                <w:bCs w:val="0"/>
                <w:color w:val="auto"/>
                <w:kern w:val="0"/>
                <w:sz w:val="24"/>
                <w:szCs w:val="24"/>
                <w:highlight w:val="none"/>
                <w:lang w:val="en-US" w:eastAsia="zh-CN" w:bidi="ar"/>
              </w:rPr>
              <w:t>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default" w:ascii="Times New Roman" w:hAnsi="Times New Roman" w:eastAsia="宋体" w:cs="Times New Roman"/>
                <w:b w:val="0"/>
                <w:bCs w:val="0"/>
                <w:color w:val="auto"/>
                <w:kern w:val="0"/>
                <w:sz w:val="24"/>
                <w:szCs w:val="24"/>
                <w:highlight w:val="none"/>
                <w:lang w:val="en-US" w:eastAsia="zh-CN" w:bidi="ar"/>
              </w:rPr>
              <w:t>/d（</w:t>
            </w:r>
            <w:r>
              <w:rPr>
                <w:rFonts w:hint="eastAsia" w:cs="Times New Roman"/>
                <w:b w:val="0"/>
                <w:bCs w:val="0"/>
                <w:color w:val="auto"/>
                <w:kern w:val="0"/>
                <w:sz w:val="24"/>
                <w:szCs w:val="24"/>
                <w:highlight w:val="none"/>
                <w:lang w:val="en-US" w:eastAsia="zh-CN" w:bidi="ar"/>
              </w:rPr>
              <w:t>6000</w:t>
            </w:r>
            <w:r>
              <w:rPr>
                <w:rFonts w:hint="default" w:ascii="Times New Roman" w:hAnsi="Times New Roman" w:eastAsia="宋体" w:cs="Times New Roman"/>
                <w:b w:val="0"/>
                <w:bCs w:val="0"/>
                <w:color w:val="auto"/>
                <w:kern w:val="0"/>
                <w:sz w:val="24"/>
                <w:szCs w:val="24"/>
                <w:highlight w:val="none"/>
                <w:lang w:val="en-US" w:eastAsia="zh-CN" w:bidi="ar"/>
              </w:rPr>
              <w:t>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default" w:ascii="Times New Roman" w:hAnsi="Times New Roman" w:eastAsia="宋体" w:cs="Times New Roman"/>
                <w:b w:val="0"/>
                <w:bCs w:val="0"/>
                <w:color w:val="auto"/>
                <w:kern w:val="0"/>
                <w:sz w:val="24"/>
                <w:szCs w:val="24"/>
                <w:highlight w:val="none"/>
                <w:lang w:val="en-US" w:eastAsia="zh-CN" w:bidi="ar"/>
              </w:rPr>
              <w:t>/a）</w:t>
            </w:r>
            <w:r>
              <w:rPr>
                <w:rFonts w:hint="default" w:ascii="Times New Roman" w:hAnsi="Times New Roman" w:cs="Times New Roman"/>
                <w:b w:val="0"/>
                <w:bCs w:val="0"/>
                <w:color w:val="auto"/>
                <w:kern w:val="0"/>
                <w:sz w:val="24"/>
                <w:szCs w:val="24"/>
                <w:highlight w:val="none"/>
                <w:lang w:val="en-US" w:eastAsia="zh-CN" w:bidi="ar"/>
              </w:rPr>
              <w:t>，配煤加工过程存在物料吸附损耗，损耗量按用水量5%计算</w:t>
            </w:r>
            <w:r>
              <w:rPr>
                <w:rFonts w:hint="eastAsia" w:cs="Times New Roman"/>
                <w:b w:val="0"/>
                <w:bCs w:val="0"/>
                <w:color w:val="auto"/>
                <w:kern w:val="0"/>
                <w:sz w:val="24"/>
                <w:szCs w:val="24"/>
                <w:highlight w:val="none"/>
                <w:lang w:val="en-US" w:eastAsia="zh-CN" w:bidi="ar"/>
              </w:rPr>
              <w:t>，循环水量</w:t>
            </w:r>
            <w:r>
              <w:rPr>
                <w:rFonts w:hint="default" w:cs="Times New Roman"/>
                <w:b w:val="0"/>
                <w:bCs w:val="0"/>
                <w:color w:val="auto"/>
                <w:kern w:val="0"/>
                <w:sz w:val="24"/>
                <w:szCs w:val="24"/>
                <w:highlight w:val="none"/>
                <w:lang w:val="en-US" w:eastAsia="zh-CN" w:bidi="ar"/>
              </w:rPr>
              <w:t>19m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default" w:ascii="Times New Roman" w:hAnsi="Times New Roman" w:eastAsia="宋体" w:cs="Times New Roman"/>
                <w:b w:val="0"/>
                <w:bCs w:val="0"/>
                <w:color w:val="auto"/>
                <w:kern w:val="0"/>
                <w:sz w:val="24"/>
                <w:szCs w:val="24"/>
                <w:highlight w:val="none"/>
                <w:lang w:val="en-US" w:eastAsia="zh-CN" w:bidi="ar"/>
              </w:rPr>
              <w:t>/d（</w:t>
            </w:r>
            <w:r>
              <w:rPr>
                <w:rFonts w:hint="eastAsia" w:cs="Times New Roman"/>
                <w:b w:val="0"/>
                <w:bCs w:val="0"/>
                <w:color w:val="auto"/>
                <w:kern w:val="0"/>
                <w:sz w:val="24"/>
                <w:szCs w:val="24"/>
                <w:highlight w:val="none"/>
                <w:lang w:val="en-US" w:eastAsia="zh-CN" w:bidi="ar"/>
              </w:rPr>
              <w:t>5700</w:t>
            </w:r>
            <w:r>
              <w:rPr>
                <w:rFonts w:hint="default" w:ascii="Times New Roman" w:hAnsi="Times New Roman" w:eastAsia="宋体" w:cs="Times New Roman"/>
                <w:b w:val="0"/>
                <w:bCs w:val="0"/>
                <w:color w:val="auto"/>
                <w:kern w:val="0"/>
                <w:sz w:val="24"/>
                <w:szCs w:val="24"/>
                <w:highlight w:val="none"/>
                <w:lang w:val="en-US" w:eastAsia="zh-CN" w:bidi="ar"/>
              </w:rPr>
              <w:t>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default" w:ascii="Times New Roman" w:hAnsi="Times New Roman" w:eastAsia="宋体" w:cs="Times New Roman"/>
                <w:b w:val="0"/>
                <w:bCs w:val="0"/>
                <w:color w:val="auto"/>
                <w:kern w:val="0"/>
                <w:sz w:val="24"/>
                <w:szCs w:val="24"/>
                <w:highlight w:val="none"/>
                <w:lang w:val="en-US" w:eastAsia="zh-CN" w:bidi="ar"/>
              </w:rPr>
              <w:t>/a）</w:t>
            </w:r>
            <w:r>
              <w:rPr>
                <w:rFonts w:hint="eastAsia" w:cs="Times New Roman"/>
                <w:b w:val="0"/>
                <w:bCs w:val="0"/>
                <w:color w:val="auto"/>
                <w:kern w:val="0"/>
                <w:sz w:val="24"/>
                <w:szCs w:val="24"/>
                <w:highlight w:val="none"/>
                <w:lang w:val="en-US" w:eastAsia="zh-CN" w:bidi="ar"/>
              </w:rPr>
              <w:t>，补充新水量</w:t>
            </w:r>
            <w:r>
              <w:rPr>
                <w:rFonts w:hint="eastAsia" w:cs="Times New Roman"/>
                <w:b w:val="0"/>
                <w:bCs w:val="0"/>
                <w:color w:val="auto"/>
                <w:kern w:val="0"/>
                <w:sz w:val="24"/>
                <w:szCs w:val="24"/>
                <w:highlight w:val="none"/>
                <w:vertAlign w:val="baseline"/>
                <w:lang w:val="en-US" w:eastAsia="zh-CN" w:bidi="ar"/>
              </w:rPr>
              <w:t>1</w:t>
            </w:r>
            <w:r>
              <w:rPr>
                <w:rFonts w:hint="default" w:ascii="Times New Roman" w:hAnsi="Times New Roman" w:eastAsia="宋体" w:cs="Times New Roman"/>
                <w:b w:val="0"/>
                <w:bCs w:val="0"/>
                <w:color w:val="auto"/>
                <w:kern w:val="0"/>
                <w:sz w:val="24"/>
                <w:szCs w:val="24"/>
                <w:highlight w:val="none"/>
                <w:lang w:val="en-US" w:eastAsia="zh-CN" w:bidi="ar"/>
              </w:rPr>
              <w:t>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default" w:ascii="Times New Roman" w:hAnsi="Times New Roman" w:eastAsia="宋体" w:cs="Times New Roman"/>
                <w:b w:val="0"/>
                <w:bCs w:val="0"/>
                <w:color w:val="auto"/>
                <w:kern w:val="0"/>
                <w:sz w:val="24"/>
                <w:szCs w:val="24"/>
                <w:highlight w:val="none"/>
                <w:lang w:val="en-US" w:eastAsia="zh-CN" w:bidi="ar"/>
              </w:rPr>
              <w:t>/d（</w:t>
            </w:r>
            <w:r>
              <w:rPr>
                <w:rFonts w:hint="eastAsia" w:cs="Times New Roman"/>
                <w:b w:val="0"/>
                <w:bCs w:val="0"/>
                <w:color w:val="auto"/>
                <w:kern w:val="0"/>
                <w:sz w:val="24"/>
                <w:szCs w:val="24"/>
                <w:highlight w:val="none"/>
                <w:lang w:val="en-US" w:eastAsia="zh-CN" w:bidi="ar"/>
              </w:rPr>
              <w:t>300</w:t>
            </w:r>
            <w:r>
              <w:rPr>
                <w:rFonts w:hint="default" w:ascii="Times New Roman" w:hAnsi="Times New Roman" w:eastAsia="宋体" w:cs="Times New Roman"/>
                <w:b w:val="0"/>
                <w:bCs w:val="0"/>
                <w:color w:val="auto"/>
                <w:kern w:val="0"/>
                <w:sz w:val="24"/>
                <w:szCs w:val="24"/>
                <w:highlight w:val="none"/>
                <w:lang w:val="en-US" w:eastAsia="zh-CN" w:bidi="ar"/>
              </w:rPr>
              <w:t>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default" w:ascii="Times New Roman" w:hAnsi="Times New Roman" w:eastAsia="宋体" w:cs="Times New Roman"/>
                <w:b w:val="0"/>
                <w:bCs w:val="0"/>
                <w:color w:val="auto"/>
                <w:kern w:val="0"/>
                <w:sz w:val="24"/>
                <w:szCs w:val="24"/>
                <w:highlight w:val="none"/>
                <w:lang w:val="en-US" w:eastAsia="zh-CN" w:bidi="ar"/>
              </w:rPr>
              <w:t>/a）。</w:t>
            </w:r>
          </w:p>
          <w:p w14:paraId="4762A774">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auto"/>
                <w:kern w:val="0"/>
                <w:sz w:val="24"/>
                <w:szCs w:val="24"/>
                <w:highlight w:val="none"/>
                <w:lang w:val="en-US" w:eastAsia="zh-CN" w:bidi="ar"/>
              </w:rPr>
              <w:t>车辆冲洗用水：项目在厂区出入口设置洗车平台，冲洗运输车辆，洗车用水按照100L/辆·d核算，项目年储存周转量</w:t>
            </w:r>
            <w:r>
              <w:rPr>
                <w:rFonts w:hint="eastAsia" w:cs="Times New Roman"/>
                <w:b w:val="0"/>
                <w:bCs w:val="0"/>
                <w:color w:val="auto"/>
                <w:kern w:val="0"/>
                <w:sz w:val="24"/>
                <w:szCs w:val="24"/>
                <w:highlight w:val="none"/>
                <w:lang w:val="en-US" w:eastAsia="zh-CN" w:bidi="ar"/>
              </w:rPr>
              <w:t>90</w:t>
            </w:r>
            <w:r>
              <w:rPr>
                <w:rFonts w:hint="default" w:ascii="Times New Roman" w:hAnsi="Times New Roman" w:eastAsia="宋体" w:cs="Times New Roman"/>
                <w:b w:val="0"/>
                <w:bCs w:val="0"/>
                <w:color w:val="auto"/>
                <w:kern w:val="0"/>
                <w:sz w:val="24"/>
                <w:szCs w:val="24"/>
                <w:highlight w:val="none"/>
                <w:lang w:val="en-US" w:eastAsia="zh-CN" w:bidi="ar"/>
              </w:rPr>
              <w:t>万吨，运输车辆载重以45t计，每年物料装卸总次数为44446次。按照平均每天运输辆次为14</w:t>
            </w:r>
            <w:r>
              <w:rPr>
                <w:rFonts w:hint="default" w:ascii="Times New Roman" w:hAnsi="Times New Roman" w:eastAsia="宋体" w:cs="Times New Roman"/>
                <w:b w:val="0"/>
                <w:bCs w:val="0"/>
                <w:color w:val="000000"/>
                <w:kern w:val="0"/>
                <w:sz w:val="24"/>
                <w:szCs w:val="24"/>
                <w:highlight w:val="none"/>
                <w:lang w:val="en-US" w:eastAsia="zh-CN" w:bidi="ar"/>
              </w:rPr>
              <w:t>9辆次计算，车辆冲洗用水量为14.9m</w:t>
            </w:r>
            <w:r>
              <w:rPr>
                <w:rFonts w:hint="default" w:ascii="Times New Roman" w:hAnsi="Times New Roman" w:eastAsia="宋体" w:cs="Times New Roman"/>
                <w:b w:val="0"/>
                <w:bCs w:val="0"/>
                <w:color w:val="000000"/>
                <w:kern w:val="0"/>
                <w:sz w:val="24"/>
                <w:szCs w:val="24"/>
                <w:highlight w:val="none"/>
                <w:vertAlign w:val="superscript"/>
                <w:lang w:val="en-US" w:eastAsia="zh-CN" w:bidi="ar"/>
              </w:rPr>
              <w:t>3</w:t>
            </w:r>
            <w:r>
              <w:rPr>
                <w:rFonts w:hint="default" w:ascii="Times New Roman" w:hAnsi="Times New Roman" w:eastAsia="宋体" w:cs="Times New Roman"/>
                <w:b w:val="0"/>
                <w:bCs w:val="0"/>
                <w:color w:val="000000"/>
                <w:kern w:val="0"/>
                <w:sz w:val="24"/>
                <w:szCs w:val="24"/>
                <w:highlight w:val="none"/>
                <w:lang w:val="en-US" w:eastAsia="zh-CN" w:bidi="ar"/>
              </w:rPr>
              <w:t>/d（4470m</w:t>
            </w:r>
            <w:r>
              <w:rPr>
                <w:rFonts w:hint="default" w:ascii="Times New Roman" w:hAnsi="Times New Roman" w:eastAsia="宋体" w:cs="Times New Roman"/>
                <w:b w:val="0"/>
                <w:bCs w:val="0"/>
                <w:color w:val="000000"/>
                <w:kern w:val="0"/>
                <w:sz w:val="24"/>
                <w:szCs w:val="24"/>
                <w:highlight w:val="none"/>
                <w:vertAlign w:val="superscript"/>
                <w:lang w:val="en-US" w:eastAsia="zh-CN" w:bidi="ar"/>
              </w:rPr>
              <w:t>3</w:t>
            </w:r>
            <w:r>
              <w:rPr>
                <w:rFonts w:hint="default" w:ascii="Times New Roman" w:hAnsi="Times New Roman" w:eastAsia="宋体" w:cs="Times New Roman"/>
                <w:b w:val="0"/>
                <w:bCs w:val="0"/>
                <w:color w:val="000000"/>
                <w:kern w:val="0"/>
                <w:sz w:val="24"/>
                <w:szCs w:val="24"/>
                <w:highlight w:val="none"/>
                <w:lang w:val="en-US" w:eastAsia="zh-CN" w:bidi="ar"/>
              </w:rPr>
              <w:t>/a），产生的废水部分蒸发损耗，部分流入</w:t>
            </w:r>
            <w:r>
              <w:rPr>
                <w:rFonts w:hint="eastAsia" w:cs="Times New Roman"/>
                <w:b w:val="0"/>
                <w:bCs w:val="0"/>
                <w:color w:val="000000"/>
                <w:kern w:val="0"/>
                <w:sz w:val="24"/>
                <w:szCs w:val="24"/>
                <w:highlight w:val="none"/>
                <w:lang w:val="en-US" w:eastAsia="zh-CN" w:bidi="ar"/>
              </w:rPr>
              <w:t>洗车平台配套</w:t>
            </w:r>
            <w:r>
              <w:rPr>
                <w:rFonts w:hint="default" w:ascii="Times New Roman" w:hAnsi="Times New Roman" w:eastAsia="宋体" w:cs="Times New Roman"/>
                <w:b w:val="0"/>
                <w:bCs w:val="0"/>
                <w:color w:val="000000"/>
                <w:kern w:val="0"/>
                <w:sz w:val="24"/>
                <w:szCs w:val="24"/>
                <w:highlight w:val="none"/>
                <w:lang w:val="en-US" w:eastAsia="zh-CN" w:bidi="ar"/>
              </w:rPr>
              <w:t>沉淀池内。</w:t>
            </w:r>
          </w:p>
          <w:p w14:paraId="0BB6E7D8">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喷淋用水：本项目煤炭储存在1#</w:t>
            </w:r>
            <w:r>
              <w:rPr>
                <w:rFonts w:hint="default" w:ascii="Times New Roman" w:hAnsi="Times New Roman" w:cs="Times New Roman"/>
                <w:b w:val="0"/>
                <w:bCs w:val="0"/>
                <w:color w:val="000000"/>
                <w:kern w:val="0"/>
                <w:sz w:val="24"/>
                <w:szCs w:val="24"/>
                <w:highlight w:val="none"/>
                <w:lang w:val="en-US" w:eastAsia="zh-CN" w:bidi="ar"/>
              </w:rPr>
              <w:t>厂房</w:t>
            </w:r>
            <w:r>
              <w:rPr>
                <w:rFonts w:hint="default" w:ascii="Times New Roman" w:hAnsi="Times New Roman" w:eastAsia="宋体" w:cs="Times New Roman"/>
                <w:b w:val="0"/>
                <w:bCs w:val="0"/>
                <w:color w:val="000000"/>
                <w:kern w:val="0"/>
                <w:sz w:val="24"/>
                <w:szCs w:val="24"/>
                <w:highlight w:val="none"/>
                <w:lang w:val="en-US" w:eastAsia="zh-CN" w:bidi="ar"/>
              </w:rPr>
              <w:t>内，储存面积约为</w:t>
            </w:r>
            <w:r>
              <w:rPr>
                <w:rFonts w:hint="eastAsia" w:cs="Times New Roman"/>
                <w:b w:val="0"/>
                <w:bCs w:val="0"/>
                <w:color w:val="000000"/>
                <w:kern w:val="0"/>
                <w:sz w:val="24"/>
                <w:szCs w:val="24"/>
                <w:highlight w:val="none"/>
                <w:lang w:val="en-US" w:eastAsia="zh-CN" w:bidi="ar"/>
              </w:rPr>
              <w:t>17280</w:t>
            </w:r>
            <w:r>
              <w:rPr>
                <w:rFonts w:hint="default" w:ascii="Times New Roman" w:hAnsi="Times New Roman" w:eastAsia="宋体" w:cs="Times New Roman"/>
                <w:b w:val="0"/>
                <w:bCs w:val="0"/>
                <w:color w:val="000000"/>
                <w:kern w:val="0"/>
                <w:sz w:val="24"/>
                <w:szCs w:val="24"/>
                <w:highlight w:val="none"/>
                <w:lang w:val="en-US" w:eastAsia="zh-CN" w:bidi="ar"/>
              </w:rPr>
              <w:t>m</w:t>
            </w:r>
            <w:r>
              <w:rPr>
                <w:rFonts w:hint="default" w:ascii="Times New Roman" w:hAnsi="Times New Roman" w:eastAsia="宋体" w:cs="Times New Roman"/>
                <w:b w:val="0"/>
                <w:bCs w:val="0"/>
                <w:color w:val="000000"/>
                <w:kern w:val="0"/>
                <w:sz w:val="24"/>
                <w:szCs w:val="24"/>
                <w:highlight w:val="none"/>
                <w:vertAlign w:val="superscript"/>
                <w:lang w:val="en-US" w:eastAsia="zh-CN" w:bidi="ar"/>
              </w:rPr>
              <w:t>2</w:t>
            </w:r>
            <w:r>
              <w:rPr>
                <w:rFonts w:hint="default" w:ascii="Times New Roman" w:hAnsi="Times New Roman" w:eastAsia="宋体" w:cs="Times New Roman"/>
                <w:b w:val="0"/>
                <w:bCs w:val="0"/>
                <w:color w:val="000000"/>
                <w:kern w:val="0"/>
                <w:sz w:val="24"/>
                <w:szCs w:val="24"/>
                <w:highlight w:val="none"/>
                <w:vertAlign w:val="baseline"/>
                <w:lang w:val="en-US" w:eastAsia="zh-CN" w:bidi="ar"/>
              </w:rPr>
              <w:t>，参照《煤炭矿石码头粉尘控制设计规范》(JTS156-2015)，每次用水2.0L/m</w:t>
            </w:r>
            <w:r>
              <w:rPr>
                <w:rFonts w:hint="default" w:ascii="Times New Roman" w:hAnsi="Times New Roman" w:eastAsia="宋体" w:cs="Times New Roman"/>
                <w:b w:val="0"/>
                <w:bCs w:val="0"/>
                <w:color w:val="000000"/>
                <w:kern w:val="0"/>
                <w:sz w:val="24"/>
                <w:szCs w:val="24"/>
                <w:highlight w:val="none"/>
                <w:vertAlign w:val="superscript"/>
                <w:lang w:val="en-US" w:eastAsia="zh-CN" w:bidi="ar"/>
              </w:rPr>
              <w:t>2</w:t>
            </w:r>
            <w:r>
              <w:rPr>
                <w:rFonts w:hint="default" w:ascii="Times New Roman" w:hAnsi="Times New Roman" w:eastAsia="宋体" w:cs="Times New Roman"/>
                <w:b w:val="0"/>
                <w:bCs w:val="0"/>
                <w:color w:val="000000"/>
                <w:kern w:val="0"/>
                <w:sz w:val="24"/>
                <w:szCs w:val="24"/>
                <w:highlight w:val="none"/>
                <w:vertAlign w:val="baseline"/>
                <w:lang w:val="en-US" w:eastAsia="zh-CN" w:bidi="ar"/>
              </w:rPr>
              <w:t>，每天2次，用水量为</w:t>
            </w:r>
            <w:r>
              <w:rPr>
                <w:rFonts w:hint="eastAsia" w:cs="Times New Roman"/>
                <w:b w:val="0"/>
                <w:bCs w:val="0"/>
                <w:color w:val="000000"/>
                <w:kern w:val="0"/>
                <w:sz w:val="24"/>
                <w:szCs w:val="24"/>
                <w:highlight w:val="none"/>
                <w:vertAlign w:val="baseline"/>
                <w:lang w:val="en-US" w:eastAsia="zh-CN" w:bidi="ar"/>
              </w:rPr>
              <w:t>69.12</w:t>
            </w:r>
            <w:r>
              <w:rPr>
                <w:rFonts w:hint="default" w:ascii="Times New Roman" w:hAnsi="Times New Roman" w:eastAsia="宋体" w:cs="Times New Roman"/>
                <w:b w:val="0"/>
                <w:bCs w:val="0"/>
                <w:color w:val="000000"/>
                <w:kern w:val="0"/>
                <w:sz w:val="24"/>
                <w:szCs w:val="24"/>
                <w:highlight w:val="none"/>
                <w:lang w:val="en-US" w:eastAsia="zh-CN" w:bidi="ar"/>
              </w:rPr>
              <w:t>m</w:t>
            </w:r>
            <w:r>
              <w:rPr>
                <w:rFonts w:hint="default" w:ascii="Times New Roman" w:hAnsi="Times New Roman" w:eastAsia="宋体" w:cs="Times New Roman"/>
                <w:b w:val="0"/>
                <w:bCs w:val="0"/>
                <w:color w:val="000000"/>
                <w:kern w:val="0"/>
                <w:sz w:val="24"/>
                <w:szCs w:val="24"/>
                <w:highlight w:val="none"/>
                <w:vertAlign w:val="superscript"/>
                <w:lang w:val="en-US" w:eastAsia="zh-CN" w:bidi="ar"/>
              </w:rPr>
              <w:t>3</w:t>
            </w:r>
            <w:r>
              <w:rPr>
                <w:rFonts w:hint="default" w:ascii="Times New Roman" w:hAnsi="Times New Roman" w:eastAsia="宋体" w:cs="Times New Roman"/>
                <w:b w:val="0"/>
                <w:bCs w:val="0"/>
                <w:color w:val="000000"/>
                <w:kern w:val="0"/>
                <w:sz w:val="24"/>
                <w:szCs w:val="24"/>
                <w:highlight w:val="none"/>
                <w:lang w:val="en-US" w:eastAsia="zh-CN" w:bidi="ar"/>
              </w:rPr>
              <w:t>/d（</w:t>
            </w:r>
            <w:r>
              <w:rPr>
                <w:rFonts w:hint="eastAsia" w:cs="Times New Roman"/>
                <w:b w:val="0"/>
                <w:bCs w:val="0"/>
                <w:color w:val="000000"/>
                <w:kern w:val="0"/>
                <w:sz w:val="24"/>
                <w:szCs w:val="24"/>
                <w:highlight w:val="none"/>
                <w:lang w:val="en-US" w:eastAsia="zh-CN" w:bidi="ar"/>
              </w:rPr>
              <w:t>20736</w:t>
            </w:r>
            <w:r>
              <w:rPr>
                <w:rFonts w:hint="default" w:ascii="Times New Roman" w:hAnsi="Times New Roman" w:eastAsia="宋体" w:cs="Times New Roman"/>
                <w:b w:val="0"/>
                <w:bCs w:val="0"/>
                <w:color w:val="000000"/>
                <w:kern w:val="0"/>
                <w:sz w:val="24"/>
                <w:szCs w:val="24"/>
                <w:highlight w:val="none"/>
                <w:lang w:val="en-US" w:eastAsia="zh-CN" w:bidi="ar"/>
              </w:rPr>
              <w:t>m</w:t>
            </w:r>
            <w:r>
              <w:rPr>
                <w:rFonts w:hint="default" w:ascii="Times New Roman" w:hAnsi="Times New Roman" w:eastAsia="宋体" w:cs="Times New Roman"/>
                <w:b w:val="0"/>
                <w:bCs w:val="0"/>
                <w:color w:val="000000"/>
                <w:kern w:val="0"/>
                <w:sz w:val="24"/>
                <w:szCs w:val="24"/>
                <w:highlight w:val="none"/>
                <w:vertAlign w:val="superscript"/>
                <w:lang w:val="en-US" w:eastAsia="zh-CN" w:bidi="ar"/>
              </w:rPr>
              <w:t>3</w:t>
            </w:r>
            <w:r>
              <w:rPr>
                <w:rFonts w:hint="default" w:ascii="Times New Roman" w:hAnsi="Times New Roman" w:eastAsia="宋体" w:cs="Times New Roman"/>
                <w:b w:val="0"/>
                <w:bCs w:val="0"/>
                <w:color w:val="000000"/>
                <w:kern w:val="0"/>
                <w:sz w:val="24"/>
                <w:szCs w:val="24"/>
                <w:highlight w:val="none"/>
                <w:lang w:val="en-US" w:eastAsia="zh-CN" w:bidi="ar"/>
              </w:rPr>
              <w:t>/a）。</w:t>
            </w:r>
          </w:p>
          <w:p w14:paraId="3DEBDF0D">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kern w:val="0"/>
                <w:sz w:val="24"/>
                <w:szCs w:val="24"/>
                <w:highlight w:val="none"/>
                <w:vertAlign w:val="baseli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道路洒水抑尘用水：为了抑制厂区扬尘，洒水车定期洒水抑尘，每次用水0.5L/m</w:t>
            </w:r>
            <w:r>
              <w:rPr>
                <w:rFonts w:hint="default" w:ascii="Times New Roman" w:hAnsi="Times New Roman" w:eastAsia="宋体" w:cs="Times New Roman"/>
                <w:b w:val="0"/>
                <w:bCs w:val="0"/>
                <w:color w:val="000000"/>
                <w:kern w:val="0"/>
                <w:sz w:val="24"/>
                <w:szCs w:val="24"/>
                <w:highlight w:val="none"/>
                <w:vertAlign w:val="superscript"/>
                <w:lang w:val="en-US" w:eastAsia="zh-CN" w:bidi="ar"/>
              </w:rPr>
              <w:t>2</w:t>
            </w:r>
            <w:r>
              <w:rPr>
                <w:rFonts w:hint="default" w:ascii="Times New Roman" w:hAnsi="Times New Roman" w:eastAsia="宋体" w:cs="Times New Roman"/>
                <w:b w:val="0"/>
                <w:bCs w:val="0"/>
                <w:color w:val="000000"/>
                <w:kern w:val="0"/>
                <w:sz w:val="24"/>
                <w:szCs w:val="24"/>
                <w:highlight w:val="none"/>
                <w:lang w:val="en-US" w:eastAsia="zh-CN" w:bidi="ar"/>
              </w:rPr>
              <w:t>，项目道路面积约为91521m</w:t>
            </w:r>
            <w:r>
              <w:rPr>
                <w:rFonts w:hint="default" w:ascii="Times New Roman" w:hAnsi="Times New Roman" w:eastAsia="宋体" w:cs="Times New Roman"/>
                <w:b w:val="0"/>
                <w:bCs w:val="0"/>
                <w:color w:val="000000"/>
                <w:kern w:val="0"/>
                <w:sz w:val="24"/>
                <w:szCs w:val="24"/>
                <w:highlight w:val="none"/>
                <w:vertAlign w:val="superscript"/>
                <w:lang w:val="en-US" w:eastAsia="zh-CN" w:bidi="ar"/>
              </w:rPr>
              <w:t>2</w:t>
            </w:r>
            <w:r>
              <w:rPr>
                <w:rFonts w:hint="default" w:ascii="Times New Roman" w:hAnsi="Times New Roman" w:eastAsia="宋体" w:cs="Times New Roman"/>
                <w:b w:val="0"/>
                <w:bCs w:val="0"/>
                <w:color w:val="000000"/>
                <w:kern w:val="0"/>
                <w:sz w:val="24"/>
                <w:szCs w:val="24"/>
                <w:highlight w:val="none"/>
                <w:vertAlign w:val="baseline"/>
                <w:lang w:val="en-US" w:eastAsia="zh-CN" w:bidi="ar"/>
              </w:rPr>
              <w:t>，每天洒水1次，每次用时2h，用水量为45.76</w:t>
            </w:r>
            <w:r>
              <w:rPr>
                <w:rFonts w:hint="default" w:ascii="Times New Roman" w:hAnsi="Times New Roman" w:eastAsia="宋体" w:cs="Times New Roman"/>
                <w:b w:val="0"/>
                <w:bCs w:val="0"/>
                <w:color w:val="000000"/>
                <w:kern w:val="0"/>
                <w:sz w:val="24"/>
                <w:szCs w:val="24"/>
                <w:highlight w:val="none"/>
                <w:lang w:val="en-US" w:eastAsia="zh-CN" w:bidi="ar"/>
              </w:rPr>
              <w:t>m</w:t>
            </w:r>
            <w:r>
              <w:rPr>
                <w:rFonts w:hint="default" w:ascii="Times New Roman" w:hAnsi="Times New Roman" w:eastAsia="宋体" w:cs="Times New Roman"/>
                <w:b w:val="0"/>
                <w:bCs w:val="0"/>
                <w:color w:val="000000"/>
                <w:kern w:val="0"/>
                <w:sz w:val="24"/>
                <w:szCs w:val="24"/>
                <w:highlight w:val="none"/>
                <w:vertAlign w:val="superscript"/>
                <w:lang w:val="en-US" w:eastAsia="zh-CN" w:bidi="ar"/>
              </w:rPr>
              <w:t>3</w:t>
            </w:r>
            <w:r>
              <w:rPr>
                <w:rFonts w:hint="default" w:ascii="Times New Roman" w:hAnsi="Times New Roman" w:eastAsia="宋体" w:cs="Times New Roman"/>
                <w:b w:val="0"/>
                <w:bCs w:val="0"/>
                <w:color w:val="000000"/>
                <w:kern w:val="0"/>
                <w:sz w:val="24"/>
                <w:szCs w:val="24"/>
                <w:highlight w:val="none"/>
                <w:lang w:val="en-US" w:eastAsia="zh-CN" w:bidi="ar"/>
              </w:rPr>
              <w:t>/d（13728m</w:t>
            </w:r>
            <w:r>
              <w:rPr>
                <w:rFonts w:hint="default" w:ascii="Times New Roman" w:hAnsi="Times New Roman" w:eastAsia="宋体" w:cs="Times New Roman"/>
                <w:b w:val="0"/>
                <w:bCs w:val="0"/>
                <w:color w:val="000000"/>
                <w:kern w:val="0"/>
                <w:sz w:val="24"/>
                <w:szCs w:val="24"/>
                <w:highlight w:val="none"/>
                <w:vertAlign w:val="superscript"/>
                <w:lang w:val="en-US" w:eastAsia="zh-CN" w:bidi="ar"/>
              </w:rPr>
              <w:t>3</w:t>
            </w:r>
            <w:r>
              <w:rPr>
                <w:rFonts w:hint="default" w:ascii="Times New Roman" w:hAnsi="Times New Roman" w:eastAsia="宋体" w:cs="Times New Roman"/>
                <w:b w:val="0"/>
                <w:bCs w:val="0"/>
                <w:color w:val="000000"/>
                <w:kern w:val="0"/>
                <w:sz w:val="24"/>
                <w:szCs w:val="24"/>
                <w:highlight w:val="none"/>
                <w:lang w:val="en-US" w:eastAsia="zh-CN" w:bidi="ar"/>
              </w:rPr>
              <w:t>/a）</w:t>
            </w:r>
            <w:r>
              <w:rPr>
                <w:rFonts w:hint="eastAsia" w:cs="Times New Roman"/>
                <w:b w:val="0"/>
                <w:bCs w:val="0"/>
                <w:color w:val="000000"/>
                <w:kern w:val="0"/>
                <w:sz w:val="24"/>
                <w:szCs w:val="24"/>
                <w:highlight w:val="none"/>
                <w:lang w:val="en-US" w:eastAsia="zh-CN" w:bidi="ar"/>
              </w:rPr>
              <w:t>。</w:t>
            </w:r>
          </w:p>
          <w:p w14:paraId="530CF8AC">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auto"/>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绿化用水：按1L/m</w:t>
            </w:r>
            <w:r>
              <w:rPr>
                <w:rFonts w:hint="default" w:ascii="Times New Roman" w:hAnsi="Times New Roman" w:eastAsia="宋体" w:cs="Times New Roman"/>
                <w:b w:val="0"/>
                <w:bCs w:val="0"/>
                <w:color w:val="000000"/>
                <w:kern w:val="0"/>
                <w:sz w:val="24"/>
                <w:szCs w:val="24"/>
                <w:highlight w:val="none"/>
                <w:vertAlign w:val="superscript"/>
                <w:lang w:val="en-US" w:eastAsia="zh-CN" w:bidi="ar"/>
              </w:rPr>
              <w:t>2</w:t>
            </w:r>
            <w:r>
              <w:rPr>
                <w:rFonts w:hint="default" w:ascii="Times New Roman" w:hAnsi="Times New Roman" w:eastAsia="宋体" w:cs="Times New Roman"/>
                <w:b w:val="0"/>
                <w:bCs w:val="0"/>
                <w:color w:val="000000"/>
                <w:kern w:val="0"/>
                <w:sz w:val="24"/>
                <w:szCs w:val="24"/>
                <w:highlight w:val="none"/>
                <w:lang w:val="en-US" w:eastAsia="zh-CN" w:bidi="ar"/>
              </w:rPr>
              <w:t>·d，项目绿化面积约为23867m²，</w:t>
            </w:r>
            <w:r>
              <w:rPr>
                <w:rFonts w:hint="eastAsia" w:cs="Times New Roman"/>
                <w:b w:val="0"/>
                <w:bCs w:val="0"/>
                <w:color w:val="000000"/>
                <w:kern w:val="0"/>
                <w:sz w:val="24"/>
                <w:szCs w:val="24"/>
                <w:highlight w:val="none"/>
                <w:lang w:val="en-US" w:eastAsia="zh-CN" w:bidi="ar"/>
              </w:rPr>
              <w:t>绿化天数为90天，</w:t>
            </w:r>
            <w:r>
              <w:rPr>
                <w:rFonts w:hint="default" w:ascii="Times New Roman" w:hAnsi="Times New Roman" w:eastAsia="宋体" w:cs="Times New Roman"/>
                <w:b w:val="0"/>
                <w:bCs w:val="0"/>
                <w:color w:val="000000"/>
                <w:kern w:val="0"/>
                <w:sz w:val="24"/>
                <w:szCs w:val="24"/>
                <w:highlight w:val="none"/>
                <w:lang w:val="en-US" w:eastAsia="zh-CN" w:bidi="ar"/>
              </w:rPr>
              <w:t>则绿化用</w:t>
            </w:r>
            <w:r>
              <w:rPr>
                <w:rFonts w:hint="default" w:ascii="Times New Roman" w:hAnsi="Times New Roman" w:eastAsia="宋体" w:cs="Times New Roman"/>
                <w:b w:val="0"/>
                <w:bCs w:val="0"/>
                <w:color w:val="auto"/>
                <w:kern w:val="0"/>
                <w:sz w:val="24"/>
                <w:szCs w:val="24"/>
                <w:highlight w:val="none"/>
                <w:lang w:val="en-US" w:eastAsia="zh-CN" w:bidi="ar"/>
              </w:rPr>
              <w:t>水量为23.87m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default" w:ascii="Times New Roman" w:hAnsi="Times New Roman" w:eastAsia="宋体" w:cs="Times New Roman"/>
                <w:b w:val="0"/>
                <w:bCs w:val="0"/>
                <w:color w:val="auto"/>
                <w:kern w:val="0"/>
                <w:sz w:val="24"/>
                <w:szCs w:val="24"/>
                <w:highlight w:val="none"/>
                <w:lang w:val="en-US" w:eastAsia="zh-CN" w:bidi="ar"/>
              </w:rPr>
              <w:t>/d（</w:t>
            </w:r>
            <w:r>
              <w:rPr>
                <w:rFonts w:hint="eastAsia" w:cs="Times New Roman"/>
                <w:b w:val="0"/>
                <w:bCs w:val="0"/>
                <w:color w:val="auto"/>
                <w:kern w:val="0"/>
                <w:sz w:val="24"/>
                <w:szCs w:val="24"/>
                <w:highlight w:val="none"/>
                <w:lang w:val="en-US" w:eastAsia="zh-CN" w:bidi="ar"/>
              </w:rPr>
              <w:t>214.83</w:t>
            </w:r>
            <w:r>
              <w:rPr>
                <w:rFonts w:hint="default" w:ascii="Times New Roman" w:hAnsi="Times New Roman" w:eastAsia="宋体" w:cs="Times New Roman"/>
                <w:b w:val="0"/>
                <w:bCs w:val="0"/>
                <w:color w:val="auto"/>
                <w:kern w:val="0"/>
                <w:sz w:val="24"/>
                <w:szCs w:val="24"/>
                <w:highlight w:val="none"/>
                <w:lang w:val="en-US" w:eastAsia="zh-CN" w:bidi="ar"/>
              </w:rPr>
              <w:t>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default" w:ascii="Times New Roman" w:hAnsi="Times New Roman" w:eastAsia="宋体" w:cs="Times New Roman"/>
                <w:b w:val="0"/>
                <w:bCs w:val="0"/>
                <w:color w:val="auto"/>
                <w:kern w:val="0"/>
                <w:sz w:val="24"/>
                <w:szCs w:val="24"/>
                <w:highlight w:val="none"/>
                <w:lang w:val="en-US" w:eastAsia="zh-CN" w:bidi="ar"/>
              </w:rPr>
              <w:t>/a）。</w:t>
            </w:r>
          </w:p>
          <w:p w14:paraId="0224C722">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auto"/>
                <w:kern w:val="0"/>
                <w:sz w:val="24"/>
                <w:szCs w:val="24"/>
                <w:highlight w:val="none"/>
                <w:lang w:val="en-US" w:eastAsia="zh-CN" w:bidi="ar"/>
              </w:rPr>
            </w:pPr>
            <w:r>
              <w:rPr>
                <w:rFonts w:hint="default" w:ascii="Times New Roman" w:hAnsi="Times New Roman" w:eastAsia="宋体" w:cs="Times New Roman"/>
                <w:b w:val="0"/>
                <w:bCs w:val="0"/>
                <w:color w:val="auto"/>
                <w:kern w:val="0"/>
                <w:sz w:val="24"/>
                <w:szCs w:val="24"/>
                <w:highlight w:val="none"/>
                <w:lang w:val="en-US" w:eastAsia="zh-CN" w:bidi="ar"/>
              </w:rPr>
              <w:t>生活用水主要为职工饮用、盥洗及冲厕用水。项目劳动定员150人，</w:t>
            </w:r>
            <w:r>
              <w:rPr>
                <w:rFonts w:hint="default" w:ascii="Times New Roman" w:hAnsi="Times New Roman" w:eastAsia="宋体" w:cs="Times New Roman"/>
                <w:b w:val="0"/>
                <w:bCs w:val="0"/>
                <w:color w:val="auto"/>
                <w:kern w:val="0"/>
                <w:sz w:val="24"/>
                <w:szCs w:val="24"/>
                <w:highlight w:val="none"/>
                <w:lang w:val="zh-CN" w:eastAsia="zh-CN" w:bidi="ar"/>
              </w:rPr>
              <w:t>依据《生活与服务业用水定额 第1部分：居民生活》（DB13/T5450.1-2021），职工办公生活用水按</w:t>
            </w:r>
            <w:r>
              <w:rPr>
                <w:rFonts w:hint="default" w:ascii="Times New Roman" w:hAnsi="Times New Roman" w:eastAsia="宋体" w:cs="Times New Roman"/>
                <w:b w:val="0"/>
                <w:bCs w:val="0"/>
                <w:color w:val="auto"/>
                <w:kern w:val="0"/>
                <w:sz w:val="24"/>
                <w:szCs w:val="24"/>
                <w:highlight w:val="none"/>
                <w:lang w:val="en-US" w:eastAsia="zh-CN" w:bidi="ar"/>
              </w:rPr>
              <w:t>50</w:t>
            </w:r>
            <w:r>
              <w:rPr>
                <w:rFonts w:hint="default" w:ascii="Times New Roman" w:hAnsi="Times New Roman" w:eastAsia="宋体" w:cs="Times New Roman"/>
                <w:b w:val="0"/>
                <w:bCs w:val="0"/>
                <w:color w:val="auto"/>
                <w:kern w:val="0"/>
                <w:sz w:val="24"/>
                <w:szCs w:val="24"/>
                <w:highlight w:val="none"/>
                <w:lang w:val="zh-CN" w:eastAsia="zh-CN" w:bidi="ar"/>
              </w:rPr>
              <w:t>L/人·d计算，则生活</w:t>
            </w:r>
            <w:r>
              <w:rPr>
                <w:rFonts w:hint="default" w:ascii="Times New Roman" w:hAnsi="Times New Roman" w:eastAsia="宋体" w:cs="Times New Roman"/>
                <w:b w:val="0"/>
                <w:bCs w:val="0"/>
                <w:color w:val="auto"/>
                <w:kern w:val="0"/>
                <w:sz w:val="24"/>
                <w:szCs w:val="24"/>
                <w:highlight w:val="none"/>
                <w:lang w:val="en-US" w:eastAsia="zh-CN" w:bidi="ar"/>
              </w:rPr>
              <w:t>用水量为7.5m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default" w:ascii="Times New Roman" w:hAnsi="Times New Roman" w:eastAsia="宋体" w:cs="Times New Roman"/>
                <w:b w:val="0"/>
                <w:bCs w:val="0"/>
                <w:color w:val="auto"/>
                <w:kern w:val="0"/>
                <w:sz w:val="24"/>
                <w:szCs w:val="24"/>
                <w:highlight w:val="none"/>
                <w:lang w:val="en-US" w:eastAsia="zh-CN" w:bidi="ar"/>
              </w:rPr>
              <w:t>/d（2250m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default" w:ascii="Times New Roman" w:hAnsi="Times New Roman" w:eastAsia="宋体" w:cs="Times New Roman"/>
                <w:b w:val="0"/>
                <w:bCs w:val="0"/>
                <w:color w:val="auto"/>
                <w:kern w:val="0"/>
                <w:sz w:val="24"/>
                <w:szCs w:val="24"/>
                <w:highlight w:val="none"/>
                <w:lang w:val="en-US" w:eastAsia="zh-CN" w:bidi="ar"/>
              </w:rPr>
              <w:t>/a）。</w:t>
            </w:r>
          </w:p>
          <w:p w14:paraId="62639587">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auto"/>
                <w:kern w:val="0"/>
                <w:sz w:val="24"/>
                <w:szCs w:val="24"/>
                <w:highlight w:val="none"/>
                <w:lang w:val="en-US" w:eastAsia="zh-CN" w:bidi="ar"/>
              </w:rPr>
            </w:pPr>
            <w:r>
              <w:rPr>
                <w:rFonts w:hint="default" w:ascii="Times New Roman" w:hAnsi="Times New Roman" w:cs="Times New Roman"/>
                <w:b w:val="0"/>
                <w:bCs w:val="0"/>
                <w:color w:val="auto"/>
                <w:kern w:val="0"/>
                <w:sz w:val="24"/>
                <w:szCs w:val="24"/>
                <w:highlight w:val="none"/>
                <w:lang w:val="en-US" w:eastAsia="zh-CN" w:bidi="ar"/>
              </w:rPr>
              <w:t>食堂用水：</w:t>
            </w:r>
            <w:r>
              <w:rPr>
                <w:rFonts w:hint="default" w:ascii="Times New Roman" w:hAnsi="Times New Roman" w:cs="Times New Roman"/>
                <w:color w:val="auto"/>
                <w:kern w:val="0"/>
              </w:rPr>
              <w:t>按10L/人</w:t>
            </w:r>
            <w:r>
              <w:rPr>
                <w:rFonts w:hint="default" w:ascii="Times New Roman" w:hAnsi="Times New Roman" w:eastAsia="宋体" w:cs="Times New Roman"/>
                <w:b w:val="0"/>
                <w:bCs w:val="0"/>
                <w:color w:val="auto"/>
                <w:kern w:val="0"/>
                <w:sz w:val="24"/>
                <w:szCs w:val="24"/>
                <w:highlight w:val="none"/>
                <w:lang w:val="zh-CN" w:eastAsia="zh-CN" w:bidi="ar"/>
              </w:rPr>
              <w:t>·</w:t>
            </w:r>
            <w:r>
              <w:rPr>
                <w:rFonts w:hint="default" w:ascii="Times New Roman" w:hAnsi="Times New Roman" w:cs="Times New Roman"/>
                <w:color w:val="auto"/>
                <w:kern w:val="0"/>
              </w:rPr>
              <w:t>餐计，用水量为</w:t>
            </w:r>
            <w:r>
              <w:rPr>
                <w:rFonts w:hint="eastAsia" w:ascii="Times New Roman" w:hAnsi="Times New Roman" w:cs="Times New Roman"/>
                <w:color w:val="auto"/>
                <w:kern w:val="0"/>
                <w:lang w:val="en-US" w:eastAsia="zh-CN"/>
              </w:rPr>
              <w:t>4.5</w:t>
            </w:r>
            <w:r>
              <w:rPr>
                <w:rFonts w:hint="default" w:ascii="Times New Roman" w:hAnsi="Times New Roman" w:cs="Times New Roman"/>
                <w:color w:val="auto"/>
                <w:kern w:val="0"/>
              </w:rPr>
              <w:t>m</w:t>
            </w:r>
            <w:r>
              <w:rPr>
                <w:rFonts w:hint="default" w:ascii="Times New Roman" w:hAnsi="Times New Roman" w:cs="Times New Roman"/>
                <w:color w:val="auto"/>
                <w:kern w:val="0"/>
                <w:vertAlign w:val="superscript"/>
              </w:rPr>
              <w:t>3</w:t>
            </w:r>
            <w:r>
              <w:rPr>
                <w:rFonts w:hint="default" w:ascii="Times New Roman" w:hAnsi="Times New Roman" w:cs="Times New Roman"/>
                <w:color w:val="auto"/>
                <w:kern w:val="0"/>
              </w:rPr>
              <w:t>/d</w:t>
            </w:r>
            <w:r>
              <w:rPr>
                <w:rFonts w:hint="default" w:ascii="Times New Roman" w:hAnsi="Times New Roman" w:eastAsia="宋体" w:cs="Times New Roman"/>
                <w:b w:val="0"/>
                <w:bCs w:val="0"/>
                <w:color w:val="auto"/>
                <w:kern w:val="0"/>
                <w:sz w:val="24"/>
                <w:szCs w:val="24"/>
                <w:highlight w:val="none"/>
                <w:lang w:val="en-US" w:eastAsia="zh-CN" w:bidi="ar"/>
              </w:rPr>
              <w:t>（</w:t>
            </w:r>
            <w:r>
              <w:rPr>
                <w:rFonts w:hint="eastAsia" w:ascii="Times New Roman" w:hAnsi="Times New Roman" w:cs="Times New Roman"/>
                <w:b w:val="0"/>
                <w:bCs w:val="0"/>
                <w:color w:val="auto"/>
                <w:kern w:val="0"/>
                <w:sz w:val="24"/>
                <w:szCs w:val="24"/>
                <w:highlight w:val="none"/>
                <w:lang w:val="en-US" w:eastAsia="zh-CN" w:bidi="ar"/>
              </w:rPr>
              <w:t>1350</w:t>
            </w:r>
            <w:r>
              <w:rPr>
                <w:rFonts w:hint="default" w:ascii="Times New Roman" w:hAnsi="Times New Roman" w:eastAsia="宋体" w:cs="Times New Roman"/>
                <w:b w:val="0"/>
                <w:bCs w:val="0"/>
                <w:color w:val="auto"/>
                <w:kern w:val="0"/>
                <w:sz w:val="24"/>
                <w:szCs w:val="24"/>
                <w:highlight w:val="none"/>
                <w:lang w:val="en-US" w:eastAsia="zh-CN" w:bidi="ar"/>
              </w:rPr>
              <w:t>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default" w:ascii="Times New Roman" w:hAnsi="Times New Roman" w:eastAsia="宋体" w:cs="Times New Roman"/>
                <w:b w:val="0"/>
                <w:bCs w:val="0"/>
                <w:color w:val="auto"/>
                <w:kern w:val="0"/>
                <w:sz w:val="24"/>
                <w:szCs w:val="24"/>
                <w:highlight w:val="none"/>
                <w:lang w:val="en-US" w:eastAsia="zh-CN" w:bidi="ar"/>
              </w:rPr>
              <w:t>/a）</w:t>
            </w:r>
            <w:r>
              <w:rPr>
                <w:rFonts w:hint="default" w:ascii="Times New Roman" w:hAnsi="Times New Roman" w:cs="Times New Roman"/>
                <w:color w:val="auto"/>
                <w:kern w:val="0"/>
              </w:rPr>
              <w:t>。</w:t>
            </w:r>
          </w:p>
          <w:p w14:paraId="30DD9EEA">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auto"/>
                <w:kern w:val="0"/>
                <w:sz w:val="24"/>
                <w:szCs w:val="24"/>
                <w:highlight w:val="none"/>
                <w:lang w:val="en-US" w:eastAsia="zh-CN" w:bidi="ar"/>
              </w:rPr>
            </w:pPr>
            <w:r>
              <w:rPr>
                <w:rFonts w:hint="default" w:ascii="Times New Roman" w:hAnsi="Times New Roman" w:eastAsia="宋体" w:cs="Times New Roman"/>
                <w:b w:val="0"/>
                <w:bCs w:val="0"/>
                <w:color w:val="auto"/>
                <w:kern w:val="0"/>
                <w:sz w:val="24"/>
                <w:szCs w:val="24"/>
                <w:highlight w:val="none"/>
                <w:lang w:val="en-US" w:eastAsia="zh-CN" w:bidi="ar"/>
              </w:rPr>
              <w:t>排水：</w:t>
            </w:r>
          </w:p>
          <w:p w14:paraId="78505A4E">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eastAsia" w:cs="Times New Roman"/>
                <w:b w:val="0"/>
                <w:bCs w:val="0"/>
                <w:color w:val="auto"/>
                <w:kern w:val="0"/>
                <w:sz w:val="24"/>
                <w:szCs w:val="24"/>
                <w:highlight w:val="none"/>
                <w:lang w:val="en-US" w:eastAsia="zh-CN" w:bidi="ar"/>
              </w:rPr>
            </w:pPr>
            <w:r>
              <w:rPr>
                <w:rFonts w:hint="eastAsia" w:cs="Times New Roman"/>
                <w:b w:val="0"/>
                <w:bCs w:val="0"/>
                <w:color w:val="auto"/>
                <w:kern w:val="0"/>
                <w:sz w:val="24"/>
                <w:szCs w:val="24"/>
                <w:highlight w:val="none"/>
                <w:lang w:val="en-US" w:eastAsia="zh-CN" w:bidi="ar"/>
              </w:rPr>
              <w:t>配煤加工废水：</w:t>
            </w:r>
            <w:r>
              <w:rPr>
                <w:rFonts w:hint="default" w:ascii="Times New Roman" w:hAnsi="Times New Roman" w:eastAsia="宋体" w:cs="Times New Roman"/>
                <w:b w:val="0"/>
                <w:bCs w:val="0"/>
                <w:color w:val="auto"/>
                <w:kern w:val="0"/>
                <w:sz w:val="24"/>
                <w:szCs w:val="24"/>
                <w:highlight w:val="none"/>
                <w:lang w:val="en-US" w:eastAsia="zh-CN" w:bidi="ar"/>
              </w:rPr>
              <w:t>本项目配煤加工</w:t>
            </w:r>
            <w:r>
              <w:rPr>
                <w:rFonts w:hint="eastAsia" w:cs="Times New Roman"/>
                <w:b w:val="0"/>
                <w:bCs w:val="0"/>
                <w:color w:val="auto"/>
                <w:kern w:val="0"/>
                <w:sz w:val="24"/>
                <w:szCs w:val="24"/>
                <w:highlight w:val="none"/>
                <w:lang w:val="en-US" w:eastAsia="zh-CN" w:bidi="ar"/>
              </w:rPr>
              <w:t>用水部分物料吸附损耗，</w:t>
            </w:r>
            <w:r>
              <w:rPr>
                <w:rFonts w:hint="default" w:ascii="Times New Roman" w:hAnsi="Times New Roman" w:cs="Times New Roman"/>
                <w:b w:val="0"/>
                <w:bCs w:val="0"/>
                <w:color w:val="auto"/>
                <w:kern w:val="0"/>
                <w:sz w:val="24"/>
                <w:szCs w:val="24"/>
                <w:highlight w:val="none"/>
                <w:lang w:val="en-US" w:eastAsia="zh-CN" w:bidi="ar"/>
              </w:rPr>
              <w:t>损耗量按用水量5%计算</w:t>
            </w:r>
            <w:r>
              <w:rPr>
                <w:rFonts w:hint="eastAsia" w:cs="Times New Roman"/>
                <w:b w:val="0"/>
                <w:bCs w:val="0"/>
                <w:color w:val="auto"/>
                <w:kern w:val="0"/>
                <w:sz w:val="24"/>
                <w:szCs w:val="24"/>
                <w:highlight w:val="none"/>
                <w:lang w:val="en-US" w:eastAsia="zh-CN" w:bidi="ar"/>
              </w:rPr>
              <w:t>为</w:t>
            </w:r>
            <w:r>
              <w:rPr>
                <w:rFonts w:hint="eastAsia" w:cs="Times New Roman"/>
                <w:b w:val="0"/>
                <w:bCs w:val="0"/>
                <w:color w:val="auto"/>
                <w:kern w:val="0"/>
                <w:sz w:val="24"/>
                <w:szCs w:val="24"/>
                <w:highlight w:val="none"/>
                <w:vertAlign w:val="baseline"/>
                <w:lang w:val="en-US" w:eastAsia="zh-CN" w:bidi="ar"/>
              </w:rPr>
              <w:t>1</w:t>
            </w:r>
            <w:r>
              <w:rPr>
                <w:rFonts w:hint="default" w:ascii="Times New Roman" w:hAnsi="Times New Roman" w:eastAsia="宋体" w:cs="Times New Roman"/>
                <w:b w:val="0"/>
                <w:bCs w:val="0"/>
                <w:color w:val="auto"/>
                <w:kern w:val="0"/>
                <w:sz w:val="24"/>
                <w:szCs w:val="24"/>
                <w:highlight w:val="none"/>
                <w:lang w:val="en-US" w:eastAsia="zh-CN" w:bidi="ar"/>
              </w:rPr>
              <w:t>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default" w:ascii="Times New Roman" w:hAnsi="Times New Roman" w:eastAsia="宋体" w:cs="Times New Roman"/>
                <w:b w:val="0"/>
                <w:bCs w:val="0"/>
                <w:color w:val="auto"/>
                <w:kern w:val="0"/>
                <w:sz w:val="24"/>
                <w:szCs w:val="24"/>
                <w:highlight w:val="none"/>
                <w:lang w:val="en-US" w:eastAsia="zh-CN" w:bidi="ar"/>
              </w:rPr>
              <w:t>/d（</w:t>
            </w:r>
            <w:r>
              <w:rPr>
                <w:rFonts w:hint="eastAsia" w:cs="Times New Roman"/>
                <w:b w:val="0"/>
                <w:bCs w:val="0"/>
                <w:color w:val="auto"/>
                <w:kern w:val="0"/>
                <w:sz w:val="24"/>
                <w:szCs w:val="24"/>
                <w:highlight w:val="none"/>
                <w:lang w:val="en-US" w:eastAsia="zh-CN" w:bidi="ar"/>
              </w:rPr>
              <w:t>300</w:t>
            </w:r>
            <w:r>
              <w:rPr>
                <w:rFonts w:hint="default" w:ascii="Times New Roman" w:hAnsi="Times New Roman" w:eastAsia="宋体" w:cs="Times New Roman"/>
                <w:b w:val="0"/>
                <w:bCs w:val="0"/>
                <w:color w:val="auto"/>
                <w:kern w:val="0"/>
                <w:sz w:val="24"/>
                <w:szCs w:val="24"/>
                <w:highlight w:val="none"/>
                <w:lang w:val="en-US" w:eastAsia="zh-CN" w:bidi="ar"/>
              </w:rPr>
              <w:t>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default" w:ascii="Times New Roman" w:hAnsi="Times New Roman" w:eastAsia="宋体" w:cs="Times New Roman"/>
                <w:b w:val="0"/>
                <w:bCs w:val="0"/>
                <w:color w:val="auto"/>
                <w:kern w:val="0"/>
                <w:sz w:val="24"/>
                <w:szCs w:val="24"/>
                <w:highlight w:val="none"/>
                <w:lang w:val="en-US" w:eastAsia="zh-CN" w:bidi="ar"/>
              </w:rPr>
              <w:t>/a）</w:t>
            </w:r>
            <w:r>
              <w:rPr>
                <w:rFonts w:hint="eastAsia" w:cs="Times New Roman"/>
                <w:b w:val="0"/>
                <w:bCs w:val="0"/>
                <w:color w:val="auto"/>
                <w:kern w:val="0"/>
                <w:sz w:val="24"/>
                <w:szCs w:val="24"/>
                <w:highlight w:val="none"/>
                <w:lang w:val="en-US" w:eastAsia="zh-CN" w:bidi="ar"/>
              </w:rPr>
              <w:t>，部分流入清水池循环使用，循环用水</w:t>
            </w:r>
            <w:r>
              <w:rPr>
                <w:rFonts w:hint="default" w:cs="Times New Roman"/>
                <w:b w:val="0"/>
                <w:bCs w:val="0"/>
                <w:color w:val="auto"/>
                <w:kern w:val="0"/>
                <w:sz w:val="24"/>
                <w:szCs w:val="24"/>
                <w:highlight w:val="none"/>
                <w:lang w:val="en-US" w:eastAsia="zh-CN" w:bidi="ar"/>
              </w:rPr>
              <w:t>19m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default" w:ascii="Times New Roman" w:hAnsi="Times New Roman" w:eastAsia="宋体" w:cs="Times New Roman"/>
                <w:b w:val="0"/>
                <w:bCs w:val="0"/>
                <w:color w:val="auto"/>
                <w:kern w:val="0"/>
                <w:sz w:val="24"/>
                <w:szCs w:val="24"/>
                <w:highlight w:val="none"/>
                <w:lang w:val="en-US" w:eastAsia="zh-CN" w:bidi="ar"/>
              </w:rPr>
              <w:t>/d（</w:t>
            </w:r>
            <w:r>
              <w:rPr>
                <w:rFonts w:hint="eastAsia" w:cs="Times New Roman"/>
                <w:b w:val="0"/>
                <w:bCs w:val="0"/>
                <w:color w:val="auto"/>
                <w:kern w:val="0"/>
                <w:sz w:val="24"/>
                <w:szCs w:val="24"/>
                <w:highlight w:val="none"/>
                <w:lang w:val="en-US" w:eastAsia="zh-CN" w:bidi="ar"/>
              </w:rPr>
              <w:t>5700</w:t>
            </w:r>
            <w:r>
              <w:rPr>
                <w:rFonts w:hint="default" w:ascii="Times New Roman" w:hAnsi="Times New Roman" w:eastAsia="宋体" w:cs="Times New Roman"/>
                <w:b w:val="0"/>
                <w:bCs w:val="0"/>
                <w:color w:val="auto"/>
                <w:kern w:val="0"/>
                <w:sz w:val="24"/>
                <w:szCs w:val="24"/>
                <w:highlight w:val="none"/>
                <w:lang w:val="en-US" w:eastAsia="zh-CN" w:bidi="ar"/>
              </w:rPr>
              <w:t>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default" w:ascii="Times New Roman" w:hAnsi="Times New Roman" w:eastAsia="宋体" w:cs="Times New Roman"/>
                <w:b w:val="0"/>
                <w:bCs w:val="0"/>
                <w:color w:val="auto"/>
                <w:kern w:val="0"/>
                <w:sz w:val="24"/>
                <w:szCs w:val="24"/>
                <w:highlight w:val="none"/>
                <w:lang w:val="en-US" w:eastAsia="zh-CN" w:bidi="ar"/>
              </w:rPr>
              <w:t>/a）</w:t>
            </w:r>
            <w:r>
              <w:rPr>
                <w:rFonts w:hint="eastAsia" w:cs="Times New Roman"/>
                <w:b w:val="0"/>
                <w:bCs w:val="0"/>
                <w:color w:val="auto"/>
                <w:kern w:val="0"/>
                <w:sz w:val="24"/>
                <w:szCs w:val="24"/>
                <w:highlight w:val="none"/>
                <w:lang w:val="en-US" w:eastAsia="zh-CN" w:bidi="ar"/>
              </w:rPr>
              <w:t>，无废水外排。</w:t>
            </w:r>
          </w:p>
          <w:p w14:paraId="3E70596D">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eastAsia" w:cs="Times New Roman"/>
                <w:b w:val="0"/>
                <w:bCs w:val="0"/>
                <w:color w:val="auto"/>
                <w:kern w:val="0"/>
                <w:sz w:val="24"/>
                <w:szCs w:val="24"/>
                <w:highlight w:val="none"/>
                <w:lang w:val="en-US" w:eastAsia="zh-CN" w:bidi="ar"/>
              </w:rPr>
            </w:pPr>
            <w:r>
              <w:rPr>
                <w:rFonts w:hint="default" w:ascii="Times New Roman" w:hAnsi="Times New Roman" w:eastAsia="宋体" w:cs="Times New Roman"/>
                <w:b w:val="0"/>
                <w:bCs w:val="0"/>
                <w:color w:val="auto"/>
                <w:kern w:val="0"/>
                <w:sz w:val="24"/>
                <w:szCs w:val="24"/>
                <w:highlight w:val="none"/>
                <w:lang w:val="en-US" w:eastAsia="zh-CN" w:bidi="ar"/>
              </w:rPr>
              <w:t>车辆冲洗用水部分蒸发损耗，</w:t>
            </w:r>
            <w:r>
              <w:rPr>
                <w:rFonts w:hint="default" w:ascii="Times New Roman" w:hAnsi="Times New Roman" w:cs="Times New Roman"/>
                <w:b w:val="0"/>
                <w:bCs w:val="0"/>
                <w:color w:val="auto"/>
                <w:kern w:val="0"/>
                <w:sz w:val="24"/>
                <w:szCs w:val="24"/>
                <w:highlight w:val="none"/>
                <w:lang w:val="en-US" w:eastAsia="zh-CN" w:bidi="ar"/>
              </w:rPr>
              <w:t>损耗量按用水量</w:t>
            </w:r>
            <w:r>
              <w:rPr>
                <w:rFonts w:hint="eastAsia" w:cs="Times New Roman"/>
                <w:b w:val="0"/>
                <w:bCs w:val="0"/>
                <w:color w:val="auto"/>
                <w:kern w:val="0"/>
                <w:sz w:val="24"/>
                <w:szCs w:val="24"/>
                <w:highlight w:val="none"/>
                <w:lang w:val="en-US" w:eastAsia="zh-CN" w:bidi="ar"/>
              </w:rPr>
              <w:t>10</w:t>
            </w:r>
            <w:r>
              <w:rPr>
                <w:rFonts w:hint="default" w:ascii="Times New Roman" w:hAnsi="Times New Roman" w:cs="Times New Roman"/>
                <w:b w:val="0"/>
                <w:bCs w:val="0"/>
                <w:color w:val="auto"/>
                <w:kern w:val="0"/>
                <w:sz w:val="24"/>
                <w:szCs w:val="24"/>
                <w:highlight w:val="none"/>
                <w:lang w:val="en-US" w:eastAsia="zh-CN" w:bidi="ar"/>
              </w:rPr>
              <w:t>%计算</w:t>
            </w:r>
            <w:r>
              <w:rPr>
                <w:rFonts w:hint="eastAsia" w:cs="Times New Roman"/>
                <w:b w:val="0"/>
                <w:bCs w:val="0"/>
                <w:color w:val="auto"/>
                <w:kern w:val="0"/>
                <w:sz w:val="24"/>
                <w:szCs w:val="24"/>
                <w:highlight w:val="none"/>
                <w:lang w:val="en-US" w:eastAsia="zh-CN" w:bidi="ar"/>
              </w:rPr>
              <w:t>为</w:t>
            </w:r>
            <w:r>
              <w:rPr>
                <w:rFonts w:hint="default" w:ascii="Times New Roman" w:hAnsi="Times New Roman" w:eastAsia="宋体" w:cs="Times New Roman"/>
                <w:b w:val="0"/>
                <w:bCs w:val="0"/>
                <w:color w:val="auto"/>
                <w:kern w:val="0"/>
                <w:sz w:val="24"/>
                <w:szCs w:val="24"/>
                <w:highlight w:val="none"/>
                <w:lang w:val="en-US" w:eastAsia="zh-CN" w:bidi="ar"/>
              </w:rPr>
              <w:t>1</w:t>
            </w:r>
            <w:r>
              <w:rPr>
                <w:rFonts w:hint="eastAsia" w:cs="Times New Roman"/>
                <w:b w:val="0"/>
                <w:bCs w:val="0"/>
                <w:color w:val="auto"/>
                <w:kern w:val="0"/>
                <w:sz w:val="24"/>
                <w:szCs w:val="24"/>
                <w:highlight w:val="none"/>
                <w:lang w:val="en-US" w:eastAsia="zh-CN" w:bidi="ar"/>
              </w:rPr>
              <w:t>.</w:t>
            </w:r>
            <w:r>
              <w:rPr>
                <w:rFonts w:hint="default" w:ascii="Times New Roman" w:hAnsi="Times New Roman" w:eastAsia="宋体" w:cs="Times New Roman"/>
                <w:b w:val="0"/>
                <w:bCs w:val="0"/>
                <w:color w:val="auto"/>
                <w:kern w:val="0"/>
                <w:sz w:val="24"/>
                <w:szCs w:val="24"/>
                <w:highlight w:val="none"/>
                <w:lang w:val="en-US" w:eastAsia="zh-CN" w:bidi="ar"/>
              </w:rPr>
              <w:t>49m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default" w:ascii="Times New Roman" w:hAnsi="Times New Roman" w:eastAsia="宋体" w:cs="Times New Roman"/>
                <w:b w:val="0"/>
                <w:bCs w:val="0"/>
                <w:color w:val="auto"/>
                <w:kern w:val="0"/>
                <w:sz w:val="24"/>
                <w:szCs w:val="24"/>
                <w:highlight w:val="none"/>
                <w:lang w:val="en-US" w:eastAsia="zh-CN" w:bidi="ar"/>
              </w:rPr>
              <w:t>/d（447m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default" w:ascii="Times New Roman" w:hAnsi="Times New Roman" w:eastAsia="宋体" w:cs="Times New Roman"/>
                <w:b w:val="0"/>
                <w:bCs w:val="0"/>
                <w:color w:val="auto"/>
                <w:kern w:val="0"/>
                <w:sz w:val="24"/>
                <w:szCs w:val="24"/>
                <w:highlight w:val="none"/>
                <w:lang w:val="en-US" w:eastAsia="zh-CN" w:bidi="ar"/>
              </w:rPr>
              <w:t>/a）</w:t>
            </w:r>
            <w:r>
              <w:rPr>
                <w:rFonts w:hint="eastAsia" w:cs="Times New Roman"/>
                <w:b w:val="0"/>
                <w:bCs w:val="0"/>
                <w:color w:val="auto"/>
                <w:kern w:val="0"/>
                <w:sz w:val="24"/>
                <w:szCs w:val="24"/>
                <w:highlight w:val="none"/>
                <w:lang w:val="en-US" w:eastAsia="zh-CN" w:bidi="ar"/>
              </w:rPr>
              <w:t>，</w:t>
            </w:r>
            <w:r>
              <w:rPr>
                <w:rFonts w:hint="default" w:ascii="Times New Roman" w:hAnsi="Times New Roman" w:eastAsia="宋体" w:cs="Times New Roman"/>
                <w:b w:val="0"/>
                <w:bCs w:val="0"/>
                <w:color w:val="auto"/>
                <w:kern w:val="0"/>
                <w:sz w:val="24"/>
                <w:szCs w:val="24"/>
                <w:highlight w:val="none"/>
                <w:lang w:val="en-US" w:eastAsia="zh-CN" w:bidi="ar"/>
              </w:rPr>
              <w:t>部分流入</w:t>
            </w:r>
            <w:r>
              <w:rPr>
                <w:rFonts w:hint="eastAsia" w:cs="Times New Roman"/>
                <w:b w:val="0"/>
                <w:bCs w:val="0"/>
                <w:color w:val="auto"/>
                <w:kern w:val="0"/>
                <w:sz w:val="24"/>
                <w:szCs w:val="24"/>
                <w:highlight w:val="none"/>
                <w:lang w:val="en-US" w:eastAsia="zh-CN" w:bidi="ar"/>
              </w:rPr>
              <w:t>洗车平台配套</w:t>
            </w:r>
            <w:r>
              <w:rPr>
                <w:rFonts w:hint="default" w:ascii="Times New Roman" w:hAnsi="Times New Roman" w:eastAsia="宋体" w:cs="Times New Roman"/>
                <w:b w:val="0"/>
                <w:bCs w:val="0"/>
                <w:color w:val="auto"/>
                <w:kern w:val="0"/>
                <w:sz w:val="24"/>
                <w:szCs w:val="24"/>
                <w:highlight w:val="none"/>
                <w:lang w:val="en-US" w:eastAsia="zh-CN" w:bidi="ar"/>
              </w:rPr>
              <w:t>沉淀池内</w:t>
            </w:r>
            <w:r>
              <w:rPr>
                <w:rFonts w:hint="eastAsia" w:cs="Times New Roman"/>
                <w:b w:val="0"/>
                <w:bCs w:val="0"/>
                <w:color w:val="auto"/>
                <w:kern w:val="0"/>
                <w:sz w:val="24"/>
                <w:szCs w:val="24"/>
                <w:highlight w:val="none"/>
                <w:lang w:val="en-US" w:eastAsia="zh-CN" w:bidi="ar"/>
              </w:rPr>
              <w:t>，循环水量</w:t>
            </w:r>
            <w:r>
              <w:rPr>
                <w:rFonts w:hint="default" w:ascii="Times New Roman" w:hAnsi="Times New Roman" w:eastAsia="宋体" w:cs="Times New Roman"/>
                <w:i w:val="0"/>
                <w:iCs w:val="0"/>
                <w:color w:val="auto"/>
                <w:kern w:val="0"/>
                <w:sz w:val="24"/>
                <w:szCs w:val="24"/>
                <w:u w:val="none"/>
                <w:lang w:val="en-US" w:eastAsia="zh-CN" w:bidi="ar"/>
              </w:rPr>
              <w:t>13.41</w:t>
            </w:r>
            <w:r>
              <w:rPr>
                <w:rFonts w:hint="default" w:cs="Times New Roman"/>
                <w:b w:val="0"/>
                <w:bCs w:val="0"/>
                <w:color w:val="auto"/>
                <w:kern w:val="0"/>
                <w:sz w:val="24"/>
                <w:szCs w:val="24"/>
                <w:highlight w:val="none"/>
                <w:lang w:val="en-US" w:eastAsia="zh-CN" w:bidi="ar"/>
              </w:rPr>
              <w:t>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default" w:ascii="Times New Roman" w:hAnsi="Times New Roman" w:eastAsia="宋体" w:cs="Times New Roman"/>
                <w:b w:val="0"/>
                <w:bCs w:val="0"/>
                <w:color w:val="auto"/>
                <w:kern w:val="0"/>
                <w:sz w:val="24"/>
                <w:szCs w:val="24"/>
                <w:highlight w:val="none"/>
                <w:lang w:val="en-US" w:eastAsia="zh-CN" w:bidi="ar"/>
              </w:rPr>
              <w:t>/d（</w:t>
            </w:r>
            <w:r>
              <w:rPr>
                <w:rFonts w:hint="eastAsia" w:cs="Times New Roman"/>
                <w:b w:val="0"/>
                <w:bCs w:val="0"/>
                <w:color w:val="auto"/>
                <w:kern w:val="0"/>
                <w:sz w:val="24"/>
                <w:szCs w:val="24"/>
                <w:highlight w:val="none"/>
                <w:lang w:val="en-US" w:eastAsia="zh-CN" w:bidi="ar"/>
              </w:rPr>
              <w:t>4023</w:t>
            </w:r>
            <w:r>
              <w:rPr>
                <w:rFonts w:hint="default" w:ascii="Times New Roman" w:hAnsi="Times New Roman" w:eastAsia="宋体" w:cs="Times New Roman"/>
                <w:b w:val="0"/>
                <w:bCs w:val="0"/>
                <w:color w:val="auto"/>
                <w:kern w:val="0"/>
                <w:sz w:val="24"/>
                <w:szCs w:val="24"/>
                <w:highlight w:val="none"/>
                <w:lang w:val="en-US" w:eastAsia="zh-CN" w:bidi="ar"/>
              </w:rPr>
              <w:t>m</w:t>
            </w:r>
            <w:r>
              <w:rPr>
                <w:rFonts w:hint="default" w:ascii="Times New Roman" w:hAnsi="Times New Roman" w:eastAsia="宋体" w:cs="Times New Roman"/>
                <w:b w:val="0"/>
                <w:bCs w:val="0"/>
                <w:color w:val="auto"/>
                <w:kern w:val="0"/>
                <w:sz w:val="24"/>
                <w:szCs w:val="24"/>
                <w:highlight w:val="none"/>
                <w:vertAlign w:val="superscript"/>
                <w:lang w:val="en-US" w:eastAsia="zh-CN" w:bidi="ar"/>
              </w:rPr>
              <w:t>3</w:t>
            </w:r>
            <w:r>
              <w:rPr>
                <w:rFonts w:hint="default" w:ascii="Times New Roman" w:hAnsi="Times New Roman" w:eastAsia="宋体" w:cs="Times New Roman"/>
                <w:b w:val="0"/>
                <w:bCs w:val="0"/>
                <w:color w:val="auto"/>
                <w:kern w:val="0"/>
                <w:sz w:val="24"/>
                <w:szCs w:val="24"/>
                <w:highlight w:val="none"/>
                <w:lang w:val="en-US" w:eastAsia="zh-CN" w:bidi="ar"/>
              </w:rPr>
              <w:t>/a）</w:t>
            </w:r>
            <w:r>
              <w:rPr>
                <w:rFonts w:hint="eastAsia" w:cs="Times New Roman"/>
                <w:b w:val="0"/>
                <w:bCs w:val="0"/>
                <w:color w:val="auto"/>
                <w:kern w:val="0"/>
                <w:sz w:val="24"/>
                <w:szCs w:val="24"/>
                <w:highlight w:val="none"/>
                <w:lang w:val="en-US" w:eastAsia="zh-CN" w:bidi="ar"/>
              </w:rPr>
              <w:t>，无废水外排。</w:t>
            </w:r>
          </w:p>
          <w:p w14:paraId="6B6450DC">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eastAsia" w:cs="Times New Roman"/>
                <w:b w:val="0"/>
                <w:bCs w:val="0"/>
                <w:color w:val="auto"/>
                <w:kern w:val="0"/>
                <w:sz w:val="24"/>
                <w:szCs w:val="24"/>
                <w:highlight w:val="none"/>
                <w:lang w:val="en-US" w:eastAsia="zh-CN" w:bidi="ar"/>
              </w:rPr>
            </w:pPr>
            <w:r>
              <w:rPr>
                <w:rFonts w:hint="default" w:ascii="Times New Roman" w:hAnsi="Times New Roman" w:eastAsia="宋体" w:cs="Times New Roman"/>
                <w:b w:val="0"/>
                <w:bCs w:val="0"/>
                <w:color w:val="auto"/>
                <w:kern w:val="0"/>
                <w:sz w:val="24"/>
                <w:szCs w:val="24"/>
                <w:highlight w:val="none"/>
                <w:lang w:val="en-US" w:eastAsia="zh-CN" w:bidi="ar"/>
              </w:rPr>
              <w:t>喷淋用水部分蒸发消耗，部分进入物料</w:t>
            </w:r>
            <w:r>
              <w:rPr>
                <w:rFonts w:hint="eastAsia" w:cs="Times New Roman"/>
                <w:b w:val="0"/>
                <w:bCs w:val="0"/>
                <w:color w:val="auto"/>
                <w:kern w:val="0"/>
                <w:sz w:val="24"/>
                <w:szCs w:val="24"/>
                <w:highlight w:val="none"/>
                <w:lang w:val="en-US" w:eastAsia="zh-CN" w:bidi="ar"/>
              </w:rPr>
              <w:t>，无废水外排。</w:t>
            </w:r>
          </w:p>
          <w:p w14:paraId="4094726A">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auto"/>
                <w:kern w:val="0"/>
                <w:sz w:val="24"/>
                <w:szCs w:val="24"/>
                <w:highlight w:val="none"/>
                <w:lang w:val="en-US" w:eastAsia="zh-CN" w:bidi="ar"/>
              </w:rPr>
            </w:pPr>
            <w:r>
              <w:rPr>
                <w:rFonts w:hint="default" w:ascii="Times New Roman" w:hAnsi="Times New Roman" w:eastAsia="宋体" w:cs="Times New Roman"/>
                <w:b w:val="0"/>
                <w:bCs w:val="0"/>
                <w:color w:val="auto"/>
                <w:kern w:val="0"/>
                <w:sz w:val="24"/>
                <w:szCs w:val="24"/>
                <w:highlight w:val="none"/>
                <w:lang w:val="en-US" w:eastAsia="zh-CN" w:bidi="ar"/>
              </w:rPr>
              <w:t>道路洒水抑尘用水、绿化用水全部蒸发消耗</w:t>
            </w:r>
            <w:r>
              <w:rPr>
                <w:rFonts w:hint="eastAsia" w:cs="Times New Roman"/>
                <w:b w:val="0"/>
                <w:bCs w:val="0"/>
                <w:color w:val="auto"/>
                <w:kern w:val="0"/>
                <w:sz w:val="24"/>
                <w:szCs w:val="24"/>
                <w:highlight w:val="none"/>
                <w:lang w:val="en-US" w:eastAsia="zh-CN" w:bidi="ar"/>
              </w:rPr>
              <w:t>，无废水外排</w:t>
            </w:r>
            <w:r>
              <w:rPr>
                <w:rFonts w:hint="default" w:ascii="Times New Roman" w:hAnsi="Times New Roman" w:eastAsia="宋体" w:cs="Times New Roman"/>
                <w:b w:val="0"/>
                <w:bCs w:val="0"/>
                <w:color w:val="auto"/>
                <w:kern w:val="0"/>
                <w:sz w:val="24"/>
                <w:szCs w:val="24"/>
                <w:highlight w:val="none"/>
                <w:lang w:val="en-US" w:eastAsia="zh-CN" w:bidi="ar"/>
              </w:rPr>
              <w:t>。</w:t>
            </w:r>
          </w:p>
          <w:p w14:paraId="0949A9DD">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auto"/>
                <w:kern w:val="0"/>
                <w:sz w:val="24"/>
                <w:szCs w:val="24"/>
                <w:highlight w:val="none"/>
                <w:lang w:val="en-US" w:eastAsia="zh-CN" w:bidi="ar"/>
              </w:rPr>
            </w:pPr>
            <w:r>
              <w:rPr>
                <w:rFonts w:hint="default" w:ascii="Times New Roman" w:hAnsi="Times New Roman" w:eastAsia="宋体" w:cs="Times New Roman"/>
                <w:b w:val="0"/>
                <w:bCs w:val="0"/>
                <w:color w:val="auto"/>
                <w:kern w:val="0"/>
                <w:sz w:val="24"/>
                <w:szCs w:val="24"/>
                <w:highlight w:val="none"/>
                <w:lang w:val="en-US" w:eastAsia="zh-CN" w:bidi="ar"/>
              </w:rPr>
              <w:t>生活污水产生量按用水量的90%计，</w:t>
            </w:r>
            <w:r>
              <w:rPr>
                <w:rFonts w:hint="default" w:ascii="Times New Roman" w:hAnsi="Times New Roman" w:cs="Times New Roman"/>
                <w:color w:val="auto"/>
                <w:szCs w:val="32"/>
              </w:rPr>
              <w:t>则</w:t>
            </w:r>
            <w:r>
              <w:rPr>
                <w:rFonts w:hint="default" w:ascii="Times New Roman" w:hAnsi="Times New Roman" w:eastAsia="宋体" w:cs="Times New Roman"/>
                <w:b w:val="0"/>
                <w:bCs w:val="0"/>
                <w:color w:val="auto"/>
                <w:kern w:val="0"/>
                <w:sz w:val="24"/>
                <w:szCs w:val="24"/>
                <w:highlight w:val="none"/>
                <w:lang w:val="en-US" w:eastAsia="zh-CN" w:bidi="ar"/>
              </w:rPr>
              <w:t>生活污水</w:t>
            </w:r>
            <w:r>
              <w:rPr>
                <w:rFonts w:hint="default" w:ascii="Times New Roman" w:hAnsi="Times New Roman" w:cs="Times New Roman"/>
                <w:color w:val="auto"/>
                <w:szCs w:val="32"/>
              </w:rPr>
              <w:t>产生量</w:t>
            </w:r>
            <w:r>
              <w:rPr>
                <w:rFonts w:hint="default" w:ascii="Times New Roman" w:hAnsi="Times New Roman" w:eastAsia="宋体" w:cs="Times New Roman"/>
                <w:color w:val="auto"/>
                <w:szCs w:val="32"/>
              </w:rPr>
              <w:t>为</w:t>
            </w:r>
            <w:r>
              <w:rPr>
                <w:rFonts w:hint="eastAsia" w:cs="Times New Roman"/>
                <w:color w:val="auto"/>
                <w:szCs w:val="32"/>
                <w:lang w:val="en-US" w:eastAsia="zh-CN"/>
              </w:rPr>
              <w:t>6.75</w:t>
            </w:r>
            <w:r>
              <w:rPr>
                <w:rFonts w:hint="default" w:ascii="Times New Roman" w:hAnsi="Times New Roman" w:eastAsia="宋体" w:cs="Times New Roman"/>
                <w:color w:val="auto"/>
                <w:szCs w:val="32"/>
              </w:rPr>
              <w:t>m</w:t>
            </w:r>
            <w:r>
              <w:rPr>
                <w:rFonts w:hint="default" w:ascii="Times New Roman" w:hAnsi="Times New Roman" w:eastAsia="宋体" w:cs="Times New Roman"/>
                <w:color w:val="auto"/>
                <w:szCs w:val="32"/>
                <w:vertAlign w:val="superscript"/>
              </w:rPr>
              <w:t>3</w:t>
            </w:r>
            <w:r>
              <w:rPr>
                <w:rFonts w:hint="default" w:ascii="Times New Roman" w:hAnsi="Times New Roman" w:eastAsia="宋体" w:cs="Times New Roman"/>
                <w:color w:val="auto"/>
                <w:szCs w:val="32"/>
              </w:rPr>
              <w:t>/d</w:t>
            </w:r>
            <w:r>
              <w:rPr>
                <w:rFonts w:hint="default" w:ascii="Times New Roman" w:hAnsi="Times New Roman" w:eastAsia="宋体" w:cs="Times New Roman"/>
                <w:color w:val="auto"/>
                <w:szCs w:val="32"/>
                <w:lang w:eastAsia="zh-CN"/>
              </w:rPr>
              <w:t>，</w:t>
            </w:r>
            <w:r>
              <w:rPr>
                <w:rFonts w:hint="default" w:ascii="Times New Roman" w:hAnsi="Times New Roman" w:eastAsia="宋体" w:cs="Times New Roman"/>
                <w:b w:val="0"/>
                <w:bCs w:val="0"/>
                <w:color w:val="auto"/>
                <w:kern w:val="0"/>
                <w:sz w:val="24"/>
                <w:szCs w:val="24"/>
                <w:highlight w:val="none"/>
                <w:lang w:val="en-US" w:eastAsia="zh-CN" w:bidi="ar"/>
              </w:rPr>
              <w:t>直接排入</w:t>
            </w:r>
            <w:r>
              <w:rPr>
                <w:rFonts w:hint="default" w:ascii="Times New Roman" w:hAnsi="Times New Roman" w:cs="Times New Roman"/>
                <w:color w:val="auto"/>
                <w:szCs w:val="32"/>
              </w:rPr>
              <w:t>市政污水管网</w:t>
            </w:r>
            <w:r>
              <w:rPr>
                <w:rFonts w:hint="default" w:ascii="Times New Roman" w:hAnsi="Times New Roman" w:cs="Times New Roman"/>
                <w:color w:val="auto"/>
                <w:szCs w:val="32"/>
                <w:lang w:eastAsia="zh-CN"/>
              </w:rPr>
              <w:t>。</w:t>
            </w:r>
          </w:p>
          <w:p w14:paraId="78DC9C51">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auto"/>
                <w:kern w:val="0"/>
                <w:sz w:val="24"/>
                <w:szCs w:val="24"/>
                <w:highlight w:val="none"/>
                <w:lang w:val="en-US" w:eastAsia="zh-CN" w:bidi="ar"/>
              </w:rPr>
            </w:pPr>
            <w:r>
              <w:rPr>
                <w:rFonts w:hint="default" w:ascii="Times New Roman" w:hAnsi="Times New Roman" w:cs="Times New Roman"/>
                <w:color w:val="auto"/>
                <w:szCs w:val="32"/>
              </w:rPr>
              <w:t>食堂废水产生量按用水量的80%计，则食堂废水产生量为</w:t>
            </w:r>
            <w:r>
              <w:rPr>
                <w:rFonts w:hint="eastAsia" w:cs="Times New Roman"/>
                <w:color w:val="auto"/>
                <w:szCs w:val="32"/>
                <w:lang w:val="en-US" w:eastAsia="zh-CN"/>
              </w:rPr>
              <w:t>3.6</w:t>
            </w:r>
            <w:r>
              <w:rPr>
                <w:rFonts w:hint="default" w:ascii="Times New Roman" w:hAnsi="Times New Roman" w:cs="Times New Roman"/>
                <w:color w:val="auto"/>
                <w:szCs w:val="32"/>
              </w:rPr>
              <w:t>m</w:t>
            </w:r>
            <w:r>
              <w:rPr>
                <w:rFonts w:hint="default" w:ascii="Times New Roman" w:hAnsi="Times New Roman" w:cs="Times New Roman"/>
                <w:color w:val="auto"/>
                <w:szCs w:val="32"/>
                <w:vertAlign w:val="superscript"/>
              </w:rPr>
              <w:t>3</w:t>
            </w:r>
            <w:r>
              <w:rPr>
                <w:rFonts w:hint="default" w:ascii="Times New Roman" w:hAnsi="Times New Roman" w:cs="Times New Roman"/>
                <w:color w:val="auto"/>
                <w:szCs w:val="32"/>
              </w:rPr>
              <w:t>/d，食堂废水经油水分离器处理后排污市政污水管网。</w:t>
            </w:r>
          </w:p>
          <w:p w14:paraId="5A2D7F82">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auto"/>
                <w:kern w:val="0"/>
                <w:sz w:val="24"/>
                <w:szCs w:val="24"/>
                <w:highlight w:val="none"/>
                <w:lang w:val="en-US" w:eastAsia="zh-CN" w:bidi="ar"/>
              </w:rPr>
              <w:t>生产区东西两侧道路外边界处设置深度1m的排水沟，长度共1.3km，生产区内的含煤雨水经排水沟收集后排入雨水沉淀池，15分钟后</w:t>
            </w:r>
            <w:r>
              <w:rPr>
                <w:rFonts w:hint="default" w:ascii="Times New Roman" w:hAnsi="Times New Roman" w:eastAsia="宋体" w:cs="Times New Roman"/>
                <w:b w:val="0"/>
                <w:bCs w:val="0"/>
                <w:color w:val="000000"/>
                <w:kern w:val="0"/>
                <w:sz w:val="24"/>
                <w:szCs w:val="24"/>
                <w:highlight w:val="none"/>
                <w:lang w:val="en-US" w:eastAsia="zh-CN" w:bidi="ar"/>
              </w:rPr>
              <w:t>的清净雨水经收集后排入市政雨水管网。</w:t>
            </w:r>
          </w:p>
          <w:p w14:paraId="7EABA1BA">
            <w:pPr>
              <w:keepNext w:val="0"/>
              <w:keepLines w:val="0"/>
              <w:widowControl/>
              <w:suppressLineNumbers w:val="0"/>
              <w:jc w:val="center"/>
              <w:rPr>
                <w:rFonts w:hint="eastAsia" w:ascii="宋体" w:hAnsi="宋体" w:eastAsia="宋体" w:cs="宋体"/>
                <w:b/>
                <w:bCs/>
                <w:color w:val="000000"/>
                <w:kern w:val="0"/>
                <w:sz w:val="24"/>
                <w:szCs w:val="24"/>
                <w:lang w:val="en-US" w:eastAsia="zh-CN" w:bidi="ar"/>
              </w:rPr>
            </w:pPr>
          </w:p>
          <w:p w14:paraId="770336E8">
            <w:pPr>
              <w:keepNext w:val="0"/>
              <w:keepLines w:val="0"/>
              <w:widowControl/>
              <w:suppressLineNumbers w:val="0"/>
              <w:jc w:val="center"/>
              <w:rPr>
                <w:rFonts w:hint="eastAsia" w:ascii="宋体" w:hAnsi="宋体" w:eastAsia="宋体" w:cs="宋体"/>
                <w:b/>
                <w:bCs/>
                <w:color w:val="000000"/>
                <w:kern w:val="0"/>
                <w:sz w:val="24"/>
                <w:szCs w:val="24"/>
                <w:lang w:val="en-US" w:eastAsia="zh-CN" w:bidi="ar"/>
              </w:rPr>
            </w:pPr>
          </w:p>
          <w:p w14:paraId="67063496">
            <w:pPr>
              <w:keepNext w:val="0"/>
              <w:keepLines w:val="0"/>
              <w:widowControl/>
              <w:suppressLineNumbers w:val="0"/>
              <w:jc w:val="center"/>
            </w:pPr>
            <w:r>
              <w:rPr>
                <w:rFonts w:hint="eastAsia" w:ascii="宋体" w:hAnsi="宋体" w:eastAsia="宋体" w:cs="宋体"/>
                <w:b/>
                <w:bCs/>
                <w:color w:val="000000"/>
                <w:kern w:val="0"/>
                <w:sz w:val="24"/>
                <w:szCs w:val="24"/>
                <w:lang w:val="en-US" w:eastAsia="zh-CN" w:bidi="ar"/>
              </w:rPr>
              <w:t>表</w:t>
            </w:r>
            <w:r>
              <w:rPr>
                <w:rFonts w:hint="default" w:ascii="Times New Roman" w:hAnsi="Times New Roman" w:eastAsia="宋体" w:cs="Times New Roman"/>
                <w:b/>
                <w:bCs/>
                <w:color w:val="000000"/>
                <w:kern w:val="0"/>
                <w:sz w:val="24"/>
                <w:szCs w:val="24"/>
                <w:lang w:val="en-US" w:eastAsia="zh-CN" w:bidi="ar"/>
              </w:rPr>
              <w:t>2-</w:t>
            </w:r>
            <w:r>
              <w:rPr>
                <w:rFonts w:hint="eastAsia" w:cs="Times New Roman"/>
                <w:b/>
                <w:bCs/>
                <w:color w:val="000000"/>
                <w:kern w:val="0"/>
                <w:sz w:val="24"/>
                <w:szCs w:val="24"/>
                <w:lang w:val="en-US" w:eastAsia="zh-CN" w:bidi="ar"/>
              </w:rPr>
              <w:t>7</w:t>
            </w:r>
            <w:r>
              <w:rPr>
                <w:rFonts w:hint="default" w:ascii="Times New Roman" w:hAnsi="Times New Roman" w:eastAsia="宋体" w:cs="Times New Roman"/>
                <w:b/>
                <w:bCs/>
                <w:color w:val="000000"/>
                <w:kern w:val="0"/>
                <w:sz w:val="24"/>
                <w:szCs w:val="24"/>
                <w:lang w:val="en-US" w:eastAsia="zh-CN" w:bidi="ar"/>
              </w:rPr>
              <w:t xml:space="preserve"> </w:t>
            </w:r>
            <w:r>
              <w:rPr>
                <w:rFonts w:hint="eastAsia" w:ascii="宋体" w:hAnsi="宋体" w:eastAsia="宋体" w:cs="宋体"/>
                <w:b/>
                <w:bCs/>
                <w:color w:val="000000"/>
                <w:kern w:val="0"/>
                <w:sz w:val="24"/>
                <w:szCs w:val="24"/>
                <w:lang w:val="en-US" w:eastAsia="zh-CN" w:bidi="ar"/>
              </w:rPr>
              <w:t>本项目</w:t>
            </w:r>
            <w:r>
              <w:rPr>
                <w:rFonts w:hint="eastAsia" w:ascii="宋体" w:hAnsi="宋体" w:cs="宋体"/>
                <w:b/>
                <w:bCs/>
                <w:color w:val="000000"/>
                <w:kern w:val="0"/>
                <w:sz w:val="24"/>
                <w:szCs w:val="24"/>
                <w:lang w:val="en-US" w:eastAsia="zh-CN" w:bidi="ar"/>
              </w:rPr>
              <w:t>绿化季节</w:t>
            </w:r>
            <w:r>
              <w:rPr>
                <w:rFonts w:hint="eastAsia" w:ascii="宋体" w:hAnsi="宋体" w:eastAsia="宋体" w:cs="宋体"/>
                <w:b/>
                <w:bCs/>
                <w:color w:val="000000"/>
                <w:kern w:val="0"/>
                <w:sz w:val="24"/>
                <w:szCs w:val="24"/>
                <w:lang w:val="en-US" w:eastAsia="zh-CN" w:bidi="ar"/>
              </w:rPr>
              <w:t>给排水平衡表（单位：</w:t>
            </w:r>
            <w:r>
              <w:rPr>
                <w:rFonts w:hint="default" w:ascii="Times New Roman" w:hAnsi="Times New Roman" w:eastAsia="宋体" w:cs="Times New Roman"/>
                <w:b/>
                <w:bCs/>
                <w:color w:val="000000"/>
                <w:kern w:val="0"/>
                <w:sz w:val="24"/>
                <w:szCs w:val="24"/>
                <w:lang w:val="en-US" w:eastAsia="zh-CN" w:bidi="ar"/>
              </w:rPr>
              <w:t>m</w:t>
            </w:r>
            <w:r>
              <w:rPr>
                <w:rFonts w:hint="eastAsia" w:cs="Times New Roman"/>
                <w:b/>
                <w:bCs/>
                <w:color w:val="000000"/>
                <w:kern w:val="0"/>
                <w:sz w:val="24"/>
                <w:szCs w:val="24"/>
                <w:vertAlign w:val="superscript"/>
                <w:lang w:val="en-US" w:eastAsia="zh-CN" w:bidi="ar"/>
              </w:rPr>
              <w:t>3</w:t>
            </w:r>
            <w:r>
              <w:rPr>
                <w:rFonts w:hint="default" w:ascii="Times New Roman" w:hAnsi="Times New Roman" w:eastAsia="宋体" w:cs="Times New Roman"/>
                <w:b/>
                <w:bCs/>
                <w:color w:val="000000"/>
                <w:kern w:val="0"/>
                <w:sz w:val="24"/>
                <w:szCs w:val="24"/>
                <w:lang w:val="en-US" w:eastAsia="zh-CN" w:bidi="ar"/>
              </w:rPr>
              <w:t>/d</w:t>
            </w:r>
            <w:r>
              <w:rPr>
                <w:rFonts w:hint="eastAsia" w:ascii="宋体" w:hAnsi="宋体" w:eastAsia="宋体" w:cs="宋体"/>
                <w:b/>
                <w:bCs/>
                <w:color w:val="000000"/>
                <w:kern w:val="0"/>
                <w:sz w:val="24"/>
                <w:szCs w:val="24"/>
                <w:lang w:val="en-US" w:eastAsia="zh-CN" w:bidi="ar"/>
              </w:rPr>
              <w:t>）</w:t>
            </w:r>
          </w:p>
          <w:tbl>
            <w:tblPr>
              <w:tblStyle w:val="26"/>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8"/>
              <w:gridCol w:w="1901"/>
              <w:gridCol w:w="1071"/>
              <w:gridCol w:w="1215"/>
              <w:gridCol w:w="1215"/>
              <w:gridCol w:w="1125"/>
              <w:gridCol w:w="1104"/>
            </w:tblGrid>
            <w:tr w14:paraId="316A52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trPr>
              <w:tc>
                <w:tcPr>
                  <w:tcW w:w="446" w:type="pct"/>
                  <w:noWrap w:val="0"/>
                  <w:vAlign w:val="center"/>
                </w:tcPr>
                <w:p w14:paraId="707F50B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序号</w:t>
                  </w:r>
                </w:p>
              </w:tc>
              <w:tc>
                <w:tcPr>
                  <w:tcW w:w="1134" w:type="pct"/>
                  <w:noWrap w:val="0"/>
                  <w:vAlign w:val="center"/>
                </w:tcPr>
                <w:p w14:paraId="1F87882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用水环节</w:t>
                  </w:r>
                </w:p>
              </w:tc>
              <w:tc>
                <w:tcPr>
                  <w:tcW w:w="639" w:type="pct"/>
                  <w:noWrap w:val="0"/>
                  <w:vAlign w:val="center"/>
                </w:tcPr>
                <w:p w14:paraId="3D9B08B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总用水量</w:t>
                  </w:r>
                </w:p>
              </w:tc>
              <w:tc>
                <w:tcPr>
                  <w:tcW w:w="725" w:type="pct"/>
                  <w:noWrap w:val="0"/>
                  <w:vAlign w:val="center"/>
                </w:tcPr>
                <w:p w14:paraId="164B4E3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新水量</w:t>
                  </w:r>
                </w:p>
              </w:tc>
              <w:tc>
                <w:tcPr>
                  <w:tcW w:w="725" w:type="pct"/>
                  <w:noWrap w:val="0"/>
                  <w:vAlign w:val="center"/>
                </w:tcPr>
                <w:p w14:paraId="5FCE830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循环水量</w:t>
                  </w:r>
                </w:p>
              </w:tc>
              <w:tc>
                <w:tcPr>
                  <w:tcW w:w="671" w:type="pct"/>
                  <w:noWrap w:val="0"/>
                  <w:vAlign w:val="center"/>
                </w:tcPr>
                <w:p w14:paraId="4955425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损耗水量</w:t>
                  </w:r>
                </w:p>
              </w:tc>
              <w:tc>
                <w:tcPr>
                  <w:tcW w:w="658" w:type="pct"/>
                  <w:noWrap w:val="0"/>
                  <w:vAlign w:val="center"/>
                </w:tcPr>
                <w:p w14:paraId="42E34134">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排放量</w:t>
                  </w:r>
                </w:p>
              </w:tc>
            </w:tr>
            <w:tr w14:paraId="2C7A89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trPr>
              <w:tc>
                <w:tcPr>
                  <w:tcW w:w="446" w:type="pct"/>
                  <w:noWrap w:val="0"/>
                  <w:vAlign w:val="center"/>
                </w:tcPr>
                <w:p w14:paraId="49E8C0F5">
                  <w:pPr>
                    <w:keepNext w:val="0"/>
                    <w:keepLines w:val="0"/>
                    <w:pageBreakBefore w:val="0"/>
                    <w:widowControl/>
                    <w:numPr>
                      <w:ilvl w:val="0"/>
                      <w:numId w:val="0"/>
                    </w:numPr>
                    <w:suppressLineNumbers w:val="0"/>
                    <w:kinsoku/>
                    <w:wordWrap/>
                    <w:overflowPunct/>
                    <w:topLinePunct w:val="0"/>
                    <w:autoSpaceDE/>
                    <w:autoSpaceDN/>
                    <w:bidi w:val="0"/>
                    <w:adjustRightInd/>
                    <w:snapToGrid/>
                    <w:spacing w:line="240" w:lineRule="auto"/>
                    <w:ind w:left="425" w:leftChars="0" w:hanging="425" w:firstLineChars="0"/>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1.</w:t>
                  </w:r>
                </w:p>
              </w:tc>
              <w:tc>
                <w:tcPr>
                  <w:tcW w:w="1134" w:type="pct"/>
                  <w:noWrap w:val="0"/>
                  <w:vAlign w:val="center"/>
                </w:tcPr>
                <w:p w14:paraId="39D78798">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配煤加工用水</w:t>
                  </w:r>
                </w:p>
              </w:tc>
              <w:tc>
                <w:tcPr>
                  <w:tcW w:w="639" w:type="pct"/>
                  <w:noWrap w:val="0"/>
                  <w:vAlign w:val="center"/>
                </w:tcPr>
                <w:p w14:paraId="182A2939">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725" w:type="pct"/>
                  <w:shd w:val="clear" w:color="auto" w:fill="auto"/>
                  <w:noWrap w:val="0"/>
                  <w:vAlign w:val="center"/>
                </w:tcPr>
                <w:p w14:paraId="17770576">
                  <w:pPr>
                    <w:keepNext w:val="0"/>
                    <w:keepLines w:val="0"/>
                    <w:widowControl/>
                    <w:suppressLineNumbers w:val="0"/>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eastAsia" w:cs="Times New Roman"/>
                      <w:i w:val="0"/>
                      <w:iCs w:val="0"/>
                      <w:color w:val="auto"/>
                      <w:kern w:val="0"/>
                      <w:sz w:val="21"/>
                      <w:szCs w:val="21"/>
                      <w:u w:val="none"/>
                      <w:lang w:val="en-US" w:eastAsia="zh-CN" w:bidi="ar"/>
                    </w:rPr>
                    <w:t>1</w:t>
                  </w:r>
                </w:p>
              </w:tc>
              <w:tc>
                <w:tcPr>
                  <w:tcW w:w="725" w:type="pct"/>
                  <w:noWrap w:val="0"/>
                  <w:vAlign w:val="center"/>
                </w:tcPr>
                <w:p w14:paraId="1633364C">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19</w:t>
                  </w:r>
                </w:p>
              </w:tc>
              <w:tc>
                <w:tcPr>
                  <w:tcW w:w="671" w:type="pct"/>
                  <w:noWrap w:val="0"/>
                  <w:vAlign w:val="center"/>
                </w:tcPr>
                <w:p w14:paraId="348E1D8E">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658" w:type="pct"/>
                  <w:noWrap w:val="0"/>
                  <w:vAlign w:val="center"/>
                </w:tcPr>
                <w:p w14:paraId="03505F8C">
                  <w:pPr>
                    <w:keepNext w:val="0"/>
                    <w:keepLines w:val="0"/>
                    <w:widowControl/>
                    <w:suppressLineNumbers w:val="0"/>
                    <w:jc w:val="center"/>
                    <w:textAlignment w:val="center"/>
                    <w:rPr>
                      <w:rFonts w:hint="default" w:cs="Times New Roman"/>
                      <w:b w:val="0"/>
                      <w:bCs w:val="0"/>
                      <w:color w:val="000000"/>
                      <w:kern w:val="0"/>
                      <w:sz w:val="24"/>
                      <w:szCs w:val="24"/>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2264A6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trPr>
              <w:tc>
                <w:tcPr>
                  <w:tcW w:w="446" w:type="pct"/>
                  <w:noWrap w:val="0"/>
                  <w:vAlign w:val="center"/>
                </w:tcPr>
                <w:p w14:paraId="7DE30472">
                  <w:pPr>
                    <w:keepNext w:val="0"/>
                    <w:keepLines w:val="0"/>
                    <w:pageBreakBefore w:val="0"/>
                    <w:widowControl/>
                    <w:numPr>
                      <w:ilvl w:val="0"/>
                      <w:numId w:val="0"/>
                    </w:numPr>
                    <w:suppressLineNumbers w:val="0"/>
                    <w:kinsoku/>
                    <w:wordWrap/>
                    <w:overflowPunct/>
                    <w:topLinePunct w:val="0"/>
                    <w:autoSpaceDE/>
                    <w:autoSpaceDN/>
                    <w:bidi w:val="0"/>
                    <w:adjustRightInd/>
                    <w:snapToGrid/>
                    <w:spacing w:line="240" w:lineRule="auto"/>
                    <w:ind w:left="425" w:leftChars="0" w:hanging="425" w:firstLineChars="0"/>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2.</w:t>
                  </w:r>
                </w:p>
              </w:tc>
              <w:tc>
                <w:tcPr>
                  <w:tcW w:w="1134" w:type="pct"/>
                  <w:noWrap w:val="0"/>
                  <w:vAlign w:val="center"/>
                </w:tcPr>
                <w:p w14:paraId="711922A9">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车辆冲洗用水</w:t>
                  </w:r>
                </w:p>
              </w:tc>
              <w:tc>
                <w:tcPr>
                  <w:tcW w:w="639" w:type="pct"/>
                  <w:noWrap w:val="0"/>
                  <w:vAlign w:val="center"/>
                </w:tcPr>
                <w:p w14:paraId="4F78A17F">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14.9</w:t>
                  </w:r>
                </w:p>
              </w:tc>
              <w:tc>
                <w:tcPr>
                  <w:tcW w:w="725" w:type="pct"/>
                  <w:shd w:val="clear" w:color="auto" w:fill="auto"/>
                  <w:noWrap w:val="0"/>
                  <w:vAlign w:val="center"/>
                </w:tcPr>
                <w:p w14:paraId="4F365EFA">
                  <w:pPr>
                    <w:keepNext w:val="0"/>
                    <w:keepLines w:val="0"/>
                    <w:widowControl/>
                    <w:suppressLineNumbers w:val="0"/>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eastAsia" w:cs="Times New Roman"/>
                      <w:i w:val="0"/>
                      <w:iCs w:val="0"/>
                      <w:color w:val="auto"/>
                      <w:kern w:val="0"/>
                      <w:sz w:val="21"/>
                      <w:szCs w:val="21"/>
                      <w:u w:val="none"/>
                      <w:lang w:val="en-US" w:eastAsia="zh-CN" w:bidi="ar"/>
                    </w:rPr>
                    <w:t>1.49</w:t>
                  </w:r>
                </w:p>
              </w:tc>
              <w:tc>
                <w:tcPr>
                  <w:tcW w:w="725" w:type="pct"/>
                  <w:noWrap w:val="0"/>
                  <w:vAlign w:val="center"/>
                </w:tcPr>
                <w:p w14:paraId="6C1F5CC4">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13.41</w:t>
                  </w:r>
                </w:p>
              </w:tc>
              <w:tc>
                <w:tcPr>
                  <w:tcW w:w="671" w:type="pct"/>
                  <w:noWrap w:val="0"/>
                  <w:vAlign w:val="center"/>
                </w:tcPr>
                <w:p w14:paraId="4D6110C4">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1.49</w:t>
                  </w:r>
                </w:p>
              </w:tc>
              <w:tc>
                <w:tcPr>
                  <w:tcW w:w="658" w:type="pct"/>
                  <w:noWrap w:val="0"/>
                  <w:vAlign w:val="center"/>
                </w:tcPr>
                <w:p w14:paraId="1E05CF22">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37CB02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trPr>
              <w:tc>
                <w:tcPr>
                  <w:tcW w:w="446" w:type="pct"/>
                  <w:noWrap w:val="0"/>
                  <w:vAlign w:val="center"/>
                </w:tcPr>
                <w:p w14:paraId="1129E70C">
                  <w:pPr>
                    <w:keepNext w:val="0"/>
                    <w:keepLines w:val="0"/>
                    <w:pageBreakBefore w:val="0"/>
                    <w:widowControl/>
                    <w:numPr>
                      <w:ilvl w:val="0"/>
                      <w:numId w:val="0"/>
                    </w:numPr>
                    <w:suppressLineNumbers w:val="0"/>
                    <w:kinsoku/>
                    <w:wordWrap/>
                    <w:overflowPunct/>
                    <w:topLinePunct w:val="0"/>
                    <w:autoSpaceDE/>
                    <w:autoSpaceDN/>
                    <w:bidi w:val="0"/>
                    <w:adjustRightInd/>
                    <w:snapToGrid/>
                    <w:spacing w:line="240" w:lineRule="auto"/>
                    <w:ind w:left="425" w:leftChars="0" w:hanging="425" w:firstLineChars="0"/>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3.</w:t>
                  </w:r>
                </w:p>
              </w:tc>
              <w:tc>
                <w:tcPr>
                  <w:tcW w:w="1134" w:type="pct"/>
                  <w:noWrap w:val="0"/>
                  <w:vAlign w:val="center"/>
                </w:tcPr>
                <w:p w14:paraId="6870459F">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喷淋用水</w:t>
                  </w:r>
                </w:p>
              </w:tc>
              <w:tc>
                <w:tcPr>
                  <w:tcW w:w="639" w:type="pct"/>
                  <w:noWrap w:val="0"/>
                  <w:vAlign w:val="center"/>
                </w:tcPr>
                <w:p w14:paraId="28831D18">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69.12</w:t>
                  </w:r>
                </w:p>
              </w:tc>
              <w:tc>
                <w:tcPr>
                  <w:tcW w:w="725" w:type="pct"/>
                  <w:shd w:val="clear" w:color="auto" w:fill="auto"/>
                  <w:noWrap w:val="0"/>
                  <w:vAlign w:val="center"/>
                </w:tcPr>
                <w:p w14:paraId="64A73488">
                  <w:pPr>
                    <w:keepNext w:val="0"/>
                    <w:keepLines w:val="0"/>
                    <w:widowControl/>
                    <w:suppressLineNumbers w:val="0"/>
                    <w:jc w:val="center"/>
                    <w:textAlignment w:val="center"/>
                    <w:rPr>
                      <w:rFonts w:hint="eastAsia"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69.12</w:t>
                  </w:r>
                </w:p>
              </w:tc>
              <w:tc>
                <w:tcPr>
                  <w:tcW w:w="725" w:type="pct"/>
                  <w:noWrap w:val="0"/>
                  <w:vAlign w:val="center"/>
                </w:tcPr>
                <w:p w14:paraId="6E738A7E">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671" w:type="pct"/>
                  <w:noWrap w:val="0"/>
                  <w:vAlign w:val="center"/>
                </w:tcPr>
                <w:p w14:paraId="0DC8213C">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69.12</w:t>
                  </w:r>
                </w:p>
              </w:tc>
              <w:tc>
                <w:tcPr>
                  <w:tcW w:w="658" w:type="pct"/>
                  <w:noWrap w:val="0"/>
                  <w:vAlign w:val="center"/>
                </w:tcPr>
                <w:p w14:paraId="667E4877">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469D6E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trPr>
              <w:tc>
                <w:tcPr>
                  <w:tcW w:w="446" w:type="pct"/>
                  <w:noWrap w:val="0"/>
                  <w:vAlign w:val="center"/>
                </w:tcPr>
                <w:p w14:paraId="146EBD40">
                  <w:pPr>
                    <w:keepNext w:val="0"/>
                    <w:keepLines w:val="0"/>
                    <w:pageBreakBefore w:val="0"/>
                    <w:widowControl/>
                    <w:numPr>
                      <w:ilvl w:val="0"/>
                      <w:numId w:val="0"/>
                    </w:numPr>
                    <w:suppressLineNumbers w:val="0"/>
                    <w:kinsoku/>
                    <w:wordWrap/>
                    <w:overflowPunct/>
                    <w:topLinePunct w:val="0"/>
                    <w:autoSpaceDE/>
                    <w:autoSpaceDN/>
                    <w:bidi w:val="0"/>
                    <w:adjustRightInd/>
                    <w:snapToGrid/>
                    <w:spacing w:line="240" w:lineRule="auto"/>
                    <w:ind w:left="425" w:leftChars="0" w:hanging="425" w:firstLineChars="0"/>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4.</w:t>
                  </w:r>
                </w:p>
              </w:tc>
              <w:tc>
                <w:tcPr>
                  <w:tcW w:w="1134" w:type="pct"/>
                  <w:noWrap w:val="0"/>
                  <w:vAlign w:val="center"/>
                </w:tcPr>
                <w:p w14:paraId="3029965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道路洒水抑尘用水</w:t>
                  </w:r>
                </w:p>
              </w:tc>
              <w:tc>
                <w:tcPr>
                  <w:tcW w:w="639" w:type="pct"/>
                  <w:noWrap w:val="0"/>
                  <w:vAlign w:val="center"/>
                </w:tcPr>
                <w:p w14:paraId="44F49CD6">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45.76</w:t>
                  </w:r>
                </w:p>
              </w:tc>
              <w:tc>
                <w:tcPr>
                  <w:tcW w:w="725" w:type="pct"/>
                  <w:shd w:val="clear" w:color="auto" w:fill="auto"/>
                  <w:noWrap w:val="0"/>
                  <w:vAlign w:val="center"/>
                </w:tcPr>
                <w:p w14:paraId="74428EBC">
                  <w:pPr>
                    <w:keepNext w:val="0"/>
                    <w:keepLines w:val="0"/>
                    <w:widowControl/>
                    <w:suppressLineNumbers w:val="0"/>
                    <w:jc w:val="center"/>
                    <w:textAlignment w:val="center"/>
                    <w:rPr>
                      <w:rFonts w:hint="eastAsia"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45.76</w:t>
                  </w:r>
                </w:p>
              </w:tc>
              <w:tc>
                <w:tcPr>
                  <w:tcW w:w="725" w:type="pct"/>
                  <w:noWrap w:val="0"/>
                  <w:vAlign w:val="center"/>
                </w:tcPr>
                <w:p w14:paraId="64C03A5E">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671" w:type="pct"/>
                  <w:noWrap w:val="0"/>
                  <w:vAlign w:val="center"/>
                </w:tcPr>
                <w:p w14:paraId="12483803">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45.76</w:t>
                  </w:r>
                </w:p>
              </w:tc>
              <w:tc>
                <w:tcPr>
                  <w:tcW w:w="658" w:type="pct"/>
                  <w:noWrap w:val="0"/>
                  <w:vAlign w:val="center"/>
                </w:tcPr>
                <w:p w14:paraId="1985D7A2">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64F406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trPr>
              <w:tc>
                <w:tcPr>
                  <w:tcW w:w="446" w:type="pct"/>
                  <w:noWrap w:val="0"/>
                  <w:vAlign w:val="center"/>
                </w:tcPr>
                <w:p w14:paraId="1F0B9850">
                  <w:pPr>
                    <w:keepNext w:val="0"/>
                    <w:keepLines w:val="0"/>
                    <w:pageBreakBefore w:val="0"/>
                    <w:widowControl/>
                    <w:numPr>
                      <w:ilvl w:val="0"/>
                      <w:numId w:val="0"/>
                    </w:numPr>
                    <w:suppressLineNumbers w:val="0"/>
                    <w:kinsoku/>
                    <w:wordWrap/>
                    <w:overflowPunct/>
                    <w:topLinePunct w:val="0"/>
                    <w:autoSpaceDE/>
                    <w:autoSpaceDN/>
                    <w:bidi w:val="0"/>
                    <w:adjustRightInd/>
                    <w:snapToGrid/>
                    <w:spacing w:line="240" w:lineRule="auto"/>
                    <w:ind w:left="425" w:leftChars="0" w:hanging="425" w:firstLineChars="0"/>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5.</w:t>
                  </w:r>
                </w:p>
              </w:tc>
              <w:tc>
                <w:tcPr>
                  <w:tcW w:w="1134" w:type="pct"/>
                  <w:noWrap w:val="0"/>
                  <w:vAlign w:val="center"/>
                </w:tcPr>
                <w:p w14:paraId="568768B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绿化用水</w:t>
                  </w:r>
                </w:p>
              </w:tc>
              <w:tc>
                <w:tcPr>
                  <w:tcW w:w="639" w:type="pct"/>
                  <w:noWrap w:val="0"/>
                  <w:vAlign w:val="center"/>
                </w:tcPr>
                <w:p w14:paraId="051E5FCF">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23.87</w:t>
                  </w:r>
                </w:p>
              </w:tc>
              <w:tc>
                <w:tcPr>
                  <w:tcW w:w="725" w:type="pct"/>
                  <w:shd w:val="clear" w:color="auto" w:fill="auto"/>
                  <w:noWrap w:val="0"/>
                  <w:vAlign w:val="center"/>
                </w:tcPr>
                <w:p w14:paraId="14CB2AA2">
                  <w:pPr>
                    <w:keepNext w:val="0"/>
                    <w:keepLines w:val="0"/>
                    <w:widowControl/>
                    <w:suppressLineNumbers w:val="0"/>
                    <w:jc w:val="center"/>
                    <w:textAlignment w:val="center"/>
                    <w:rPr>
                      <w:rFonts w:hint="eastAsia"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23.87</w:t>
                  </w:r>
                </w:p>
              </w:tc>
              <w:tc>
                <w:tcPr>
                  <w:tcW w:w="725" w:type="pct"/>
                  <w:noWrap w:val="0"/>
                  <w:vAlign w:val="center"/>
                </w:tcPr>
                <w:p w14:paraId="14C3B8D7">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671" w:type="pct"/>
                  <w:noWrap w:val="0"/>
                  <w:vAlign w:val="center"/>
                </w:tcPr>
                <w:p w14:paraId="1A866F9B">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23.87</w:t>
                  </w:r>
                </w:p>
              </w:tc>
              <w:tc>
                <w:tcPr>
                  <w:tcW w:w="658" w:type="pct"/>
                  <w:noWrap w:val="0"/>
                  <w:vAlign w:val="center"/>
                </w:tcPr>
                <w:p w14:paraId="611B1752">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50B440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trPr>
              <w:tc>
                <w:tcPr>
                  <w:tcW w:w="446" w:type="pct"/>
                  <w:noWrap w:val="0"/>
                  <w:vAlign w:val="center"/>
                </w:tcPr>
                <w:p w14:paraId="43923FDD">
                  <w:pPr>
                    <w:keepNext w:val="0"/>
                    <w:keepLines w:val="0"/>
                    <w:pageBreakBefore w:val="0"/>
                    <w:widowControl/>
                    <w:numPr>
                      <w:ilvl w:val="0"/>
                      <w:numId w:val="0"/>
                    </w:numPr>
                    <w:suppressLineNumbers w:val="0"/>
                    <w:kinsoku/>
                    <w:wordWrap/>
                    <w:overflowPunct/>
                    <w:topLinePunct w:val="0"/>
                    <w:autoSpaceDE/>
                    <w:autoSpaceDN/>
                    <w:bidi w:val="0"/>
                    <w:adjustRightInd/>
                    <w:snapToGrid/>
                    <w:spacing w:line="240" w:lineRule="auto"/>
                    <w:ind w:left="425" w:leftChars="0" w:hanging="425" w:firstLineChars="0"/>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6.</w:t>
                  </w:r>
                </w:p>
              </w:tc>
              <w:tc>
                <w:tcPr>
                  <w:tcW w:w="1134" w:type="pct"/>
                  <w:noWrap w:val="0"/>
                  <w:vAlign w:val="center"/>
                </w:tcPr>
                <w:p w14:paraId="07DE6134">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生活用水</w:t>
                  </w:r>
                </w:p>
              </w:tc>
              <w:tc>
                <w:tcPr>
                  <w:tcW w:w="639" w:type="pct"/>
                  <w:noWrap w:val="0"/>
                  <w:vAlign w:val="center"/>
                </w:tcPr>
                <w:p w14:paraId="1199998F">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7.5</w:t>
                  </w:r>
                </w:p>
              </w:tc>
              <w:tc>
                <w:tcPr>
                  <w:tcW w:w="725" w:type="pct"/>
                  <w:shd w:val="clear" w:color="auto" w:fill="auto"/>
                  <w:noWrap w:val="0"/>
                  <w:vAlign w:val="center"/>
                </w:tcPr>
                <w:p w14:paraId="41625C8B">
                  <w:pPr>
                    <w:keepNext w:val="0"/>
                    <w:keepLines w:val="0"/>
                    <w:widowControl/>
                    <w:suppressLineNumbers w:val="0"/>
                    <w:jc w:val="center"/>
                    <w:textAlignment w:val="center"/>
                    <w:rPr>
                      <w:rFonts w:hint="eastAsia"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7.5</w:t>
                  </w:r>
                </w:p>
              </w:tc>
              <w:tc>
                <w:tcPr>
                  <w:tcW w:w="725" w:type="pct"/>
                  <w:noWrap w:val="0"/>
                  <w:vAlign w:val="center"/>
                </w:tcPr>
                <w:p w14:paraId="76C47819">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671" w:type="pct"/>
                  <w:noWrap w:val="0"/>
                  <w:vAlign w:val="center"/>
                </w:tcPr>
                <w:p w14:paraId="09AD78F5">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0.75</w:t>
                  </w:r>
                </w:p>
              </w:tc>
              <w:tc>
                <w:tcPr>
                  <w:tcW w:w="658" w:type="pct"/>
                  <w:noWrap w:val="0"/>
                  <w:vAlign w:val="center"/>
                </w:tcPr>
                <w:p w14:paraId="0841DADE">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6.75</w:t>
                  </w:r>
                </w:p>
              </w:tc>
            </w:tr>
            <w:tr w14:paraId="4F9A70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trPr>
              <w:tc>
                <w:tcPr>
                  <w:tcW w:w="446" w:type="pct"/>
                  <w:noWrap w:val="0"/>
                  <w:vAlign w:val="center"/>
                </w:tcPr>
                <w:p w14:paraId="3EFB8A13">
                  <w:pPr>
                    <w:keepNext w:val="0"/>
                    <w:keepLines w:val="0"/>
                    <w:pageBreakBefore w:val="0"/>
                    <w:widowControl/>
                    <w:numPr>
                      <w:ilvl w:val="0"/>
                      <w:numId w:val="0"/>
                    </w:numPr>
                    <w:suppressLineNumbers w:val="0"/>
                    <w:kinsoku/>
                    <w:wordWrap/>
                    <w:overflowPunct/>
                    <w:topLinePunct w:val="0"/>
                    <w:autoSpaceDE/>
                    <w:autoSpaceDN/>
                    <w:bidi w:val="0"/>
                    <w:adjustRightInd/>
                    <w:snapToGrid/>
                    <w:spacing w:line="240" w:lineRule="auto"/>
                    <w:ind w:left="425" w:leftChars="0" w:hanging="425" w:firstLineChars="0"/>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7.</w:t>
                  </w:r>
                </w:p>
              </w:tc>
              <w:tc>
                <w:tcPr>
                  <w:tcW w:w="1134" w:type="pct"/>
                  <w:noWrap w:val="0"/>
                  <w:vAlign w:val="center"/>
                </w:tcPr>
                <w:p w14:paraId="3FAC5528">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食堂用水</w:t>
                  </w:r>
                </w:p>
              </w:tc>
              <w:tc>
                <w:tcPr>
                  <w:tcW w:w="639" w:type="pct"/>
                  <w:noWrap w:val="0"/>
                  <w:vAlign w:val="center"/>
                </w:tcPr>
                <w:p w14:paraId="4624EAA4">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4.5</w:t>
                  </w:r>
                </w:p>
              </w:tc>
              <w:tc>
                <w:tcPr>
                  <w:tcW w:w="725" w:type="pct"/>
                  <w:shd w:val="clear" w:color="auto" w:fill="auto"/>
                  <w:noWrap w:val="0"/>
                  <w:vAlign w:val="center"/>
                </w:tcPr>
                <w:p w14:paraId="12223BA4">
                  <w:pPr>
                    <w:keepNext w:val="0"/>
                    <w:keepLines w:val="0"/>
                    <w:widowControl/>
                    <w:suppressLineNumbers w:val="0"/>
                    <w:jc w:val="center"/>
                    <w:textAlignment w:val="center"/>
                    <w:rPr>
                      <w:rFonts w:hint="eastAsia"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4.5</w:t>
                  </w:r>
                </w:p>
              </w:tc>
              <w:tc>
                <w:tcPr>
                  <w:tcW w:w="725" w:type="pct"/>
                  <w:noWrap w:val="0"/>
                  <w:vAlign w:val="center"/>
                </w:tcPr>
                <w:p w14:paraId="2350AF29">
                  <w:pPr>
                    <w:keepNext w:val="0"/>
                    <w:keepLines w:val="0"/>
                    <w:widowControl/>
                    <w:suppressLineNumbers w:val="0"/>
                    <w:jc w:val="center"/>
                    <w:textAlignment w:val="center"/>
                    <w:rPr>
                      <w:rFonts w:hint="eastAsia" w:ascii="Times New Roman" w:hAnsi="Times New Roman" w:eastAsia="宋体" w:cs="Times New Roman"/>
                      <w:b w:val="0"/>
                      <w:bCs w:val="0"/>
                      <w:color w:val="auto"/>
                      <w:kern w:val="0"/>
                      <w:sz w:val="21"/>
                      <w:szCs w:val="21"/>
                      <w:highlight w:val="none"/>
                      <w:vertAlign w:val="baseli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0</w:t>
                  </w:r>
                </w:p>
              </w:tc>
              <w:tc>
                <w:tcPr>
                  <w:tcW w:w="671" w:type="pct"/>
                  <w:noWrap w:val="0"/>
                  <w:vAlign w:val="center"/>
                </w:tcPr>
                <w:p w14:paraId="6DF8A98D">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0.9</w:t>
                  </w:r>
                </w:p>
              </w:tc>
              <w:tc>
                <w:tcPr>
                  <w:tcW w:w="658" w:type="pct"/>
                  <w:noWrap w:val="0"/>
                  <w:vAlign w:val="center"/>
                </w:tcPr>
                <w:p w14:paraId="0894FC33">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3.6</w:t>
                  </w:r>
                </w:p>
              </w:tc>
            </w:tr>
            <w:tr w14:paraId="199937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trPr>
              <w:tc>
                <w:tcPr>
                  <w:tcW w:w="1580" w:type="pct"/>
                  <w:gridSpan w:val="2"/>
                  <w:noWrap w:val="0"/>
                  <w:vAlign w:val="center"/>
                </w:tcPr>
                <w:p w14:paraId="34C89BC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合计</w:t>
                  </w:r>
                </w:p>
              </w:tc>
              <w:tc>
                <w:tcPr>
                  <w:tcW w:w="639" w:type="pct"/>
                  <w:noWrap w:val="0"/>
                  <w:vAlign w:val="center"/>
                </w:tcPr>
                <w:p w14:paraId="426773EA">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ascii="Times New Roman" w:hAnsi="Times New Roman" w:eastAsia="宋体" w:cs="Times New Roman"/>
                      <w:i w:val="0"/>
                      <w:iCs w:val="0"/>
                      <w:color w:val="000000"/>
                      <w:kern w:val="0"/>
                      <w:sz w:val="21"/>
                      <w:szCs w:val="21"/>
                      <w:u w:val="none"/>
                      <w:lang w:val="en-US" w:eastAsia="zh-CN" w:bidi="ar"/>
                    </w:rPr>
                    <w:t>185.65</w:t>
                  </w:r>
                </w:p>
              </w:tc>
              <w:tc>
                <w:tcPr>
                  <w:tcW w:w="725" w:type="pct"/>
                  <w:shd w:val="clear" w:color="auto" w:fill="auto"/>
                  <w:noWrap w:val="0"/>
                  <w:vAlign w:val="center"/>
                </w:tcPr>
                <w:p w14:paraId="0B07AA02">
                  <w:pPr>
                    <w:keepNext w:val="0"/>
                    <w:keepLines w:val="0"/>
                    <w:widowControl/>
                    <w:suppressLineNumbers w:val="0"/>
                    <w:jc w:val="center"/>
                    <w:textAlignment w:val="center"/>
                    <w:rPr>
                      <w:rFonts w:hint="eastAsia" w:ascii="Times New Roman" w:hAnsi="Times New Roman" w:eastAsia="宋体" w:cs="Times New Roman"/>
                      <w:b w:val="0"/>
                      <w:bCs w:val="0"/>
                      <w:color w:val="auto"/>
                      <w:kern w:val="0"/>
                      <w:sz w:val="21"/>
                      <w:szCs w:val="21"/>
                      <w:highlight w:val="none"/>
                      <w:vertAlign w:val="baseline"/>
                      <w:lang w:val="en-US" w:eastAsia="zh-CN" w:bidi="ar"/>
                    </w:rPr>
                  </w:pPr>
                  <w:r>
                    <w:rPr>
                      <w:rFonts w:hint="eastAsia" w:ascii="Times New Roman" w:hAnsi="Times New Roman" w:eastAsia="宋体" w:cs="Times New Roman"/>
                      <w:b w:val="0"/>
                      <w:bCs w:val="0"/>
                      <w:color w:val="auto"/>
                      <w:kern w:val="0"/>
                      <w:sz w:val="21"/>
                      <w:szCs w:val="21"/>
                      <w:highlight w:val="none"/>
                      <w:vertAlign w:val="baseline"/>
                      <w:lang w:val="en-US" w:eastAsia="zh-CN" w:bidi="ar"/>
                    </w:rPr>
                    <w:t>1</w:t>
                  </w:r>
                  <w:r>
                    <w:rPr>
                      <w:rFonts w:hint="eastAsia" w:cs="Times New Roman"/>
                      <w:b w:val="0"/>
                      <w:bCs w:val="0"/>
                      <w:color w:val="auto"/>
                      <w:kern w:val="0"/>
                      <w:sz w:val="21"/>
                      <w:szCs w:val="21"/>
                      <w:highlight w:val="none"/>
                      <w:vertAlign w:val="baseline"/>
                      <w:lang w:val="en-US" w:eastAsia="zh-CN" w:bidi="ar"/>
                    </w:rPr>
                    <w:t>53</w:t>
                  </w:r>
                  <w:r>
                    <w:rPr>
                      <w:rFonts w:hint="eastAsia" w:ascii="Times New Roman" w:hAnsi="Times New Roman" w:eastAsia="宋体" w:cs="Times New Roman"/>
                      <w:b w:val="0"/>
                      <w:bCs w:val="0"/>
                      <w:color w:val="auto"/>
                      <w:kern w:val="0"/>
                      <w:sz w:val="21"/>
                      <w:szCs w:val="21"/>
                      <w:highlight w:val="none"/>
                      <w:vertAlign w:val="baseline"/>
                      <w:lang w:val="en-US" w:eastAsia="zh-CN" w:bidi="ar"/>
                    </w:rPr>
                    <w:t>.24</w:t>
                  </w:r>
                </w:p>
              </w:tc>
              <w:tc>
                <w:tcPr>
                  <w:tcW w:w="725" w:type="pct"/>
                  <w:noWrap w:val="0"/>
                  <w:vAlign w:val="center"/>
                </w:tcPr>
                <w:p w14:paraId="2A615535">
                  <w:pPr>
                    <w:keepNext w:val="0"/>
                    <w:keepLines w:val="0"/>
                    <w:widowControl/>
                    <w:suppressLineNumbers w:val="0"/>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eastAsia" w:ascii="Times New Roman" w:hAnsi="Times New Roman" w:eastAsia="宋体" w:cs="Times New Roman"/>
                      <w:b w:val="0"/>
                      <w:bCs w:val="0"/>
                      <w:color w:val="auto"/>
                      <w:kern w:val="0"/>
                      <w:sz w:val="21"/>
                      <w:szCs w:val="21"/>
                      <w:highlight w:val="none"/>
                      <w:vertAlign w:val="baseline"/>
                      <w:lang w:val="en-US" w:eastAsia="zh-CN" w:bidi="ar"/>
                    </w:rPr>
                    <w:t>32.41</w:t>
                  </w:r>
                </w:p>
              </w:tc>
              <w:tc>
                <w:tcPr>
                  <w:tcW w:w="671" w:type="pct"/>
                  <w:noWrap w:val="0"/>
                  <w:vAlign w:val="center"/>
                </w:tcPr>
                <w:p w14:paraId="0DF99CAA">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ascii="Times New Roman" w:hAnsi="Times New Roman" w:eastAsia="宋体" w:cs="Times New Roman"/>
                      <w:i w:val="0"/>
                      <w:iCs w:val="0"/>
                      <w:color w:val="000000"/>
                      <w:kern w:val="0"/>
                      <w:sz w:val="21"/>
                      <w:szCs w:val="21"/>
                      <w:u w:val="none"/>
                      <w:lang w:val="en-US" w:eastAsia="zh-CN" w:bidi="ar"/>
                    </w:rPr>
                    <w:t>142.89</w:t>
                  </w:r>
                </w:p>
              </w:tc>
              <w:tc>
                <w:tcPr>
                  <w:tcW w:w="658" w:type="pct"/>
                  <w:noWrap w:val="0"/>
                  <w:vAlign w:val="center"/>
                </w:tcPr>
                <w:p w14:paraId="6C647802">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ascii="Times New Roman" w:hAnsi="Times New Roman" w:eastAsia="宋体" w:cs="Times New Roman"/>
                      <w:i w:val="0"/>
                      <w:iCs w:val="0"/>
                      <w:color w:val="000000"/>
                      <w:kern w:val="0"/>
                      <w:sz w:val="21"/>
                      <w:szCs w:val="21"/>
                      <w:u w:val="none"/>
                      <w:lang w:val="en-US" w:eastAsia="zh-CN" w:bidi="ar"/>
                    </w:rPr>
                    <w:t>10.35</w:t>
                  </w:r>
                </w:p>
              </w:tc>
            </w:tr>
          </w:tbl>
          <w:p w14:paraId="0A8E4788">
            <w:pPr>
              <w:keepNext w:val="0"/>
              <w:keepLines w:val="0"/>
              <w:pageBreakBefore w:val="0"/>
              <w:widowControl/>
              <w:suppressLineNumbers w:val="0"/>
              <w:kinsoku/>
              <w:wordWrap/>
              <w:overflowPunct/>
              <w:topLinePunct w:val="0"/>
              <w:autoSpaceDE/>
              <w:autoSpaceDN/>
              <w:bidi w:val="0"/>
              <w:adjustRightInd/>
              <w:snapToGrid/>
              <w:spacing w:line="480" w:lineRule="exact"/>
              <w:ind w:firstLine="480" w:firstLineChars="200"/>
              <w:jc w:val="both"/>
              <w:textAlignment w:val="auto"/>
              <w:rPr>
                <w:rFonts w:hint="eastAsia" w:ascii="Times New Roman" w:hAnsi="Times New Roman" w:eastAsia="宋体" w:cs="Times New Roman"/>
                <w:b w:val="0"/>
                <w:bCs w:val="0"/>
                <w:color w:val="000000"/>
                <w:kern w:val="0"/>
                <w:sz w:val="24"/>
                <w:szCs w:val="24"/>
                <w:highlight w:val="none"/>
                <w:lang w:val="en-US" w:eastAsia="zh-CN" w:bidi="ar"/>
              </w:rPr>
            </w:pPr>
            <w:r>
              <w:rPr>
                <w:rFonts w:hint="eastAsia" w:cs="Times New Roman"/>
                <w:b w:val="0"/>
                <w:bCs w:val="0"/>
                <w:color w:val="000000"/>
                <w:kern w:val="0"/>
                <w:sz w:val="24"/>
                <w:szCs w:val="24"/>
                <w:highlight w:val="none"/>
                <w:vertAlign w:val="baseline"/>
                <w:lang w:val="en-US" w:eastAsia="zh-CN" w:bidi="ar"/>
              </w:rPr>
              <w:t>本项目</w:t>
            </w:r>
            <w:r>
              <w:rPr>
                <w:rFonts w:hint="eastAsia" w:ascii="Times New Roman" w:hAnsi="Times New Roman" w:eastAsia="宋体" w:cs="Times New Roman"/>
                <w:b w:val="0"/>
                <w:bCs w:val="0"/>
                <w:color w:val="000000"/>
                <w:kern w:val="0"/>
                <w:sz w:val="24"/>
                <w:szCs w:val="24"/>
                <w:highlight w:val="none"/>
                <w:vertAlign w:val="baseline"/>
                <w:lang w:val="en-US" w:eastAsia="zh-CN" w:bidi="ar"/>
              </w:rPr>
              <w:t>水平衡见</w:t>
            </w:r>
            <w:r>
              <w:rPr>
                <w:rFonts w:hint="eastAsia" w:ascii="Times New Roman" w:hAnsi="Times New Roman" w:eastAsia="宋体" w:cs="Times New Roman"/>
                <w:b w:val="0"/>
                <w:bCs w:val="0"/>
                <w:color w:val="000000"/>
                <w:kern w:val="0"/>
                <w:sz w:val="24"/>
                <w:szCs w:val="24"/>
                <w:highlight w:val="none"/>
                <w:lang w:val="en-US" w:eastAsia="zh-CN" w:bidi="ar"/>
              </w:rPr>
              <w:t>下图。</w:t>
            </w:r>
          </w:p>
          <w:p w14:paraId="241CC6D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color w:val="000000"/>
                <w:kern w:val="0"/>
                <w:sz w:val="24"/>
                <w:szCs w:val="24"/>
                <w:highlight w:val="none"/>
                <w:lang w:val="en-US" w:eastAsia="zh-CN" w:bidi="ar"/>
              </w:rPr>
            </w:pPr>
            <w:r>
              <w:rPr>
                <w:rFonts w:hint="eastAsia" w:ascii="Times New Roman" w:hAnsi="Times New Roman" w:eastAsia="宋体" w:cs="Times New Roman"/>
                <w:b/>
                <w:bCs/>
                <w:color w:val="000000"/>
                <w:kern w:val="0"/>
                <w:sz w:val="24"/>
                <w:szCs w:val="24"/>
                <w:highlight w:val="none"/>
                <w:lang w:val="en-US" w:eastAsia="zh-CN" w:bidi="ar"/>
              </w:rPr>
              <w:object>
                <v:shape id="_x0000_i1026" o:spt="75" type="#_x0000_t75" style="height:252.4pt;width:207.15pt;" o:ole="t" filled="f" o:preferrelative="t" stroked="f" coordsize="21600,21600">
                  <v:path/>
                  <v:fill on="f" focussize="0,0"/>
                  <v:stroke on="f"/>
                  <v:imagedata r:id="rId19" o:title=""/>
                  <o:lock v:ext="edit" aspectratio="f"/>
                  <w10:wrap type="none"/>
                  <w10:anchorlock/>
                </v:shape>
                <o:OLEObject Type="Embed" ProgID="Visio.Drawing.11" ShapeID="_x0000_i1026" DrawAspect="Content" ObjectID="_1468075729" r:id="rId18">
                  <o:LockedField>false</o:LockedField>
                </o:OLEObject>
              </w:object>
            </w:r>
          </w:p>
          <w:p w14:paraId="419CB07F">
            <w:pPr>
              <w:keepNext w:val="0"/>
              <w:keepLines w:val="0"/>
              <w:pageBreakBefore w:val="0"/>
              <w:widowControl w:val="0"/>
              <w:numPr>
                <w:ilvl w:val="0"/>
                <w:numId w:val="0"/>
              </w:numPr>
              <w:kinsoku/>
              <w:wordWrap/>
              <w:overflowPunct/>
              <w:topLinePunct w:val="0"/>
              <w:autoSpaceDE/>
              <w:autoSpaceDN/>
              <w:bidi w:val="0"/>
              <w:adjustRightInd/>
              <w:snapToGrid/>
              <w:spacing w:line="480" w:lineRule="exact"/>
              <w:jc w:val="center"/>
              <w:textAlignment w:val="auto"/>
              <w:rPr>
                <w:rFonts w:hint="eastAsia" w:cs="Times New Roman"/>
                <w:bCs/>
                <w:kern w:val="2"/>
                <w:sz w:val="24"/>
                <w:szCs w:val="21"/>
                <w:vertAlign w:val="baseline"/>
                <w:lang w:val="en-US" w:eastAsia="zh-CN" w:bidi="ar-SA"/>
              </w:rPr>
            </w:pPr>
            <w:r>
              <w:rPr>
                <w:rFonts w:hint="eastAsia" w:ascii="Times New Roman" w:hAnsi="Times New Roman" w:eastAsia="宋体" w:cs="Times New Roman"/>
                <w:b/>
                <w:bCs/>
                <w:color w:val="000000"/>
                <w:kern w:val="0"/>
                <w:sz w:val="24"/>
                <w:szCs w:val="24"/>
                <w:highlight w:val="none"/>
                <w:lang w:val="en-US" w:eastAsia="zh-CN" w:bidi="ar"/>
              </w:rPr>
              <w:t>图</w:t>
            </w:r>
            <w:r>
              <w:rPr>
                <w:rFonts w:hint="eastAsia" w:cs="Times New Roman"/>
                <w:b/>
                <w:bCs/>
                <w:color w:val="000000"/>
                <w:kern w:val="0"/>
                <w:sz w:val="24"/>
                <w:szCs w:val="24"/>
                <w:highlight w:val="none"/>
                <w:lang w:val="en-US" w:eastAsia="zh-CN" w:bidi="ar"/>
              </w:rPr>
              <w:t>4</w:t>
            </w:r>
            <w:r>
              <w:rPr>
                <w:rFonts w:hint="eastAsia" w:ascii="Times New Roman" w:hAnsi="Times New Roman" w:eastAsia="宋体" w:cs="Times New Roman"/>
                <w:b/>
                <w:bCs/>
                <w:color w:val="000000"/>
                <w:kern w:val="0"/>
                <w:sz w:val="24"/>
                <w:szCs w:val="24"/>
                <w:highlight w:val="none"/>
                <w:lang w:val="en-US" w:eastAsia="zh-CN" w:bidi="ar"/>
              </w:rPr>
              <w:t xml:space="preserve"> </w:t>
            </w:r>
            <w:r>
              <w:rPr>
                <w:rFonts w:hint="eastAsia" w:cs="Times New Roman"/>
                <w:b/>
                <w:bCs/>
                <w:color w:val="000000"/>
                <w:kern w:val="0"/>
                <w:sz w:val="24"/>
                <w:szCs w:val="24"/>
                <w:highlight w:val="none"/>
                <w:lang w:val="en-US" w:eastAsia="zh-CN" w:bidi="ar"/>
              </w:rPr>
              <w:t>本项目绿化季节</w:t>
            </w:r>
            <w:r>
              <w:rPr>
                <w:rFonts w:hint="eastAsia" w:ascii="Times New Roman" w:hAnsi="Times New Roman" w:eastAsia="宋体" w:cs="Times New Roman"/>
                <w:b/>
                <w:bCs/>
                <w:color w:val="000000"/>
                <w:kern w:val="0"/>
                <w:sz w:val="24"/>
                <w:szCs w:val="24"/>
                <w:highlight w:val="none"/>
                <w:lang w:val="en-US" w:eastAsia="zh-CN" w:bidi="ar"/>
              </w:rPr>
              <w:t>水平衡图</w:t>
            </w:r>
            <w:r>
              <w:rPr>
                <w:rFonts w:hint="eastAsia" w:cs="Times New Roman"/>
                <w:b/>
                <w:bCs/>
                <w:color w:val="000000"/>
                <w:kern w:val="0"/>
                <w:sz w:val="24"/>
                <w:szCs w:val="24"/>
                <w:highlight w:val="none"/>
                <w:lang w:val="en-US" w:eastAsia="zh-CN" w:bidi="ar"/>
              </w:rPr>
              <w:t xml:space="preserve"> </w:t>
            </w:r>
            <w:r>
              <w:rPr>
                <w:rFonts w:hint="eastAsia" w:ascii="Times New Roman" w:hAnsi="Times New Roman" w:eastAsia="宋体" w:cs="Times New Roman"/>
                <w:b/>
                <w:bCs/>
                <w:color w:val="000000"/>
                <w:kern w:val="0"/>
                <w:sz w:val="24"/>
                <w:szCs w:val="24"/>
                <w:highlight w:val="none"/>
                <w:lang w:val="en-US" w:eastAsia="zh-CN" w:bidi="ar"/>
              </w:rPr>
              <w:t>单位：m</w:t>
            </w:r>
            <w:r>
              <w:rPr>
                <w:rFonts w:hint="eastAsia" w:ascii="Times New Roman" w:hAnsi="Times New Roman" w:eastAsia="宋体" w:cs="Times New Roman"/>
                <w:b/>
                <w:bCs/>
                <w:color w:val="000000"/>
                <w:kern w:val="0"/>
                <w:sz w:val="24"/>
                <w:szCs w:val="24"/>
                <w:highlight w:val="none"/>
                <w:vertAlign w:val="superscript"/>
                <w:lang w:val="en-US" w:eastAsia="zh-CN" w:bidi="ar"/>
              </w:rPr>
              <w:t>3</w:t>
            </w:r>
            <w:r>
              <w:rPr>
                <w:rFonts w:hint="eastAsia" w:ascii="Times New Roman" w:hAnsi="Times New Roman" w:eastAsia="宋体" w:cs="Times New Roman"/>
                <w:b/>
                <w:bCs/>
                <w:color w:val="000000"/>
                <w:kern w:val="0"/>
                <w:sz w:val="24"/>
                <w:szCs w:val="24"/>
                <w:highlight w:val="none"/>
                <w:vertAlign w:val="baseline"/>
                <w:lang w:val="en-US" w:eastAsia="zh-CN" w:bidi="ar"/>
              </w:rPr>
              <w:t>/d</w:t>
            </w:r>
          </w:p>
          <w:p w14:paraId="6CCFEA49">
            <w:pPr>
              <w:keepNext w:val="0"/>
              <w:keepLines w:val="0"/>
              <w:widowControl/>
              <w:suppressLineNumbers w:val="0"/>
              <w:jc w:val="center"/>
            </w:pPr>
            <w:r>
              <w:rPr>
                <w:rFonts w:hint="eastAsia" w:ascii="宋体" w:hAnsi="宋体" w:eastAsia="宋体" w:cs="宋体"/>
                <w:b/>
                <w:bCs/>
                <w:color w:val="000000"/>
                <w:kern w:val="0"/>
                <w:sz w:val="24"/>
                <w:szCs w:val="24"/>
                <w:lang w:val="en-US" w:eastAsia="zh-CN" w:bidi="ar"/>
              </w:rPr>
              <w:t>表</w:t>
            </w:r>
            <w:r>
              <w:rPr>
                <w:rFonts w:hint="default" w:ascii="Times New Roman" w:hAnsi="Times New Roman" w:eastAsia="宋体" w:cs="Times New Roman"/>
                <w:b/>
                <w:bCs/>
                <w:color w:val="000000"/>
                <w:kern w:val="0"/>
                <w:sz w:val="24"/>
                <w:szCs w:val="24"/>
                <w:lang w:val="en-US" w:eastAsia="zh-CN" w:bidi="ar"/>
              </w:rPr>
              <w:t>2-</w:t>
            </w:r>
            <w:r>
              <w:rPr>
                <w:rFonts w:hint="eastAsia" w:cs="Times New Roman"/>
                <w:b/>
                <w:bCs/>
                <w:color w:val="000000"/>
                <w:kern w:val="0"/>
                <w:sz w:val="24"/>
                <w:szCs w:val="24"/>
                <w:lang w:val="en-US" w:eastAsia="zh-CN" w:bidi="ar"/>
              </w:rPr>
              <w:t>8</w:t>
            </w:r>
            <w:r>
              <w:rPr>
                <w:rFonts w:hint="default" w:ascii="Times New Roman" w:hAnsi="Times New Roman" w:eastAsia="宋体" w:cs="Times New Roman"/>
                <w:b/>
                <w:bCs/>
                <w:color w:val="000000"/>
                <w:kern w:val="0"/>
                <w:sz w:val="24"/>
                <w:szCs w:val="24"/>
                <w:lang w:val="en-US" w:eastAsia="zh-CN" w:bidi="ar"/>
              </w:rPr>
              <w:t xml:space="preserve"> </w:t>
            </w:r>
            <w:r>
              <w:rPr>
                <w:rFonts w:hint="eastAsia" w:ascii="宋体" w:hAnsi="宋体" w:eastAsia="宋体" w:cs="宋体"/>
                <w:b/>
                <w:bCs/>
                <w:color w:val="000000"/>
                <w:kern w:val="0"/>
                <w:sz w:val="24"/>
                <w:szCs w:val="24"/>
                <w:lang w:val="en-US" w:eastAsia="zh-CN" w:bidi="ar"/>
              </w:rPr>
              <w:t>本项目</w:t>
            </w:r>
            <w:r>
              <w:rPr>
                <w:rFonts w:hint="eastAsia" w:ascii="宋体" w:hAnsi="宋体" w:cs="宋体"/>
                <w:b/>
                <w:bCs/>
                <w:color w:val="000000"/>
                <w:kern w:val="0"/>
                <w:sz w:val="24"/>
                <w:szCs w:val="24"/>
                <w:lang w:val="en-US" w:eastAsia="zh-CN" w:bidi="ar"/>
              </w:rPr>
              <w:t>非绿化季节</w:t>
            </w:r>
            <w:r>
              <w:rPr>
                <w:rFonts w:hint="eastAsia" w:ascii="宋体" w:hAnsi="宋体" w:eastAsia="宋体" w:cs="宋体"/>
                <w:b/>
                <w:bCs/>
                <w:color w:val="000000"/>
                <w:kern w:val="0"/>
                <w:sz w:val="24"/>
                <w:szCs w:val="24"/>
                <w:lang w:val="en-US" w:eastAsia="zh-CN" w:bidi="ar"/>
              </w:rPr>
              <w:t>给排水平衡表（单位：</w:t>
            </w:r>
            <w:r>
              <w:rPr>
                <w:rFonts w:hint="default" w:ascii="Times New Roman" w:hAnsi="Times New Roman" w:eastAsia="宋体" w:cs="Times New Roman"/>
                <w:b/>
                <w:bCs/>
                <w:color w:val="000000"/>
                <w:kern w:val="0"/>
                <w:sz w:val="24"/>
                <w:szCs w:val="24"/>
                <w:lang w:val="en-US" w:eastAsia="zh-CN" w:bidi="ar"/>
              </w:rPr>
              <w:t>m</w:t>
            </w:r>
            <w:r>
              <w:rPr>
                <w:rFonts w:hint="eastAsia" w:ascii="Times New Roman" w:hAnsi="Times New Roman" w:eastAsia="宋体" w:cs="Times New Roman"/>
                <w:b/>
                <w:bCs/>
                <w:color w:val="000000"/>
                <w:kern w:val="0"/>
                <w:sz w:val="24"/>
                <w:szCs w:val="24"/>
                <w:highlight w:val="none"/>
                <w:vertAlign w:val="superscript"/>
                <w:lang w:val="en-US" w:eastAsia="zh-CN" w:bidi="ar"/>
              </w:rPr>
              <w:t>3</w:t>
            </w:r>
            <w:r>
              <w:rPr>
                <w:rFonts w:hint="default" w:ascii="Times New Roman" w:hAnsi="Times New Roman" w:eastAsia="宋体" w:cs="Times New Roman"/>
                <w:b/>
                <w:bCs/>
                <w:color w:val="000000"/>
                <w:kern w:val="0"/>
                <w:sz w:val="24"/>
                <w:szCs w:val="24"/>
                <w:lang w:val="en-US" w:eastAsia="zh-CN" w:bidi="ar"/>
              </w:rPr>
              <w:t>/d</w:t>
            </w:r>
            <w:r>
              <w:rPr>
                <w:rFonts w:hint="eastAsia" w:ascii="宋体" w:hAnsi="宋体" w:eastAsia="宋体" w:cs="宋体"/>
                <w:b/>
                <w:bCs/>
                <w:color w:val="000000"/>
                <w:kern w:val="0"/>
                <w:sz w:val="24"/>
                <w:szCs w:val="24"/>
                <w:lang w:val="en-US" w:eastAsia="zh-CN" w:bidi="ar"/>
              </w:rPr>
              <w:t>）</w:t>
            </w:r>
          </w:p>
          <w:tbl>
            <w:tblPr>
              <w:tblStyle w:val="26"/>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8"/>
              <w:gridCol w:w="1901"/>
              <w:gridCol w:w="1071"/>
              <w:gridCol w:w="1215"/>
              <w:gridCol w:w="1215"/>
              <w:gridCol w:w="1125"/>
              <w:gridCol w:w="1104"/>
            </w:tblGrid>
            <w:tr w14:paraId="171922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trPr>
              <w:tc>
                <w:tcPr>
                  <w:tcW w:w="446" w:type="pct"/>
                  <w:noWrap w:val="0"/>
                  <w:vAlign w:val="center"/>
                </w:tcPr>
                <w:p w14:paraId="7ACD2BD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序号</w:t>
                  </w:r>
                </w:p>
              </w:tc>
              <w:tc>
                <w:tcPr>
                  <w:tcW w:w="1134" w:type="pct"/>
                  <w:noWrap w:val="0"/>
                  <w:vAlign w:val="center"/>
                </w:tcPr>
                <w:p w14:paraId="0F473D8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用水环节</w:t>
                  </w:r>
                </w:p>
              </w:tc>
              <w:tc>
                <w:tcPr>
                  <w:tcW w:w="639" w:type="pct"/>
                  <w:noWrap w:val="0"/>
                  <w:vAlign w:val="center"/>
                </w:tcPr>
                <w:p w14:paraId="0A3022EC">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总用水量</w:t>
                  </w:r>
                </w:p>
              </w:tc>
              <w:tc>
                <w:tcPr>
                  <w:tcW w:w="725" w:type="pct"/>
                  <w:noWrap w:val="0"/>
                  <w:vAlign w:val="center"/>
                </w:tcPr>
                <w:p w14:paraId="6519F72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新水量</w:t>
                  </w:r>
                </w:p>
              </w:tc>
              <w:tc>
                <w:tcPr>
                  <w:tcW w:w="725" w:type="pct"/>
                  <w:noWrap w:val="0"/>
                  <w:vAlign w:val="center"/>
                </w:tcPr>
                <w:p w14:paraId="2A31BFA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循环水量</w:t>
                  </w:r>
                </w:p>
              </w:tc>
              <w:tc>
                <w:tcPr>
                  <w:tcW w:w="671" w:type="pct"/>
                  <w:noWrap w:val="0"/>
                  <w:vAlign w:val="center"/>
                </w:tcPr>
                <w:p w14:paraId="6F4A9CD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损耗水量</w:t>
                  </w:r>
                </w:p>
              </w:tc>
              <w:tc>
                <w:tcPr>
                  <w:tcW w:w="658" w:type="pct"/>
                  <w:noWrap w:val="0"/>
                  <w:vAlign w:val="center"/>
                </w:tcPr>
                <w:p w14:paraId="07F9836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排放量</w:t>
                  </w:r>
                </w:p>
              </w:tc>
            </w:tr>
            <w:tr w14:paraId="4253FF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trPr>
              <w:tc>
                <w:tcPr>
                  <w:tcW w:w="446" w:type="pct"/>
                  <w:noWrap w:val="0"/>
                  <w:vAlign w:val="center"/>
                </w:tcPr>
                <w:p w14:paraId="07806902">
                  <w:pPr>
                    <w:keepNext w:val="0"/>
                    <w:keepLines w:val="0"/>
                    <w:pageBreakBefore w:val="0"/>
                    <w:widowControl/>
                    <w:numPr>
                      <w:ilvl w:val="0"/>
                      <w:numId w:val="0"/>
                    </w:numPr>
                    <w:suppressLineNumbers w:val="0"/>
                    <w:kinsoku/>
                    <w:wordWrap/>
                    <w:overflowPunct/>
                    <w:topLinePunct w:val="0"/>
                    <w:autoSpaceDE/>
                    <w:autoSpaceDN/>
                    <w:bidi w:val="0"/>
                    <w:adjustRightInd/>
                    <w:snapToGrid/>
                    <w:spacing w:line="240" w:lineRule="auto"/>
                    <w:ind w:left="425" w:leftChars="0" w:hanging="425" w:firstLineChars="0"/>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1.</w:t>
                  </w:r>
                </w:p>
              </w:tc>
              <w:tc>
                <w:tcPr>
                  <w:tcW w:w="1134" w:type="pct"/>
                  <w:noWrap w:val="0"/>
                  <w:vAlign w:val="center"/>
                </w:tcPr>
                <w:p w14:paraId="0D02C83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配煤加工用水</w:t>
                  </w:r>
                </w:p>
              </w:tc>
              <w:tc>
                <w:tcPr>
                  <w:tcW w:w="639" w:type="pct"/>
                  <w:shd w:val="clear" w:color="auto" w:fill="auto"/>
                  <w:noWrap w:val="0"/>
                  <w:vAlign w:val="center"/>
                </w:tcPr>
                <w:p w14:paraId="5FF3DA4F">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725" w:type="pct"/>
                  <w:shd w:val="clear" w:color="auto" w:fill="auto"/>
                  <w:noWrap w:val="0"/>
                  <w:vAlign w:val="center"/>
                </w:tcPr>
                <w:p w14:paraId="4B6F3255">
                  <w:pPr>
                    <w:keepNext w:val="0"/>
                    <w:keepLines w:val="0"/>
                    <w:widowControl/>
                    <w:suppressLineNumbers w:val="0"/>
                    <w:jc w:val="center"/>
                    <w:textAlignment w:val="center"/>
                    <w:rPr>
                      <w:rFonts w:hint="eastAsia" w:ascii="Times New Roman" w:hAnsi="Times New Roman" w:eastAsia="宋体" w:cs="Times New Roman"/>
                      <w:b w:val="0"/>
                      <w:bCs w:val="0"/>
                      <w:color w:val="auto"/>
                      <w:kern w:val="0"/>
                      <w:sz w:val="21"/>
                      <w:szCs w:val="21"/>
                      <w:highlight w:val="none"/>
                      <w:vertAlign w:val="baseline"/>
                      <w:lang w:val="en-US" w:eastAsia="zh-CN" w:bidi="ar"/>
                    </w:rPr>
                  </w:pPr>
                  <w:r>
                    <w:rPr>
                      <w:rFonts w:hint="eastAsia" w:cs="Times New Roman"/>
                      <w:i w:val="0"/>
                      <w:iCs w:val="0"/>
                      <w:color w:val="auto"/>
                      <w:kern w:val="0"/>
                      <w:sz w:val="21"/>
                      <w:szCs w:val="21"/>
                      <w:u w:val="none"/>
                      <w:lang w:val="en-US" w:eastAsia="zh-CN" w:bidi="ar"/>
                    </w:rPr>
                    <w:t>1</w:t>
                  </w:r>
                </w:p>
              </w:tc>
              <w:tc>
                <w:tcPr>
                  <w:tcW w:w="725" w:type="pct"/>
                  <w:shd w:val="clear" w:color="auto" w:fill="auto"/>
                  <w:noWrap w:val="0"/>
                  <w:vAlign w:val="center"/>
                </w:tcPr>
                <w:p w14:paraId="0495AB86">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19</w:t>
                  </w:r>
                </w:p>
              </w:tc>
              <w:tc>
                <w:tcPr>
                  <w:tcW w:w="671" w:type="pct"/>
                  <w:shd w:val="clear" w:color="auto" w:fill="auto"/>
                  <w:noWrap w:val="0"/>
                  <w:vAlign w:val="center"/>
                </w:tcPr>
                <w:p w14:paraId="41875A48">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658" w:type="pct"/>
                  <w:noWrap w:val="0"/>
                  <w:vAlign w:val="center"/>
                </w:tcPr>
                <w:p w14:paraId="30C29378">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0</w:t>
                  </w:r>
                </w:p>
              </w:tc>
            </w:tr>
            <w:tr w14:paraId="1ACC32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trPr>
              <w:tc>
                <w:tcPr>
                  <w:tcW w:w="446" w:type="pct"/>
                  <w:noWrap w:val="0"/>
                  <w:vAlign w:val="center"/>
                </w:tcPr>
                <w:p w14:paraId="3DD454BA">
                  <w:pPr>
                    <w:keepNext w:val="0"/>
                    <w:keepLines w:val="0"/>
                    <w:pageBreakBefore w:val="0"/>
                    <w:widowControl/>
                    <w:numPr>
                      <w:ilvl w:val="0"/>
                      <w:numId w:val="0"/>
                    </w:numPr>
                    <w:suppressLineNumbers w:val="0"/>
                    <w:kinsoku/>
                    <w:wordWrap/>
                    <w:overflowPunct/>
                    <w:topLinePunct w:val="0"/>
                    <w:autoSpaceDE/>
                    <w:autoSpaceDN/>
                    <w:bidi w:val="0"/>
                    <w:adjustRightInd/>
                    <w:snapToGrid/>
                    <w:spacing w:line="240" w:lineRule="auto"/>
                    <w:ind w:left="425" w:leftChars="0" w:hanging="425" w:firstLineChars="0"/>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2.</w:t>
                  </w:r>
                </w:p>
              </w:tc>
              <w:tc>
                <w:tcPr>
                  <w:tcW w:w="1134" w:type="pct"/>
                  <w:noWrap w:val="0"/>
                  <w:vAlign w:val="center"/>
                </w:tcPr>
                <w:p w14:paraId="3DF5A3A4">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车辆冲洗用水</w:t>
                  </w:r>
                </w:p>
              </w:tc>
              <w:tc>
                <w:tcPr>
                  <w:tcW w:w="639" w:type="pct"/>
                  <w:noWrap w:val="0"/>
                  <w:vAlign w:val="center"/>
                </w:tcPr>
                <w:p w14:paraId="388D51A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14.9</w:t>
                  </w:r>
                </w:p>
              </w:tc>
              <w:tc>
                <w:tcPr>
                  <w:tcW w:w="725" w:type="pct"/>
                  <w:shd w:val="clear" w:color="auto" w:fill="auto"/>
                  <w:noWrap w:val="0"/>
                  <w:vAlign w:val="center"/>
                </w:tcPr>
                <w:p w14:paraId="24483A28">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1.49</w:t>
                  </w:r>
                </w:p>
              </w:tc>
              <w:tc>
                <w:tcPr>
                  <w:tcW w:w="725" w:type="pct"/>
                  <w:noWrap w:val="0"/>
                  <w:vAlign w:val="center"/>
                </w:tcPr>
                <w:p w14:paraId="1E4AEBEC">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13.41</w:t>
                  </w:r>
                </w:p>
              </w:tc>
              <w:tc>
                <w:tcPr>
                  <w:tcW w:w="671" w:type="pct"/>
                  <w:noWrap w:val="0"/>
                  <w:vAlign w:val="center"/>
                </w:tcPr>
                <w:p w14:paraId="689D2BE4">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1.49</w:t>
                  </w:r>
                </w:p>
              </w:tc>
              <w:tc>
                <w:tcPr>
                  <w:tcW w:w="658" w:type="pct"/>
                  <w:noWrap w:val="0"/>
                  <w:vAlign w:val="center"/>
                </w:tcPr>
                <w:p w14:paraId="225DA0E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0</w:t>
                  </w:r>
                </w:p>
              </w:tc>
            </w:tr>
            <w:tr w14:paraId="7BC840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trPr>
              <w:tc>
                <w:tcPr>
                  <w:tcW w:w="446" w:type="pct"/>
                  <w:noWrap w:val="0"/>
                  <w:vAlign w:val="center"/>
                </w:tcPr>
                <w:p w14:paraId="5903E2A9">
                  <w:pPr>
                    <w:keepNext w:val="0"/>
                    <w:keepLines w:val="0"/>
                    <w:pageBreakBefore w:val="0"/>
                    <w:widowControl/>
                    <w:numPr>
                      <w:ilvl w:val="0"/>
                      <w:numId w:val="0"/>
                    </w:numPr>
                    <w:suppressLineNumbers w:val="0"/>
                    <w:kinsoku/>
                    <w:wordWrap/>
                    <w:overflowPunct/>
                    <w:topLinePunct w:val="0"/>
                    <w:autoSpaceDE/>
                    <w:autoSpaceDN/>
                    <w:bidi w:val="0"/>
                    <w:adjustRightInd/>
                    <w:snapToGrid/>
                    <w:spacing w:line="240" w:lineRule="auto"/>
                    <w:ind w:left="425" w:leftChars="0" w:hanging="425" w:firstLineChars="0"/>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3.</w:t>
                  </w:r>
                </w:p>
              </w:tc>
              <w:tc>
                <w:tcPr>
                  <w:tcW w:w="1134" w:type="pct"/>
                  <w:noWrap w:val="0"/>
                  <w:vAlign w:val="center"/>
                </w:tcPr>
                <w:p w14:paraId="1307268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喷淋用水</w:t>
                  </w:r>
                </w:p>
              </w:tc>
              <w:tc>
                <w:tcPr>
                  <w:tcW w:w="639" w:type="pct"/>
                  <w:noWrap w:val="0"/>
                  <w:vAlign w:val="center"/>
                </w:tcPr>
                <w:p w14:paraId="296DCB4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69.12</w:t>
                  </w:r>
                </w:p>
              </w:tc>
              <w:tc>
                <w:tcPr>
                  <w:tcW w:w="725" w:type="pct"/>
                  <w:shd w:val="clear" w:color="auto" w:fill="auto"/>
                  <w:noWrap w:val="0"/>
                  <w:vAlign w:val="center"/>
                </w:tcPr>
                <w:p w14:paraId="396A3C0B">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kern w:val="0"/>
                      <w:sz w:val="21"/>
                      <w:szCs w:val="21"/>
                      <w:highlight w:val="none"/>
                      <w:vertAlign w:val="baseline"/>
                      <w:lang w:val="en-US" w:eastAsia="zh-CN" w:bidi="ar"/>
                    </w:rPr>
                  </w:pPr>
                  <w:r>
                    <w:rPr>
                      <w:rFonts w:hint="eastAsia" w:ascii="Times New Roman" w:hAnsi="Times New Roman" w:eastAsia="宋体" w:cs="Times New Roman"/>
                      <w:b w:val="0"/>
                      <w:bCs w:val="0"/>
                      <w:color w:val="auto"/>
                      <w:kern w:val="0"/>
                      <w:sz w:val="21"/>
                      <w:szCs w:val="21"/>
                      <w:highlight w:val="none"/>
                      <w:vertAlign w:val="baseline"/>
                      <w:lang w:val="en-US" w:eastAsia="zh-CN" w:bidi="ar"/>
                    </w:rPr>
                    <w:t>69.12</w:t>
                  </w:r>
                </w:p>
              </w:tc>
              <w:tc>
                <w:tcPr>
                  <w:tcW w:w="725" w:type="pct"/>
                  <w:noWrap w:val="0"/>
                  <w:vAlign w:val="center"/>
                </w:tcPr>
                <w:p w14:paraId="3D6F776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0</w:t>
                  </w:r>
                </w:p>
              </w:tc>
              <w:tc>
                <w:tcPr>
                  <w:tcW w:w="671" w:type="pct"/>
                  <w:noWrap w:val="0"/>
                  <w:vAlign w:val="center"/>
                </w:tcPr>
                <w:p w14:paraId="55E4271C">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69.12</w:t>
                  </w:r>
                </w:p>
              </w:tc>
              <w:tc>
                <w:tcPr>
                  <w:tcW w:w="658" w:type="pct"/>
                  <w:noWrap w:val="0"/>
                  <w:vAlign w:val="center"/>
                </w:tcPr>
                <w:p w14:paraId="5E43907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0</w:t>
                  </w:r>
                </w:p>
              </w:tc>
            </w:tr>
            <w:tr w14:paraId="7896DD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trPr>
              <w:tc>
                <w:tcPr>
                  <w:tcW w:w="446" w:type="pct"/>
                  <w:noWrap w:val="0"/>
                  <w:vAlign w:val="center"/>
                </w:tcPr>
                <w:p w14:paraId="6C923D5B">
                  <w:pPr>
                    <w:keepNext w:val="0"/>
                    <w:keepLines w:val="0"/>
                    <w:pageBreakBefore w:val="0"/>
                    <w:widowControl/>
                    <w:numPr>
                      <w:ilvl w:val="0"/>
                      <w:numId w:val="0"/>
                    </w:numPr>
                    <w:suppressLineNumbers w:val="0"/>
                    <w:kinsoku/>
                    <w:wordWrap/>
                    <w:overflowPunct/>
                    <w:topLinePunct w:val="0"/>
                    <w:autoSpaceDE/>
                    <w:autoSpaceDN/>
                    <w:bidi w:val="0"/>
                    <w:adjustRightInd/>
                    <w:snapToGrid/>
                    <w:spacing w:line="240" w:lineRule="auto"/>
                    <w:ind w:left="425" w:leftChars="0" w:hanging="425" w:firstLineChars="0"/>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4.</w:t>
                  </w:r>
                </w:p>
              </w:tc>
              <w:tc>
                <w:tcPr>
                  <w:tcW w:w="1134" w:type="pct"/>
                  <w:noWrap w:val="0"/>
                  <w:vAlign w:val="center"/>
                </w:tcPr>
                <w:p w14:paraId="0AB906D8">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道路洒水抑尘用水</w:t>
                  </w:r>
                </w:p>
              </w:tc>
              <w:tc>
                <w:tcPr>
                  <w:tcW w:w="639" w:type="pct"/>
                  <w:noWrap w:val="0"/>
                  <w:vAlign w:val="center"/>
                </w:tcPr>
                <w:p w14:paraId="425EBCFE">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45.76</w:t>
                  </w:r>
                </w:p>
              </w:tc>
              <w:tc>
                <w:tcPr>
                  <w:tcW w:w="725" w:type="pct"/>
                  <w:shd w:val="clear" w:color="auto" w:fill="auto"/>
                  <w:noWrap w:val="0"/>
                  <w:vAlign w:val="center"/>
                </w:tcPr>
                <w:p w14:paraId="3EC89264">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kern w:val="0"/>
                      <w:sz w:val="21"/>
                      <w:szCs w:val="21"/>
                      <w:highlight w:val="none"/>
                      <w:vertAlign w:val="baseline"/>
                      <w:lang w:val="en-US" w:eastAsia="zh-CN" w:bidi="ar"/>
                    </w:rPr>
                  </w:pPr>
                  <w:r>
                    <w:rPr>
                      <w:rFonts w:hint="eastAsia" w:ascii="Times New Roman" w:hAnsi="Times New Roman" w:eastAsia="宋体" w:cs="Times New Roman"/>
                      <w:b w:val="0"/>
                      <w:bCs w:val="0"/>
                      <w:color w:val="auto"/>
                      <w:kern w:val="0"/>
                      <w:sz w:val="21"/>
                      <w:szCs w:val="21"/>
                      <w:highlight w:val="none"/>
                      <w:vertAlign w:val="baseline"/>
                      <w:lang w:val="en-US" w:eastAsia="zh-CN" w:bidi="ar"/>
                    </w:rPr>
                    <w:t>45.76</w:t>
                  </w:r>
                </w:p>
              </w:tc>
              <w:tc>
                <w:tcPr>
                  <w:tcW w:w="725" w:type="pct"/>
                  <w:noWrap w:val="0"/>
                  <w:vAlign w:val="center"/>
                </w:tcPr>
                <w:p w14:paraId="52C412A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0</w:t>
                  </w:r>
                </w:p>
              </w:tc>
              <w:tc>
                <w:tcPr>
                  <w:tcW w:w="671" w:type="pct"/>
                  <w:noWrap w:val="0"/>
                  <w:vAlign w:val="center"/>
                </w:tcPr>
                <w:p w14:paraId="28A76707">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45.76</w:t>
                  </w:r>
                </w:p>
              </w:tc>
              <w:tc>
                <w:tcPr>
                  <w:tcW w:w="658" w:type="pct"/>
                  <w:noWrap w:val="0"/>
                  <w:vAlign w:val="center"/>
                </w:tcPr>
                <w:p w14:paraId="06368A7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0</w:t>
                  </w:r>
                </w:p>
              </w:tc>
            </w:tr>
            <w:tr w14:paraId="7DA4CA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trPr>
              <w:tc>
                <w:tcPr>
                  <w:tcW w:w="446" w:type="pct"/>
                  <w:noWrap w:val="0"/>
                  <w:vAlign w:val="center"/>
                </w:tcPr>
                <w:p w14:paraId="683DF077">
                  <w:pPr>
                    <w:keepNext w:val="0"/>
                    <w:keepLines w:val="0"/>
                    <w:pageBreakBefore w:val="0"/>
                    <w:widowControl/>
                    <w:numPr>
                      <w:ilvl w:val="0"/>
                      <w:numId w:val="0"/>
                    </w:numPr>
                    <w:suppressLineNumbers w:val="0"/>
                    <w:kinsoku/>
                    <w:wordWrap/>
                    <w:overflowPunct/>
                    <w:topLinePunct w:val="0"/>
                    <w:autoSpaceDE/>
                    <w:autoSpaceDN/>
                    <w:bidi w:val="0"/>
                    <w:adjustRightInd/>
                    <w:snapToGrid/>
                    <w:spacing w:line="240" w:lineRule="auto"/>
                    <w:ind w:left="425" w:leftChars="0" w:hanging="425" w:firstLineChars="0"/>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5.</w:t>
                  </w:r>
                </w:p>
              </w:tc>
              <w:tc>
                <w:tcPr>
                  <w:tcW w:w="1134" w:type="pct"/>
                  <w:noWrap w:val="0"/>
                  <w:vAlign w:val="center"/>
                </w:tcPr>
                <w:p w14:paraId="57D8742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生活用水</w:t>
                  </w:r>
                </w:p>
              </w:tc>
              <w:tc>
                <w:tcPr>
                  <w:tcW w:w="639" w:type="pct"/>
                  <w:noWrap w:val="0"/>
                  <w:vAlign w:val="center"/>
                </w:tcPr>
                <w:p w14:paraId="24F0B9E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7.5</w:t>
                  </w:r>
                </w:p>
              </w:tc>
              <w:tc>
                <w:tcPr>
                  <w:tcW w:w="725" w:type="pct"/>
                  <w:shd w:val="clear" w:color="auto" w:fill="auto"/>
                  <w:noWrap w:val="0"/>
                  <w:vAlign w:val="center"/>
                </w:tcPr>
                <w:p w14:paraId="2ABB9B53">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kern w:val="0"/>
                      <w:sz w:val="21"/>
                      <w:szCs w:val="21"/>
                      <w:highlight w:val="none"/>
                      <w:vertAlign w:val="baseline"/>
                      <w:lang w:val="en-US" w:eastAsia="zh-CN" w:bidi="ar"/>
                    </w:rPr>
                  </w:pPr>
                  <w:r>
                    <w:rPr>
                      <w:rFonts w:hint="eastAsia" w:ascii="Times New Roman" w:hAnsi="Times New Roman" w:eastAsia="宋体" w:cs="Times New Roman"/>
                      <w:b w:val="0"/>
                      <w:bCs w:val="0"/>
                      <w:color w:val="auto"/>
                      <w:kern w:val="0"/>
                      <w:sz w:val="21"/>
                      <w:szCs w:val="21"/>
                      <w:highlight w:val="none"/>
                      <w:vertAlign w:val="baseline"/>
                      <w:lang w:val="en-US" w:eastAsia="zh-CN" w:bidi="ar"/>
                    </w:rPr>
                    <w:t>7.5</w:t>
                  </w:r>
                </w:p>
              </w:tc>
              <w:tc>
                <w:tcPr>
                  <w:tcW w:w="725" w:type="pct"/>
                  <w:noWrap w:val="0"/>
                  <w:vAlign w:val="center"/>
                </w:tcPr>
                <w:p w14:paraId="6D7799C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0</w:t>
                  </w:r>
                </w:p>
              </w:tc>
              <w:tc>
                <w:tcPr>
                  <w:tcW w:w="671" w:type="pct"/>
                  <w:shd w:val="clear" w:color="auto" w:fill="auto"/>
                  <w:noWrap w:val="0"/>
                  <w:vAlign w:val="center"/>
                </w:tcPr>
                <w:p w14:paraId="1F4C5BE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0.75</w:t>
                  </w:r>
                </w:p>
              </w:tc>
              <w:tc>
                <w:tcPr>
                  <w:tcW w:w="658" w:type="pct"/>
                  <w:shd w:val="clear" w:color="auto" w:fill="auto"/>
                  <w:noWrap w:val="0"/>
                  <w:vAlign w:val="center"/>
                </w:tcPr>
                <w:p w14:paraId="43E43CA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6.75</w:t>
                  </w:r>
                </w:p>
              </w:tc>
            </w:tr>
            <w:tr w14:paraId="0C0E65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trPr>
              <w:tc>
                <w:tcPr>
                  <w:tcW w:w="446" w:type="pct"/>
                  <w:noWrap w:val="0"/>
                  <w:vAlign w:val="center"/>
                </w:tcPr>
                <w:p w14:paraId="116206D8">
                  <w:pPr>
                    <w:keepNext w:val="0"/>
                    <w:keepLines w:val="0"/>
                    <w:pageBreakBefore w:val="0"/>
                    <w:widowControl/>
                    <w:numPr>
                      <w:ilvl w:val="0"/>
                      <w:numId w:val="0"/>
                    </w:numPr>
                    <w:suppressLineNumbers w:val="0"/>
                    <w:kinsoku/>
                    <w:wordWrap/>
                    <w:overflowPunct/>
                    <w:topLinePunct w:val="0"/>
                    <w:autoSpaceDE/>
                    <w:autoSpaceDN/>
                    <w:bidi w:val="0"/>
                    <w:adjustRightInd/>
                    <w:snapToGrid/>
                    <w:spacing w:line="240" w:lineRule="auto"/>
                    <w:ind w:left="425" w:leftChars="0" w:hanging="425" w:firstLineChars="0"/>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default" w:ascii="Times New Roman" w:hAnsi="Times New Roman" w:eastAsia="宋体" w:cs="Times New Roman"/>
                      <w:b w:val="0"/>
                      <w:bCs w:val="0"/>
                      <w:color w:val="000000"/>
                      <w:kern w:val="0"/>
                      <w:sz w:val="21"/>
                      <w:szCs w:val="21"/>
                      <w:vertAlign w:val="baseline"/>
                      <w:lang w:val="en-US" w:eastAsia="zh-CN" w:bidi="ar"/>
                    </w:rPr>
                    <w:t>6.</w:t>
                  </w:r>
                </w:p>
              </w:tc>
              <w:tc>
                <w:tcPr>
                  <w:tcW w:w="1134" w:type="pct"/>
                  <w:noWrap w:val="0"/>
                  <w:vAlign w:val="center"/>
                </w:tcPr>
                <w:p w14:paraId="19C206F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食堂用水</w:t>
                  </w:r>
                </w:p>
              </w:tc>
              <w:tc>
                <w:tcPr>
                  <w:tcW w:w="639" w:type="pct"/>
                  <w:noWrap w:val="0"/>
                  <w:vAlign w:val="center"/>
                </w:tcPr>
                <w:p w14:paraId="17A756F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4.5</w:t>
                  </w:r>
                </w:p>
              </w:tc>
              <w:tc>
                <w:tcPr>
                  <w:tcW w:w="725" w:type="pct"/>
                  <w:shd w:val="clear" w:color="auto" w:fill="auto"/>
                  <w:noWrap w:val="0"/>
                  <w:vAlign w:val="center"/>
                </w:tcPr>
                <w:p w14:paraId="13982FE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kern w:val="0"/>
                      <w:sz w:val="21"/>
                      <w:szCs w:val="21"/>
                      <w:highlight w:val="none"/>
                      <w:vertAlign w:val="baseline"/>
                      <w:lang w:val="en-US" w:eastAsia="zh-CN" w:bidi="ar"/>
                    </w:rPr>
                  </w:pPr>
                  <w:r>
                    <w:rPr>
                      <w:rFonts w:hint="eastAsia" w:ascii="Times New Roman" w:hAnsi="Times New Roman" w:eastAsia="宋体" w:cs="Times New Roman"/>
                      <w:b w:val="0"/>
                      <w:bCs w:val="0"/>
                      <w:color w:val="auto"/>
                      <w:kern w:val="0"/>
                      <w:sz w:val="21"/>
                      <w:szCs w:val="21"/>
                      <w:highlight w:val="none"/>
                      <w:vertAlign w:val="baseline"/>
                      <w:lang w:val="en-US" w:eastAsia="zh-CN" w:bidi="ar"/>
                    </w:rPr>
                    <w:t>4.5</w:t>
                  </w:r>
                </w:p>
              </w:tc>
              <w:tc>
                <w:tcPr>
                  <w:tcW w:w="725" w:type="pct"/>
                  <w:noWrap w:val="0"/>
                  <w:vAlign w:val="center"/>
                </w:tcPr>
                <w:p w14:paraId="1A7077F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0</w:t>
                  </w:r>
                </w:p>
              </w:tc>
              <w:tc>
                <w:tcPr>
                  <w:tcW w:w="671" w:type="pct"/>
                  <w:shd w:val="clear" w:color="auto" w:fill="auto"/>
                  <w:noWrap w:val="0"/>
                  <w:vAlign w:val="center"/>
                </w:tcPr>
                <w:p w14:paraId="04F878C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0.9</w:t>
                  </w:r>
                </w:p>
              </w:tc>
              <w:tc>
                <w:tcPr>
                  <w:tcW w:w="658" w:type="pct"/>
                  <w:shd w:val="clear" w:color="auto" w:fill="auto"/>
                  <w:noWrap w:val="0"/>
                  <w:vAlign w:val="center"/>
                </w:tcPr>
                <w:p w14:paraId="79FA569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3.6</w:t>
                  </w:r>
                </w:p>
              </w:tc>
            </w:tr>
            <w:tr w14:paraId="23AC12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trPr>
              <w:tc>
                <w:tcPr>
                  <w:tcW w:w="1580" w:type="pct"/>
                  <w:gridSpan w:val="2"/>
                  <w:noWrap w:val="0"/>
                  <w:vAlign w:val="center"/>
                </w:tcPr>
                <w:p w14:paraId="3ACFDD5E">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合计</w:t>
                  </w:r>
                </w:p>
              </w:tc>
              <w:tc>
                <w:tcPr>
                  <w:tcW w:w="1071" w:type="dxa"/>
                  <w:noWrap w:val="0"/>
                  <w:vAlign w:val="center"/>
                </w:tcPr>
                <w:p w14:paraId="38B9CF77">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161.78</w:t>
                  </w:r>
                </w:p>
              </w:tc>
              <w:tc>
                <w:tcPr>
                  <w:tcW w:w="1215" w:type="dxa"/>
                  <w:noWrap w:val="0"/>
                  <w:vAlign w:val="center"/>
                </w:tcPr>
                <w:p w14:paraId="0A09EDA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129.37</w:t>
                  </w:r>
                </w:p>
              </w:tc>
              <w:tc>
                <w:tcPr>
                  <w:tcW w:w="1215" w:type="dxa"/>
                  <w:noWrap w:val="0"/>
                  <w:vAlign w:val="center"/>
                </w:tcPr>
                <w:p w14:paraId="6898C1F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32.41</w:t>
                  </w:r>
                </w:p>
              </w:tc>
              <w:tc>
                <w:tcPr>
                  <w:tcW w:w="1125" w:type="dxa"/>
                  <w:noWrap w:val="0"/>
                  <w:vAlign w:val="center"/>
                </w:tcPr>
                <w:p w14:paraId="3A10748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119.02</w:t>
                  </w:r>
                </w:p>
              </w:tc>
              <w:tc>
                <w:tcPr>
                  <w:tcW w:w="1104" w:type="dxa"/>
                  <w:noWrap w:val="0"/>
                  <w:vAlign w:val="center"/>
                </w:tcPr>
                <w:p w14:paraId="30AB6C95">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10.35</w:t>
                  </w:r>
                </w:p>
              </w:tc>
            </w:tr>
          </w:tbl>
          <w:p w14:paraId="0DA7A129">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2" w:firstLineChars="200"/>
              <w:textAlignment w:val="auto"/>
              <w:rPr>
                <w:rFonts w:hint="eastAsia" w:cs="Times New Roman"/>
                <w:bCs/>
                <w:kern w:val="2"/>
                <w:sz w:val="24"/>
                <w:szCs w:val="21"/>
                <w:vertAlign w:val="baseline"/>
                <w:lang w:val="en-US" w:eastAsia="zh-CN" w:bidi="ar-SA"/>
              </w:rPr>
            </w:pPr>
            <w:r>
              <w:rPr>
                <w:rFonts w:hint="eastAsia" w:ascii="Times New Roman" w:hAnsi="Times New Roman" w:eastAsia="宋体" w:cs="Times New Roman"/>
                <w:b/>
                <w:bCs/>
                <w:color w:val="000000"/>
                <w:kern w:val="0"/>
                <w:sz w:val="24"/>
                <w:szCs w:val="24"/>
                <w:highlight w:val="none"/>
                <w:lang w:val="en-US" w:eastAsia="zh-CN" w:bidi="ar"/>
              </w:rPr>
              <w:pict>
                <v:shape id="Object 6" o:spid="_x0000_s1030" o:spt="75" type="#_x0000_t75" style="position:absolute;left:0pt;margin-left:85.25pt;margin-top:8.25pt;height:263.25pt;width:207.15pt;mso-wrap-distance-bottom:0pt;mso-wrap-distance-left:9pt;mso-wrap-distance-right:9pt;mso-wrap-distance-top:0pt;z-index:251660288;mso-width-relative:page;mso-height-relative:page;" o:ole="t" filled="f" o:preferrelative="t" stroked="f" coordsize="21600,21600">
                  <v:path/>
                  <v:fill on="f" focussize="0,0"/>
                  <v:stroke on="f"/>
                  <v:imagedata r:id="rId21" cropbottom="6143f" o:title=""/>
                  <o:lock v:ext="edit" aspectratio="f"/>
                  <w10:wrap type="square"/>
                </v:shape>
                <o:OLEObject Type="Embed" ProgID="Visio.Drawing.11" ShapeID="Object 6" DrawAspect="Content" ObjectID="_1468075730" r:id="rId20">
                  <o:LockedField>false</o:LockedField>
                </o:OLEObject>
              </w:pict>
            </w:r>
          </w:p>
          <w:p w14:paraId="2CED13F9">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0" w:firstLineChars="200"/>
              <w:textAlignment w:val="auto"/>
              <w:rPr>
                <w:rFonts w:hint="eastAsia" w:cs="Times New Roman"/>
                <w:bCs/>
                <w:kern w:val="2"/>
                <w:sz w:val="24"/>
                <w:szCs w:val="21"/>
                <w:vertAlign w:val="baseline"/>
                <w:lang w:val="en-US" w:eastAsia="zh-CN" w:bidi="ar-SA"/>
              </w:rPr>
            </w:pPr>
          </w:p>
          <w:p w14:paraId="494302BC">
            <w:pPr>
              <w:keepNext w:val="0"/>
              <w:keepLines w:val="0"/>
              <w:pageBreakBefore w:val="0"/>
              <w:widowControl w:val="0"/>
              <w:numPr>
                <w:ilvl w:val="0"/>
                <w:numId w:val="0"/>
              </w:numPr>
              <w:kinsoku/>
              <w:wordWrap/>
              <w:overflowPunct/>
              <w:topLinePunct w:val="0"/>
              <w:autoSpaceDE/>
              <w:autoSpaceDN/>
              <w:bidi w:val="0"/>
              <w:adjustRightInd/>
              <w:snapToGrid/>
              <w:spacing w:line="500" w:lineRule="exact"/>
              <w:textAlignment w:val="auto"/>
              <w:rPr>
                <w:rFonts w:hint="eastAsia" w:cs="Times New Roman"/>
                <w:bCs/>
                <w:kern w:val="2"/>
                <w:sz w:val="24"/>
                <w:szCs w:val="21"/>
                <w:vertAlign w:val="baseline"/>
                <w:lang w:val="en-US" w:eastAsia="zh-CN" w:bidi="ar-SA"/>
              </w:rPr>
            </w:pPr>
          </w:p>
          <w:p w14:paraId="6695F1A3">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0" w:firstLineChars="200"/>
              <w:textAlignment w:val="auto"/>
              <w:rPr>
                <w:rFonts w:hint="eastAsia" w:cs="Times New Roman"/>
                <w:bCs/>
                <w:kern w:val="2"/>
                <w:sz w:val="24"/>
                <w:szCs w:val="21"/>
                <w:vertAlign w:val="baseline"/>
                <w:lang w:val="en-US" w:eastAsia="zh-CN" w:bidi="ar-SA"/>
              </w:rPr>
            </w:pPr>
          </w:p>
          <w:p w14:paraId="7572D8DA">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0" w:firstLineChars="200"/>
              <w:textAlignment w:val="auto"/>
              <w:rPr>
                <w:rFonts w:hint="eastAsia" w:cs="Times New Roman"/>
                <w:bCs/>
                <w:kern w:val="2"/>
                <w:sz w:val="24"/>
                <w:szCs w:val="21"/>
                <w:vertAlign w:val="baseline"/>
                <w:lang w:val="en-US" w:eastAsia="zh-CN" w:bidi="ar-SA"/>
              </w:rPr>
            </w:pPr>
          </w:p>
          <w:p w14:paraId="2CF3CBA5">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0" w:firstLineChars="200"/>
              <w:textAlignment w:val="auto"/>
              <w:rPr>
                <w:rFonts w:hint="eastAsia" w:cs="Times New Roman"/>
                <w:bCs/>
                <w:kern w:val="2"/>
                <w:sz w:val="24"/>
                <w:szCs w:val="21"/>
                <w:vertAlign w:val="baseline"/>
                <w:lang w:val="en-US" w:eastAsia="zh-CN" w:bidi="ar-SA"/>
              </w:rPr>
            </w:pPr>
          </w:p>
          <w:p w14:paraId="31E5AF57">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0" w:firstLineChars="200"/>
              <w:textAlignment w:val="auto"/>
              <w:rPr>
                <w:rFonts w:hint="eastAsia" w:cs="Times New Roman"/>
                <w:bCs/>
                <w:kern w:val="2"/>
                <w:sz w:val="24"/>
                <w:szCs w:val="21"/>
                <w:vertAlign w:val="baseline"/>
                <w:lang w:val="en-US" w:eastAsia="zh-CN" w:bidi="ar-SA"/>
              </w:rPr>
            </w:pPr>
          </w:p>
          <w:p w14:paraId="3D4266F8">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0" w:firstLineChars="200"/>
              <w:textAlignment w:val="auto"/>
              <w:rPr>
                <w:rFonts w:hint="eastAsia" w:cs="Times New Roman"/>
                <w:bCs/>
                <w:kern w:val="2"/>
                <w:sz w:val="24"/>
                <w:szCs w:val="21"/>
                <w:vertAlign w:val="baseline"/>
                <w:lang w:val="en-US" w:eastAsia="zh-CN" w:bidi="ar-SA"/>
              </w:rPr>
            </w:pPr>
          </w:p>
          <w:p w14:paraId="18651029">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0" w:firstLineChars="200"/>
              <w:textAlignment w:val="auto"/>
              <w:rPr>
                <w:rFonts w:hint="eastAsia" w:cs="Times New Roman"/>
                <w:bCs/>
                <w:kern w:val="2"/>
                <w:sz w:val="24"/>
                <w:szCs w:val="21"/>
                <w:vertAlign w:val="baseline"/>
                <w:lang w:val="en-US" w:eastAsia="zh-CN" w:bidi="ar-SA"/>
              </w:rPr>
            </w:pPr>
          </w:p>
          <w:p w14:paraId="1ED73B21">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0" w:firstLineChars="200"/>
              <w:textAlignment w:val="auto"/>
              <w:rPr>
                <w:rFonts w:hint="eastAsia" w:cs="Times New Roman"/>
                <w:bCs/>
                <w:kern w:val="2"/>
                <w:sz w:val="24"/>
                <w:szCs w:val="21"/>
                <w:vertAlign w:val="baseline"/>
                <w:lang w:val="en-US" w:eastAsia="zh-CN" w:bidi="ar-SA"/>
              </w:rPr>
            </w:pPr>
          </w:p>
          <w:p w14:paraId="238B9FD8">
            <w:pPr>
              <w:keepNext w:val="0"/>
              <w:keepLines w:val="0"/>
              <w:pageBreakBefore w:val="0"/>
              <w:widowControl w:val="0"/>
              <w:numPr>
                <w:ilvl w:val="0"/>
                <w:numId w:val="0"/>
              </w:numPr>
              <w:kinsoku/>
              <w:wordWrap/>
              <w:overflowPunct/>
              <w:topLinePunct w:val="0"/>
              <w:autoSpaceDE/>
              <w:autoSpaceDN/>
              <w:bidi w:val="0"/>
              <w:adjustRightInd/>
              <w:snapToGrid/>
              <w:spacing w:line="500" w:lineRule="exact"/>
              <w:jc w:val="both"/>
              <w:textAlignment w:val="auto"/>
              <w:rPr>
                <w:rFonts w:hint="eastAsia" w:ascii="Times New Roman" w:hAnsi="Times New Roman" w:eastAsia="宋体" w:cs="Times New Roman"/>
                <w:b/>
                <w:bCs/>
                <w:color w:val="000000"/>
                <w:kern w:val="0"/>
                <w:sz w:val="24"/>
                <w:szCs w:val="24"/>
                <w:highlight w:val="none"/>
                <w:lang w:val="en-US" w:eastAsia="zh-CN" w:bidi="ar"/>
              </w:rPr>
            </w:pPr>
          </w:p>
          <w:p w14:paraId="239EDA74">
            <w:pPr>
              <w:keepNext w:val="0"/>
              <w:keepLines w:val="0"/>
              <w:pageBreakBefore w:val="0"/>
              <w:widowControl w:val="0"/>
              <w:numPr>
                <w:ilvl w:val="0"/>
                <w:numId w:val="0"/>
              </w:numPr>
              <w:kinsoku/>
              <w:wordWrap/>
              <w:overflowPunct/>
              <w:topLinePunct w:val="0"/>
              <w:autoSpaceDE/>
              <w:autoSpaceDN/>
              <w:bidi w:val="0"/>
              <w:adjustRightInd/>
              <w:snapToGrid/>
              <w:spacing w:line="500" w:lineRule="exact"/>
              <w:jc w:val="center"/>
              <w:textAlignment w:val="auto"/>
              <w:rPr>
                <w:rFonts w:hint="eastAsia" w:cs="Times New Roman"/>
                <w:bCs/>
                <w:kern w:val="2"/>
                <w:sz w:val="24"/>
                <w:szCs w:val="21"/>
                <w:vertAlign w:val="baseline"/>
                <w:lang w:val="en-US" w:eastAsia="zh-CN" w:bidi="ar-SA"/>
              </w:rPr>
            </w:pPr>
            <w:r>
              <w:rPr>
                <w:rFonts w:hint="eastAsia" w:ascii="Times New Roman" w:hAnsi="Times New Roman" w:eastAsia="宋体" w:cs="Times New Roman"/>
                <w:b/>
                <w:bCs/>
                <w:color w:val="000000"/>
                <w:kern w:val="0"/>
                <w:sz w:val="24"/>
                <w:szCs w:val="24"/>
                <w:highlight w:val="none"/>
                <w:lang w:val="en-US" w:eastAsia="zh-CN" w:bidi="ar"/>
              </w:rPr>
              <w:t>图</w:t>
            </w:r>
            <w:r>
              <w:rPr>
                <w:rFonts w:hint="eastAsia" w:cs="Times New Roman"/>
                <w:b/>
                <w:bCs/>
                <w:color w:val="000000"/>
                <w:kern w:val="0"/>
                <w:sz w:val="24"/>
                <w:szCs w:val="24"/>
                <w:highlight w:val="none"/>
                <w:lang w:val="en-US" w:eastAsia="zh-CN" w:bidi="ar"/>
              </w:rPr>
              <w:t>2</w:t>
            </w:r>
            <w:r>
              <w:rPr>
                <w:rFonts w:hint="eastAsia" w:ascii="Times New Roman" w:hAnsi="Times New Roman" w:eastAsia="宋体" w:cs="Times New Roman"/>
                <w:b/>
                <w:bCs/>
                <w:color w:val="000000"/>
                <w:kern w:val="0"/>
                <w:sz w:val="24"/>
                <w:szCs w:val="24"/>
                <w:highlight w:val="none"/>
                <w:lang w:val="en-US" w:eastAsia="zh-CN" w:bidi="ar"/>
              </w:rPr>
              <w:t xml:space="preserve"> </w:t>
            </w:r>
            <w:r>
              <w:rPr>
                <w:rFonts w:hint="eastAsia" w:cs="Times New Roman"/>
                <w:b/>
                <w:bCs/>
                <w:color w:val="000000"/>
                <w:kern w:val="0"/>
                <w:sz w:val="24"/>
                <w:szCs w:val="24"/>
                <w:highlight w:val="none"/>
                <w:lang w:val="en-US" w:eastAsia="zh-CN" w:bidi="ar"/>
              </w:rPr>
              <w:t>本项目</w:t>
            </w:r>
            <w:r>
              <w:rPr>
                <w:rFonts w:hint="eastAsia" w:ascii="Times New Roman" w:hAnsi="Times New Roman" w:eastAsia="宋体" w:cs="Times New Roman"/>
                <w:b/>
                <w:bCs/>
                <w:color w:val="000000"/>
                <w:kern w:val="0"/>
                <w:sz w:val="24"/>
                <w:szCs w:val="24"/>
                <w:highlight w:val="none"/>
                <w:lang w:val="en-US" w:eastAsia="zh-CN" w:bidi="ar"/>
              </w:rPr>
              <w:t>非绿化季节水平衡图</w:t>
            </w:r>
            <w:r>
              <w:rPr>
                <w:rFonts w:hint="eastAsia" w:cs="Times New Roman"/>
                <w:b/>
                <w:bCs/>
                <w:color w:val="000000"/>
                <w:kern w:val="0"/>
                <w:sz w:val="24"/>
                <w:szCs w:val="24"/>
                <w:highlight w:val="none"/>
                <w:lang w:val="en-US" w:eastAsia="zh-CN" w:bidi="ar"/>
              </w:rPr>
              <w:t xml:space="preserve"> </w:t>
            </w:r>
            <w:r>
              <w:rPr>
                <w:rFonts w:hint="eastAsia" w:ascii="Times New Roman" w:hAnsi="Times New Roman" w:eastAsia="宋体" w:cs="Times New Roman"/>
                <w:b/>
                <w:bCs/>
                <w:color w:val="000000"/>
                <w:kern w:val="0"/>
                <w:sz w:val="24"/>
                <w:szCs w:val="24"/>
                <w:highlight w:val="none"/>
                <w:lang w:val="en-US" w:eastAsia="zh-CN" w:bidi="ar"/>
              </w:rPr>
              <w:t>单位：m</w:t>
            </w:r>
            <w:r>
              <w:rPr>
                <w:rFonts w:hint="eastAsia" w:ascii="Times New Roman" w:hAnsi="Times New Roman" w:eastAsia="宋体" w:cs="Times New Roman"/>
                <w:b/>
                <w:bCs/>
                <w:color w:val="000000"/>
                <w:kern w:val="0"/>
                <w:sz w:val="24"/>
                <w:szCs w:val="24"/>
                <w:highlight w:val="none"/>
                <w:vertAlign w:val="superscript"/>
                <w:lang w:val="en-US" w:eastAsia="zh-CN" w:bidi="ar"/>
              </w:rPr>
              <w:t>3</w:t>
            </w:r>
            <w:r>
              <w:rPr>
                <w:rFonts w:hint="eastAsia" w:ascii="Times New Roman" w:hAnsi="Times New Roman" w:eastAsia="宋体" w:cs="Times New Roman"/>
                <w:b/>
                <w:bCs/>
                <w:color w:val="000000"/>
                <w:kern w:val="0"/>
                <w:sz w:val="24"/>
                <w:szCs w:val="24"/>
                <w:highlight w:val="none"/>
                <w:vertAlign w:val="baseline"/>
                <w:lang w:val="en-US" w:eastAsia="zh-CN" w:bidi="ar"/>
              </w:rPr>
              <w:t>/d</w:t>
            </w:r>
          </w:p>
          <w:p w14:paraId="1E5712AE">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0" w:firstLineChars="200"/>
              <w:textAlignment w:val="auto"/>
              <w:rPr>
                <w:rFonts w:hint="default" w:ascii="Times New Roman" w:hAnsi="Times New Roman" w:eastAsia="宋体" w:cs="Times New Roman"/>
                <w:bCs/>
                <w:kern w:val="2"/>
                <w:sz w:val="24"/>
                <w:szCs w:val="21"/>
                <w:vertAlign w:val="baseline"/>
                <w:lang w:val="en-US" w:eastAsia="zh-CN" w:bidi="ar-SA"/>
              </w:rPr>
            </w:pPr>
            <w:r>
              <w:rPr>
                <w:rFonts w:hint="eastAsia" w:cs="Times New Roman"/>
                <w:bCs/>
                <w:kern w:val="2"/>
                <w:sz w:val="24"/>
                <w:szCs w:val="21"/>
                <w:vertAlign w:val="baseline"/>
                <w:lang w:val="en-US" w:eastAsia="zh-CN" w:bidi="ar-SA"/>
              </w:rPr>
              <w:t>（10）地理位置及周边关系</w:t>
            </w:r>
          </w:p>
          <w:p w14:paraId="580EED73">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0" w:firstLineChars="200"/>
              <w:textAlignment w:val="auto"/>
              <w:rPr>
                <w:rFonts w:hint="eastAsia" w:ascii="Times New Roman" w:hAnsi="Times New Roman" w:eastAsia="宋体" w:cs="Times New Roman"/>
                <w:bCs/>
                <w:kern w:val="2"/>
                <w:sz w:val="24"/>
                <w:szCs w:val="21"/>
                <w:vertAlign w:val="baseline"/>
                <w:lang w:val="en-US" w:eastAsia="zh-CN" w:bidi="ar-SA"/>
              </w:rPr>
            </w:pPr>
            <w:r>
              <w:rPr>
                <w:rFonts w:hint="eastAsia" w:ascii="Times New Roman" w:hAnsi="Times New Roman" w:eastAsia="宋体" w:cs="Times New Roman"/>
                <w:bCs/>
                <w:kern w:val="2"/>
                <w:sz w:val="24"/>
                <w:szCs w:val="21"/>
                <w:vertAlign w:val="baseline"/>
                <w:lang w:val="en-US" w:eastAsia="zh-CN" w:bidi="ar-SA"/>
              </w:rPr>
              <w:t>地理位置：本项目位于</w:t>
            </w:r>
            <w:r>
              <w:rPr>
                <w:rFonts w:hint="eastAsia" w:ascii="TimesNewRomanPSMT" w:hAnsi="TimesNewRomanPSMT" w:eastAsia="TimesNewRomanPSMT" w:cs="TimesNewRomanPSMT"/>
                <w:b w:val="0"/>
                <w:bCs w:val="0"/>
                <w:color w:val="000000"/>
                <w:kern w:val="0"/>
                <w:sz w:val="24"/>
                <w:szCs w:val="24"/>
                <w:highlight w:val="none"/>
                <w:lang w:val="en-US" w:eastAsia="zh-CN" w:bidi="ar"/>
              </w:rPr>
              <w:t>曹妃甸循环经济示范区港口物流园区</w:t>
            </w:r>
            <w:r>
              <w:rPr>
                <w:rFonts w:hint="eastAsia" w:ascii="Times New Roman" w:hAnsi="Times New Roman" w:eastAsia="宋体" w:cs="Times New Roman"/>
                <w:bCs/>
                <w:kern w:val="2"/>
                <w:sz w:val="24"/>
                <w:szCs w:val="21"/>
                <w:vertAlign w:val="baseline"/>
                <w:lang w:val="en-US" w:eastAsia="zh-CN" w:bidi="ar-SA"/>
              </w:rPr>
              <w:t>，厂址中心地理坐标为</w:t>
            </w:r>
            <w:r>
              <w:rPr>
                <w:rFonts w:hint="default" w:ascii="Times New Roman" w:hAnsi="Times New Roman" w:eastAsia="宋体" w:cs="Times New Roman"/>
                <w:sz w:val="24"/>
                <w:szCs w:val="24"/>
                <w:highlight w:val="none"/>
                <w:lang w:val="en-US" w:eastAsia="zh-CN"/>
              </w:rPr>
              <w:t>东经118°23′27.72″，北纬38°5</w:t>
            </w:r>
            <w:r>
              <w:rPr>
                <w:rFonts w:hint="default" w:ascii="Times New Roman" w:hAnsi="Times New Roman" w:eastAsia="TimesNewRomanPSMT" w:cs="Times New Roman"/>
                <w:b w:val="0"/>
                <w:bCs w:val="0"/>
                <w:color w:val="000000"/>
                <w:sz w:val="24"/>
                <w:szCs w:val="24"/>
                <w:highlight w:val="none"/>
              </w:rPr>
              <w:t>8′57.98″</w:t>
            </w:r>
            <w:r>
              <w:rPr>
                <w:rFonts w:hint="eastAsia" w:ascii="Times New Roman" w:hAnsi="Times New Roman" w:eastAsia="宋体" w:cs="Times New Roman"/>
                <w:bCs/>
                <w:kern w:val="2"/>
                <w:sz w:val="24"/>
                <w:szCs w:val="21"/>
                <w:vertAlign w:val="baseline"/>
                <w:lang w:val="en-US" w:eastAsia="zh-CN" w:bidi="ar-SA"/>
              </w:rPr>
              <w:t>。项目所在地理位置图详见附图。</w:t>
            </w:r>
          </w:p>
          <w:p w14:paraId="6C744EEC">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0" w:firstLineChars="200"/>
              <w:textAlignment w:val="auto"/>
              <w:rPr>
                <w:rFonts w:hint="eastAsia" w:ascii="Times New Roman" w:hAnsi="Times New Roman" w:eastAsia="宋体" w:cs="Times New Roman"/>
                <w:bCs/>
                <w:kern w:val="2"/>
                <w:sz w:val="24"/>
                <w:szCs w:val="21"/>
                <w:highlight w:val="none"/>
                <w:vertAlign w:val="baseline"/>
                <w:lang w:val="en-US" w:eastAsia="zh-CN" w:bidi="ar-SA"/>
              </w:rPr>
            </w:pPr>
            <w:r>
              <w:rPr>
                <w:rFonts w:hint="eastAsia" w:ascii="Times New Roman" w:hAnsi="Times New Roman" w:eastAsia="宋体" w:cs="Times New Roman"/>
                <w:bCs/>
                <w:kern w:val="2"/>
                <w:sz w:val="24"/>
                <w:szCs w:val="21"/>
                <w:highlight w:val="none"/>
                <w:vertAlign w:val="baseline"/>
                <w:lang w:val="en-US" w:eastAsia="zh-CN" w:bidi="ar-SA"/>
              </w:rPr>
              <w:t>平面布置：本项目办公楼、综合楼、检测楼、沉淀池等辅助设施位于厂区南侧，厂区从南向北依次是5#库房、4#库房、3#库房、2#库房、1#</w:t>
            </w:r>
            <w:r>
              <w:rPr>
                <w:rFonts w:hint="eastAsia" w:cs="Times New Roman"/>
                <w:bCs/>
                <w:kern w:val="2"/>
                <w:sz w:val="24"/>
                <w:szCs w:val="21"/>
                <w:highlight w:val="none"/>
                <w:vertAlign w:val="baseline"/>
                <w:lang w:val="en-US" w:eastAsia="zh-CN" w:bidi="ar-SA"/>
              </w:rPr>
              <w:t>厂房</w:t>
            </w:r>
            <w:r>
              <w:rPr>
                <w:rFonts w:hint="eastAsia" w:ascii="Times New Roman" w:hAnsi="Times New Roman" w:eastAsia="宋体" w:cs="Times New Roman"/>
                <w:bCs/>
                <w:kern w:val="2"/>
                <w:sz w:val="24"/>
                <w:szCs w:val="21"/>
                <w:highlight w:val="none"/>
                <w:vertAlign w:val="baseline"/>
                <w:lang w:val="en-US" w:eastAsia="zh-CN" w:bidi="ar-SA"/>
              </w:rPr>
              <w:t>，地磅</w:t>
            </w:r>
            <w:r>
              <w:rPr>
                <w:rFonts w:hint="eastAsia" w:cs="Times New Roman"/>
                <w:bCs/>
                <w:kern w:val="2"/>
                <w:sz w:val="24"/>
                <w:szCs w:val="21"/>
                <w:highlight w:val="none"/>
                <w:vertAlign w:val="baseline"/>
                <w:lang w:val="en-US" w:eastAsia="zh-CN" w:bidi="ar-SA"/>
              </w:rPr>
              <w:t>、</w:t>
            </w:r>
            <w:r>
              <w:rPr>
                <w:rFonts w:hint="eastAsia" w:ascii="Times New Roman" w:hAnsi="Times New Roman" w:eastAsia="宋体" w:cs="Times New Roman"/>
                <w:bCs/>
                <w:kern w:val="2"/>
                <w:sz w:val="24"/>
                <w:szCs w:val="21"/>
                <w:highlight w:val="none"/>
                <w:vertAlign w:val="baseline"/>
                <w:lang w:val="en-US" w:eastAsia="zh-CN" w:bidi="ar-SA"/>
              </w:rPr>
              <w:t>洗车平台位于厂区</w:t>
            </w:r>
            <w:r>
              <w:rPr>
                <w:rFonts w:hint="eastAsia" w:cs="Times New Roman"/>
                <w:bCs/>
                <w:kern w:val="2"/>
                <w:sz w:val="24"/>
                <w:szCs w:val="21"/>
                <w:highlight w:val="none"/>
                <w:vertAlign w:val="baseline"/>
                <w:lang w:val="en-US" w:eastAsia="zh-CN" w:bidi="ar-SA"/>
              </w:rPr>
              <w:t>南侧及东侧</w:t>
            </w:r>
            <w:r>
              <w:rPr>
                <w:rFonts w:hint="eastAsia" w:ascii="Times New Roman" w:hAnsi="Times New Roman" w:eastAsia="宋体" w:cs="Times New Roman"/>
                <w:bCs/>
                <w:kern w:val="2"/>
                <w:sz w:val="24"/>
                <w:szCs w:val="21"/>
                <w:highlight w:val="none"/>
                <w:vertAlign w:val="baseline"/>
                <w:lang w:val="en-US" w:eastAsia="zh-CN" w:bidi="ar-SA"/>
              </w:rPr>
              <w:t>出入口。项目平面布置详见附图。</w:t>
            </w:r>
          </w:p>
          <w:p w14:paraId="445928F6">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0" w:firstLineChars="200"/>
              <w:textAlignment w:val="auto"/>
              <w:rPr>
                <w:rFonts w:hint="default" w:ascii="Times New Roman" w:hAnsi="Times New Roman" w:eastAsia="宋体" w:cs="Times New Roman"/>
                <w:bCs/>
                <w:kern w:val="2"/>
                <w:sz w:val="24"/>
                <w:szCs w:val="21"/>
                <w:vertAlign w:val="baseline"/>
                <w:lang w:val="en-US" w:eastAsia="zh-CN" w:bidi="ar-SA"/>
              </w:rPr>
            </w:pPr>
            <w:r>
              <w:rPr>
                <w:rFonts w:hint="eastAsia" w:ascii="Times New Roman" w:hAnsi="Times New Roman" w:eastAsia="宋体" w:cs="Times New Roman"/>
                <w:bCs/>
                <w:kern w:val="2"/>
                <w:sz w:val="24"/>
                <w:szCs w:val="21"/>
                <w:highlight w:val="none"/>
                <w:vertAlign w:val="baseline"/>
                <w:lang w:val="en-US" w:eastAsia="zh-CN" w:bidi="ar-SA"/>
              </w:rPr>
              <w:t>周边关系：本项目</w:t>
            </w:r>
            <w:r>
              <w:rPr>
                <w:rFonts w:hint="eastAsia" w:cs="Times New Roman"/>
                <w:bCs/>
                <w:kern w:val="2"/>
                <w:sz w:val="24"/>
                <w:szCs w:val="21"/>
                <w:highlight w:val="none"/>
                <w:vertAlign w:val="baseline"/>
                <w:lang w:val="en-US" w:eastAsia="zh-CN" w:bidi="ar-SA"/>
              </w:rPr>
              <w:t>北、南、西侧</w:t>
            </w:r>
            <w:r>
              <w:rPr>
                <w:rFonts w:hint="eastAsia" w:ascii="Times New Roman" w:hAnsi="Times New Roman" w:eastAsia="宋体" w:cs="Times New Roman"/>
                <w:bCs/>
                <w:kern w:val="2"/>
                <w:sz w:val="24"/>
                <w:szCs w:val="21"/>
                <w:highlight w:val="none"/>
                <w:vertAlign w:val="baseline"/>
                <w:lang w:val="en-US" w:eastAsia="zh-CN" w:bidi="ar-SA"/>
              </w:rPr>
              <w:t>均为空地</w:t>
            </w:r>
            <w:r>
              <w:rPr>
                <w:rFonts w:hint="eastAsia" w:cs="Times New Roman"/>
                <w:bCs/>
                <w:kern w:val="2"/>
                <w:sz w:val="24"/>
                <w:szCs w:val="21"/>
                <w:highlight w:val="none"/>
                <w:vertAlign w:val="baseline"/>
                <w:lang w:val="en-US" w:eastAsia="zh-CN" w:bidi="ar-SA"/>
              </w:rPr>
              <w:t>，东侧为冀东2-3平台</w:t>
            </w:r>
            <w:r>
              <w:rPr>
                <w:rFonts w:hint="eastAsia" w:ascii="Times New Roman" w:hAnsi="Times New Roman" w:eastAsia="宋体" w:cs="Times New Roman"/>
                <w:bCs/>
                <w:kern w:val="2"/>
                <w:sz w:val="24"/>
                <w:szCs w:val="21"/>
                <w:highlight w:val="none"/>
                <w:vertAlign w:val="baseline"/>
                <w:lang w:val="en-US" w:eastAsia="zh-CN" w:bidi="ar-SA"/>
              </w:rPr>
              <w:t>。距</w:t>
            </w:r>
            <w:r>
              <w:rPr>
                <w:rFonts w:hint="eastAsia" w:ascii="Times New Roman" w:hAnsi="Times New Roman" w:eastAsia="宋体" w:cs="Times New Roman"/>
                <w:bCs/>
                <w:kern w:val="2"/>
                <w:sz w:val="24"/>
                <w:szCs w:val="21"/>
                <w:vertAlign w:val="baseline"/>
                <w:lang w:val="en-US" w:eastAsia="zh-CN" w:bidi="ar-SA"/>
              </w:rPr>
              <w:t>离最近的生态保护红线区距离约17</w:t>
            </w:r>
            <w:r>
              <w:rPr>
                <w:rFonts w:hint="default" w:ascii="Times New Roman" w:hAnsi="Times New Roman" w:eastAsia="宋体" w:cs="Times New Roman"/>
                <w:bCs/>
                <w:kern w:val="2"/>
                <w:sz w:val="24"/>
                <w:szCs w:val="21"/>
                <w:vertAlign w:val="baseline"/>
                <w:lang w:val="en-US" w:eastAsia="zh-CN" w:bidi="ar-SA"/>
              </w:rPr>
              <w:t>km</w:t>
            </w:r>
            <w:r>
              <w:rPr>
                <w:rFonts w:hint="eastAsia" w:ascii="Times New Roman" w:hAnsi="Times New Roman" w:eastAsia="宋体" w:cs="Times New Roman"/>
                <w:bCs/>
                <w:kern w:val="2"/>
                <w:sz w:val="24"/>
                <w:szCs w:val="21"/>
                <w:vertAlign w:val="baseline"/>
                <w:lang w:val="en-US" w:eastAsia="zh-CN" w:bidi="ar-SA"/>
              </w:rPr>
              <w:t>。项目周边关系详见附图。</w:t>
            </w:r>
          </w:p>
        </w:tc>
      </w:tr>
      <w:tr w14:paraId="6D2C1E5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504" w:hRule="atLeast"/>
          <w:jc w:val="center"/>
        </w:trPr>
        <w:tc>
          <w:tcPr>
            <w:tcW w:w="452" w:type="dxa"/>
            <w:noWrap w:val="0"/>
            <w:vAlign w:val="center"/>
          </w:tcPr>
          <w:p w14:paraId="5D7504E2">
            <w:pPr>
              <w:pStyle w:val="22"/>
              <w:adjustRightInd w:val="0"/>
              <w:snapToGrid w:val="0"/>
              <w:spacing w:before="0" w:beforeAutospacing="0" w:after="0" w:afterAutospacing="0"/>
              <w:jc w:val="center"/>
              <w:rPr>
                <w:rFonts w:cs="宋体"/>
                <w:sz w:val="24"/>
                <w:szCs w:val="24"/>
                <w:highlight w:val="none"/>
              </w:rPr>
            </w:pPr>
            <w:r>
              <w:rPr>
                <w:rFonts w:hint="eastAsia" w:cs="宋体"/>
                <w:sz w:val="24"/>
                <w:szCs w:val="24"/>
                <w:highlight w:val="none"/>
              </w:rPr>
              <w:t>工艺流程和产排污环节</w:t>
            </w:r>
          </w:p>
        </w:tc>
        <w:tc>
          <w:tcPr>
            <w:tcW w:w="8608" w:type="dxa"/>
            <w:noWrap w:val="0"/>
            <w:vAlign w:val="top"/>
          </w:tcPr>
          <w:p w14:paraId="6F3333F9">
            <w:pPr>
              <w:keepNext w:val="0"/>
              <w:keepLines w:val="0"/>
              <w:pageBreakBefore w:val="0"/>
              <w:widowControl w:val="0"/>
              <w:numPr>
                <w:ilvl w:val="0"/>
                <w:numId w:val="0"/>
              </w:numPr>
              <w:kinsoku/>
              <w:wordWrap/>
              <w:overflowPunct/>
              <w:topLinePunct w:val="0"/>
              <w:autoSpaceDE/>
              <w:autoSpaceDN/>
              <w:bidi w:val="0"/>
              <w:adjustRightInd/>
              <w:snapToGrid/>
              <w:spacing w:line="500" w:lineRule="exact"/>
              <w:textAlignment w:val="auto"/>
              <w:rPr>
                <w:rFonts w:hint="default" w:ascii="Times New Roman" w:hAnsi="Times New Roman" w:cs="Times New Roman"/>
                <w:bCs/>
                <w:szCs w:val="21"/>
                <w:highlight w:val="none"/>
                <w:lang w:val="en-US" w:eastAsia="zh-CN"/>
              </w:rPr>
            </w:pPr>
            <w:r>
              <w:rPr>
                <w:rFonts w:hint="default" w:ascii="Times New Roman" w:hAnsi="Times New Roman" w:cs="Times New Roman"/>
                <w:b/>
                <w:bCs w:val="0"/>
                <w:sz w:val="28"/>
                <w:szCs w:val="28"/>
                <w:highlight w:val="none"/>
                <w:lang w:val="en-US" w:eastAsia="zh-CN"/>
              </w:rPr>
              <w:t>运营期</w:t>
            </w:r>
          </w:p>
          <w:p w14:paraId="43AB7B13">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0" w:firstLineChars="200"/>
              <w:textAlignment w:val="auto"/>
              <w:rPr>
                <w:rFonts w:hint="default" w:ascii="Times New Roman" w:hAnsi="Times New Roman" w:cs="Times New Roman"/>
                <w:bCs/>
                <w:szCs w:val="21"/>
                <w:highlight w:val="none"/>
                <w:vertAlign w:val="baseline"/>
                <w:lang w:val="en-US" w:eastAsia="zh-CN"/>
              </w:rPr>
            </w:pPr>
            <w:r>
              <w:rPr>
                <w:rFonts w:hint="default" w:ascii="Times New Roman" w:hAnsi="Times New Roman" w:cs="Times New Roman"/>
                <w:b w:val="0"/>
                <w:bCs/>
                <w:color w:val="auto"/>
                <w:sz w:val="24"/>
                <w:szCs w:val="24"/>
                <w:highlight w:val="none"/>
                <w:lang w:val="en-US" w:eastAsia="zh-CN"/>
              </w:rPr>
              <w:t>本项目生产工艺流程简述：</w:t>
            </w:r>
          </w:p>
          <w:p w14:paraId="1E588571">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bCs/>
                <w:szCs w:val="21"/>
                <w:highlight w:val="none"/>
                <w:vertAlign w:val="baseline"/>
                <w:lang w:val="en-US" w:eastAsia="zh-CN"/>
              </w:rPr>
            </w:pPr>
            <w:r>
              <w:rPr>
                <w:rFonts w:hint="default" w:ascii="Times New Roman" w:hAnsi="Times New Roman" w:eastAsia="宋体" w:cs="Times New Roman"/>
                <w:bCs/>
                <w:szCs w:val="21"/>
                <w:highlight w:val="none"/>
                <w:vertAlign w:val="baseline"/>
                <w:lang w:val="en-US" w:eastAsia="zh-CN"/>
              </w:rPr>
              <w:t>1、配煤及水分选</w:t>
            </w:r>
          </w:p>
          <w:p w14:paraId="146353B6">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bCs/>
                <w:szCs w:val="21"/>
                <w:highlight w:val="none"/>
                <w:vertAlign w:val="baseline"/>
                <w:lang w:val="en-US" w:eastAsia="zh-CN"/>
              </w:rPr>
            </w:pPr>
            <w:r>
              <w:rPr>
                <w:rFonts w:hint="default" w:ascii="Times New Roman" w:hAnsi="Times New Roman" w:eastAsia="宋体" w:cs="Times New Roman"/>
                <w:bCs/>
                <w:szCs w:val="21"/>
                <w:highlight w:val="none"/>
                <w:vertAlign w:val="baseline"/>
                <w:lang w:val="en-US" w:eastAsia="zh-CN"/>
              </w:rPr>
              <w:t>因原料煤炭层次不一致，部分煤炭无法达到电厂要求的规格，在厂区北侧设置一座车间，主要进行配煤及水分选，主要包括原煤分级筛分、块煤破碎、破碎后的块煤分级筛分、精煤脱水等工序。</w:t>
            </w:r>
          </w:p>
          <w:p w14:paraId="6756D9A2">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bCs/>
                <w:szCs w:val="21"/>
                <w:highlight w:val="none"/>
                <w:vertAlign w:val="baseline"/>
                <w:lang w:val="en-US" w:eastAsia="zh-CN"/>
              </w:rPr>
            </w:pPr>
            <w:r>
              <w:rPr>
                <w:rFonts w:hint="default" w:ascii="Times New Roman" w:hAnsi="Times New Roman" w:eastAsia="宋体" w:cs="Times New Roman"/>
                <w:bCs/>
                <w:szCs w:val="21"/>
                <w:highlight w:val="none"/>
                <w:vertAlign w:val="baseline"/>
                <w:lang w:val="en-US" w:eastAsia="zh-CN"/>
              </w:rPr>
              <w:t>（1）上料：</w:t>
            </w:r>
            <w:r>
              <w:rPr>
                <w:rFonts w:hint="eastAsia" w:ascii="Times New Roman" w:hAnsi="Times New Roman" w:eastAsia="宋体" w:cs="Times New Roman"/>
                <w:bCs/>
                <w:szCs w:val="21"/>
                <w:highlight w:val="none"/>
                <w:vertAlign w:val="baseline"/>
                <w:lang w:val="en-US" w:eastAsia="zh-CN"/>
              </w:rPr>
              <w:t>原煤为外购，原煤从产地运至汉曹铁路终点后，由汽车运输至</w:t>
            </w:r>
            <w:r>
              <w:rPr>
                <w:rFonts w:hint="eastAsia" w:cs="Times New Roman"/>
                <w:bCs/>
                <w:szCs w:val="21"/>
                <w:highlight w:val="none"/>
                <w:vertAlign w:val="baseline"/>
                <w:lang w:val="en-US" w:eastAsia="zh-CN"/>
              </w:rPr>
              <w:t>1#厂房原料堆存区</w:t>
            </w:r>
            <w:r>
              <w:rPr>
                <w:rFonts w:hint="eastAsia" w:ascii="Times New Roman" w:hAnsi="Times New Roman" w:eastAsia="宋体" w:cs="Times New Roman"/>
                <w:bCs/>
                <w:szCs w:val="21"/>
                <w:highlight w:val="none"/>
                <w:vertAlign w:val="baseline"/>
                <w:lang w:val="en-US" w:eastAsia="zh-CN"/>
              </w:rPr>
              <w:t>后，卸料储存。</w:t>
            </w:r>
            <w:r>
              <w:rPr>
                <w:rFonts w:hint="default" w:ascii="Times New Roman" w:hAnsi="Times New Roman" w:eastAsia="宋体" w:cs="Times New Roman"/>
                <w:bCs/>
                <w:szCs w:val="21"/>
                <w:highlight w:val="none"/>
                <w:vertAlign w:val="baseline"/>
                <w:lang w:val="en-US" w:eastAsia="zh-CN"/>
              </w:rPr>
              <w:t>原煤由新能源电动铲车从</w:t>
            </w:r>
            <w:r>
              <w:rPr>
                <w:rFonts w:hint="eastAsia"/>
                <w:lang w:val="en-US" w:eastAsia="zh-CN"/>
              </w:rPr>
              <w:t>1#厂房原料堆存</w:t>
            </w:r>
            <w:r>
              <w:rPr>
                <w:rFonts w:hint="default" w:ascii="Times New Roman" w:hAnsi="Times New Roman" w:cs="Times New Roman"/>
                <w:bCs/>
                <w:szCs w:val="21"/>
                <w:highlight w:val="none"/>
                <w:vertAlign w:val="baseline"/>
                <w:lang w:val="en-US" w:eastAsia="zh-CN"/>
              </w:rPr>
              <w:t>区</w:t>
            </w:r>
            <w:r>
              <w:rPr>
                <w:rFonts w:hint="default" w:ascii="Times New Roman" w:hAnsi="Times New Roman" w:eastAsia="宋体" w:cs="Times New Roman"/>
                <w:bCs/>
                <w:szCs w:val="21"/>
                <w:highlight w:val="none"/>
                <w:vertAlign w:val="baseline"/>
                <w:lang w:val="en-US" w:eastAsia="zh-CN"/>
              </w:rPr>
              <w:t>运至给煤机</w:t>
            </w:r>
            <w:r>
              <w:rPr>
                <w:rFonts w:hint="eastAsia" w:cs="Times New Roman"/>
                <w:bCs/>
                <w:szCs w:val="21"/>
                <w:highlight w:val="none"/>
                <w:vertAlign w:val="baseline"/>
                <w:lang w:val="en-US" w:eastAsia="zh-CN"/>
              </w:rPr>
              <w:t>（上料斗尺寸：</w:t>
            </w:r>
            <w:r>
              <w:rPr>
                <w:rFonts w:hint="eastAsia"/>
                <w:kern w:val="0"/>
                <w:szCs w:val="21"/>
              </w:rPr>
              <w:t>2.</w:t>
            </w:r>
            <w:r>
              <w:rPr>
                <w:rFonts w:hint="eastAsia"/>
                <w:kern w:val="0"/>
                <w:szCs w:val="21"/>
                <w:lang w:val="en-US" w:eastAsia="zh-CN"/>
              </w:rPr>
              <w:t>8</w:t>
            </w:r>
            <w:r>
              <w:rPr>
                <w:rFonts w:hint="eastAsia"/>
                <w:kern w:val="0"/>
                <w:szCs w:val="21"/>
              </w:rPr>
              <w:t>m×4.6m</w:t>
            </w:r>
            <w:r>
              <w:rPr>
                <w:rFonts w:hint="eastAsia" w:cs="Times New Roman"/>
                <w:bCs/>
                <w:szCs w:val="21"/>
                <w:highlight w:val="none"/>
                <w:vertAlign w:val="baseline"/>
                <w:lang w:val="en-US" w:eastAsia="zh-CN"/>
              </w:rPr>
              <w:t>）</w:t>
            </w:r>
            <w:r>
              <w:rPr>
                <w:rFonts w:hint="default" w:ascii="Times New Roman" w:hAnsi="Times New Roman" w:eastAsia="宋体" w:cs="Times New Roman"/>
                <w:bCs/>
                <w:szCs w:val="21"/>
                <w:highlight w:val="none"/>
                <w:vertAlign w:val="baseline"/>
                <w:lang w:val="en-US" w:eastAsia="zh-CN"/>
              </w:rPr>
              <w:t>进行上料，由封闭式带式输送机运至</w:t>
            </w:r>
            <w:r>
              <w:rPr>
                <w:rFonts w:hint="default" w:ascii="Times New Roman" w:hAnsi="Times New Roman" w:cs="Times New Roman"/>
                <w:bCs/>
                <w:szCs w:val="21"/>
                <w:highlight w:val="none"/>
                <w:vertAlign w:val="baseline"/>
                <w:lang w:val="en-US" w:eastAsia="zh-CN"/>
              </w:rPr>
              <w:t>原煤分级筛</w:t>
            </w:r>
            <w:r>
              <w:rPr>
                <w:rFonts w:hint="default" w:ascii="Times New Roman" w:hAnsi="Times New Roman" w:eastAsia="宋体" w:cs="Times New Roman"/>
                <w:bCs/>
                <w:szCs w:val="21"/>
                <w:highlight w:val="none"/>
                <w:vertAlign w:val="baseline"/>
                <w:lang w:val="en-US" w:eastAsia="zh-CN"/>
              </w:rPr>
              <w:t>。</w:t>
            </w:r>
          </w:p>
          <w:p w14:paraId="70F0CED0">
            <w:pPr>
              <w:keepNext w:val="0"/>
              <w:keepLines w:val="0"/>
              <w:pageBreakBefore w:val="0"/>
              <w:widowControl w:val="0"/>
              <w:kinsoku/>
              <w:wordWrap/>
              <w:overflowPunct/>
              <w:topLinePunct w:val="0"/>
              <w:autoSpaceDE/>
              <w:autoSpaceDN/>
              <w:bidi w:val="0"/>
              <w:adjustRightInd w:val="0"/>
              <w:snapToGrid w:val="0"/>
              <w:spacing w:line="500" w:lineRule="exact"/>
              <w:ind w:firstLine="482" w:firstLineChars="200"/>
              <w:textAlignment w:val="auto"/>
              <w:rPr>
                <w:rFonts w:hint="default" w:ascii="Times New Roman" w:hAnsi="Times New Roman" w:cs="Times New Roman"/>
                <w:b/>
                <w:bCs/>
                <w:color w:val="auto"/>
                <w:kern w:val="24"/>
                <w:sz w:val="24"/>
                <w:szCs w:val="24"/>
                <w:highlight w:val="none"/>
                <w:lang w:val="en-US" w:eastAsia="zh-CN"/>
              </w:rPr>
            </w:pPr>
            <w:r>
              <w:rPr>
                <w:rFonts w:hint="default" w:ascii="Times New Roman" w:hAnsi="Times New Roman" w:cs="Times New Roman"/>
                <w:b/>
                <w:bCs/>
                <w:color w:val="auto"/>
                <w:kern w:val="24"/>
                <w:sz w:val="24"/>
                <w:szCs w:val="24"/>
                <w:highlight w:val="none"/>
                <w:lang w:eastAsia="zh-CN"/>
              </w:rPr>
              <w:t>产排污节点：</w:t>
            </w:r>
            <w:r>
              <w:rPr>
                <w:rFonts w:hint="eastAsia" w:cs="Times New Roman"/>
                <w:b/>
                <w:bCs/>
                <w:color w:val="auto"/>
                <w:kern w:val="24"/>
                <w:sz w:val="24"/>
                <w:szCs w:val="24"/>
                <w:highlight w:val="none"/>
                <w:lang w:val="en-US" w:eastAsia="zh-CN"/>
              </w:rPr>
              <w:t>原煤</w:t>
            </w:r>
            <w:r>
              <w:rPr>
                <w:rFonts w:hint="default" w:ascii="Times New Roman" w:hAnsi="Times New Roman" w:eastAsia="宋体" w:cs="Times New Roman"/>
                <w:b/>
                <w:bCs/>
                <w:color w:val="auto"/>
                <w:kern w:val="24"/>
                <w:sz w:val="24"/>
                <w:szCs w:val="24"/>
                <w:highlight w:val="none"/>
                <w:lang w:val="en-US" w:eastAsia="zh-CN"/>
              </w:rPr>
              <w:t>卸料产</w:t>
            </w:r>
            <w:r>
              <w:rPr>
                <w:rFonts w:hint="default" w:ascii="Times New Roman" w:hAnsi="Times New Roman" w:cs="Times New Roman"/>
                <w:b/>
                <w:bCs/>
                <w:color w:val="auto"/>
                <w:kern w:val="24"/>
                <w:sz w:val="24"/>
                <w:szCs w:val="24"/>
                <w:highlight w:val="none"/>
                <w:lang w:val="en-US" w:eastAsia="zh-CN"/>
              </w:rPr>
              <w:t>生的废气</w:t>
            </w:r>
            <w:r>
              <w:rPr>
                <w:rFonts w:hint="eastAsia" w:cs="Times New Roman"/>
                <w:b/>
                <w:bCs/>
                <w:color w:val="auto"/>
                <w:kern w:val="24"/>
                <w:sz w:val="24"/>
                <w:szCs w:val="24"/>
                <w:highlight w:val="none"/>
                <w:lang w:val="en-US" w:eastAsia="zh-CN"/>
              </w:rPr>
              <w:t>，</w:t>
            </w:r>
            <w:r>
              <w:rPr>
                <w:rFonts w:hint="default" w:ascii="Times New Roman" w:hAnsi="Times New Roman" w:cs="Times New Roman"/>
                <w:b/>
                <w:bCs/>
                <w:color w:val="auto"/>
                <w:kern w:val="24"/>
                <w:sz w:val="24"/>
                <w:szCs w:val="24"/>
                <w:highlight w:val="none"/>
                <w:lang w:val="en-US" w:eastAsia="zh-CN"/>
              </w:rPr>
              <w:t>上料过程产生的废气，设备运转过程产生的噪声。</w:t>
            </w:r>
          </w:p>
          <w:p w14:paraId="23DDDDFC">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bCs/>
                <w:szCs w:val="21"/>
                <w:highlight w:val="none"/>
                <w:vertAlign w:val="baseline"/>
                <w:lang w:val="en-US" w:eastAsia="zh-CN"/>
              </w:rPr>
            </w:pPr>
            <w:r>
              <w:rPr>
                <w:rFonts w:hint="default" w:ascii="Times New Roman" w:hAnsi="Times New Roman" w:eastAsia="宋体" w:cs="Times New Roman"/>
                <w:bCs/>
                <w:kern w:val="2"/>
                <w:sz w:val="24"/>
                <w:szCs w:val="21"/>
                <w:vertAlign w:val="baseline"/>
                <w:lang w:val="en-US" w:eastAsia="zh-CN" w:bidi="ar-SA"/>
              </w:rPr>
              <w:t>（2）</w:t>
            </w:r>
            <w:r>
              <w:rPr>
                <w:rFonts w:hint="default" w:ascii="Times New Roman" w:hAnsi="Times New Roman" w:cs="Times New Roman"/>
                <w:bCs/>
                <w:kern w:val="2"/>
                <w:sz w:val="24"/>
                <w:szCs w:val="21"/>
                <w:vertAlign w:val="baseline"/>
                <w:lang w:val="en-US" w:eastAsia="zh-CN" w:bidi="ar-SA"/>
              </w:rPr>
              <w:t>原煤分级</w:t>
            </w:r>
            <w:r>
              <w:rPr>
                <w:rFonts w:hint="default" w:ascii="Times New Roman" w:hAnsi="Times New Roman" w:eastAsia="宋体" w:cs="Times New Roman"/>
                <w:bCs/>
                <w:szCs w:val="21"/>
                <w:highlight w:val="none"/>
                <w:vertAlign w:val="baseline"/>
                <w:lang w:val="en-US" w:eastAsia="zh-CN"/>
              </w:rPr>
              <w:t>筛分：原煤首先经</w:t>
            </w:r>
            <w:r>
              <w:rPr>
                <w:rFonts w:hint="default" w:ascii="Times New Roman" w:hAnsi="Times New Roman" w:cs="Times New Roman"/>
                <w:bCs/>
                <w:szCs w:val="21"/>
                <w:highlight w:val="none"/>
                <w:vertAlign w:val="baseline"/>
                <w:lang w:val="en-US" w:eastAsia="zh-CN"/>
              </w:rPr>
              <w:t>原煤分级筛</w:t>
            </w:r>
            <w:r>
              <w:rPr>
                <w:rFonts w:hint="eastAsia" w:cs="Times New Roman"/>
                <w:bCs/>
                <w:szCs w:val="21"/>
                <w:highlight w:val="none"/>
                <w:vertAlign w:val="baseline"/>
                <w:lang w:val="en-US" w:eastAsia="zh-CN"/>
              </w:rPr>
              <w:t>（上料斗尺寸：</w:t>
            </w:r>
            <w:r>
              <w:rPr>
                <w:rFonts w:hint="eastAsia"/>
                <w:kern w:val="0"/>
                <w:szCs w:val="21"/>
                <w:lang w:val="en-US" w:eastAsia="zh-CN"/>
              </w:rPr>
              <w:t>1.8</w:t>
            </w:r>
            <w:r>
              <w:rPr>
                <w:rFonts w:hint="eastAsia"/>
                <w:kern w:val="0"/>
                <w:szCs w:val="21"/>
              </w:rPr>
              <w:t>m×</w:t>
            </w:r>
            <w:r>
              <w:rPr>
                <w:rFonts w:hint="eastAsia"/>
                <w:kern w:val="0"/>
                <w:szCs w:val="21"/>
                <w:lang w:val="en-US" w:eastAsia="zh-CN"/>
              </w:rPr>
              <w:t>1.8</w:t>
            </w:r>
            <w:r>
              <w:rPr>
                <w:rFonts w:hint="eastAsia"/>
                <w:kern w:val="0"/>
                <w:szCs w:val="21"/>
              </w:rPr>
              <w:t>m</w:t>
            </w:r>
            <w:r>
              <w:rPr>
                <w:rFonts w:hint="eastAsia" w:cs="Times New Roman"/>
                <w:bCs/>
                <w:szCs w:val="21"/>
                <w:highlight w:val="none"/>
                <w:vertAlign w:val="baseline"/>
                <w:lang w:val="en-US" w:eastAsia="zh-CN"/>
              </w:rPr>
              <w:t>）</w:t>
            </w:r>
            <w:r>
              <w:rPr>
                <w:rFonts w:hint="default" w:ascii="Times New Roman" w:hAnsi="Times New Roman" w:eastAsia="宋体" w:cs="Times New Roman"/>
                <w:bCs/>
                <w:szCs w:val="21"/>
                <w:highlight w:val="none"/>
                <w:vertAlign w:val="baseline"/>
                <w:lang w:val="en-US" w:eastAsia="zh-CN"/>
              </w:rPr>
              <w:t>进行筛分，</w:t>
            </w:r>
            <w:r>
              <w:rPr>
                <w:rFonts w:hint="eastAsia" w:cs="Times New Roman"/>
                <w:bCs/>
                <w:szCs w:val="21"/>
                <w:highlight w:val="none"/>
                <w:vertAlign w:val="baseline"/>
                <w:lang w:val="en-US" w:eastAsia="zh-CN"/>
              </w:rPr>
              <w:t>不符合规格的原煤（粒径&gt;35mm）</w:t>
            </w:r>
            <w:r>
              <w:rPr>
                <w:rFonts w:hint="default" w:ascii="Times New Roman" w:hAnsi="Times New Roman" w:cs="Times New Roman"/>
                <w:bCs/>
                <w:szCs w:val="21"/>
                <w:highlight w:val="none"/>
                <w:vertAlign w:val="baseline"/>
                <w:lang w:val="en-US" w:eastAsia="zh-CN"/>
              </w:rPr>
              <w:t>由封闭式块煤皮带</w:t>
            </w:r>
            <w:r>
              <w:rPr>
                <w:rFonts w:hint="default" w:ascii="Times New Roman" w:hAnsi="Times New Roman" w:eastAsia="宋体" w:cs="Times New Roman"/>
                <w:bCs/>
                <w:szCs w:val="21"/>
                <w:highlight w:val="none"/>
                <w:vertAlign w:val="baseline"/>
                <w:lang w:val="en-US" w:eastAsia="zh-CN"/>
              </w:rPr>
              <w:t>运至</w:t>
            </w:r>
            <w:r>
              <w:rPr>
                <w:rFonts w:hint="eastAsia" w:cs="Times New Roman"/>
                <w:bCs/>
                <w:szCs w:val="21"/>
                <w:highlight w:val="none"/>
                <w:vertAlign w:val="baseline"/>
                <w:lang w:val="en-US" w:eastAsia="zh-CN"/>
              </w:rPr>
              <w:t>固定</w:t>
            </w:r>
            <w:r>
              <w:rPr>
                <w:rFonts w:hint="default" w:ascii="Times New Roman" w:hAnsi="Times New Roman" w:eastAsia="宋体" w:cs="Times New Roman"/>
                <w:bCs/>
                <w:szCs w:val="21"/>
                <w:highlight w:val="none"/>
                <w:vertAlign w:val="baseline"/>
                <w:lang w:val="en-US" w:eastAsia="zh-CN"/>
              </w:rPr>
              <w:t>破碎机，</w:t>
            </w:r>
            <w:r>
              <w:rPr>
                <w:rFonts w:hint="eastAsia" w:cs="Times New Roman"/>
                <w:bCs/>
                <w:kern w:val="2"/>
                <w:sz w:val="24"/>
                <w:szCs w:val="21"/>
                <w:vertAlign w:val="baseline"/>
                <w:lang w:val="en-US" w:eastAsia="zh-CN" w:bidi="ar-SA"/>
              </w:rPr>
              <w:t>0-15mm原煤</w:t>
            </w:r>
            <w:r>
              <w:rPr>
                <w:rFonts w:hint="default" w:ascii="Times New Roman" w:hAnsi="Times New Roman" w:eastAsia="宋体" w:cs="Times New Roman"/>
                <w:bCs/>
                <w:szCs w:val="21"/>
                <w:highlight w:val="none"/>
                <w:vertAlign w:val="baseline"/>
                <w:lang w:val="en-US" w:eastAsia="zh-CN"/>
              </w:rPr>
              <w:t>由</w:t>
            </w:r>
            <w:r>
              <w:rPr>
                <w:rFonts w:hint="default" w:ascii="Times New Roman" w:hAnsi="Times New Roman" w:cs="Times New Roman"/>
                <w:bCs/>
                <w:szCs w:val="21"/>
                <w:highlight w:val="none"/>
                <w:vertAlign w:val="baseline"/>
                <w:lang w:val="en-US" w:eastAsia="zh-CN"/>
              </w:rPr>
              <w:t>封闭式</w:t>
            </w:r>
            <w:r>
              <w:rPr>
                <w:rFonts w:hint="default" w:ascii="Times New Roman" w:hAnsi="Times New Roman" w:eastAsia="宋体" w:cs="Times New Roman"/>
                <w:bCs/>
                <w:szCs w:val="21"/>
                <w:highlight w:val="none"/>
                <w:vertAlign w:val="baseline"/>
                <w:lang w:val="en-US" w:eastAsia="zh-CN"/>
              </w:rPr>
              <w:t>带式输送机运至</w:t>
            </w:r>
            <w:r>
              <w:rPr>
                <w:rFonts w:hint="default" w:ascii="Times New Roman" w:hAnsi="Times New Roman" w:cs="Times New Roman"/>
                <w:bCs/>
                <w:szCs w:val="21"/>
                <w:highlight w:val="none"/>
                <w:vertAlign w:val="baseline"/>
                <w:lang w:val="en-US" w:eastAsia="zh-CN"/>
              </w:rPr>
              <w:t>振动</w:t>
            </w:r>
            <w:r>
              <w:rPr>
                <w:rFonts w:hint="default" w:ascii="Times New Roman" w:hAnsi="Times New Roman" w:eastAsia="宋体" w:cs="Times New Roman"/>
                <w:bCs/>
                <w:szCs w:val="21"/>
                <w:highlight w:val="none"/>
                <w:vertAlign w:val="baseline"/>
                <w:lang w:val="en-US" w:eastAsia="zh-CN"/>
              </w:rPr>
              <w:t>给料机，再</w:t>
            </w:r>
            <w:r>
              <w:rPr>
                <w:rFonts w:hint="default" w:ascii="Times New Roman" w:hAnsi="Times New Roman" w:cs="Times New Roman"/>
                <w:bCs/>
                <w:szCs w:val="21"/>
                <w:highlight w:val="none"/>
                <w:vertAlign w:val="baseline"/>
                <w:lang w:val="en-US" w:eastAsia="zh-CN"/>
              </w:rPr>
              <w:t>输送</w:t>
            </w:r>
            <w:r>
              <w:rPr>
                <w:rFonts w:hint="default" w:ascii="Times New Roman" w:hAnsi="Times New Roman" w:eastAsia="宋体" w:cs="Times New Roman"/>
                <w:bCs/>
                <w:szCs w:val="21"/>
                <w:highlight w:val="none"/>
                <w:vertAlign w:val="baseline"/>
                <w:lang w:val="en-US" w:eastAsia="zh-CN"/>
              </w:rPr>
              <w:t>至物料预处理机。</w:t>
            </w:r>
          </w:p>
          <w:p w14:paraId="785B8660">
            <w:pPr>
              <w:keepNext w:val="0"/>
              <w:keepLines w:val="0"/>
              <w:pageBreakBefore w:val="0"/>
              <w:widowControl w:val="0"/>
              <w:kinsoku/>
              <w:wordWrap/>
              <w:overflowPunct/>
              <w:topLinePunct w:val="0"/>
              <w:autoSpaceDE/>
              <w:autoSpaceDN/>
              <w:bidi w:val="0"/>
              <w:adjustRightInd w:val="0"/>
              <w:snapToGrid w:val="0"/>
              <w:spacing w:line="500" w:lineRule="exact"/>
              <w:ind w:firstLine="482" w:firstLineChars="200"/>
              <w:textAlignment w:val="auto"/>
              <w:rPr>
                <w:rFonts w:hint="default" w:ascii="Times New Roman" w:hAnsi="Times New Roman" w:eastAsia="宋体" w:cs="Times New Roman"/>
                <w:bCs/>
                <w:szCs w:val="21"/>
                <w:highlight w:val="none"/>
                <w:vertAlign w:val="baseline"/>
                <w:lang w:val="en-US" w:eastAsia="zh-CN"/>
              </w:rPr>
            </w:pPr>
            <w:r>
              <w:rPr>
                <w:rFonts w:hint="default" w:ascii="Times New Roman" w:hAnsi="Times New Roman" w:cs="Times New Roman"/>
                <w:b/>
                <w:bCs/>
                <w:color w:val="auto"/>
                <w:kern w:val="24"/>
                <w:sz w:val="24"/>
                <w:szCs w:val="24"/>
                <w:highlight w:val="none"/>
                <w:lang w:eastAsia="zh-CN"/>
              </w:rPr>
              <w:t>产排污节点：</w:t>
            </w:r>
            <w:r>
              <w:rPr>
                <w:rFonts w:hint="default" w:ascii="Times New Roman" w:hAnsi="Times New Roman" w:cs="Times New Roman"/>
                <w:b/>
                <w:bCs/>
                <w:color w:val="auto"/>
                <w:kern w:val="24"/>
                <w:sz w:val="24"/>
                <w:szCs w:val="24"/>
                <w:highlight w:val="none"/>
                <w:lang w:val="en-US" w:eastAsia="zh-CN"/>
              </w:rPr>
              <w:t>原煤分级筛分过程产生的废气，设备运转过程产生的噪声。</w:t>
            </w:r>
          </w:p>
          <w:p w14:paraId="655D17F8">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bCs/>
                <w:szCs w:val="21"/>
                <w:highlight w:val="none"/>
                <w:vertAlign w:val="baseline"/>
                <w:lang w:val="en-US" w:eastAsia="zh-CN"/>
              </w:rPr>
            </w:pPr>
            <w:r>
              <w:rPr>
                <w:rFonts w:hint="default" w:ascii="Times New Roman" w:hAnsi="Times New Roman" w:eastAsia="宋体" w:cs="Times New Roman"/>
                <w:bCs/>
                <w:szCs w:val="21"/>
                <w:highlight w:val="none"/>
                <w:vertAlign w:val="baseline"/>
                <w:lang w:val="en-US" w:eastAsia="zh-CN"/>
              </w:rPr>
              <w:t>（3）</w:t>
            </w:r>
            <w:r>
              <w:rPr>
                <w:rFonts w:hint="default" w:ascii="Times New Roman" w:hAnsi="Times New Roman" w:cs="Times New Roman"/>
                <w:bCs/>
                <w:szCs w:val="21"/>
                <w:highlight w:val="none"/>
                <w:vertAlign w:val="baseline"/>
                <w:lang w:val="en-US" w:eastAsia="zh-CN"/>
              </w:rPr>
              <w:t>块煤</w:t>
            </w:r>
            <w:r>
              <w:rPr>
                <w:rFonts w:hint="default" w:ascii="Times New Roman" w:hAnsi="Times New Roman" w:eastAsia="宋体" w:cs="Times New Roman"/>
                <w:bCs/>
                <w:szCs w:val="21"/>
                <w:highlight w:val="none"/>
                <w:vertAlign w:val="baseline"/>
                <w:lang w:val="en-US" w:eastAsia="zh-CN"/>
              </w:rPr>
              <w:t>破碎：</w:t>
            </w:r>
            <w:r>
              <w:rPr>
                <w:rFonts w:hint="eastAsia" w:cs="Times New Roman"/>
                <w:bCs/>
                <w:szCs w:val="21"/>
                <w:highlight w:val="none"/>
                <w:vertAlign w:val="baseline"/>
                <w:lang w:val="en-US" w:eastAsia="zh-CN"/>
              </w:rPr>
              <w:t>不符合规格的块煤（粒径&gt;35cm）</w:t>
            </w:r>
            <w:r>
              <w:rPr>
                <w:rFonts w:hint="default" w:ascii="Times New Roman" w:hAnsi="Times New Roman" w:cs="Times New Roman"/>
                <w:bCs/>
                <w:szCs w:val="21"/>
                <w:highlight w:val="none"/>
                <w:vertAlign w:val="baseline"/>
                <w:lang w:val="en-US" w:eastAsia="zh-CN"/>
              </w:rPr>
              <w:t>经封闭式块煤皮带</w:t>
            </w:r>
            <w:r>
              <w:rPr>
                <w:rFonts w:hint="default" w:ascii="Times New Roman" w:hAnsi="Times New Roman" w:eastAsia="宋体" w:cs="Times New Roman"/>
                <w:bCs/>
                <w:szCs w:val="21"/>
                <w:highlight w:val="none"/>
                <w:vertAlign w:val="baseline"/>
                <w:lang w:val="en-US" w:eastAsia="zh-CN"/>
              </w:rPr>
              <w:t>运至</w:t>
            </w:r>
            <w:r>
              <w:rPr>
                <w:rFonts w:hint="eastAsia" w:cs="Times New Roman"/>
                <w:bCs/>
                <w:szCs w:val="21"/>
                <w:highlight w:val="none"/>
                <w:vertAlign w:val="baseline"/>
                <w:lang w:val="en-US" w:eastAsia="zh-CN"/>
              </w:rPr>
              <w:t>固定</w:t>
            </w:r>
            <w:r>
              <w:rPr>
                <w:rFonts w:hint="default" w:ascii="Times New Roman" w:hAnsi="Times New Roman" w:eastAsia="宋体" w:cs="Times New Roman"/>
                <w:bCs/>
                <w:szCs w:val="21"/>
                <w:highlight w:val="none"/>
                <w:vertAlign w:val="baseline"/>
                <w:lang w:val="en-US" w:eastAsia="zh-CN"/>
              </w:rPr>
              <w:t>破碎机</w:t>
            </w:r>
            <w:r>
              <w:rPr>
                <w:rFonts w:hint="eastAsia" w:cs="Times New Roman"/>
                <w:bCs/>
                <w:szCs w:val="21"/>
                <w:highlight w:val="none"/>
                <w:vertAlign w:val="baseline"/>
                <w:lang w:val="en-US" w:eastAsia="zh-CN"/>
              </w:rPr>
              <w:t>（上料斗尺寸：</w:t>
            </w:r>
            <w:r>
              <w:rPr>
                <w:rFonts w:hint="eastAsia"/>
                <w:kern w:val="0"/>
                <w:szCs w:val="21"/>
                <w:lang w:val="en-US" w:eastAsia="zh-CN"/>
              </w:rPr>
              <w:t>1.8m</w:t>
            </w:r>
            <w:r>
              <w:rPr>
                <w:rFonts w:hint="eastAsia"/>
                <w:kern w:val="0"/>
                <w:szCs w:val="21"/>
              </w:rPr>
              <w:t>×</w:t>
            </w:r>
            <w:r>
              <w:rPr>
                <w:rFonts w:hint="eastAsia"/>
                <w:kern w:val="0"/>
                <w:szCs w:val="21"/>
                <w:lang w:val="en-US" w:eastAsia="zh-CN"/>
              </w:rPr>
              <w:t>2.8</w:t>
            </w:r>
            <w:r>
              <w:rPr>
                <w:rFonts w:hint="eastAsia"/>
                <w:kern w:val="0"/>
                <w:szCs w:val="21"/>
              </w:rPr>
              <w:t>m</w:t>
            </w:r>
            <w:r>
              <w:rPr>
                <w:rFonts w:hint="eastAsia" w:cs="Times New Roman"/>
                <w:bCs/>
                <w:szCs w:val="21"/>
                <w:highlight w:val="none"/>
                <w:vertAlign w:val="baseline"/>
                <w:lang w:val="en-US" w:eastAsia="zh-CN"/>
              </w:rPr>
              <w:t>）</w:t>
            </w:r>
            <w:r>
              <w:rPr>
                <w:rFonts w:hint="default" w:ascii="Times New Roman" w:hAnsi="Times New Roman" w:eastAsia="宋体" w:cs="Times New Roman"/>
                <w:bCs/>
                <w:szCs w:val="21"/>
                <w:highlight w:val="none"/>
                <w:vertAlign w:val="baseline"/>
                <w:lang w:val="en-US" w:eastAsia="zh-CN"/>
              </w:rPr>
              <w:t>进行破碎，破碎后的块煤由</w:t>
            </w:r>
            <w:r>
              <w:rPr>
                <w:rFonts w:hint="default" w:ascii="Times New Roman" w:hAnsi="Times New Roman" w:cs="Times New Roman"/>
                <w:bCs/>
                <w:szCs w:val="21"/>
                <w:highlight w:val="none"/>
                <w:vertAlign w:val="baseline"/>
                <w:lang w:val="en-US" w:eastAsia="zh-CN"/>
              </w:rPr>
              <w:t>封闭式</w:t>
            </w:r>
            <w:r>
              <w:rPr>
                <w:rFonts w:hint="default" w:ascii="Times New Roman" w:hAnsi="Times New Roman" w:eastAsia="宋体" w:cs="Times New Roman"/>
                <w:bCs/>
                <w:szCs w:val="21"/>
                <w:highlight w:val="none"/>
                <w:vertAlign w:val="baseline"/>
                <w:lang w:val="en-US" w:eastAsia="zh-CN"/>
              </w:rPr>
              <w:t>带式输送机运至</w:t>
            </w:r>
            <w:r>
              <w:rPr>
                <w:rFonts w:hint="default" w:ascii="Times New Roman" w:hAnsi="Times New Roman" w:cs="Times New Roman"/>
                <w:bCs/>
                <w:szCs w:val="21"/>
                <w:highlight w:val="none"/>
                <w:vertAlign w:val="baseline"/>
                <w:lang w:val="en-US" w:eastAsia="zh-CN"/>
              </w:rPr>
              <w:t>振动</w:t>
            </w:r>
            <w:r>
              <w:rPr>
                <w:rFonts w:hint="default" w:ascii="Times New Roman" w:hAnsi="Times New Roman" w:eastAsia="宋体" w:cs="Times New Roman"/>
                <w:bCs/>
                <w:szCs w:val="21"/>
                <w:highlight w:val="none"/>
                <w:vertAlign w:val="baseline"/>
                <w:lang w:val="en-US" w:eastAsia="zh-CN"/>
              </w:rPr>
              <w:t>给料机，再</w:t>
            </w:r>
            <w:r>
              <w:rPr>
                <w:rFonts w:hint="default" w:ascii="Times New Roman" w:hAnsi="Times New Roman" w:cs="Times New Roman"/>
                <w:bCs/>
                <w:szCs w:val="21"/>
                <w:highlight w:val="none"/>
                <w:vertAlign w:val="baseline"/>
                <w:lang w:val="en-US" w:eastAsia="zh-CN"/>
              </w:rPr>
              <w:t>输送</w:t>
            </w:r>
            <w:r>
              <w:rPr>
                <w:rFonts w:hint="default" w:ascii="Times New Roman" w:hAnsi="Times New Roman" w:eastAsia="宋体" w:cs="Times New Roman"/>
                <w:bCs/>
                <w:szCs w:val="21"/>
                <w:highlight w:val="none"/>
                <w:vertAlign w:val="baseline"/>
                <w:lang w:val="en-US" w:eastAsia="zh-CN"/>
              </w:rPr>
              <w:t>至物料预处理机，进行下一工序。</w:t>
            </w:r>
          </w:p>
          <w:p w14:paraId="5F62E447">
            <w:pPr>
              <w:keepNext w:val="0"/>
              <w:keepLines w:val="0"/>
              <w:pageBreakBefore w:val="0"/>
              <w:widowControl w:val="0"/>
              <w:kinsoku/>
              <w:wordWrap/>
              <w:overflowPunct/>
              <w:topLinePunct w:val="0"/>
              <w:autoSpaceDE/>
              <w:autoSpaceDN/>
              <w:bidi w:val="0"/>
              <w:adjustRightInd w:val="0"/>
              <w:snapToGrid w:val="0"/>
              <w:spacing w:line="500" w:lineRule="exact"/>
              <w:ind w:firstLine="482" w:firstLineChars="200"/>
              <w:textAlignment w:val="auto"/>
              <w:rPr>
                <w:rFonts w:hint="default" w:ascii="Times New Roman" w:hAnsi="Times New Roman" w:eastAsia="宋体" w:cs="Times New Roman"/>
                <w:bCs/>
                <w:szCs w:val="21"/>
                <w:highlight w:val="none"/>
                <w:vertAlign w:val="baseline"/>
                <w:lang w:val="en-US" w:eastAsia="zh-CN"/>
              </w:rPr>
            </w:pPr>
            <w:r>
              <w:rPr>
                <w:rFonts w:hint="default" w:ascii="Times New Roman" w:hAnsi="Times New Roman" w:cs="Times New Roman"/>
                <w:b/>
                <w:bCs/>
                <w:color w:val="auto"/>
                <w:kern w:val="24"/>
                <w:sz w:val="24"/>
                <w:szCs w:val="24"/>
                <w:highlight w:val="none"/>
                <w:lang w:eastAsia="zh-CN"/>
              </w:rPr>
              <w:t>产排污节点：</w:t>
            </w:r>
            <w:r>
              <w:rPr>
                <w:rFonts w:hint="default" w:ascii="Times New Roman" w:hAnsi="Times New Roman" w:cs="Times New Roman"/>
                <w:b/>
                <w:bCs/>
                <w:color w:val="auto"/>
                <w:kern w:val="24"/>
                <w:sz w:val="24"/>
                <w:szCs w:val="24"/>
                <w:highlight w:val="none"/>
                <w:lang w:val="en-US" w:eastAsia="zh-CN"/>
              </w:rPr>
              <w:t>破碎过程产生的废气，设备运转过程产生的噪声。</w:t>
            </w:r>
          </w:p>
          <w:p w14:paraId="083596DD">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bCs/>
                <w:szCs w:val="21"/>
                <w:highlight w:val="none"/>
                <w:vertAlign w:val="baseline"/>
                <w:lang w:val="en-US" w:eastAsia="zh-CN"/>
              </w:rPr>
            </w:pPr>
            <w:r>
              <w:rPr>
                <w:rFonts w:hint="default" w:ascii="Times New Roman" w:hAnsi="Times New Roman" w:eastAsia="宋体" w:cs="Times New Roman"/>
                <w:bCs/>
                <w:szCs w:val="21"/>
                <w:highlight w:val="none"/>
                <w:vertAlign w:val="baseline"/>
                <w:lang w:val="en-US" w:eastAsia="zh-CN"/>
              </w:rPr>
              <w:t>（4）</w:t>
            </w:r>
            <w:r>
              <w:rPr>
                <w:rFonts w:hint="default" w:ascii="Times New Roman" w:hAnsi="Times New Roman" w:cs="Times New Roman"/>
                <w:bCs/>
                <w:szCs w:val="21"/>
                <w:highlight w:val="none"/>
                <w:vertAlign w:val="baseline"/>
                <w:lang w:val="en-US" w:eastAsia="zh-CN"/>
              </w:rPr>
              <w:t>块煤分级筛分</w:t>
            </w:r>
          </w:p>
          <w:p w14:paraId="7BD7FD64">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bCs/>
                <w:kern w:val="2"/>
                <w:sz w:val="24"/>
                <w:szCs w:val="21"/>
                <w:highlight w:val="none"/>
                <w:vertAlign w:val="baseline"/>
                <w:lang w:val="en-US" w:eastAsia="zh-CN" w:bidi="ar-SA"/>
              </w:rPr>
            </w:pPr>
            <w:r>
              <w:rPr>
                <w:rFonts w:hint="eastAsia" w:cs="Times New Roman"/>
                <w:bCs/>
                <w:kern w:val="2"/>
                <w:sz w:val="24"/>
                <w:szCs w:val="21"/>
                <w:vertAlign w:val="baseline"/>
                <w:lang w:val="en-US" w:eastAsia="zh-CN" w:bidi="ar-SA"/>
              </w:rPr>
              <w:t>0-15cm原煤输送</w:t>
            </w:r>
            <w:r>
              <w:rPr>
                <w:rFonts w:hint="default" w:ascii="Times New Roman" w:hAnsi="Times New Roman" w:eastAsia="宋体" w:cs="Times New Roman"/>
                <w:bCs/>
                <w:kern w:val="2"/>
                <w:sz w:val="24"/>
                <w:szCs w:val="21"/>
                <w:vertAlign w:val="baseline"/>
                <w:lang w:val="en-US" w:eastAsia="zh-CN" w:bidi="ar-SA"/>
              </w:rPr>
              <w:t>至物料预处理机内，同时由水泵将</w:t>
            </w:r>
            <w:r>
              <w:rPr>
                <w:rFonts w:hint="default" w:ascii="Times New Roman" w:hAnsi="Times New Roman" w:cs="Times New Roman"/>
                <w:bCs/>
                <w:kern w:val="2"/>
                <w:sz w:val="24"/>
                <w:szCs w:val="21"/>
                <w:vertAlign w:val="baseline"/>
                <w:lang w:val="en-US" w:eastAsia="zh-CN" w:bidi="ar-SA"/>
              </w:rPr>
              <w:t>清水池</w:t>
            </w:r>
            <w:r>
              <w:rPr>
                <w:rFonts w:hint="default" w:ascii="Times New Roman" w:hAnsi="Times New Roman" w:eastAsia="宋体" w:cs="Times New Roman"/>
                <w:bCs/>
                <w:kern w:val="2"/>
                <w:sz w:val="24"/>
                <w:szCs w:val="21"/>
                <w:vertAlign w:val="baseline"/>
                <w:lang w:val="en-US" w:eastAsia="zh-CN" w:bidi="ar-SA"/>
              </w:rPr>
              <w:t>内清水一同注入到预处理机内</w:t>
            </w:r>
            <w:r>
              <w:rPr>
                <w:rFonts w:hint="default" w:ascii="Times New Roman" w:hAnsi="Times New Roman" w:cs="Times New Roman"/>
                <w:bCs/>
                <w:kern w:val="2"/>
                <w:sz w:val="24"/>
                <w:szCs w:val="21"/>
                <w:vertAlign w:val="baseline"/>
                <w:lang w:val="en-US" w:eastAsia="zh-CN" w:bidi="ar-SA"/>
              </w:rPr>
              <w:t>（首次生产使用新鲜水，之后使用清水池循环水）</w:t>
            </w:r>
            <w:r>
              <w:rPr>
                <w:rFonts w:hint="default" w:ascii="Times New Roman" w:hAnsi="Times New Roman" w:eastAsia="宋体" w:cs="Times New Roman"/>
                <w:bCs/>
                <w:kern w:val="2"/>
                <w:sz w:val="24"/>
                <w:szCs w:val="21"/>
                <w:vertAlign w:val="baseline"/>
                <w:lang w:val="en-US" w:eastAsia="zh-CN" w:bidi="ar-SA"/>
              </w:rPr>
              <w:t>，加水处理后得到的块煤经</w:t>
            </w:r>
            <w:r>
              <w:rPr>
                <w:rFonts w:hint="default" w:ascii="Times New Roman" w:hAnsi="Times New Roman" w:cs="Times New Roman"/>
                <w:bCs/>
                <w:kern w:val="2"/>
                <w:sz w:val="24"/>
                <w:szCs w:val="21"/>
                <w:vertAlign w:val="baseline"/>
                <w:lang w:val="en-US" w:eastAsia="zh-CN" w:bidi="ar-SA"/>
              </w:rPr>
              <w:t>块煤</w:t>
            </w:r>
            <w:r>
              <w:rPr>
                <w:rFonts w:hint="default" w:ascii="Times New Roman" w:hAnsi="Times New Roman" w:eastAsia="宋体" w:cs="Times New Roman"/>
                <w:bCs/>
                <w:kern w:val="2"/>
                <w:sz w:val="24"/>
                <w:szCs w:val="21"/>
                <w:vertAlign w:val="baseline"/>
                <w:lang w:val="en-US" w:eastAsia="zh-CN" w:bidi="ar-SA"/>
              </w:rPr>
              <w:t>分级筛进行</w:t>
            </w:r>
            <w:r>
              <w:rPr>
                <w:rFonts w:hint="default" w:ascii="Times New Roman" w:hAnsi="Times New Roman" w:eastAsia="宋体" w:cs="Times New Roman"/>
                <w:bCs/>
                <w:kern w:val="2"/>
                <w:sz w:val="24"/>
                <w:szCs w:val="21"/>
                <w:highlight w:val="none"/>
                <w:vertAlign w:val="baseline"/>
                <w:lang w:val="en-US" w:eastAsia="zh-CN" w:bidi="ar-SA"/>
              </w:rPr>
              <w:t>筛分，</w:t>
            </w:r>
            <w:r>
              <w:rPr>
                <w:rFonts w:hint="eastAsia" w:cs="Times New Roman"/>
                <w:bCs/>
                <w:kern w:val="2"/>
                <w:sz w:val="24"/>
                <w:szCs w:val="21"/>
                <w:highlight w:val="none"/>
                <w:vertAlign w:val="baseline"/>
                <w:lang w:val="en-US" w:eastAsia="zh-CN" w:bidi="ar-SA"/>
              </w:rPr>
              <w:t>筛选出粒径1-3cm块煤、粒径3-8cm块煤、粒径8-15cm块煤</w:t>
            </w:r>
            <w:r>
              <w:rPr>
                <w:rFonts w:hint="default" w:ascii="Times New Roman" w:hAnsi="Times New Roman" w:eastAsia="宋体" w:cs="Times New Roman"/>
                <w:bCs/>
                <w:kern w:val="2"/>
                <w:sz w:val="24"/>
                <w:szCs w:val="21"/>
                <w:highlight w:val="none"/>
                <w:vertAlign w:val="baseline"/>
                <w:lang w:val="en-US" w:eastAsia="zh-CN" w:bidi="ar-SA"/>
              </w:rPr>
              <w:t>运至</w:t>
            </w:r>
            <w:r>
              <w:rPr>
                <w:rFonts w:hint="eastAsia" w:eastAsia="宋体" w:cs="Times New Roman"/>
                <w:bCs/>
                <w:kern w:val="2"/>
                <w:sz w:val="24"/>
                <w:szCs w:val="21"/>
                <w:highlight w:val="none"/>
                <w:vertAlign w:val="baseline"/>
                <w:lang w:val="en-US" w:eastAsia="zh-CN" w:bidi="ar-SA"/>
              </w:rPr>
              <w:t>1#厂房成品堆存区</w:t>
            </w:r>
            <w:r>
              <w:rPr>
                <w:rFonts w:hint="default" w:ascii="Times New Roman" w:hAnsi="Times New Roman" w:eastAsia="宋体" w:cs="Times New Roman"/>
                <w:bCs/>
                <w:kern w:val="2"/>
                <w:sz w:val="24"/>
                <w:szCs w:val="21"/>
                <w:highlight w:val="none"/>
                <w:vertAlign w:val="baseline"/>
                <w:lang w:val="en-US" w:eastAsia="zh-CN" w:bidi="ar-SA"/>
              </w:rPr>
              <w:t>内储存，</w:t>
            </w:r>
            <w:r>
              <w:rPr>
                <w:rFonts w:hint="eastAsia" w:eastAsia="宋体" w:cs="Times New Roman"/>
                <w:bCs/>
                <w:kern w:val="2"/>
                <w:sz w:val="24"/>
                <w:szCs w:val="21"/>
                <w:highlight w:val="none"/>
                <w:vertAlign w:val="baseline"/>
                <w:lang w:val="en-US" w:eastAsia="zh-CN" w:bidi="ar-SA"/>
              </w:rPr>
              <w:t>不符合要求块煤</w:t>
            </w:r>
            <w:r>
              <w:rPr>
                <w:rFonts w:hint="default" w:ascii="Times New Roman" w:hAnsi="Times New Roman" w:eastAsia="宋体" w:cs="Times New Roman"/>
                <w:bCs/>
                <w:kern w:val="2"/>
                <w:sz w:val="24"/>
                <w:szCs w:val="21"/>
                <w:highlight w:val="none"/>
                <w:vertAlign w:val="baseline"/>
                <w:lang w:val="en-US" w:eastAsia="zh-CN" w:bidi="ar-SA"/>
              </w:rPr>
              <w:t>运至弧形筛。</w:t>
            </w:r>
          </w:p>
          <w:p w14:paraId="15BC5B6F">
            <w:pPr>
              <w:keepNext w:val="0"/>
              <w:keepLines w:val="0"/>
              <w:pageBreakBefore w:val="0"/>
              <w:widowControl w:val="0"/>
              <w:kinsoku/>
              <w:wordWrap/>
              <w:overflowPunct/>
              <w:topLinePunct w:val="0"/>
              <w:autoSpaceDE/>
              <w:autoSpaceDN/>
              <w:bidi w:val="0"/>
              <w:adjustRightInd w:val="0"/>
              <w:snapToGrid w:val="0"/>
              <w:spacing w:line="500" w:lineRule="exact"/>
              <w:ind w:firstLine="482" w:firstLineChars="200"/>
              <w:textAlignment w:val="auto"/>
              <w:rPr>
                <w:rFonts w:hint="default" w:ascii="Times New Roman" w:hAnsi="Times New Roman" w:eastAsia="宋体" w:cs="Times New Roman"/>
                <w:bCs/>
                <w:color w:val="auto"/>
                <w:szCs w:val="21"/>
                <w:highlight w:val="none"/>
                <w:vertAlign w:val="baseline"/>
                <w:lang w:val="en-US" w:eastAsia="zh-CN"/>
              </w:rPr>
            </w:pPr>
            <w:r>
              <w:rPr>
                <w:rFonts w:hint="default" w:ascii="Times New Roman" w:hAnsi="Times New Roman" w:cs="Times New Roman"/>
                <w:b/>
                <w:bCs/>
                <w:color w:val="auto"/>
                <w:kern w:val="24"/>
                <w:sz w:val="24"/>
                <w:szCs w:val="24"/>
                <w:highlight w:val="none"/>
                <w:lang w:eastAsia="zh-CN"/>
              </w:rPr>
              <w:t>产排污节点：</w:t>
            </w:r>
            <w:r>
              <w:rPr>
                <w:rFonts w:hint="default" w:ascii="Times New Roman" w:hAnsi="Times New Roman" w:cs="Times New Roman"/>
                <w:b/>
                <w:bCs/>
                <w:color w:val="auto"/>
                <w:kern w:val="24"/>
                <w:sz w:val="24"/>
                <w:szCs w:val="24"/>
                <w:highlight w:val="none"/>
                <w:lang w:val="en-US" w:eastAsia="zh-CN"/>
              </w:rPr>
              <w:t>设备运转过程产生的噪声</w:t>
            </w:r>
            <w:r>
              <w:rPr>
                <w:rFonts w:hint="eastAsia" w:cs="Times New Roman"/>
                <w:b/>
                <w:bCs/>
                <w:color w:val="auto"/>
                <w:kern w:val="24"/>
                <w:sz w:val="24"/>
                <w:szCs w:val="24"/>
                <w:highlight w:val="none"/>
                <w:lang w:val="en-US" w:eastAsia="zh-CN"/>
              </w:rPr>
              <w:t>，配煤加工废水沉淀后回用</w:t>
            </w:r>
            <w:r>
              <w:rPr>
                <w:rFonts w:hint="default" w:ascii="Times New Roman" w:hAnsi="Times New Roman" w:cs="Times New Roman"/>
                <w:b/>
                <w:bCs/>
                <w:color w:val="auto"/>
                <w:kern w:val="24"/>
                <w:sz w:val="24"/>
                <w:szCs w:val="24"/>
                <w:highlight w:val="none"/>
                <w:lang w:val="en-US" w:eastAsia="zh-CN"/>
              </w:rPr>
              <w:t>。</w:t>
            </w:r>
          </w:p>
          <w:p w14:paraId="08AF1688">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bCs/>
                <w:kern w:val="2"/>
                <w:sz w:val="24"/>
                <w:szCs w:val="21"/>
                <w:vertAlign w:val="baseline"/>
                <w:lang w:val="en-US" w:eastAsia="zh-CN" w:bidi="ar-SA"/>
              </w:rPr>
            </w:pPr>
            <w:r>
              <w:rPr>
                <w:rFonts w:hint="default" w:ascii="Times New Roman" w:hAnsi="Times New Roman" w:eastAsia="宋体" w:cs="Times New Roman"/>
                <w:bCs/>
                <w:kern w:val="2"/>
                <w:sz w:val="24"/>
                <w:szCs w:val="21"/>
                <w:vertAlign w:val="baseline"/>
                <w:lang w:val="en-US" w:eastAsia="zh-CN" w:bidi="ar-SA"/>
              </w:rPr>
              <w:t>（5）精煤脱水筛分</w:t>
            </w:r>
          </w:p>
          <w:p w14:paraId="557D623C">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cs="Times New Roman"/>
                <w:bCs/>
                <w:kern w:val="2"/>
                <w:sz w:val="24"/>
                <w:szCs w:val="21"/>
                <w:vertAlign w:val="baseline"/>
                <w:lang w:val="en-US" w:eastAsia="zh-CN" w:bidi="ar-SA"/>
              </w:rPr>
            </w:pPr>
            <w:r>
              <w:rPr>
                <w:rFonts w:hint="default" w:ascii="Times New Roman" w:hAnsi="Times New Roman" w:eastAsia="宋体" w:cs="Times New Roman"/>
                <w:bCs/>
                <w:kern w:val="2"/>
                <w:sz w:val="24"/>
                <w:szCs w:val="21"/>
                <w:vertAlign w:val="baseline"/>
                <w:lang w:val="en-US" w:eastAsia="zh-CN" w:bidi="ar-SA"/>
              </w:rPr>
              <w:t>弧形筛筛分后的精煤进入精煤脱水筛</w:t>
            </w:r>
            <w:r>
              <w:rPr>
                <w:rFonts w:hint="default" w:ascii="Times New Roman" w:hAnsi="Times New Roman" w:eastAsia="宋体" w:cs="Times New Roman"/>
                <w:bCs/>
                <w:kern w:val="2"/>
                <w:sz w:val="24"/>
                <w:szCs w:val="21"/>
                <w:highlight w:val="none"/>
                <w:vertAlign w:val="baseline"/>
                <w:lang w:val="en-US" w:eastAsia="zh-CN" w:bidi="ar-SA"/>
              </w:rPr>
              <w:t>，筛上</w:t>
            </w:r>
            <w:r>
              <w:rPr>
                <w:rFonts w:hint="eastAsia" w:cs="Times New Roman"/>
                <w:bCs/>
                <w:kern w:val="2"/>
                <w:sz w:val="24"/>
                <w:szCs w:val="21"/>
                <w:highlight w:val="none"/>
                <w:vertAlign w:val="baseline"/>
                <w:lang w:val="en-US" w:eastAsia="zh-CN" w:bidi="ar-SA"/>
              </w:rPr>
              <w:t>煤炭</w:t>
            </w:r>
            <w:r>
              <w:rPr>
                <w:rFonts w:hint="default" w:ascii="Times New Roman" w:hAnsi="Times New Roman" w:eastAsia="宋体" w:cs="Times New Roman"/>
                <w:bCs/>
                <w:kern w:val="2"/>
                <w:sz w:val="24"/>
                <w:szCs w:val="21"/>
                <w:highlight w:val="none"/>
                <w:vertAlign w:val="baseline"/>
                <w:lang w:val="en-US" w:eastAsia="zh-CN" w:bidi="ar-SA"/>
              </w:rPr>
              <w:t>运至面</w:t>
            </w:r>
            <w:r>
              <w:rPr>
                <w:rFonts w:hint="default" w:ascii="Times New Roman" w:hAnsi="Times New Roman" w:eastAsia="宋体" w:cs="Times New Roman"/>
                <w:bCs/>
                <w:kern w:val="2"/>
                <w:sz w:val="24"/>
                <w:szCs w:val="21"/>
                <w:vertAlign w:val="baseline"/>
                <w:lang w:val="en-US" w:eastAsia="zh-CN" w:bidi="ar-SA"/>
              </w:rPr>
              <w:t>煤脱水筛，</w:t>
            </w:r>
            <w:r>
              <w:rPr>
                <w:rFonts w:hint="default" w:ascii="Times New Roman" w:hAnsi="Times New Roman" w:eastAsia="宋体" w:cs="Times New Roman"/>
                <w:bCs/>
                <w:kern w:val="2"/>
                <w:sz w:val="24"/>
                <w:szCs w:val="21"/>
                <w:highlight w:val="none"/>
                <w:vertAlign w:val="baseline"/>
                <w:lang w:val="en-US" w:eastAsia="zh-CN" w:bidi="ar-SA"/>
              </w:rPr>
              <w:t>筛分出符合规格的面煤</w:t>
            </w:r>
            <w:r>
              <w:rPr>
                <w:rFonts w:hint="eastAsia" w:cs="Times New Roman"/>
                <w:bCs/>
                <w:kern w:val="2"/>
                <w:sz w:val="24"/>
                <w:szCs w:val="21"/>
                <w:highlight w:val="none"/>
                <w:vertAlign w:val="baseline"/>
                <w:lang w:val="en-US" w:eastAsia="zh-CN" w:bidi="ar-SA"/>
              </w:rPr>
              <w:t>（粒径</w:t>
            </w:r>
            <w:r>
              <w:rPr>
                <w:rFonts w:hint="eastAsia" w:ascii="微软雅黑" w:hAnsi="微软雅黑" w:eastAsia="微软雅黑" w:cs="微软雅黑"/>
                <w:bCs/>
                <w:kern w:val="2"/>
                <w:sz w:val="24"/>
                <w:szCs w:val="21"/>
                <w:highlight w:val="none"/>
                <w:vertAlign w:val="baseline"/>
                <w:lang w:val="en-US" w:eastAsia="zh-CN" w:bidi="ar-SA"/>
              </w:rPr>
              <w:t>&lt;</w:t>
            </w:r>
            <w:r>
              <w:rPr>
                <w:rFonts w:hint="eastAsia" w:cs="Times New Roman"/>
                <w:bCs/>
                <w:kern w:val="2"/>
                <w:sz w:val="24"/>
                <w:szCs w:val="21"/>
                <w:highlight w:val="none"/>
                <w:vertAlign w:val="baseline"/>
                <w:lang w:val="en-US" w:eastAsia="zh-CN" w:bidi="ar-SA"/>
              </w:rPr>
              <w:t>1cm）</w:t>
            </w:r>
            <w:r>
              <w:rPr>
                <w:rFonts w:hint="default" w:ascii="Times New Roman" w:hAnsi="Times New Roman" w:eastAsia="宋体" w:cs="Times New Roman"/>
                <w:bCs/>
                <w:kern w:val="2"/>
                <w:sz w:val="24"/>
                <w:szCs w:val="21"/>
                <w:vertAlign w:val="baseline"/>
                <w:lang w:val="en-US" w:eastAsia="zh-CN" w:bidi="ar-SA"/>
              </w:rPr>
              <w:t>，</w:t>
            </w:r>
            <w:r>
              <w:rPr>
                <w:rFonts w:hint="default" w:ascii="Times New Roman" w:hAnsi="Times New Roman" w:cs="Times New Roman"/>
                <w:bCs/>
                <w:kern w:val="2"/>
                <w:sz w:val="24"/>
                <w:szCs w:val="21"/>
                <w:vertAlign w:val="baseline"/>
                <w:lang w:val="en-US" w:eastAsia="zh-CN" w:bidi="ar-SA"/>
              </w:rPr>
              <w:t>筛分后的泥浆由</w:t>
            </w:r>
            <w:r>
              <w:rPr>
                <w:rFonts w:hint="default" w:ascii="Times New Roman" w:hAnsi="Times New Roman" w:eastAsia="宋体" w:cs="Times New Roman"/>
                <w:bCs/>
                <w:kern w:val="2"/>
                <w:sz w:val="24"/>
                <w:szCs w:val="21"/>
                <w:vertAlign w:val="baseline"/>
                <w:lang w:val="en-US" w:eastAsia="zh-CN" w:bidi="ar-SA"/>
              </w:rPr>
              <w:t>脱水筛下池</w:t>
            </w:r>
            <w:r>
              <w:rPr>
                <w:rFonts w:hint="default" w:ascii="Times New Roman" w:hAnsi="Times New Roman" w:cs="Times New Roman"/>
                <w:bCs/>
                <w:kern w:val="2"/>
                <w:sz w:val="24"/>
                <w:szCs w:val="21"/>
                <w:vertAlign w:val="baseline"/>
                <w:lang w:val="en-US" w:eastAsia="zh-CN" w:bidi="ar-SA"/>
              </w:rPr>
              <w:t>收集，经沉淀后分为上清液和池底污泥，上清液经</w:t>
            </w:r>
            <w:r>
              <w:rPr>
                <w:rFonts w:hint="default" w:ascii="Times New Roman" w:hAnsi="Times New Roman" w:eastAsia="宋体" w:cs="Times New Roman"/>
                <w:bCs/>
                <w:kern w:val="2"/>
                <w:sz w:val="24"/>
                <w:szCs w:val="21"/>
                <w:vertAlign w:val="baseline"/>
                <w:lang w:val="en-US" w:eastAsia="zh-CN" w:bidi="ar-SA"/>
              </w:rPr>
              <w:t>旋流器上料泵输送至旋流器分离</w:t>
            </w:r>
            <w:r>
              <w:rPr>
                <w:rFonts w:hint="default" w:ascii="Times New Roman" w:hAnsi="Times New Roman" w:cs="Times New Roman"/>
                <w:bCs/>
                <w:kern w:val="2"/>
                <w:sz w:val="24"/>
                <w:szCs w:val="21"/>
                <w:vertAlign w:val="baseline"/>
                <w:lang w:val="en-US" w:eastAsia="zh-CN" w:bidi="ar-SA"/>
              </w:rPr>
              <w:t>出煤炭和泥浆</w:t>
            </w:r>
            <w:r>
              <w:rPr>
                <w:rFonts w:hint="default" w:ascii="Times New Roman" w:hAnsi="Times New Roman" w:eastAsia="宋体" w:cs="Times New Roman"/>
                <w:bCs/>
                <w:kern w:val="2"/>
                <w:sz w:val="24"/>
                <w:szCs w:val="21"/>
                <w:vertAlign w:val="baseline"/>
                <w:lang w:val="en-US" w:eastAsia="zh-CN" w:bidi="ar-SA"/>
              </w:rPr>
              <w:t>，</w:t>
            </w:r>
            <w:r>
              <w:rPr>
                <w:rFonts w:hint="default" w:ascii="Times New Roman" w:hAnsi="Times New Roman" w:cs="Times New Roman"/>
                <w:bCs/>
                <w:kern w:val="2"/>
                <w:sz w:val="24"/>
                <w:szCs w:val="21"/>
                <w:vertAlign w:val="baseline"/>
                <w:lang w:val="en-US" w:eastAsia="zh-CN" w:bidi="ar-SA"/>
              </w:rPr>
              <w:t>煤炭</w:t>
            </w:r>
            <w:r>
              <w:rPr>
                <w:rFonts w:hint="default" w:ascii="Times New Roman" w:hAnsi="Times New Roman" w:eastAsia="宋体" w:cs="Times New Roman"/>
                <w:bCs/>
                <w:kern w:val="2"/>
                <w:sz w:val="24"/>
                <w:szCs w:val="21"/>
                <w:vertAlign w:val="baseline"/>
                <w:lang w:val="en-US" w:eastAsia="zh-CN" w:bidi="ar-SA"/>
              </w:rPr>
              <w:t>由螺旋分选器进行分选后，</w:t>
            </w:r>
            <w:r>
              <w:rPr>
                <w:rFonts w:hint="default" w:ascii="Times New Roman" w:hAnsi="Times New Roman" w:cs="Times New Roman"/>
                <w:bCs/>
                <w:kern w:val="2"/>
                <w:sz w:val="24"/>
                <w:szCs w:val="21"/>
                <w:vertAlign w:val="baseline"/>
                <w:lang w:val="en-US" w:eastAsia="zh-CN" w:bidi="ar-SA"/>
              </w:rPr>
              <w:t>其中</w:t>
            </w:r>
            <w:r>
              <w:rPr>
                <w:rFonts w:hint="eastAsia" w:cs="Times New Roman"/>
                <w:bCs/>
                <w:kern w:val="2"/>
                <w:sz w:val="24"/>
                <w:szCs w:val="21"/>
                <w:vertAlign w:val="baseline"/>
                <w:lang w:val="en-US" w:eastAsia="zh-CN" w:bidi="ar-SA"/>
              </w:rPr>
              <w:t>符合规格面煤</w:t>
            </w:r>
            <w:r>
              <w:rPr>
                <w:rFonts w:hint="eastAsia" w:cs="Times New Roman"/>
                <w:bCs/>
                <w:kern w:val="2"/>
                <w:sz w:val="24"/>
                <w:szCs w:val="21"/>
                <w:highlight w:val="none"/>
                <w:vertAlign w:val="baseline"/>
                <w:lang w:val="en-US" w:eastAsia="zh-CN" w:bidi="ar-SA"/>
              </w:rPr>
              <w:t>（粒径</w:t>
            </w:r>
            <w:r>
              <w:rPr>
                <w:rFonts w:hint="eastAsia" w:ascii="微软雅黑" w:hAnsi="微软雅黑" w:eastAsia="微软雅黑" w:cs="微软雅黑"/>
                <w:bCs/>
                <w:kern w:val="2"/>
                <w:sz w:val="24"/>
                <w:szCs w:val="21"/>
                <w:highlight w:val="none"/>
                <w:vertAlign w:val="baseline"/>
                <w:lang w:val="en-US" w:eastAsia="zh-CN" w:bidi="ar-SA"/>
              </w:rPr>
              <w:t>&lt;</w:t>
            </w:r>
            <w:r>
              <w:rPr>
                <w:rFonts w:hint="eastAsia" w:cs="Times New Roman"/>
                <w:bCs/>
                <w:kern w:val="2"/>
                <w:sz w:val="24"/>
                <w:szCs w:val="21"/>
                <w:highlight w:val="none"/>
                <w:vertAlign w:val="baseline"/>
                <w:lang w:val="en-US" w:eastAsia="zh-CN" w:bidi="ar-SA"/>
              </w:rPr>
              <w:t>1cm）</w:t>
            </w:r>
            <w:r>
              <w:rPr>
                <w:rFonts w:hint="default" w:ascii="Times New Roman" w:hAnsi="Times New Roman" w:cs="Times New Roman"/>
                <w:bCs/>
                <w:kern w:val="2"/>
                <w:sz w:val="24"/>
                <w:szCs w:val="21"/>
                <w:vertAlign w:val="baseline"/>
                <w:lang w:val="en-US" w:eastAsia="zh-CN" w:bidi="ar-SA"/>
              </w:rPr>
              <w:t>输送</w:t>
            </w:r>
            <w:r>
              <w:rPr>
                <w:rFonts w:hint="default" w:ascii="Times New Roman" w:hAnsi="Times New Roman" w:eastAsia="宋体" w:cs="Times New Roman"/>
                <w:bCs/>
                <w:kern w:val="2"/>
                <w:sz w:val="24"/>
                <w:szCs w:val="21"/>
                <w:vertAlign w:val="baseline"/>
                <w:lang w:val="en-US" w:eastAsia="zh-CN" w:bidi="ar-SA"/>
              </w:rPr>
              <w:t>至面煤脱水筛、</w:t>
            </w:r>
            <w:r>
              <w:rPr>
                <w:rFonts w:hint="eastAsia" w:cs="Times New Roman"/>
                <w:bCs/>
                <w:kern w:val="2"/>
                <w:sz w:val="24"/>
                <w:szCs w:val="21"/>
                <w:vertAlign w:val="baseline"/>
                <w:lang w:val="en-US" w:eastAsia="zh-CN" w:bidi="ar-SA"/>
              </w:rPr>
              <w:t>符合规格</w:t>
            </w:r>
            <w:r>
              <w:rPr>
                <w:rFonts w:hint="default" w:ascii="Times New Roman" w:hAnsi="Times New Roman" w:cs="Times New Roman"/>
                <w:bCs/>
                <w:kern w:val="2"/>
                <w:sz w:val="24"/>
                <w:szCs w:val="21"/>
                <w:vertAlign w:val="baseline"/>
                <w:lang w:val="en-US" w:eastAsia="zh-CN" w:bidi="ar-SA"/>
              </w:rPr>
              <w:t>煤炭</w:t>
            </w:r>
            <w:r>
              <w:rPr>
                <w:rFonts w:hint="eastAsia" w:cs="Times New Roman"/>
                <w:bCs/>
                <w:kern w:val="2"/>
                <w:sz w:val="24"/>
                <w:szCs w:val="21"/>
                <w:vertAlign w:val="baseline"/>
                <w:lang w:val="en-US" w:eastAsia="zh-CN" w:bidi="ar-SA"/>
              </w:rPr>
              <w:t>进入</w:t>
            </w:r>
            <w:r>
              <w:rPr>
                <w:rFonts w:hint="default" w:ascii="Times New Roman" w:hAnsi="Times New Roman" w:eastAsia="宋体" w:cs="Times New Roman"/>
                <w:bCs/>
                <w:kern w:val="2"/>
                <w:sz w:val="24"/>
                <w:szCs w:val="21"/>
                <w:vertAlign w:val="baseline"/>
                <w:lang w:val="en-US" w:eastAsia="zh-CN" w:bidi="ar-SA"/>
              </w:rPr>
              <w:t>精煤回收筛</w:t>
            </w:r>
            <w:r>
              <w:rPr>
                <w:rFonts w:hint="default" w:ascii="Times New Roman" w:hAnsi="Times New Roman" w:cs="Times New Roman"/>
                <w:bCs/>
                <w:kern w:val="2"/>
                <w:sz w:val="24"/>
                <w:szCs w:val="21"/>
                <w:vertAlign w:val="baseline"/>
                <w:lang w:val="en-US" w:eastAsia="zh-CN" w:bidi="ar-SA"/>
              </w:rPr>
              <w:t>进行筛分</w:t>
            </w:r>
            <w:r>
              <w:rPr>
                <w:rFonts w:hint="default" w:ascii="Times New Roman" w:hAnsi="Times New Roman" w:eastAsia="宋体" w:cs="Times New Roman"/>
                <w:bCs/>
                <w:kern w:val="2"/>
                <w:sz w:val="24"/>
                <w:szCs w:val="21"/>
                <w:vertAlign w:val="baseline"/>
                <w:lang w:val="en-US" w:eastAsia="zh-CN" w:bidi="ar-SA"/>
              </w:rPr>
              <w:t>；</w:t>
            </w:r>
            <w:r>
              <w:rPr>
                <w:rFonts w:hint="default" w:ascii="Times New Roman" w:hAnsi="Times New Roman" w:cs="Times New Roman"/>
                <w:bCs/>
                <w:kern w:val="2"/>
                <w:sz w:val="24"/>
                <w:szCs w:val="21"/>
                <w:vertAlign w:val="baseline"/>
                <w:lang w:val="en-US" w:eastAsia="zh-CN" w:bidi="ar-SA"/>
              </w:rPr>
              <w:t>泥浆</w:t>
            </w:r>
            <w:r>
              <w:rPr>
                <w:rFonts w:hint="default" w:ascii="Times New Roman" w:hAnsi="Times New Roman" w:eastAsia="宋体" w:cs="Times New Roman"/>
                <w:bCs/>
                <w:kern w:val="2"/>
                <w:sz w:val="24"/>
                <w:szCs w:val="21"/>
                <w:vertAlign w:val="baseline"/>
                <w:lang w:val="en-US" w:eastAsia="zh-CN" w:bidi="ar-SA"/>
              </w:rPr>
              <w:t>流入煤泥水池</w:t>
            </w:r>
            <w:r>
              <w:rPr>
                <w:rFonts w:hint="default" w:ascii="Times New Roman" w:hAnsi="Times New Roman" w:cs="Times New Roman"/>
                <w:bCs/>
                <w:kern w:val="2"/>
                <w:sz w:val="24"/>
                <w:szCs w:val="21"/>
                <w:vertAlign w:val="baseline"/>
                <w:lang w:val="en-US" w:eastAsia="zh-CN" w:bidi="ar-SA"/>
              </w:rPr>
              <w:t>。</w:t>
            </w:r>
            <w:r>
              <w:rPr>
                <w:rFonts w:hint="default" w:ascii="Times New Roman" w:hAnsi="Times New Roman" w:eastAsia="宋体" w:cs="Times New Roman"/>
                <w:bCs/>
                <w:kern w:val="2"/>
                <w:sz w:val="24"/>
                <w:szCs w:val="21"/>
                <w:vertAlign w:val="baseline"/>
                <w:lang w:val="en-US" w:eastAsia="zh-CN" w:bidi="ar-SA"/>
              </w:rPr>
              <w:t>精煤回收筛筛分后</w:t>
            </w:r>
            <w:r>
              <w:rPr>
                <w:rFonts w:hint="eastAsia" w:cs="Times New Roman"/>
                <w:bCs/>
                <w:kern w:val="2"/>
                <w:sz w:val="24"/>
                <w:szCs w:val="21"/>
                <w:vertAlign w:val="baseline"/>
                <w:lang w:val="en-US" w:eastAsia="zh-CN" w:bidi="ar-SA"/>
              </w:rPr>
              <w:t>符合规格面煤</w:t>
            </w:r>
            <w:r>
              <w:rPr>
                <w:rFonts w:hint="default" w:ascii="Times New Roman" w:hAnsi="Times New Roman" w:eastAsia="宋体" w:cs="Times New Roman"/>
                <w:bCs/>
                <w:kern w:val="2"/>
                <w:sz w:val="24"/>
                <w:szCs w:val="21"/>
                <w:vertAlign w:val="baseline"/>
                <w:lang w:val="en-US" w:eastAsia="zh-CN" w:bidi="ar-SA"/>
              </w:rPr>
              <w:t>再输送至面煤脱水筛</w:t>
            </w:r>
            <w:r>
              <w:rPr>
                <w:rFonts w:hint="default" w:ascii="Times New Roman" w:hAnsi="Times New Roman" w:cs="Times New Roman"/>
                <w:bCs/>
                <w:kern w:val="2"/>
                <w:sz w:val="24"/>
                <w:szCs w:val="21"/>
                <w:vertAlign w:val="baseline"/>
                <w:lang w:val="en-US" w:eastAsia="zh-CN" w:bidi="ar-SA"/>
              </w:rPr>
              <w:t>，</w:t>
            </w:r>
            <w:r>
              <w:rPr>
                <w:rFonts w:hint="default" w:ascii="Times New Roman" w:hAnsi="Times New Roman" w:eastAsia="宋体" w:cs="Times New Roman"/>
                <w:bCs/>
                <w:kern w:val="2"/>
                <w:sz w:val="24"/>
                <w:szCs w:val="21"/>
                <w:vertAlign w:val="baseline"/>
                <w:lang w:val="en-US" w:eastAsia="zh-CN" w:bidi="ar-SA"/>
              </w:rPr>
              <w:t>面煤脱水筛、精煤回收筛筛下</w:t>
            </w:r>
            <w:r>
              <w:rPr>
                <w:rFonts w:hint="default" w:ascii="Times New Roman" w:hAnsi="Times New Roman" w:cs="Times New Roman"/>
                <w:bCs/>
                <w:kern w:val="2"/>
                <w:sz w:val="24"/>
                <w:szCs w:val="21"/>
                <w:vertAlign w:val="baseline"/>
                <w:lang w:val="en-US" w:eastAsia="zh-CN" w:bidi="ar-SA"/>
              </w:rPr>
              <w:t>泥浆</w:t>
            </w:r>
            <w:r>
              <w:rPr>
                <w:rFonts w:hint="default" w:ascii="Times New Roman" w:hAnsi="Times New Roman" w:eastAsia="宋体" w:cs="Times New Roman"/>
                <w:bCs/>
                <w:kern w:val="2"/>
                <w:sz w:val="24"/>
                <w:szCs w:val="21"/>
                <w:vertAlign w:val="baseline"/>
                <w:lang w:val="en-US" w:eastAsia="zh-CN" w:bidi="ar-SA"/>
              </w:rPr>
              <w:t>流入煤泥水池。脱水筛下池</w:t>
            </w:r>
            <w:r>
              <w:rPr>
                <w:rFonts w:hint="default" w:ascii="Times New Roman" w:hAnsi="Times New Roman" w:cs="Times New Roman"/>
                <w:bCs/>
                <w:kern w:val="2"/>
                <w:sz w:val="24"/>
                <w:szCs w:val="21"/>
                <w:vertAlign w:val="baseline"/>
                <w:lang w:val="en-US" w:eastAsia="zh-CN" w:bidi="ar-SA"/>
              </w:rPr>
              <w:t>池底污泥和煤泥水池中泥浆泵入至压缩机。</w:t>
            </w:r>
          </w:p>
          <w:p w14:paraId="7FB8FFA9">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2" w:firstLineChars="200"/>
              <w:textAlignment w:val="auto"/>
              <w:rPr>
                <w:rFonts w:hint="default" w:ascii="Times New Roman" w:hAnsi="Times New Roman" w:eastAsia="宋体" w:cs="Times New Roman"/>
                <w:bCs/>
                <w:kern w:val="2"/>
                <w:sz w:val="24"/>
                <w:szCs w:val="21"/>
                <w:vertAlign w:val="baseline"/>
                <w:lang w:val="en-US" w:eastAsia="zh-CN" w:bidi="ar-SA"/>
              </w:rPr>
            </w:pPr>
            <w:r>
              <w:rPr>
                <w:rFonts w:hint="default" w:ascii="Times New Roman" w:hAnsi="Times New Roman" w:cs="Times New Roman"/>
                <w:b/>
                <w:bCs/>
                <w:color w:val="auto"/>
                <w:kern w:val="24"/>
                <w:sz w:val="24"/>
                <w:szCs w:val="24"/>
                <w:highlight w:val="none"/>
                <w:lang w:eastAsia="zh-CN"/>
              </w:rPr>
              <w:t>产排污节点：</w:t>
            </w:r>
            <w:r>
              <w:rPr>
                <w:rFonts w:hint="default" w:ascii="Times New Roman" w:hAnsi="Times New Roman" w:cs="Times New Roman"/>
                <w:b/>
                <w:bCs/>
                <w:color w:val="auto"/>
                <w:kern w:val="24"/>
                <w:sz w:val="24"/>
                <w:szCs w:val="24"/>
                <w:highlight w:val="none"/>
                <w:lang w:val="en-US" w:eastAsia="zh-CN"/>
              </w:rPr>
              <w:t>设备运转过程产生的噪声。</w:t>
            </w:r>
          </w:p>
          <w:p w14:paraId="6D83173F">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bCs/>
                <w:kern w:val="2"/>
                <w:sz w:val="24"/>
                <w:szCs w:val="21"/>
                <w:vertAlign w:val="baseline"/>
                <w:lang w:val="en-US" w:eastAsia="zh-CN" w:bidi="ar-SA"/>
              </w:rPr>
            </w:pPr>
            <w:r>
              <w:rPr>
                <w:rFonts w:hint="default" w:ascii="Times New Roman" w:hAnsi="Times New Roman" w:eastAsia="宋体" w:cs="Times New Roman"/>
                <w:bCs/>
                <w:kern w:val="2"/>
                <w:sz w:val="24"/>
                <w:szCs w:val="21"/>
                <w:vertAlign w:val="baseline"/>
                <w:lang w:val="en-US" w:eastAsia="zh-CN" w:bidi="ar-SA"/>
              </w:rPr>
              <w:t>（6）压缩</w:t>
            </w:r>
          </w:p>
          <w:p w14:paraId="39796E52">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bCs/>
                <w:kern w:val="2"/>
                <w:sz w:val="24"/>
                <w:szCs w:val="21"/>
                <w:vertAlign w:val="baseline"/>
                <w:lang w:val="en-US" w:eastAsia="zh-CN" w:bidi="ar-SA"/>
              </w:rPr>
            </w:pPr>
            <w:r>
              <w:rPr>
                <w:rFonts w:hint="default" w:ascii="Times New Roman" w:hAnsi="Times New Roman" w:eastAsia="宋体" w:cs="Times New Roman"/>
                <w:bCs/>
                <w:kern w:val="2"/>
                <w:sz w:val="24"/>
                <w:szCs w:val="21"/>
                <w:vertAlign w:val="baseline"/>
                <w:lang w:val="en-US" w:eastAsia="zh-CN" w:bidi="ar-SA"/>
              </w:rPr>
              <w:t>脱水筛下池</w:t>
            </w:r>
            <w:r>
              <w:rPr>
                <w:rFonts w:hint="default" w:ascii="Times New Roman" w:hAnsi="Times New Roman" w:cs="Times New Roman"/>
                <w:bCs/>
                <w:kern w:val="2"/>
                <w:sz w:val="24"/>
                <w:szCs w:val="21"/>
                <w:vertAlign w:val="baseline"/>
                <w:lang w:val="en-US" w:eastAsia="zh-CN" w:bidi="ar-SA"/>
              </w:rPr>
              <w:t>池底污泥和煤泥水池中泥浆</w:t>
            </w:r>
            <w:r>
              <w:rPr>
                <w:rFonts w:hint="default" w:ascii="Times New Roman" w:hAnsi="Times New Roman" w:eastAsia="宋体" w:cs="Times New Roman"/>
                <w:bCs/>
                <w:kern w:val="2"/>
                <w:sz w:val="24"/>
                <w:szCs w:val="21"/>
                <w:vertAlign w:val="baseline"/>
                <w:lang w:val="en-US" w:eastAsia="zh-CN" w:bidi="ar-SA"/>
              </w:rPr>
              <w:t>泵入压缩机，经过压缩后得到劣质煤，水流入</w:t>
            </w:r>
            <w:r>
              <w:rPr>
                <w:rFonts w:hint="default" w:ascii="Times New Roman" w:hAnsi="Times New Roman" w:cs="Times New Roman"/>
                <w:bCs/>
                <w:kern w:val="2"/>
                <w:sz w:val="24"/>
                <w:szCs w:val="21"/>
                <w:vertAlign w:val="baseline"/>
                <w:lang w:val="en-US" w:eastAsia="zh-CN" w:bidi="ar-SA"/>
              </w:rPr>
              <w:t>清水池</w:t>
            </w:r>
            <w:r>
              <w:rPr>
                <w:rFonts w:hint="default" w:ascii="Times New Roman" w:hAnsi="Times New Roman" w:eastAsia="宋体" w:cs="Times New Roman"/>
                <w:bCs/>
                <w:kern w:val="2"/>
                <w:sz w:val="24"/>
                <w:szCs w:val="21"/>
                <w:vertAlign w:val="baseline"/>
                <w:lang w:val="en-US" w:eastAsia="zh-CN" w:bidi="ar-SA"/>
              </w:rPr>
              <w:t>回用于生产。</w:t>
            </w:r>
          </w:p>
          <w:p w14:paraId="632322D6">
            <w:pPr>
              <w:keepNext w:val="0"/>
              <w:keepLines w:val="0"/>
              <w:pageBreakBefore w:val="0"/>
              <w:widowControl w:val="0"/>
              <w:kinsoku/>
              <w:wordWrap/>
              <w:overflowPunct/>
              <w:topLinePunct w:val="0"/>
              <w:autoSpaceDE/>
              <w:autoSpaceDN/>
              <w:bidi w:val="0"/>
              <w:adjustRightInd w:val="0"/>
              <w:snapToGrid w:val="0"/>
              <w:spacing w:line="500" w:lineRule="exact"/>
              <w:ind w:firstLine="482" w:firstLineChars="200"/>
              <w:textAlignment w:val="auto"/>
              <w:rPr>
                <w:rFonts w:hint="default" w:ascii="Times New Roman" w:hAnsi="Times New Roman" w:eastAsia="宋体" w:cs="Times New Roman"/>
                <w:b/>
                <w:bCs w:val="0"/>
                <w:szCs w:val="21"/>
                <w:highlight w:val="none"/>
                <w:vertAlign w:val="baseline"/>
                <w:lang w:val="en-US" w:eastAsia="zh-CN"/>
              </w:rPr>
            </w:pPr>
            <w:r>
              <w:rPr>
                <w:rFonts w:hint="default" w:ascii="Times New Roman" w:hAnsi="Times New Roman" w:eastAsia="宋体" w:cs="Times New Roman"/>
                <w:b/>
                <w:bCs w:val="0"/>
                <w:szCs w:val="21"/>
                <w:highlight w:val="none"/>
                <w:vertAlign w:val="baseline"/>
                <w:lang w:val="en-US" w:eastAsia="zh-CN"/>
              </w:rPr>
              <w:t>产排污节点：</w:t>
            </w:r>
            <w:r>
              <w:rPr>
                <w:rFonts w:hint="default" w:ascii="Times New Roman" w:hAnsi="Times New Roman" w:cs="Times New Roman"/>
                <w:b/>
                <w:bCs/>
                <w:color w:val="auto"/>
                <w:kern w:val="24"/>
                <w:sz w:val="24"/>
                <w:szCs w:val="24"/>
                <w:highlight w:val="none"/>
                <w:lang w:val="en-US" w:eastAsia="zh-CN"/>
              </w:rPr>
              <w:t>设备运转过程产生的噪声，压缩机压滤产生的</w:t>
            </w:r>
            <w:r>
              <w:rPr>
                <w:rFonts w:hint="eastAsia" w:cs="Times New Roman"/>
                <w:b/>
                <w:bCs/>
                <w:color w:val="auto"/>
                <w:kern w:val="24"/>
                <w:sz w:val="24"/>
                <w:szCs w:val="24"/>
                <w:highlight w:val="none"/>
                <w:lang w:val="en-US" w:eastAsia="zh-CN"/>
              </w:rPr>
              <w:t>劣质煤、废滤布，清水池污泥</w:t>
            </w:r>
            <w:r>
              <w:rPr>
                <w:rFonts w:hint="default" w:ascii="Times New Roman" w:hAnsi="Times New Roman" w:eastAsia="宋体" w:cs="Times New Roman"/>
                <w:b/>
                <w:bCs w:val="0"/>
                <w:szCs w:val="21"/>
                <w:highlight w:val="none"/>
                <w:vertAlign w:val="baseline"/>
                <w:lang w:val="en-US" w:eastAsia="zh-CN"/>
              </w:rPr>
              <w:t>。</w:t>
            </w:r>
          </w:p>
          <w:p w14:paraId="4B15624C">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textAlignment w:val="auto"/>
              <w:rPr>
                <w:rFonts w:hint="eastAsia" w:cs="Times New Roman"/>
                <w:bCs/>
                <w:kern w:val="2"/>
                <w:sz w:val="24"/>
                <w:szCs w:val="21"/>
                <w:vertAlign w:val="baseline"/>
                <w:lang w:val="en-US" w:eastAsia="zh-CN" w:bidi="ar-SA"/>
              </w:rPr>
            </w:pPr>
            <w:r>
              <w:rPr>
                <w:rFonts w:hint="eastAsia" w:ascii="Times New Roman" w:hAnsi="Times New Roman" w:eastAsia="宋体" w:cs="Times New Roman"/>
                <w:bCs/>
                <w:kern w:val="2"/>
                <w:sz w:val="24"/>
                <w:szCs w:val="21"/>
                <w:vertAlign w:val="baseline"/>
                <w:lang w:val="en-US" w:eastAsia="zh-CN" w:bidi="ar-SA"/>
              </w:rPr>
              <w:t>（7）</w:t>
            </w:r>
            <w:r>
              <w:rPr>
                <w:rFonts w:hint="eastAsia" w:cs="Times New Roman"/>
                <w:bCs/>
                <w:kern w:val="2"/>
                <w:sz w:val="24"/>
                <w:szCs w:val="21"/>
                <w:vertAlign w:val="baseline"/>
                <w:lang w:val="en-US" w:eastAsia="zh-CN" w:bidi="ar-SA"/>
              </w:rPr>
              <w:t>成品</w:t>
            </w:r>
          </w:p>
          <w:p w14:paraId="5950DD11">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bCs/>
                <w:szCs w:val="21"/>
                <w:highlight w:val="none"/>
                <w:vertAlign w:val="baseline"/>
                <w:lang w:val="zh-CN" w:eastAsia="zh-CN"/>
              </w:rPr>
            </w:pPr>
            <w:r>
              <w:rPr>
                <w:rFonts w:hint="eastAsia" w:ascii="Times New Roman" w:hAnsi="Times New Roman" w:eastAsia="宋体" w:cs="Times New Roman"/>
                <w:bCs/>
                <w:szCs w:val="21"/>
                <w:highlight w:val="none"/>
                <w:vertAlign w:val="baseline"/>
                <w:lang w:val="zh-CN" w:eastAsia="zh-CN"/>
              </w:rPr>
              <w:t>成品煤炭</w:t>
            </w:r>
            <w:r>
              <w:rPr>
                <w:rFonts w:hint="eastAsia" w:cs="Times New Roman"/>
                <w:bCs/>
                <w:szCs w:val="21"/>
                <w:highlight w:val="none"/>
                <w:vertAlign w:val="baseline"/>
                <w:lang w:val="zh-CN" w:eastAsia="zh-CN"/>
              </w:rPr>
              <w:t>在</w:t>
            </w:r>
            <w:r>
              <w:rPr>
                <w:rFonts w:hint="eastAsia" w:eastAsia="宋体" w:cs="Times New Roman"/>
                <w:bCs/>
                <w:kern w:val="2"/>
                <w:sz w:val="24"/>
                <w:szCs w:val="21"/>
                <w:highlight w:val="none"/>
                <w:vertAlign w:val="baseline"/>
                <w:lang w:val="en-US" w:eastAsia="zh-CN" w:bidi="ar-SA"/>
              </w:rPr>
              <w:t>1#厂房成品堆存区</w:t>
            </w:r>
            <w:r>
              <w:rPr>
                <w:rFonts w:hint="default" w:ascii="Times New Roman" w:hAnsi="Times New Roman" w:eastAsia="宋体" w:cs="Times New Roman"/>
                <w:bCs/>
                <w:kern w:val="2"/>
                <w:sz w:val="24"/>
                <w:szCs w:val="21"/>
                <w:highlight w:val="none"/>
                <w:vertAlign w:val="baseline"/>
                <w:lang w:val="en-US" w:eastAsia="zh-CN" w:bidi="ar-SA"/>
              </w:rPr>
              <w:t>内储存</w:t>
            </w:r>
            <w:r>
              <w:rPr>
                <w:rFonts w:hint="eastAsia" w:eastAsia="宋体" w:cs="Times New Roman"/>
                <w:bCs/>
                <w:kern w:val="2"/>
                <w:sz w:val="24"/>
                <w:szCs w:val="21"/>
                <w:highlight w:val="none"/>
                <w:vertAlign w:val="baseline"/>
                <w:lang w:val="en-US" w:eastAsia="zh-CN" w:bidi="ar-SA"/>
              </w:rPr>
              <w:t>，</w:t>
            </w:r>
            <w:r>
              <w:rPr>
                <w:rFonts w:hint="default" w:ascii="Times New Roman" w:hAnsi="Times New Roman" w:eastAsia="宋体" w:cs="Times New Roman"/>
                <w:bCs/>
                <w:szCs w:val="21"/>
                <w:highlight w:val="none"/>
                <w:vertAlign w:val="baseline"/>
                <w:lang w:val="zh-CN" w:eastAsia="zh-CN"/>
              </w:rPr>
              <w:t>采用</w:t>
            </w:r>
            <w:r>
              <w:rPr>
                <w:rFonts w:hint="eastAsia" w:cs="Times New Roman"/>
                <w:bCs/>
                <w:szCs w:val="21"/>
                <w:highlight w:val="none"/>
                <w:vertAlign w:val="baseline"/>
                <w:lang w:val="zh-CN" w:eastAsia="zh-CN"/>
              </w:rPr>
              <w:t>新能源电动铲车</w:t>
            </w:r>
            <w:r>
              <w:rPr>
                <w:rFonts w:hint="default" w:ascii="Times New Roman" w:hAnsi="Times New Roman" w:eastAsia="宋体" w:cs="Times New Roman"/>
                <w:bCs/>
                <w:szCs w:val="21"/>
                <w:highlight w:val="none"/>
                <w:vertAlign w:val="baseline"/>
                <w:lang w:val="zh-CN" w:eastAsia="zh-CN"/>
              </w:rPr>
              <w:t>装车外运</w:t>
            </w:r>
            <w:r>
              <w:rPr>
                <w:rFonts w:hint="eastAsia" w:ascii="Times New Roman" w:hAnsi="Times New Roman" w:eastAsia="宋体" w:cs="Times New Roman"/>
                <w:bCs/>
                <w:szCs w:val="21"/>
                <w:highlight w:val="none"/>
                <w:vertAlign w:val="baseline"/>
                <w:lang w:val="en-US" w:eastAsia="zh-CN"/>
              </w:rPr>
              <w:t>至西港码头进行装船下水，通过水路运输将煤炭运至广东、福建、宁波、杭州等沿海城市大型发电厂</w:t>
            </w:r>
            <w:r>
              <w:rPr>
                <w:rFonts w:hint="default" w:ascii="Times New Roman" w:hAnsi="Times New Roman" w:eastAsia="宋体" w:cs="Times New Roman"/>
                <w:bCs/>
                <w:szCs w:val="21"/>
                <w:highlight w:val="none"/>
                <w:vertAlign w:val="baseline"/>
                <w:lang w:val="zh-CN" w:eastAsia="zh-CN"/>
              </w:rPr>
              <w:t>。</w:t>
            </w:r>
          </w:p>
          <w:p w14:paraId="3318CC66">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2" w:firstLineChars="200"/>
              <w:textAlignment w:val="auto"/>
              <w:rPr>
                <w:rFonts w:hint="default" w:ascii="Times New Roman" w:hAnsi="Times New Roman" w:eastAsia="宋体" w:cs="Times New Roman"/>
                <w:bCs/>
                <w:szCs w:val="21"/>
                <w:highlight w:val="none"/>
                <w:vertAlign w:val="baseline"/>
                <w:lang w:val="en-US" w:eastAsia="zh-CN"/>
              </w:rPr>
            </w:pPr>
            <w:r>
              <w:rPr>
                <w:rFonts w:hint="default" w:ascii="Times New Roman" w:hAnsi="Times New Roman" w:eastAsia="宋体" w:cs="Times New Roman"/>
                <w:b/>
                <w:bCs/>
                <w:color w:val="auto"/>
                <w:kern w:val="24"/>
                <w:sz w:val="24"/>
                <w:szCs w:val="24"/>
                <w:highlight w:val="none"/>
                <w:lang w:val="en-US" w:eastAsia="zh-CN"/>
              </w:rPr>
              <w:t>产排污节点：</w:t>
            </w:r>
            <w:r>
              <w:rPr>
                <w:rFonts w:hint="default" w:ascii="Times New Roman" w:hAnsi="Times New Roman" w:cs="Times New Roman"/>
                <w:b/>
                <w:bCs/>
                <w:color w:val="auto"/>
                <w:kern w:val="24"/>
                <w:sz w:val="24"/>
                <w:szCs w:val="24"/>
                <w:highlight w:val="none"/>
                <w:lang w:val="en-US" w:eastAsia="zh-CN"/>
              </w:rPr>
              <w:t>设备运转过程产生的噪声</w:t>
            </w:r>
            <w:r>
              <w:rPr>
                <w:rFonts w:hint="default" w:ascii="Times New Roman" w:hAnsi="Times New Roman" w:eastAsia="宋体" w:cs="Times New Roman"/>
                <w:b/>
                <w:bCs/>
                <w:color w:val="auto"/>
                <w:kern w:val="24"/>
                <w:sz w:val="24"/>
                <w:szCs w:val="24"/>
                <w:highlight w:val="none"/>
                <w:lang w:val="en-US" w:eastAsia="zh-CN"/>
              </w:rPr>
              <w:t>、</w:t>
            </w:r>
            <w:r>
              <w:rPr>
                <w:rFonts w:hint="eastAsia" w:cs="Times New Roman"/>
                <w:b/>
                <w:bCs/>
                <w:color w:val="auto"/>
                <w:kern w:val="24"/>
                <w:sz w:val="24"/>
                <w:szCs w:val="24"/>
                <w:highlight w:val="none"/>
                <w:lang w:val="en-US" w:eastAsia="zh-CN"/>
              </w:rPr>
              <w:t>新能源电动铲车</w:t>
            </w:r>
            <w:r>
              <w:rPr>
                <w:rFonts w:hint="default" w:ascii="Times New Roman" w:hAnsi="Times New Roman" w:eastAsia="宋体" w:cs="Times New Roman"/>
                <w:b/>
                <w:bCs/>
                <w:color w:val="auto"/>
                <w:kern w:val="24"/>
                <w:sz w:val="24"/>
                <w:szCs w:val="24"/>
                <w:highlight w:val="none"/>
                <w:lang w:val="en-US" w:eastAsia="zh-CN"/>
              </w:rPr>
              <w:t>取料装车产生的</w:t>
            </w:r>
            <w:r>
              <w:rPr>
                <w:rFonts w:hint="default" w:ascii="Times New Roman" w:hAnsi="Times New Roman" w:cs="Times New Roman"/>
                <w:b/>
                <w:bCs/>
                <w:color w:val="auto"/>
                <w:kern w:val="24"/>
                <w:sz w:val="24"/>
                <w:szCs w:val="24"/>
                <w:highlight w:val="none"/>
                <w:lang w:val="en-US" w:eastAsia="zh-CN"/>
              </w:rPr>
              <w:t>废气</w:t>
            </w:r>
            <w:r>
              <w:rPr>
                <w:rFonts w:hint="default" w:ascii="Times New Roman" w:hAnsi="Times New Roman" w:eastAsia="宋体" w:cs="Times New Roman"/>
                <w:b/>
                <w:bCs/>
                <w:color w:val="auto"/>
                <w:kern w:val="24"/>
                <w:sz w:val="24"/>
                <w:szCs w:val="24"/>
                <w:highlight w:val="none"/>
                <w:lang w:val="en-US" w:eastAsia="zh-CN"/>
              </w:rPr>
              <w:t>。</w:t>
            </w:r>
          </w:p>
          <w:p w14:paraId="13E3F4A6">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bCs/>
                <w:szCs w:val="21"/>
                <w:highlight w:val="none"/>
                <w:vertAlign w:val="baseline"/>
                <w:lang w:val="en-US" w:eastAsia="zh-CN"/>
              </w:rPr>
            </w:pPr>
            <w:r>
              <w:rPr>
                <w:rFonts w:hint="default" w:ascii="Times New Roman" w:hAnsi="Times New Roman" w:eastAsia="宋体" w:cs="Times New Roman"/>
                <w:bCs/>
                <w:szCs w:val="21"/>
                <w:highlight w:val="none"/>
                <w:vertAlign w:val="baseline"/>
                <w:lang w:val="en-US" w:eastAsia="zh-CN"/>
              </w:rPr>
              <w:t>2、</w:t>
            </w:r>
            <w:r>
              <w:rPr>
                <w:rFonts w:hint="eastAsia" w:cs="Times New Roman"/>
                <w:bCs/>
                <w:kern w:val="2"/>
                <w:sz w:val="24"/>
                <w:szCs w:val="21"/>
                <w:vertAlign w:val="baseline"/>
                <w:lang w:val="en-US" w:eastAsia="zh-CN" w:bidi="ar-SA"/>
              </w:rPr>
              <w:t>矿建材料、钢材</w:t>
            </w:r>
            <w:r>
              <w:rPr>
                <w:rFonts w:hint="default" w:ascii="Times New Roman" w:hAnsi="Times New Roman" w:eastAsia="宋体" w:cs="Times New Roman"/>
                <w:bCs/>
                <w:szCs w:val="21"/>
                <w:highlight w:val="none"/>
                <w:vertAlign w:val="baseline"/>
                <w:lang w:val="en-US" w:eastAsia="zh-CN"/>
              </w:rPr>
              <w:t>装卸工艺流程</w:t>
            </w:r>
          </w:p>
          <w:p w14:paraId="7ADB4071">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textAlignment w:val="auto"/>
              <w:rPr>
                <w:rFonts w:hint="default" w:cs="Times New Roman"/>
                <w:bCs/>
                <w:kern w:val="2"/>
                <w:sz w:val="24"/>
                <w:szCs w:val="21"/>
                <w:vertAlign w:val="baseline"/>
                <w:lang w:val="en-US" w:eastAsia="zh-CN" w:bidi="ar-SA"/>
              </w:rPr>
            </w:pPr>
            <w:r>
              <w:rPr>
                <w:rFonts w:hint="eastAsia" w:cs="Times New Roman"/>
                <w:bCs/>
                <w:color w:val="auto"/>
                <w:kern w:val="2"/>
                <w:sz w:val="24"/>
                <w:szCs w:val="21"/>
                <w:vertAlign w:val="baseline"/>
                <w:lang w:val="en-US" w:eastAsia="zh-CN" w:bidi="ar-SA"/>
              </w:rPr>
              <w:t>矿建材料（铁矿石、大理石、花岗岩等石材）、钢材从河北、内蒙古等地汽车运输至厂区内2#~5#库房内卸料储存。按照客户需求，采用新</w:t>
            </w:r>
            <w:r>
              <w:rPr>
                <w:rFonts w:hint="eastAsia" w:cs="Times New Roman"/>
                <w:bCs/>
                <w:kern w:val="2"/>
                <w:sz w:val="24"/>
                <w:szCs w:val="21"/>
                <w:vertAlign w:val="baseline"/>
                <w:lang w:val="en-US" w:eastAsia="zh-CN" w:bidi="ar-SA"/>
              </w:rPr>
              <w:t>能源电动铲车、叉车等</w:t>
            </w:r>
            <w:r>
              <w:rPr>
                <w:rFonts w:hint="default" w:cs="Times New Roman"/>
                <w:bCs/>
                <w:kern w:val="2"/>
                <w:sz w:val="24"/>
                <w:szCs w:val="21"/>
                <w:vertAlign w:val="baseline"/>
                <w:lang w:val="en-US" w:eastAsia="zh-CN" w:bidi="ar-SA"/>
              </w:rPr>
              <w:t>取料装车</w:t>
            </w:r>
            <w:r>
              <w:rPr>
                <w:rFonts w:hint="eastAsia" w:cs="Times New Roman"/>
                <w:bCs/>
                <w:kern w:val="2"/>
                <w:sz w:val="24"/>
                <w:szCs w:val="21"/>
                <w:vertAlign w:val="baseline"/>
                <w:lang w:val="en-US" w:eastAsia="zh-CN" w:bidi="ar-SA"/>
              </w:rPr>
              <w:t>。</w:t>
            </w:r>
          </w:p>
          <w:p w14:paraId="52B70995">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2" w:firstLineChars="200"/>
              <w:textAlignment w:val="auto"/>
              <w:rPr>
                <w:rFonts w:hint="default" w:ascii="Times New Roman" w:hAnsi="Times New Roman" w:eastAsia="宋体" w:cs="Times New Roman"/>
                <w:bCs/>
                <w:kern w:val="2"/>
                <w:sz w:val="24"/>
                <w:szCs w:val="21"/>
                <w:vertAlign w:val="baseline"/>
                <w:lang w:val="en-US" w:eastAsia="zh-CN" w:bidi="ar-SA"/>
              </w:rPr>
            </w:pPr>
            <w:r>
              <w:rPr>
                <w:rFonts w:hint="default" w:ascii="Times New Roman" w:hAnsi="Times New Roman" w:eastAsia="宋体" w:cs="Times New Roman"/>
                <w:b/>
                <w:bCs/>
                <w:color w:val="auto"/>
                <w:kern w:val="24"/>
                <w:sz w:val="24"/>
                <w:szCs w:val="24"/>
                <w:highlight w:val="none"/>
                <w:lang w:val="en-US" w:eastAsia="zh-CN"/>
              </w:rPr>
              <w:t>产排污节点：</w:t>
            </w:r>
            <w:r>
              <w:rPr>
                <w:rFonts w:hint="default" w:ascii="Times New Roman" w:hAnsi="Times New Roman" w:cs="Times New Roman"/>
                <w:b/>
                <w:bCs/>
                <w:color w:val="auto"/>
                <w:kern w:val="24"/>
                <w:sz w:val="24"/>
                <w:szCs w:val="24"/>
                <w:highlight w:val="none"/>
                <w:lang w:val="en-US" w:eastAsia="zh-CN"/>
              </w:rPr>
              <w:t>设备运转过程产生的噪声</w:t>
            </w:r>
            <w:r>
              <w:rPr>
                <w:rFonts w:hint="default" w:ascii="Times New Roman" w:hAnsi="Times New Roman" w:eastAsia="宋体" w:cs="Times New Roman"/>
                <w:b/>
                <w:bCs/>
                <w:color w:val="auto"/>
                <w:kern w:val="24"/>
                <w:sz w:val="24"/>
                <w:szCs w:val="24"/>
                <w:highlight w:val="none"/>
                <w:lang w:val="en-US" w:eastAsia="zh-CN"/>
              </w:rPr>
              <w:t>。</w:t>
            </w:r>
          </w:p>
          <w:p w14:paraId="18D7B2CC">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cs="Times New Roman"/>
                <w:bCs/>
                <w:szCs w:val="21"/>
                <w:highlight w:val="none"/>
                <w:vertAlign w:val="baseline"/>
                <w:lang w:val="en-US" w:eastAsia="zh-CN"/>
              </w:rPr>
            </w:pPr>
            <w:r>
              <w:rPr>
                <w:rFonts w:hint="eastAsia" w:cs="Times New Roman"/>
                <w:bCs/>
                <w:kern w:val="2"/>
                <w:sz w:val="24"/>
                <w:szCs w:val="21"/>
                <w:vertAlign w:val="baseline"/>
                <w:lang w:val="en-US" w:eastAsia="zh-CN" w:bidi="ar-SA"/>
              </w:rPr>
              <w:t>3、</w:t>
            </w:r>
            <w:r>
              <w:rPr>
                <w:rFonts w:hint="default" w:ascii="Times New Roman" w:hAnsi="Times New Roman" w:cs="Times New Roman"/>
                <w:bCs/>
                <w:szCs w:val="21"/>
                <w:highlight w:val="none"/>
                <w:vertAlign w:val="baseline"/>
                <w:lang w:val="en-US" w:eastAsia="zh-CN"/>
              </w:rPr>
              <w:t>洗车平台</w:t>
            </w:r>
          </w:p>
          <w:p w14:paraId="0E8B9F89">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bCs/>
                <w:szCs w:val="21"/>
                <w:highlight w:val="none"/>
                <w:vertAlign w:val="baseline"/>
                <w:lang w:val="en-US" w:eastAsia="zh-CN"/>
              </w:rPr>
            </w:pPr>
            <w:r>
              <w:rPr>
                <w:rFonts w:hint="default" w:ascii="Times New Roman" w:hAnsi="Times New Roman" w:eastAsia="宋体" w:cs="Times New Roman"/>
                <w:bCs/>
                <w:szCs w:val="21"/>
                <w:highlight w:val="none"/>
                <w:vertAlign w:val="baseline"/>
                <w:lang w:val="en-US" w:eastAsia="zh-CN"/>
              </w:rPr>
              <w:t>为减小运输车辆的扬尘，运输车辆驶离厂区时必须经过洗车平台，当运输车辆进入洗车系统后，红外控制系统自动启动并发起清洗系统开启指令，车身清洗系统和轮胎冲洗系统喷头进行喷水作业，自动冲洗车身及轮胎等。</w:t>
            </w:r>
            <w:r>
              <w:rPr>
                <w:rFonts w:hint="eastAsia" w:cs="Times New Roman"/>
                <w:bCs/>
                <w:szCs w:val="21"/>
                <w:highlight w:val="none"/>
                <w:vertAlign w:val="baseline"/>
                <w:lang w:val="en-US" w:eastAsia="zh-CN"/>
              </w:rPr>
              <w:t>车辆冲洗</w:t>
            </w:r>
            <w:r>
              <w:rPr>
                <w:rFonts w:hint="default" w:ascii="Times New Roman" w:hAnsi="Times New Roman" w:eastAsia="宋体" w:cs="Times New Roman"/>
                <w:bCs/>
                <w:szCs w:val="21"/>
                <w:highlight w:val="none"/>
                <w:vertAlign w:val="baseline"/>
                <w:lang w:val="en-US" w:eastAsia="zh-CN"/>
              </w:rPr>
              <w:t>废水部分蒸发损耗，部分经沉淀池沉淀后的清水</w:t>
            </w:r>
            <w:r>
              <w:rPr>
                <w:rFonts w:hint="default" w:ascii="Times New Roman" w:hAnsi="Times New Roman" w:cs="Times New Roman"/>
                <w:bCs/>
                <w:szCs w:val="21"/>
                <w:highlight w:val="none"/>
                <w:vertAlign w:val="baseline"/>
                <w:lang w:val="en-US" w:eastAsia="zh-CN"/>
              </w:rPr>
              <w:t>回用于</w:t>
            </w:r>
            <w:r>
              <w:rPr>
                <w:rFonts w:hint="eastAsia" w:cs="Times New Roman"/>
                <w:bCs/>
                <w:szCs w:val="21"/>
                <w:highlight w:val="none"/>
                <w:vertAlign w:val="baseline"/>
                <w:lang w:val="en-US" w:eastAsia="zh-CN"/>
              </w:rPr>
              <w:t>车辆清洗</w:t>
            </w:r>
            <w:r>
              <w:rPr>
                <w:rFonts w:hint="default" w:ascii="Times New Roman" w:hAnsi="Times New Roman" w:eastAsia="宋体" w:cs="Times New Roman"/>
                <w:bCs/>
                <w:szCs w:val="21"/>
                <w:highlight w:val="none"/>
                <w:vertAlign w:val="baseline"/>
                <w:lang w:val="en-US" w:eastAsia="zh-CN"/>
              </w:rPr>
              <w:t>。车辆冲洗结束后，运输车辆驶离洗车系统，红外控制系统发出关闭指令并控制清洗系统关闭。</w:t>
            </w:r>
          </w:p>
          <w:p w14:paraId="1AF0BB40">
            <w:pPr>
              <w:keepNext w:val="0"/>
              <w:keepLines w:val="0"/>
              <w:pageBreakBefore w:val="0"/>
              <w:widowControl w:val="0"/>
              <w:kinsoku/>
              <w:wordWrap/>
              <w:overflowPunct/>
              <w:topLinePunct w:val="0"/>
              <w:autoSpaceDE/>
              <w:autoSpaceDN/>
              <w:bidi w:val="0"/>
              <w:adjustRightInd w:val="0"/>
              <w:snapToGrid w:val="0"/>
              <w:spacing w:line="500" w:lineRule="exact"/>
              <w:ind w:firstLine="482" w:firstLineChars="200"/>
              <w:textAlignment w:val="auto"/>
              <w:rPr>
                <w:rFonts w:hint="default" w:ascii="Times New Roman" w:hAnsi="Times New Roman" w:eastAsia="宋体" w:cs="Times New Roman"/>
                <w:b/>
                <w:bCs/>
                <w:color w:val="auto"/>
                <w:kern w:val="24"/>
                <w:sz w:val="24"/>
                <w:szCs w:val="24"/>
                <w:highlight w:val="none"/>
                <w:lang w:val="en-US" w:eastAsia="zh-CN"/>
              </w:rPr>
            </w:pPr>
            <w:r>
              <w:rPr>
                <w:rFonts w:hint="default" w:ascii="Times New Roman" w:hAnsi="Times New Roman" w:eastAsia="宋体" w:cs="Times New Roman"/>
                <w:b/>
                <w:bCs/>
                <w:color w:val="auto"/>
                <w:kern w:val="24"/>
                <w:sz w:val="24"/>
                <w:szCs w:val="24"/>
                <w:highlight w:val="none"/>
                <w:lang w:val="en-US" w:eastAsia="zh-CN"/>
              </w:rPr>
              <w:t>产排污节点：车辆冲洗废水</w:t>
            </w:r>
            <w:r>
              <w:rPr>
                <w:rFonts w:hint="default" w:ascii="Times New Roman" w:hAnsi="Times New Roman" w:cs="Times New Roman"/>
                <w:b/>
                <w:bCs/>
                <w:color w:val="auto"/>
                <w:kern w:val="24"/>
                <w:sz w:val="24"/>
                <w:szCs w:val="24"/>
                <w:highlight w:val="none"/>
                <w:lang w:val="en-US" w:eastAsia="zh-CN"/>
              </w:rPr>
              <w:t>、沉淀池污泥</w:t>
            </w:r>
            <w:r>
              <w:rPr>
                <w:rFonts w:hint="default" w:ascii="Times New Roman" w:hAnsi="Times New Roman" w:eastAsia="宋体" w:cs="Times New Roman"/>
                <w:b/>
                <w:bCs/>
                <w:color w:val="auto"/>
                <w:kern w:val="24"/>
                <w:sz w:val="24"/>
                <w:szCs w:val="24"/>
                <w:highlight w:val="none"/>
                <w:lang w:val="en-US" w:eastAsia="zh-CN"/>
              </w:rPr>
              <w:t>。</w:t>
            </w:r>
          </w:p>
          <w:p w14:paraId="7FFEEA73">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cs="Times New Roman"/>
                <w:bCs/>
                <w:szCs w:val="21"/>
                <w:highlight w:val="none"/>
                <w:vertAlign w:val="baseline"/>
                <w:lang w:val="en-US" w:eastAsia="zh-CN"/>
              </w:rPr>
            </w:pPr>
            <w:r>
              <w:rPr>
                <w:rFonts w:hint="default" w:ascii="Times New Roman" w:hAnsi="Times New Roman" w:cs="Times New Roman"/>
                <w:bCs/>
                <w:szCs w:val="21"/>
                <w:highlight w:val="none"/>
                <w:vertAlign w:val="baseline"/>
                <w:lang w:val="en-US" w:eastAsia="zh-CN"/>
              </w:rPr>
              <w:t>工艺流程及产排污节点图见下图。</w:t>
            </w:r>
          </w:p>
          <w:p w14:paraId="57128A9D">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eastAsia" w:cs="Times New Roman"/>
                <w:b/>
                <w:bCs w:val="0"/>
                <w:szCs w:val="21"/>
                <w:highlight w:val="none"/>
                <w:vertAlign w:val="baseline"/>
                <w:lang w:val="en-US" w:eastAsia="zh-CN"/>
              </w:rPr>
              <w:object>
                <v:shape id="_x0000_i1027" o:spt="75" type="#_x0000_t75" style="height:262.4pt;width:426.9pt;" o:ole="t" filled="f" o:preferrelative="t" stroked="f" coordsize="21600,21600">
                  <v:path/>
                  <v:fill on="f" focussize="0,0"/>
                  <v:stroke on="f"/>
                  <v:imagedata r:id="rId23" o:title=""/>
                  <o:lock v:ext="edit" aspectratio="f"/>
                  <w10:wrap type="none"/>
                  <w10:anchorlock/>
                </v:shape>
                <o:OLEObject Type="Embed" ProgID="Visio.Drawing.11" ShapeID="_x0000_i1027" DrawAspect="Content" ObjectID="_1468075731" r:id="rId22">
                  <o:LockedField>false</o:LockedField>
                </o:OLEObject>
              </w:object>
            </w:r>
            <w:r>
              <w:rPr>
                <w:rFonts w:hint="eastAsia" w:cs="Times New Roman"/>
                <w:b/>
                <w:bCs w:val="0"/>
                <w:szCs w:val="21"/>
                <w:highlight w:val="none"/>
                <w:vertAlign w:val="baseline"/>
                <w:lang w:val="en-US" w:eastAsia="zh-CN"/>
              </w:rPr>
              <w:t>图3 配煤及水分选工艺流程及产排污节点图</w:t>
            </w:r>
          </w:p>
          <w:p w14:paraId="7282DB0C">
            <w:pPr>
              <w:keepNext w:val="0"/>
              <w:keepLines w:val="0"/>
              <w:pageBreakBefore w:val="0"/>
              <w:widowControl w:val="0"/>
              <w:kinsoku/>
              <w:wordWrap/>
              <w:overflowPunct/>
              <w:topLinePunct w:val="0"/>
              <w:autoSpaceDE/>
              <w:autoSpaceDN/>
              <w:bidi w:val="0"/>
              <w:adjustRightInd w:val="0"/>
              <w:snapToGrid w:val="0"/>
              <w:spacing w:line="500" w:lineRule="exact"/>
              <w:jc w:val="center"/>
              <w:textAlignment w:val="auto"/>
              <w:rPr>
                <w:color w:val="auto"/>
              </w:rPr>
            </w:pPr>
            <w:r>
              <w:rPr>
                <w:b/>
                <w:bCs/>
                <w:color w:val="auto"/>
              </w:rPr>
              <w:t>表</w:t>
            </w:r>
            <w:r>
              <w:rPr>
                <w:rFonts w:hint="eastAsia"/>
                <w:b/>
                <w:bCs/>
                <w:color w:val="auto"/>
              </w:rPr>
              <w:t>2-</w:t>
            </w:r>
            <w:r>
              <w:rPr>
                <w:rFonts w:hint="eastAsia"/>
                <w:b/>
                <w:bCs/>
                <w:color w:val="auto"/>
                <w:lang w:val="en-US" w:eastAsia="zh-CN"/>
              </w:rPr>
              <w:t>8</w:t>
            </w:r>
            <w:r>
              <w:rPr>
                <w:b/>
                <w:bCs/>
                <w:color w:val="auto"/>
              </w:rPr>
              <w:t xml:space="preserve"> </w:t>
            </w:r>
            <w:r>
              <w:rPr>
                <w:rFonts w:hint="eastAsia"/>
                <w:b/>
                <w:bCs/>
                <w:color w:val="auto"/>
              </w:rPr>
              <w:t>本项目</w:t>
            </w:r>
            <w:r>
              <w:rPr>
                <w:b/>
                <w:bCs/>
                <w:color w:val="auto"/>
              </w:rPr>
              <w:t>排污节点及治理设施一览表</w:t>
            </w:r>
          </w:p>
          <w:tbl>
            <w:tblPr>
              <w:tblStyle w:val="25"/>
              <w:tblW w:w="4995" w:type="pct"/>
              <w:tblInd w:w="1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12"/>
              <w:gridCol w:w="1473"/>
              <w:gridCol w:w="1307"/>
              <w:gridCol w:w="938"/>
              <w:gridCol w:w="2015"/>
              <w:gridCol w:w="2029"/>
            </w:tblGrid>
            <w:tr w14:paraId="0187F2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66" w:type="pct"/>
                  <w:tcBorders>
                    <w:tl2br w:val="nil"/>
                    <w:tr2bl w:val="nil"/>
                  </w:tcBorders>
                  <w:noWrap w:val="0"/>
                  <w:tcMar>
                    <w:top w:w="0" w:type="dxa"/>
                    <w:left w:w="0" w:type="dxa"/>
                    <w:bottom w:w="0" w:type="dxa"/>
                    <w:right w:w="0" w:type="dxa"/>
                  </w:tcMar>
                  <w:vAlign w:val="center"/>
                </w:tcPr>
                <w:p w14:paraId="6B9E6076">
                  <w:pPr>
                    <w:keepNext w:val="0"/>
                    <w:keepLines w:val="0"/>
                    <w:pageBreakBefore w:val="0"/>
                    <w:kinsoku/>
                    <w:wordWrap/>
                    <w:overflowPunct/>
                    <w:topLinePunct w:val="0"/>
                    <w:bidi w:val="0"/>
                    <w:adjustRightInd w:val="0"/>
                    <w:snapToGrid w:val="0"/>
                    <w:spacing w:line="240" w:lineRule="auto"/>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名称</w:t>
                  </w:r>
                </w:p>
              </w:tc>
              <w:tc>
                <w:tcPr>
                  <w:tcW w:w="879" w:type="pct"/>
                  <w:tcBorders>
                    <w:tl2br w:val="nil"/>
                    <w:tr2bl w:val="nil"/>
                  </w:tcBorders>
                  <w:noWrap w:val="0"/>
                  <w:tcMar>
                    <w:top w:w="0" w:type="dxa"/>
                    <w:left w:w="0" w:type="dxa"/>
                    <w:bottom w:w="0" w:type="dxa"/>
                    <w:right w:w="0" w:type="dxa"/>
                  </w:tcMar>
                  <w:vAlign w:val="center"/>
                </w:tcPr>
                <w:p w14:paraId="676BB503">
                  <w:pPr>
                    <w:keepNext w:val="0"/>
                    <w:keepLines w:val="0"/>
                    <w:pageBreakBefore w:val="0"/>
                    <w:kinsoku/>
                    <w:wordWrap/>
                    <w:overflowPunct/>
                    <w:topLinePunct w:val="0"/>
                    <w:bidi w:val="0"/>
                    <w:adjustRightInd w:val="0"/>
                    <w:snapToGrid w:val="0"/>
                    <w:spacing w:line="240" w:lineRule="auto"/>
                    <w:ind w:left="-242" w:leftChars="-101" w:right="-194" w:rightChars="-81"/>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排污节点</w:t>
                  </w:r>
                </w:p>
              </w:tc>
              <w:tc>
                <w:tcPr>
                  <w:tcW w:w="780" w:type="pct"/>
                  <w:tcBorders>
                    <w:tl2br w:val="nil"/>
                    <w:tr2bl w:val="nil"/>
                  </w:tcBorders>
                  <w:noWrap w:val="0"/>
                  <w:tcMar>
                    <w:top w:w="0" w:type="dxa"/>
                    <w:left w:w="0" w:type="dxa"/>
                    <w:bottom w:w="0" w:type="dxa"/>
                    <w:right w:w="0" w:type="dxa"/>
                  </w:tcMar>
                  <w:vAlign w:val="center"/>
                </w:tcPr>
                <w:p w14:paraId="2586E0AA">
                  <w:pPr>
                    <w:keepNext w:val="0"/>
                    <w:keepLines w:val="0"/>
                    <w:pageBreakBefore w:val="0"/>
                    <w:kinsoku/>
                    <w:wordWrap/>
                    <w:overflowPunct/>
                    <w:topLinePunct w:val="0"/>
                    <w:bidi w:val="0"/>
                    <w:adjustRightInd w:val="0"/>
                    <w:snapToGrid w:val="0"/>
                    <w:spacing w:line="240" w:lineRule="auto"/>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污染因子</w:t>
                  </w:r>
                </w:p>
              </w:tc>
              <w:tc>
                <w:tcPr>
                  <w:tcW w:w="560" w:type="pct"/>
                  <w:tcBorders>
                    <w:tl2br w:val="nil"/>
                    <w:tr2bl w:val="nil"/>
                  </w:tcBorders>
                  <w:noWrap w:val="0"/>
                  <w:tcMar>
                    <w:top w:w="0" w:type="dxa"/>
                    <w:left w:w="0" w:type="dxa"/>
                    <w:bottom w:w="0" w:type="dxa"/>
                    <w:right w:w="0" w:type="dxa"/>
                  </w:tcMar>
                  <w:vAlign w:val="center"/>
                </w:tcPr>
                <w:p w14:paraId="40CCC1AF">
                  <w:pPr>
                    <w:keepNext w:val="0"/>
                    <w:keepLines w:val="0"/>
                    <w:pageBreakBefore w:val="0"/>
                    <w:kinsoku/>
                    <w:wordWrap/>
                    <w:overflowPunct/>
                    <w:topLinePunct w:val="0"/>
                    <w:bidi w:val="0"/>
                    <w:adjustRightInd w:val="0"/>
                    <w:snapToGrid w:val="0"/>
                    <w:spacing w:line="240" w:lineRule="auto"/>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排放特征</w:t>
                  </w:r>
                </w:p>
              </w:tc>
              <w:tc>
                <w:tcPr>
                  <w:tcW w:w="2414" w:type="pct"/>
                  <w:gridSpan w:val="2"/>
                  <w:tcBorders>
                    <w:tl2br w:val="nil"/>
                    <w:tr2bl w:val="nil"/>
                  </w:tcBorders>
                  <w:noWrap w:val="0"/>
                  <w:tcMar>
                    <w:top w:w="0" w:type="dxa"/>
                    <w:left w:w="0" w:type="dxa"/>
                    <w:bottom w:w="0" w:type="dxa"/>
                    <w:right w:w="0" w:type="dxa"/>
                  </w:tcMar>
                  <w:vAlign w:val="center"/>
                </w:tcPr>
                <w:p w14:paraId="3CF725E5">
                  <w:pPr>
                    <w:keepNext w:val="0"/>
                    <w:keepLines w:val="0"/>
                    <w:pageBreakBefore w:val="0"/>
                    <w:kinsoku/>
                    <w:wordWrap/>
                    <w:overflowPunct/>
                    <w:topLinePunct w:val="0"/>
                    <w:bidi w:val="0"/>
                    <w:adjustRightInd w:val="0"/>
                    <w:snapToGrid w:val="0"/>
                    <w:spacing w:line="240" w:lineRule="auto"/>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治理措施及排放去向</w:t>
                  </w:r>
                </w:p>
              </w:tc>
            </w:tr>
            <w:tr w14:paraId="6E0603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366" w:type="pct"/>
                  <w:vMerge w:val="restart"/>
                  <w:tcBorders>
                    <w:tl2br w:val="nil"/>
                    <w:tr2bl w:val="nil"/>
                  </w:tcBorders>
                  <w:noWrap w:val="0"/>
                  <w:tcMar>
                    <w:top w:w="0" w:type="dxa"/>
                    <w:left w:w="0" w:type="dxa"/>
                    <w:bottom w:w="0" w:type="dxa"/>
                    <w:right w:w="0" w:type="dxa"/>
                  </w:tcMar>
                  <w:vAlign w:val="center"/>
                </w:tcPr>
                <w:p w14:paraId="449AD063">
                  <w:pPr>
                    <w:pStyle w:val="74"/>
                    <w:keepNext w:val="0"/>
                    <w:keepLines w:val="0"/>
                    <w:pageBreakBefore w:val="0"/>
                    <w:kinsoku/>
                    <w:wordWrap/>
                    <w:overflowPunct/>
                    <w:topLinePunct w:val="0"/>
                    <w:bidi w:val="0"/>
                    <w:spacing w:line="240" w:lineRule="auto"/>
                    <w:textAlignment w:val="auto"/>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废气</w:t>
                  </w:r>
                </w:p>
              </w:tc>
              <w:tc>
                <w:tcPr>
                  <w:tcW w:w="879" w:type="pct"/>
                  <w:tcBorders>
                    <w:tl2br w:val="nil"/>
                    <w:tr2bl w:val="nil"/>
                  </w:tcBorders>
                  <w:noWrap w:val="0"/>
                  <w:tcMar>
                    <w:top w:w="0" w:type="dxa"/>
                    <w:left w:w="0" w:type="dxa"/>
                    <w:bottom w:w="0" w:type="dxa"/>
                    <w:right w:w="0" w:type="dxa"/>
                  </w:tcMar>
                  <w:vAlign w:val="center"/>
                </w:tcPr>
                <w:p w14:paraId="58548FCF">
                  <w:pPr>
                    <w:keepNext w:val="0"/>
                    <w:keepLines w:val="0"/>
                    <w:pageBreakBefore w:val="0"/>
                    <w:kinsoku/>
                    <w:wordWrap/>
                    <w:overflowPunct/>
                    <w:topLinePunct w:val="0"/>
                    <w:bidi w:val="0"/>
                    <w:adjustRightInd w:val="0"/>
                    <w:snapToGrid w:val="0"/>
                    <w:spacing w:line="240" w:lineRule="auto"/>
                    <w:ind w:left="-242" w:leftChars="-101" w:right="-194" w:rightChars="-81"/>
                    <w:jc w:val="center"/>
                    <w:textAlignment w:val="auto"/>
                    <w:rPr>
                      <w:rFonts w:hint="default"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eastAsia="zh-CN"/>
                    </w:rPr>
                    <w:t>上料工序</w:t>
                  </w:r>
                </w:p>
              </w:tc>
              <w:tc>
                <w:tcPr>
                  <w:tcW w:w="780" w:type="pct"/>
                  <w:tcBorders>
                    <w:tl2br w:val="nil"/>
                    <w:tr2bl w:val="nil"/>
                  </w:tcBorders>
                  <w:noWrap w:val="0"/>
                  <w:tcMar>
                    <w:top w:w="0" w:type="dxa"/>
                    <w:left w:w="0" w:type="dxa"/>
                    <w:bottom w:w="0" w:type="dxa"/>
                    <w:right w:w="0" w:type="dxa"/>
                  </w:tcMar>
                  <w:vAlign w:val="center"/>
                </w:tcPr>
                <w:p w14:paraId="0EFE00AD">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颗粒物</w:t>
                  </w:r>
                </w:p>
              </w:tc>
              <w:tc>
                <w:tcPr>
                  <w:tcW w:w="560" w:type="pct"/>
                  <w:tcBorders>
                    <w:tl2br w:val="nil"/>
                    <w:tr2bl w:val="nil"/>
                  </w:tcBorders>
                  <w:noWrap w:val="0"/>
                  <w:tcMar>
                    <w:top w:w="0" w:type="dxa"/>
                    <w:left w:w="0" w:type="dxa"/>
                    <w:bottom w:w="0" w:type="dxa"/>
                    <w:right w:w="0" w:type="dxa"/>
                  </w:tcMar>
                  <w:vAlign w:val="center"/>
                </w:tcPr>
                <w:p w14:paraId="33AE1AE5">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间断</w:t>
                  </w:r>
                </w:p>
              </w:tc>
              <w:tc>
                <w:tcPr>
                  <w:tcW w:w="1203" w:type="pct"/>
                  <w:tcBorders>
                    <w:tl2br w:val="nil"/>
                    <w:tr2bl w:val="nil"/>
                  </w:tcBorders>
                  <w:noWrap w:val="0"/>
                  <w:tcMar>
                    <w:top w:w="0" w:type="dxa"/>
                    <w:left w:w="0" w:type="dxa"/>
                    <w:bottom w:w="0" w:type="dxa"/>
                    <w:right w:w="0" w:type="dxa"/>
                  </w:tcMar>
                  <w:vAlign w:val="center"/>
                </w:tcPr>
                <w:p w14:paraId="721D2EC4">
                  <w:pPr>
                    <w:keepNext w:val="0"/>
                    <w:keepLines w:val="0"/>
                    <w:pageBreakBefore w:val="0"/>
                    <w:widowControl/>
                    <w:suppressLineNumbers w:val="0"/>
                    <w:kinsoku/>
                    <w:wordWrap/>
                    <w:overflowPunct/>
                    <w:topLinePunct w:val="0"/>
                    <w:bidi w:val="0"/>
                    <w:spacing w:line="240" w:lineRule="auto"/>
                    <w:jc w:val="left"/>
                    <w:textAlignment w:val="auto"/>
                    <w:rPr>
                      <w:rFonts w:hint="default" w:ascii="Times New Roman" w:hAnsi="Times New Roman" w:eastAsia="宋体" w:cs="Times New Roman"/>
                      <w:color w:val="auto"/>
                      <w:sz w:val="21"/>
                      <w:szCs w:val="21"/>
                      <w:highlight w:val="none"/>
                      <w:lang w:eastAsia="zh-CN"/>
                    </w:rPr>
                  </w:pPr>
                  <w:r>
                    <w:rPr>
                      <w:rFonts w:hint="eastAsia" w:cs="Times New Roman"/>
                      <w:color w:val="auto"/>
                      <w:sz w:val="21"/>
                      <w:szCs w:val="21"/>
                      <w:highlight w:val="none"/>
                      <w:lang w:eastAsia="zh-CN"/>
                    </w:rPr>
                    <w:t>给煤</w:t>
                  </w:r>
                  <w:r>
                    <w:rPr>
                      <w:rFonts w:hint="eastAsia" w:ascii="Times New Roman" w:hAnsi="Times New Roman" w:eastAsia="宋体" w:cs="Times New Roman"/>
                      <w:color w:val="auto"/>
                      <w:sz w:val="21"/>
                      <w:szCs w:val="21"/>
                      <w:highlight w:val="none"/>
                      <w:lang w:eastAsia="zh-CN"/>
                    </w:rPr>
                    <w:t>机上料口设置三面围挡，上方设置集尘罩，使用封闭式皮带输送机输送。</w:t>
                  </w:r>
                </w:p>
              </w:tc>
              <w:tc>
                <w:tcPr>
                  <w:tcW w:w="1210" w:type="pct"/>
                  <w:vMerge w:val="restart"/>
                  <w:tcBorders>
                    <w:tl2br w:val="nil"/>
                    <w:tr2bl w:val="nil"/>
                  </w:tcBorders>
                  <w:noWrap w:val="0"/>
                  <w:tcMar>
                    <w:top w:w="0" w:type="dxa"/>
                    <w:left w:w="0" w:type="dxa"/>
                    <w:bottom w:w="0" w:type="dxa"/>
                    <w:right w:w="0" w:type="dxa"/>
                  </w:tcMar>
                  <w:vAlign w:val="center"/>
                </w:tcPr>
                <w:p w14:paraId="649CFB21">
                  <w:pPr>
                    <w:keepNext w:val="0"/>
                    <w:keepLines w:val="0"/>
                    <w:pageBreakBefore w:val="0"/>
                    <w:widowControl/>
                    <w:suppressLineNumbers w:val="0"/>
                    <w:kinsoku/>
                    <w:wordWrap/>
                    <w:overflowPunct/>
                    <w:topLinePunct w:val="0"/>
                    <w:bidi w:val="0"/>
                    <w:spacing w:line="240" w:lineRule="auto"/>
                    <w:jc w:val="left"/>
                    <w:textAlignment w:val="auto"/>
                    <w:rPr>
                      <w:rFonts w:hint="eastAsia" w:ascii="Times New Roman" w:hAnsi="Times New Roman" w:eastAsia="宋体" w:cs="Times New Roman"/>
                      <w:color w:val="auto"/>
                      <w:sz w:val="21"/>
                      <w:szCs w:val="21"/>
                      <w:highlight w:val="none"/>
                      <w:lang w:eastAsia="zh-CN"/>
                    </w:rPr>
                  </w:pPr>
                  <w:r>
                    <w:rPr>
                      <w:rFonts w:hint="eastAsia" w:cs="Times New Roman"/>
                      <w:b w:val="0"/>
                      <w:bCs w:val="0"/>
                      <w:color w:val="000000"/>
                      <w:kern w:val="0"/>
                      <w:sz w:val="21"/>
                      <w:szCs w:val="21"/>
                      <w:highlight w:val="none"/>
                      <w:vertAlign w:val="baseline"/>
                      <w:lang w:val="en-US" w:eastAsia="zh-CN" w:bidi="ar"/>
                    </w:rPr>
                    <w:t>脉冲式布袋除尘器</w:t>
                  </w:r>
                  <w:r>
                    <w:rPr>
                      <w:rFonts w:hint="eastAsia" w:ascii="Times New Roman" w:hAnsi="Times New Roman" w:eastAsia="宋体" w:cs="Times New Roman"/>
                      <w:color w:val="auto"/>
                      <w:sz w:val="21"/>
                      <w:szCs w:val="21"/>
                      <w:highlight w:val="none"/>
                      <w:lang w:eastAsia="zh-CN"/>
                    </w:rPr>
                    <w:t>（风机风量</w:t>
                  </w:r>
                  <w:r>
                    <w:rPr>
                      <w:rFonts w:hint="eastAsia" w:cs="Times New Roman"/>
                      <w:color w:val="auto"/>
                      <w:sz w:val="21"/>
                      <w:szCs w:val="21"/>
                      <w:highlight w:val="none"/>
                      <w:lang w:val="en-US" w:eastAsia="zh-CN"/>
                    </w:rPr>
                    <w:t>75000</w:t>
                  </w:r>
                  <w:r>
                    <w:rPr>
                      <w:rFonts w:hint="eastAsia" w:ascii="Times New Roman" w:hAnsi="Times New Roman" w:eastAsia="宋体" w:cs="Times New Roman"/>
                      <w:color w:val="auto"/>
                      <w:sz w:val="21"/>
                      <w:szCs w:val="21"/>
                      <w:highlight w:val="none"/>
                      <w:lang w:val="en-US" w:eastAsia="zh-CN"/>
                    </w:rPr>
                    <w:t>m</w:t>
                  </w:r>
                  <w:r>
                    <w:rPr>
                      <w:rFonts w:hint="eastAsia" w:ascii="Times New Roman" w:hAnsi="Times New Roman" w:eastAsia="宋体" w:cs="Times New Roman"/>
                      <w:color w:val="auto"/>
                      <w:sz w:val="21"/>
                      <w:szCs w:val="21"/>
                      <w:highlight w:val="none"/>
                      <w:vertAlign w:val="superscript"/>
                      <w:lang w:val="en-US" w:eastAsia="zh-CN"/>
                    </w:rPr>
                    <w:t>3</w:t>
                  </w:r>
                  <w:r>
                    <w:rPr>
                      <w:rFonts w:hint="eastAsia" w:ascii="Times New Roman" w:hAnsi="Times New Roman" w:eastAsia="宋体" w:cs="Times New Roman"/>
                      <w:color w:val="auto"/>
                      <w:sz w:val="21"/>
                      <w:szCs w:val="21"/>
                      <w:highlight w:val="none"/>
                      <w:lang w:val="en-US" w:eastAsia="zh-CN"/>
                    </w:rPr>
                    <w:t>/h</w:t>
                  </w:r>
                  <w:r>
                    <w:rPr>
                      <w:rFonts w:hint="eastAsia" w:ascii="Times New Roman" w:hAnsi="Times New Roman" w:eastAsia="宋体" w:cs="Times New Roman"/>
                      <w:color w:val="auto"/>
                      <w:sz w:val="21"/>
                      <w:szCs w:val="21"/>
                      <w:highlight w:val="none"/>
                      <w:lang w:eastAsia="zh-CN"/>
                    </w:rPr>
                    <w:t>）</w:t>
                  </w:r>
                  <w:r>
                    <w:rPr>
                      <w:rFonts w:hint="eastAsia" w:cs="Times New Roman"/>
                      <w:color w:val="auto"/>
                      <w:sz w:val="21"/>
                      <w:szCs w:val="21"/>
                      <w:highlight w:val="none"/>
                      <w:lang w:val="en-US" w:eastAsia="zh-CN"/>
                    </w:rPr>
                    <w:t>+25</w:t>
                  </w:r>
                  <w:r>
                    <w:rPr>
                      <w:rFonts w:hint="default" w:ascii="Times New Roman" w:hAnsi="Times New Roman" w:eastAsia="宋体" w:cs="Times New Roman"/>
                      <w:color w:val="auto"/>
                      <w:sz w:val="21"/>
                      <w:szCs w:val="21"/>
                      <w:highlight w:val="none"/>
                      <w:lang w:eastAsia="zh-CN"/>
                    </w:rPr>
                    <w:t>米高排气筒（</w:t>
                  </w:r>
                  <w:r>
                    <w:rPr>
                      <w:rFonts w:hint="eastAsia" w:ascii="Times New Roman" w:hAnsi="Times New Roman" w:eastAsia="宋体" w:cs="Times New Roman"/>
                      <w:color w:val="auto"/>
                      <w:sz w:val="21"/>
                      <w:szCs w:val="21"/>
                      <w:highlight w:val="none"/>
                      <w:lang w:val="en-US" w:eastAsia="zh-CN"/>
                    </w:rPr>
                    <w:t>DA001</w:t>
                  </w:r>
                  <w:r>
                    <w:rPr>
                      <w:rFonts w:hint="default" w:ascii="Times New Roman" w:hAnsi="Times New Roman" w:eastAsia="宋体" w:cs="Times New Roman"/>
                      <w:color w:val="auto"/>
                      <w:sz w:val="21"/>
                      <w:szCs w:val="21"/>
                      <w:highlight w:val="none"/>
                      <w:lang w:eastAsia="zh-CN"/>
                    </w:rPr>
                    <w:t>）</w:t>
                  </w:r>
                </w:p>
              </w:tc>
            </w:tr>
            <w:tr w14:paraId="63F9AA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366" w:type="pct"/>
                  <w:vMerge w:val="continue"/>
                  <w:tcBorders>
                    <w:tl2br w:val="nil"/>
                    <w:tr2bl w:val="nil"/>
                  </w:tcBorders>
                  <w:noWrap w:val="0"/>
                  <w:tcMar>
                    <w:top w:w="0" w:type="dxa"/>
                    <w:left w:w="0" w:type="dxa"/>
                    <w:bottom w:w="0" w:type="dxa"/>
                    <w:right w:w="0" w:type="dxa"/>
                  </w:tcMar>
                  <w:vAlign w:val="center"/>
                </w:tcPr>
                <w:p w14:paraId="45037960">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rPr>
                  </w:pPr>
                </w:p>
              </w:tc>
              <w:tc>
                <w:tcPr>
                  <w:tcW w:w="879" w:type="pct"/>
                  <w:tcBorders>
                    <w:tl2br w:val="nil"/>
                    <w:tr2bl w:val="nil"/>
                  </w:tcBorders>
                  <w:noWrap w:val="0"/>
                  <w:tcMar>
                    <w:top w:w="0" w:type="dxa"/>
                    <w:left w:w="0" w:type="dxa"/>
                    <w:bottom w:w="0" w:type="dxa"/>
                    <w:right w:w="0" w:type="dxa"/>
                  </w:tcMar>
                  <w:vAlign w:val="center"/>
                </w:tcPr>
                <w:p w14:paraId="14A9D38D">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原煤分级筛分工序</w:t>
                  </w:r>
                </w:p>
              </w:tc>
              <w:tc>
                <w:tcPr>
                  <w:tcW w:w="780" w:type="pct"/>
                  <w:tcBorders>
                    <w:tl2br w:val="nil"/>
                    <w:tr2bl w:val="nil"/>
                  </w:tcBorders>
                  <w:noWrap w:val="0"/>
                  <w:tcMar>
                    <w:top w:w="0" w:type="dxa"/>
                    <w:left w:w="0" w:type="dxa"/>
                    <w:bottom w:w="0" w:type="dxa"/>
                    <w:right w:w="0" w:type="dxa"/>
                  </w:tcMar>
                  <w:vAlign w:val="center"/>
                </w:tcPr>
                <w:p w14:paraId="0D0C1819">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颗粒物</w:t>
                  </w:r>
                </w:p>
              </w:tc>
              <w:tc>
                <w:tcPr>
                  <w:tcW w:w="560" w:type="pct"/>
                  <w:tcBorders>
                    <w:tl2br w:val="nil"/>
                    <w:tr2bl w:val="nil"/>
                  </w:tcBorders>
                  <w:noWrap w:val="0"/>
                  <w:tcMar>
                    <w:top w:w="0" w:type="dxa"/>
                    <w:left w:w="0" w:type="dxa"/>
                    <w:bottom w:w="0" w:type="dxa"/>
                    <w:right w:w="0" w:type="dxa"/>
                  </w:tcMar>
                  <w:vAlign w:val="center"/>
                </w:tcPr>
                <w:p w14:paraId="61CF4C69">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间断</w:t>
                  </w:r>
                </w:p>
              </w:tc>
              <w:tc>
                <w:tcPr>
                  <w:tcW w:w="1203" w:type="pct"/>
                  <w:vMerge w:val="restart"/>
                  <w:tcBorders>
                    <w:tl2br w:val="nil"/>
                    <w:tr2bl w:val="nil"/>
                  </w:tcBorders>
                  <w:noWrap w:val="0"/>
                  <w:tcMar>
                    <w:top w:w="0" w:type="dxa"/>
                    <w:left w:w="0" w:type="dxa"/>
                    <w:bottom w:w="0" w:type="dxa"/>
                    <w:right w:w="0" w:type="dxa"/>
                  </w:tcMar>
                  <w:vAlign w:val="center"/>
                </w:tcPr>
                <w:p w14:paraId="57ED9FF4">
                  <w:pPr>
                    <w:keepNext w:val="0"/>
                    <w:keepLines w:val="0"/>
                    <w:pageBreakBefore w:val="0"/>
                    <w:widowControl/>
                    <w:suppressLineNumbers w:val="0"/>
                    <w:kinsoku/>
                    <w:wordWrap/>
                    <w:overflowPunct/>
                    <w:topLinePunct w:val="0"/>
                    <w:bidi w:val="0"/>
                    <w:spacing w:line="240" w:lineRule="auto"/>
                    <w:jc w:val="left"/>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eastAsia="zh-CN"/>
                    </w:rPr>
                    <w:t>入料口及出料口设置集气罩。</w:t>
                  </w:r>
                </w:p>
              </w:tc>
              <w:tc>
                <w:tcPr>
                  <w:tcW w:w="1210" w:type="pct"/>
                  <w:vMerge w:val="continue"/>
                  <w:tcBorders>
                    <w:tl2br w:val="nil"/>
                    <w:tr2bl w:val="nil"/>
                  </w:tcBorders>
                  <w:noWrap w:val="0"/>
                  <w:tcMar>
                    <w:top w:w="0" w:type="dxa"/>
                    <w:left w:w="0" w:type="dxa"/>
                    <w:bottom w:w="0" w:type="dxa"/>
                    <w:right w:w="0" w:type="dxa"/>
                  </w:tcMar>
                  <w:vAlign w:val="center"/>
                </w:tcPr>
                <w:p w14:paraId="6C49CA43">
                  <w:pPr>
                    <w:keepNext w:val="0"/>
                    <w:keepLines w:val="0"/>
                    <w:pageBreakBefore w:val="0"/>
                    <w:widowControl/>
                    <w:suppressLineNumbers w:val="0"/>
                    <w:kinsoku/>
                    <w:wordWrap/>
                    <w:overflowPunct/>
                    <w:topLinePunct w:val="0"/>
                    <w:bidi w:val="0"/>
                    <w:spacing w:line="240" w:lineRule="auto"/>
                    <w:jc w:val="left"/>
                    <w:textAlignment w:val="auto"/>
                    <w:rPr>
                      <w:rFonts w:hint="eastAsia" w:ascii="Times New Roman" w:hAnsi="Times New Roman" w:eastAsia="宋体" w:cs="Times New Roman"/>
                      <w:color w:val="auto"/>
                      <w:sz w:val="21"/>
                      <w:szCs w:val="21"/>
                      <w:highlight w:val="none"/>
                      <w:lang w:eastAsia="zh-CN"/>
                    </w:rPr>
                  </w:pPr>
                </w:p>
              </w:tc>
            </w:tr>
            <w:tr w14:paraId="1FD6B2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66" w:type="pct"/>
                  <w:vMerge w:val="continue"/>
                  <w:tcBorders>
                    <w:tl2br w:val="nil"/>
                    <w:tr2bl w:val="nil"/>
                  </w:tcBorders>
                  <w:noWrap w:val="0"/>
                  <w:tcMar>
                    <w:top w:w="0" w:type="dxa"/>
                    <w:left w:w="0" w:type="dxa"/>
                    <w:bottom w:w="0" w:type="dxa"/>
                    <w:right w:w="0" w:type="dxa"/>
                  </w:tcMar>
                  <w:vAlign w:val="center"/>
                </w:tcPr>
                <w:p w14:paraId="1F392EC5">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rPr>
                  </w:pPr>
                </w:p>
              </w:tc>
              <w:tc>
                <w:tcPr>
                  <w:tcW w:w="879" w:type="pct"/>
                  <w:tcBorders>
                    <w:tl2br w:val="nil"/>
                    <w:tr2bl w:val="nil"/>
                  </w:tcBorders>
                  <w:noWrap w:val="0"/>
                  <w:tcMar>
                    <w:top w:w="0" w:type="dxa"/>
                    <w:left w:w="0" w:type="dxa"/>
                    <w:bottom w:w="0" w:type="dxa"/>
                    <w:right w:w="0" w:type="dxa"/>
                  </w:tcMar>
                  <w:vAlign w:val="center"/>
                </w:tcPr>
                <w:p w14:paraId="004E7FC0">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固定</w:t>
                  </w:r>
                  <w:r>
                    <w:rPr>
                      <w:rFonts w:hint="eastAsia" w:ascii="Times New Roman" w:hAnsi="Times New Roman" w:eastAsia="宋体" w:cs="Times New Roman"/>
                      <w:color w:val="auto"/>
                      <w:sz w:val="21"/>
                      <w:szCs w:val="21"/>
                      <w:lang w:val="en-US" w:eastAsia="zh-CN"/>
                    </w:rPr>
                    <w:t>破碎工序</w:t>
                  </w:r>
                </w:p>
              </w:tc>
              <w:tc>
                <w:tcPr>
                  <w:tcW w:w="780" w:type="pct"/>
                  <w:tcBorders>
                    <w:tl2br w:val="nil"/>
                    <w:tr2bl w:val="nil"/>
                  </w:tcBorders>
                  <w:noWrap w:val="0"/>
                  <w:tcMar>
                    <w:top w:w="0" w:type="dxa"/>
                    <w:left w:w="0" w:type="dxa"/>
                    <w:bottom w:w="0" w:type="dxa"/>
                    <w:right w:w="0" w:type="dxa"/>
                  </w:tcMar>
                  <w:vAlign w:val="center"/>
                </w:tcPr>
                <w:p w14:paraId="2E63B99A">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颗粒物</w:t>
                  </w:r>
                </w:p>
              </w:tc>
              <w:tc>
                <w:tcPr>
                  <w:tcW w:w="560" w:type="pct"/>
                  <w:tcBorders>
                    <w:tl2br w:val="nil"/>
                    <w:tr2bl w:val="nil"/>
                  </w:tcBorders>
                  <w:noWrap w:val="0"/>
                  <w:tcMar>
                    <w:top w:w="0" w:type="dxa"/>
                    <w:left w:w="0" w:type="dxa"/>
                    <w:bottom w:w="0" w:type="dxa"/>
                    <w:right w:w="0" w:type="dxa"/>
                  </w:tcMar>
                  <w:vAlign w:val="center"/>
                </w:tcPr>
                <w:p w14:paraId="7924997F">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间断</w:t>
                  </w:r>
                </w:p>
              </w:tc>
              <w:tc>
                <w:tcPr>
                  <w:tcW w:w="1203" w:type="pct"/>
                  <w:vMerge w:val="continue"/>
                  <w:tcBorders>
                    <w:tl2br w:val="nil"/>
                    <w:tr2bl w:val="nil"/>
                  </w:tcBorders>
                  <w:noWrap w:val="0"/>
                  <w:tcMar>
                    <w:top w:w="0" w:type="dxa"/>
                    <w:left w:w="0" w:type="dxa"/>
                    <w:bottom w:w="0" w:type="dxa"/>
                    <w:right w:w="0" w:type="dxa"/>
                  </w:tcMar>
                  <w:vAlign w:val="center"/>
                </w:tcPr>
                <w:p w14:paraId="415DD799">
                  <w:pPr>
                    <w:keepNext w:val="0"/>
                    <w:keepLines w:val="0"/>
                    <w:pageBreakBefore w:val="0"/>
                    <w:widowControl/>
                    <w:suppressLineNumbers w:val="0"/>
                    <w:kinsoku/>
                    <w:wordWrap/>
                    <w:overflowPunct/>
                    <w:topLinePunct w:val="0"/>
                    <w:bidi w:val="0"/>
                    <w:spacing w:line="240" w:lineRule="auto"/>
                    <w:jc w:val="left"/>
                    <w:textAlignment w:val="auto"/>
                    <w:rPr>
                      <w:rFonts w:hint="default" w:ascii="Times New Roman" w:hAnsi="Times New Roman" w:eastAsia="宋体" w:cs="Times New Roman"/>
                      <w:color w:val="auto"/>
                      <w:sz w:val="21"/>
                      <w:szCs w:val="21"/>
                      <w:highlight w:val="none"/>
                      <w:lang w:eastAsia="zh-CN"/>
                    </w:rPr>
                  </w:pPr>
                </w:p>
              </w:tc>
              <w:tc>
                <w:tcPr>
                  <w:tcW w:w="1210" w:type="pct"/>
                  <w:vMerge w:val="continue"/>
                  <w:tcBorders>
                    <w:tl2br w:val="nil"/>
                    <w:tr2bl w:val="nil"/>
                  </w:tcBorders>
                  <w:noWrap w:val="0"/>
                  <w:tcMar>
                    <w:top w:w="0" w:type="dxa"/>
                    <w:left w:w="0" w:type="dxa"/>
                    <w:bottom w:w="0" w:type="dxa"/>
                    <w:right w:w="0" w:type="dxa"/>
                  </w:tcMar>
                  <w:vAlign w:val="center"/>
                </w:tcPr>
                <w:p w14:paraId="567DD7D1">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highlight w:val="none"/>
                    </w:rPr>
                  </w:pPr>
                </w:p>
              </w:tc>
            </w:tr>
            <w:tr w14:paraId="7B34B3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66" w:type="pct"/>
                  <w:vMerge w:val="continue"/>
                  <w:tcBorders>
                    <w:tl2br w:val="nil"/>
                    <w:tr2bl w:val="nil"/>
                  </w:tcBorders>
                  <w:noWrap w:val="0"/>
                  <w:tcMar>
                    <w:top w:w="0" w:type="dxa"/>
                    <w:left w:w="0" w:type="dxa"/>
                    <w:bottom w:w="0" w:type="dxa"/>
                    <w:right w:w="0" w:type="dxa"/>
                  </w:tcMar>
                  <w:vAlign w:val="center"/>
                </w:tcPr>
                <w:p w14:paraId="72453588">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rPr>
                  </w:pPr>
                </w:p>
              </w:tc>
              <w:tc>
                <w:tcPr>
                  <w:tcW w:w="879" w:type="pct"/>
                  <w:tcBorders>
                    <w:tl2br w:val="nil"/>
                    <w:tr2bl w:val="nil"/>
                  </w:tcBorders>
                  <w:noWrap w:val="0"/>
                  <w:tcMar>
                    <w:top w:w="0" w:type="dxa"/>
                    <w:left w:w="0" w:type="dxa"/>
                    <w:bottom w:w="0" w:type="dxa"/>
                    <w:right w:w="0" w:type="dxa"/>
                  </w:tcMar>
                  <w:vAlign w:val="center"/>
                </w:tcPr>
                <w:p w14:paraId="79C0A24A">
                  <w:pPr>
                    <w:pStyle w:val="74"/>
                    <w:keepNext w:val="0"/>
                    <w:keepLines w:val="0"/>
                    <w:pageBreakBefore w:val="0"/>
                    <w:kinsoku/>
                    <w:wordWrap/>
                    <w:overflowPunct/>
                    <w:topLinePunct w:val="0"/>
                    <w:bidi w:val="0"/>
                    <w:spacing w:line="240" w:lineRule="auto"/>
                    <w:textAlignment w:val="auto"/>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移动破碎机工序</w:t>
                  </w:r>
                </w:p>
              </w:tc>
              <w:tc>
                <w:tcPr>
                  <w:tcW w:w="780" w:type="pct"/>
                  <w:tcBorders>
                    <w:tl2br w:val="nil"/>
                    <w:tr2bl w:val="nil"/>
                  </w:tcBorders>
                  <w:noWrap w:val="0"/>
                  <w:tcMar>
                    <w:top w:w="0" w:type="dxa"/>
                    <w:left w:w="0" w:type="dxa"/>
                    <w:bottom w:w="0" w:type="dxa"/>
                    <w:right w:w="0" w:type="dxa"/>
                  </w:tcMar>
                  <w:vAlign w:val="center"/>
                </w:tcPr>
                <w:p w14:paraId="5726CD9A">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kern w:val="0"/>
                      <w:sz w:val="21"/>
                      <w:szCs w:val="21"/>
                      <w:lang w:val="zh-CN" w:eastAsia="zh-CN" w:bidi="zh-CN"/>
                    </w:rPr>
                  </w:pPr>
                  <w:r>
                    <w:rPr>
                      <w:rFonts w:hint="default" w:ascii="Times New Roman" w:hAnsi="Times New Roman" w:eastAsia="宋体" w:cs="Times New Roman"/>
                      <w:color w:val="auto"/>
                      <w:sz w:val="21"/>
                      <w:szCs w:val="21"/>
                      <w:lang w:eastAsia="zh-CN"/>
                    </w:rPr>
                    <w:t>颗粒物</w:t>
                  </w:r>
                </w:p>
              </w:tc>
              <w:tc>
                <w:tcPr>
                  <w:tcW w:w="560" w:type="pct"/>
                  <w:tcBorders>
                    <w:tl2br w:val="nil"/>
                    <w:tr2bl w:val="nil"/>
                  </w:tcBorders>
                  <w:noWrap w:val="0"/>
                  <w:tcMar>
                    <w:top w:w="0" w:type="dxa"/>
                    <w:left w:w="0" w:type="dxa"/>
                    <w:bottom w:w="0" w:type="dxa"/>
                    <w:right w:w="0" w:type="dxa"/>
                  </w:tcMar>
                  <w:vAlign w:val="center"/>
                </w:tcPr>
                <w:p w14:paraId="150A2699">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kern w:val="0"/>
                      <w:sz w:val="21"/>
                      <w:szCs w:val="21"/>
                      <w:lang w:val="zh-CN" w:eastAsia="zh-CN" w:bidi="zh-CN"/>
                    </w:rPr>
                  </w:pPr>
                  <w:r>
                    <w:rPr>
                      <w:rFonts w:hint="default" w:ascii="Times New Roman" w:hAnsi="Times New Roman" w:eastAsia="宋体" w:cs="Times New Roman"/>
                      <w:color w:val="auto"/>
                      <w:sz w:val="21"/>
                      <w:szCs w:val="21"/>
                    </w:rPr>
                    <w:t>间断</w:t>
                  </w:r>
                </w:p>
              </w:tc>
              <w:tc>
                <w:tcPr>
                  <w:tcW w:w="1203" w:type="pct"/>
                  <w:tcBorders>
                    <w:tl2br w:val="nil"/>
                    <w:tr2bl w:val="nil"/>
                  </w:tcBorders>
                  <w:noWrap w:val="0"/>
                  <w:tcMar>
                    <w:top w:w="0" w:type="dxa"/>
                    <w:left w:w="0" w:type="dxa"/>
                    <w:bottom w:w="0" w:type="dxa"/>
                    <w:right w:w="0" w:type="dxa"/>
                  </w:tcMar>
                  <w:vAlign w:val="center"/>
                </w:tcPr>
                <w:p w14:paraId="57E95289">
                  <w:pPr>
                    <w:keepNext w:val="0"/>
                    <w:keepLines w:val="0"/>
                    <w:pageBreakBefore w:val="0"/>
                    <w:widowControl/>
                    <w:suppressLineNumbers w:val="0"/>
                    <w:kinsoku/>
                    <w:wordWrap/>
                    <w:overflowPunct/>
                    <w:topLinePunct w:val="0"/>
                    <w:bidi w:val="0"/>
                    <w:spacing w:line="240" w:lineRule="auto"/>
                    <w:jc w:val="left"/>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eastAsia="zh-CN"/>
                    </w:rPr>
                    <w:t>入料口及出料口设置万向臂集气罩</w:t>
                  </w:r>
                  <w:r>
                    <w:rPr>
                      <w:rFonts w:hint="eastAsia" w:cs="Times New Roman"/>
                      <w:color w:val="auto"/>
                      <w:sz w:val="21"/>
                      <w:szCs w:val="21"/>
                      <w:highlight w:val="none"/>
                      <w:lang w:eastAsia="zh-CN"/>
                    </w:rPr>
                    <w:t>。</w:t>
                  </w:r>
                </w:p>
              </w:tc>
              <w:tc>
                <w:tcPr>
                  <w:tcW w:w="1210" w:type="pct"/>
                  <w:tcBorders>
                    <w:tl2br w:val="nil"/>
                    <w:tr2bl w:val="nil"/>
                  </w:tcBorders>
                  <w:noWrap w:val="0"/>
                  <w:tcMar>
                    <w:top w:w="0" w:type="dxa"/>
                    <w:left w:w="0" w:type="dxa"/>
                    <w:bottom w:w="0" w:type="dxa"/>
                    <w:right w:w="0" w:type="dxa"/>
                  </w:tcMar>
                  <w:vAlign w:val="center"/>
                </w:tcPr>
                <w:p w14:paraId="7BFE72F1">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highlight w:val="none"/>
                    </w:rPr>
                  </w:pPr>
                  <w:r>
                    <w:rPr>
                      <w:rFonts w:hint="eastAsia" w:cs="Times New Roman"/>
                      <w:b w:val="0"/>
                      <w:bCs w:val="0"/>
                      <w:color w:val="000000"/>
                      <w:kern w:val="0"/>
                      <w:sz w:val="21"/>
                      <w:szCs w:val="21"/>
                      <w:highlight w:val="none"/>
                      <w:vertAlign w:val="baseline"/>
                      <w:lang w:val="en-US" w:eastAsia="zh-CN" w:bidi="ar"/>
                    </w:rPr>
                    <w:t>脉冲式布</w:t>
                  </w:r>
                  <w:r>
                    <w:rPr>
                      <w:rFonts w:hint="default" w:ascii="Times New Roman" w:hAnsi="Times New Roman" w:cs="Times New Roman"/>
                      <w:b w:val="0"/>
                      <w:bCs w:val="0"/>
                      <w:color w:val="000000"/>
                      <w:kern w:val="0"/>
                      <w:sz w:val="21"/>
                      <w:szCs w:val="21"/>
                      <w:highlight w:val="none"/>
                      <w:vertAlign w:val="baseline"/>
                      <w:lang w:val="en-US" w:eastAsia="zh-CN" w:bidi="ar"/>
                    </w:rPr>
                    <w:t>袋除尘器</w:t>
                  </w:r>
                  <w:r>
                    <w:rPr>
                      <w:rFonts w:hint="default" w:ascii="Times New Roman" w:hAnsi="Times New Roman" w:eastAsia="宋体" w:cs="Times New Roman"/>
                      <w:color w:val="auto"/>
                      <w:sz w:val="21"/>
                      <w:szCs w:val="21"/>
                      <w:highlight w:val="none"/>
                      <w:lang w:eastAsia="zh-CN"/>
                    </w:rPr>
                    <w:t>（风机风量</w:t>
                  </w:r>
                  <w:r>
                    <w:rPr>
                      <w:rFonts w:hint="default" w:ascii="Times New Roman" w:hAnsi="Times New Roman" w:cs="Times New Roman"/>
                      <w:color w:val="auto"/>
                      <w:sz w:val="21"/>
                      <w:szCs w:val="21"/>
                      <w:highlight w:val="none"/>
                      <w:lang w:val="en-US" w:eastAsia="zh-CN"/>
                    </w:rPr>
                    <w:t>55000</w:t>
                  </w:r>
                  <w:r>
                    <w:rPr>
                      <w:rFonts w:hint="default" w:ascii="Times New Roman" w:hAnsi="Times New Roman" w:eastAsia="宋体" w:cs="Times New Roman"/>
                      <w:color w:val="auto"/>
                      <w:sz w:val="21"/>
                      <w:szCs w:val="21"/>
                      <w:highlight w:val="none"/>
                      <w:lang w:val="en-US" w:eastAsia="zh-CN"/>
                    </w:rPr>
                    <w:t>m</w:t>
                  </w:r>
                  <w:r>
                    <w:rPr>
                      <w:rFonts w:hint="default" w:ascii="Times New Roman" w:hAnsi="Times New Roman" w:eastAsia="宋体" w:cs="Times New Roman"/>
                      <w:color w:val="auto"/>
                      <w:sz w:val="21"/>
                      <w:szCs w:val="21"/>
                      <w:highlight w:val="none"/>
                      <w:vertAlign w:val="superscript"/>
                      <w:lang w:val="en-US" w:eastAsia="zh-CN"/>
                    </w:rPr>
                    <w:t>3</w:t>
                  </w:r>
                  <w:r>
                    <w:rPr>
                      <w:rFonts w:hint="default" w:ascii="Times New Roman" w:hAnsi="Times New Roman" w:eastAsia="宋体" w:cs="Times New Roman"/>
                      <w:color w:val="auto"/>
                      <w:sz w:val="21"/>
                      <w:szCs w:val="21"/>
                      <w:highlight w:val="none"/>
                      <w:lang w:val="en-US" w:eastAsia="zh-CN"/>
                    </w:rPr>
                    <w:t>/h</w:t>
                  </w:r>
                  <w:r>
                    <w:rPr>
                      <w:rFonts w:hint="default" w:ascii="Times New Roman" w:hAnsi="Times New Roman" w:eastAsia="宋体" w:cs="Times New Roman"/>
                      <w:color w:val="auto"/>
                      <w:sz w:val="21"/>
                      <w:szCs w:val="21"/>
                      <w:highlight w:val="none"/>
                      <w:lang w:eastAsia="zh-CN"/>
                    </w:rPr>
                    <w:t>）</w:t>
                  </w:r>
                  <w:r>
                    <w:rPr>
                      <w:rFonts w:hint="default" w:ascii="Times New Roman" w:hAnsi="Times New Roman" w:cs="Times New Roman"/>
                      <w:color w:val="auto"/>
                      <w:sz w:val="21"/>
                      <w:szCs w:val="21"/>
                      <w:highlight w:val="none"/>
                      <w:lang w:val="en-US" w:eastAsia="zh-CN"/>
                    </w:rPr>
                    <w:t>+25</w:t>
                  </w:r>
                  <w:r>
                    <w:rPr>
                      <w:rFonts w:hint="default" w:ascii="Times New Roman" w:hAnsi="Times New Roman" w:eastAsia="宋体" w:cs="Times New Roman"/>
                      <w:color w:val="auto"/>
                      <w:sz w:val="21"/>
                      <w:szCs w:val="21"/>
                      <w:highlight w:val="none"/>
                      <w:lang w:eastAsia="zh-CN"/>
                    </w:rPr>
                    <w:t>米高排气筒（</w:t>
                  </w:r>
                  <w:r>
                    <w:rPr>
                      <w:rFonts w:hint="eastAsia" w:ascii="Times New Roman" w:hAnsi="Times New Roman" w:eastAsia="宋体" w:cs="Times New Roman"/>
                      <w:color w:val="auto"/>
                      <w:sz w:val="21"/>
                      <w:szCs w:val="21"/>
                      <w:highlight w:val="none"/>
                      <w:lang w:val="en-US" w:eastAsia="zh-CN"/>
                    </w:rPr>
                    <w:t>DA00</w:t>
                  </w:r>
                  <w:r>
                    <w:rPr>
                      <w:rFonts w:hint="eastAsia" w:ascii="Times New Roman" w:hAnsi="Times New Roman" w:cs="Times New Roman"/>
                      <w:color w:val="auto"/>
                      <w:sz w:val="21"/>
                      <w:szCs w:val="21"/>
                      <w:highlight w:val="none"/>
                      <w:lang w:val="en-US" w:eastAsia="zh-CN"/>
                    </w:rPr>
                    <w:t>2</w:t>
                  </w:r>
                  <w:r>
                    <w:rPr>
                      <w:rFonts w:hint="default" w:ascii="Times New Roman" w:hAnsi="Times New Roman" w:eastAsia="宋体" w:cs="Times New Roman"/>
                      <w:color w:val="auto"/>
                      <w:sz w:val="21"/>
                      <w:szCs w:val="21"/>
                      <w:highlight w:val="none"/>
                      <w:lang w:eastAsia="zh-CN"/>
                    </w:rPr>
                    <w:t>）</w:t>
                  </w:r>
                </w:p>
              </w:tc>
            </w:tr>
            <w:tr w14:paraId="5C1E2D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366" w:type="pct"/>
                  <w:vMerge w:val="continue"/>
                  <w:tcBorders>
                    <w:tl2br w:val="nil"/>
                    <w:tr2bl w:val="nil"/>
                  </w:tcBorders>
                  <w:noWrap w:val="0"/>
                  <w:tcMar>
                    <w:top w:w="0" w:type="dxa"/>
                    <w:left w:w="0" w:type="dxa"/>
                    <w:bottom w:w="0" w:type="dxa"/>
                    <w:right w:w="0" w:type="dxa"/>
                  </w:tcMar>
                  <w:vAlign w:val="center"/>
                </w:tcPr>
                <w:p w14:paraId="39CF13A7">
                  <w:pPr>
                    <w:pStyle w:val="74"/>
                    <w:keepNext w:val="0"/>
                    <w:keepLines w:val="0"/>
                    <w:pageBreakBefore w:val="0"/>
                    <w:kinsoku/>
                    <w:wordWrap/>
                    <w:overflowPunct/>
                    <w:topLinePunct w:val="0"/>
                    <w:bidi w:val="0"/>
                    <w:spacing w:line="240" w:lineRule="auto"/>
                    <w:textAlignment w:val="auto"/>
                    <w:rPr>
                      <w:rFonts w:hint="eastAsia" w:ascii="Times New Roman" w:hAnsi="Times New Roman" w:eastAsia="宋体" w:cs="Times New Roman"/>
                      <w:color w:val="auto"/>
                      <w:sz w:val="21"/>
                      <w:szCs w:val="21"/>
                      <w:lang w:eastAsia="zh-CN"/>
                    </w:rPr>
                  </w:pPr>
                </w:p>
              </w:tc>
              <w:tc>
                <w:tcPr>
                  <w:tcW w:w="879" w:type="pct"/>
                  <w:tcBorders>
                    <w:tl2br w:val="nil"/>
                    <w:tr2bl w:val="nil"/>
                  </w:tcBorders>
                  <w:noWrap w:val="0"/>
                  <w:tcMar>
                    <w:top w:w="0" w:type="dxa"/>
                    <w:left w:w="0" w:type="dxa"/>
                    <w:bottom w:w="0" w:type="dxa"/>
                    <w:right w:w="0" w:type="dxa"/>
                  </w:tcMar>
                  <w:vAlign w:val="center"/>
                </w:tcPr>
                <w:p w14:paraId="3A37B888">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原煤卸料</w:t>
                  </w:r>
                </w:p>
              </w:tc>
              <w:tc>
                <w:tcPr>
                  <w:tcW w:w="780" w:type="pct"/>
                  <w:tcBorders>
                    <w:tl2br w:val="nil"/>
                    <w:tr2bl w:val="nil"/>
                  </w:tcBorders>
                  <w:noWrap w:val="0"/>
                  <w:tcMar>
                    <w:top w:w="0" w:type="dxa"/>
                    <w:left w:w="0" w:type="dxa"/>
                    <w:bottom w:w="0" w:type="dxa"/>
                    <w:right w:w="0" w:type="dxa"/>
                  </w:tcMar>
                  <w:vAlign w:val="center"/>
                </w:tcPr>
                <w:p w14:paraId="188F6DC4">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颗粒物</w:t>
                  </w:r>
                </w:p>
              </w:tc>
              <w:tc>
                <w:tcPr>
                  <w:tcW w:w="560" w:type="pct"/>
                  <w:tcBorders>
                    <w:tl2br w:val="nil"/>
                    <w:tr2bl w:val="nil"/>
                  </w:tcBorders>
                  <w:noWrap w:val="0"/>
                  <w:tcMar>
                    <w:top w:w="0" w:type="dxa"/>
                    <w:left w:w="0" w:type="dxa"/>
                    <w:bottom w:w="0" w:type="dxa"/>
                    <w:right w:w="0" w:type="dxa"/>
                  </w:tcMar>
                  <w:vAlign w:val="center"/>
                </w:tcPr>
                <w:p w14:paraId="20F002B6">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间断</w:t>
                  </w:r>
                </w:p>
              </w:tc>
              <w:tc>
                <w:tcPr>
                  <w:tcW w:w="2414" w:type="pct"/>
                  <w:gridSpan w:val="2"/>
                  <w:vMerge w:val="restart"/>
                  <w:tcBorders>
                    <w:tl2br w:val="nil"/>
                    <w:tr2bl w:val="nil"/>
                  </w:tcBorders>
                  <w:noWrap w:val="0"/>
                  <w:tcMar>
                    <w:top w:w="0" w:type="dxa"/>
                    <w:left w:w="0" w:type="dxa"/>
                    <w:bottom w:w="0" w:type="dxa"/>
                    <w:right w:w="0" w:type="dxa"/>
                  </w:tcMar>
                  <w:vAlign w:val="center"/>
                </w:tcPr>
                <w:p w14:paraId="0342AD65">
                  <w:pPr>
                    <w:keepNext w:val="0"/>
                    <w:keepLines w:val="0"/>
                    <w:pageBreakBefore w:val="0"/>
                    <w:widowControl/>
                    <w:suppressLineNumbers w:val="0"/>
                    <w:kinsoku/>
                    <w:wordWrap/>
                    <w:overflowPunct/>
                    <w:topLinePunct w:val="0"/>
                    <w:bidi w:val="0"/>
                    <w:spacing w:line="240" w:lineRule="auto"/>
                    <w:jc w:val="left"/>
                    <w:textAlignment w:val="auto"/>
                    <w:rPr>
                      <w:rFonts w:hint="default" w:ascii="Times New Roman" w:hAnsi="Times New Roman" w:eastAsia="宋体" w:cs="Times New Roman"/>
                      <w:color w:val="auto"/>
                      <w:sz w:val="21"/>
                      <w:szCs w:val="21"/>
                      <w:highlight w:val="none"/>
                    </w:rPr>
                  </w:pPr>
                  <w:r>
                    <w:rPr>
                      <w:rFonts w:hint="eastAsia" w:ascii="Times New Roman" w:hAnsi="Times New Roman" w:eastAsia="宋体" w:cs="Times New Roman"/>
                      <w:color w:val="auto"/>
                      <w:sz w:val="21"/>
                      <w:szCs w:val="21"/>
                      <w:highlight w:val="none"/>
                      <w:lang w:eastAsia="zh-CN"/>
                    </w:rPr>
                    <w:t>储存于封闭</w:t>
                  </w:r>
                  <w:r>
                    <w:rPr>
                      <w:rFonts w:hint="eastAsia" w:cs="Times New Roman"/>
                      <w:color w:val="auto"/>
                      <w:sz w:val="21"/>
                      <w:szCs w:val="21"/>
                      <w:highlight w:val="none"/>
                      <w:lang w:eastAsia="zh-CN"/>
                    </w:rPr>
                    <w:t>厂房</w:t>
                  </w:r>
                  <w:r>
                    <w:rPr>
                      <w:rFonts w:hint="eastAsia" w:ascii="Times New Roman" w:hAnsi="Times New Roman" w:eastAsia="宋体" w:cs="Times New Roman"/>
                      <w:color w:val="auto"/>
                      <w:sz w:val="21"/>
                      <w:szCs w:val="21"/>
                      <w:highlight w:val="none"/>
                      <w:lang w:eastAsia="zh-CN"/>
                    </w:rPr>
                    <w:t>，</w:t>
                  </w:r>
                  <w:r>
                    <w:rPr>
                      <w:rFonts w:hint="eastAsia" w:cs="Times New Roman"/>
                      <w:color w:val="auto"/>
                      <w:sz w:val="21"/>
                      <w:szCs w:val="21"/>
                      <w:highlight w:val="none"/>
                      <w:lang w:eastAsia="zh-CN"/>
                    </w:rPr>
                    <w:t>且地面全部硬化，</w:t>
                  </w:r>
                  <w:r>
                    <w:rPr>
                      <w:rFonts w:hint="eastAsia" w:cs="Times New Roman"/>
                      <w:color w:val="auto"/>
                      <w:sz w:val="21"/>
                      <w:szCs w:val="21"/>
                      <w:highlight w:val="none"/>
                      <w:lang w:val="en-US" w:eastAsia="zh-CN"/>
                    </w:rPr>
                    <w:t>1#厂房设置自动感应门，厂房</w:t>
                  </w:r>
                  <w:r>
                    <w:rPr>
                      <w:rFonts w:hint="eastAsia" w:ascii="Times New Roman" w:hAnsi="Times New Roman" w:eastAsia="宋体" w:cs="Times New Roman"/>
                      <w:color w:val="auto"/>
                      <w:sz w:val="21"/>
                      <w:szCs w:val="21"/>
                      <w:highlight w:val="none"/>
                      <w:lang w:val="en-US" w:eastAsia="zh-CN"/>
                    </w:rPr>
                    <w:t>内设置喷淋装置</w:t>
                  </w:r>
                  <w:r>
                    <w:rPr>
                      <w:rFonts w:hint="eastAsia" w:cs="Times New Roman"/>
                      <w:color w:val="auto"/>
                      <w:sz w:val="21"/>
                      <w:szCs w:val="21"/>
                      <w:highlight w:val="none"/>
                      <w:lang w:val="en-US" w:eastAsia="zh-CN"/>
                    </w:rPr>
                    <w:t>，门口设置简易车轮清洗装置。</w:t>
                  </w:r>
                </w:p>
              </w:tc>
            </w:tr>
            <w:tr w14:paraId="667069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366" w:type="pct"/>
                  <w:vMerge w:val="continue"/>
                  <w:tcBorders>
                    <w:tl2br w:val="nil"/>
                    <w:tr2bl w:val="nil"/>
                  </w:tcBorders>
                  <w:noWrap w:val="0"/>
                  <w:tcMar>
                    <w:top w:w="0" w:type="dxa"/>
                    <w:left w:w="0" w:type="dxa"/>
                    <w:bottom w:w="0" w:type="dxa"/>
                    <w:right w:w="0" w:type="dxa"/>
                  </w:tcMar>
                  <w:vAlign w:val="center"/>
                </w:tcPr>
                <w:p w14:paraId="047F8665">
                  <w:pPr>
                    <w:pStyle w:val="74"/>
                    <w:keepNext w:val="0"/>
                    <w:keepLines w:val="0"/>
                    <w:pageBreakBefore w:val="0"/>
                    <w:kinsoku/>
                    <w:wordWrap/>
                    <w:overflowPunct/>
                    <w:topLinePunct w:val="0"/>
                    <w:bidi w:val="0"/>
                    <w:spacing w:line="240" w:lineRule="auto"/>
                    <w:textAlignment w:val="auto"/>
                    <w:rPr>
                      <w:rFonts w:hint="eastAsia" w:ascii="Times New Roman" w:hAnsi="Times New Roman" w:eastAsia="宋体" w:cs="Times New Roman"/>
                      <w:color w:val="auto"/>
                      <w:sz w:val="21"/>
                      <w:szCs w:val="21"/>
                      <w:lang w:eastAsia="zh-CN"/>
                    </w:rPr>
                  </w:pPr>
                </w:p>
              </w:tc>
              <w:tc>
                <w:tcPr>
                  <w:tcW w:w="879" w:type="pct"/>
                  <w:tcBorders>
                    <w:tl2br w:val="nil"/>
                    <w:tr2bl w:val="nil"/>
                  </w:tcBorders>
                  <w:noWrap w:val="0"/>
                  <w:tcMar>
                    <w:top w:w="0" w:type="dxa"/>
                    <w:left w:w="0" w:type="dxa"/>
                    <w:bottom w:w="0" w:type="dxa"/>
                    <w:right w:w="0" w:type="dxa"/>
                  </w:tcMar>
                  <w:vAlign w:val="center"/>
                </w:tcPr>
                <w:p w14:paraId="6C41C9D0">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铲车装车</w:t>
                  </w:r>
                </w:p>
              </w:tc>
              <w:tc>
                <w:tcPr>
                  <w:tcW w:w="780" w:type="pct"/>
                  <w:tcBorders>
                    <w:tl2br w:val="nil"/>
                    <w:tr2bl w:val="nil"/>
                  </w:tcBorders>
                  <w:noWrap w:val="0"/>
                  <w:tcMar>
                    <w:top w:w="0" w:type="dxa"/>
                    <w:left w:w="0" w:type="dxa"/>
                    <w:bottom w:w="0" w:type="dxa"/>
                    <w:right w:w="0" w:type="dxa"/>
                  </w:tcMar>
                  <w:vAlign w:val="center"/>
                </w:tcPr>
                <w:p w14:paraId="47573884">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颗粒物</w:t>
                  </w:r>
                </w:p>
              </w:tc>
              <w:tc>
                <w:tcPr>
                  <w:tcW w:w="560" w:type="pct"/>
                  <w:tcBorders>
                    <w:tl2br w:val="nil"/>
                    <w:tr2bl w:val="nil"/>
                  </w:tcBorders>
                  <w:noWrap w:val="0"/>
                  <w:tcMar>
                    <w:top w:w="0" w:type="dxa"/>
                    <w:left w:w="0" w:type="dxa"/>
                    <w:bottom w:w="0" w:type="dxa"/>
                    <w:right w:w="0" w:type="dxa"/>
                  </w:tcMar>
                  <w:vAlign w:val="center"/>
                </w:tcPr>
                <w:p w14:paraId="0D83E544">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间断</w:t>
                  </w:r>
                </w:p>
              </w:tc>
              <w:tc>
                <w:tcPr>
                  <w:tcW w:w="2414" w:type="pct"/>
                  <w:gridSpan w:val="2"/>
                  <w:vMerge w:val="continue"/>
                  <w:tcBorders>
                    <w:tl2br w:val="nil"/>
                    <w:tr2bl w:val="nil"/>
                  </w:tcBorders>
                  <w:noWrap w:val="0"/>
                  <w:tcMar>
                    <w:top w:w="0" w:type="dxa"/>
                    <w:left w:w="0" w:type="dxa"/>
                    <w:bottom w:w="0" w:type="dxa"/>
                    <w:right w:w="0" w:type="dxa"/>
                  </w:tcMar>
                  <w:vAlign w:val="center"/>
                </w:tcPr>
                <w:p w14:paraId="6B3298A2">
                  <w:pPr>
                    <w:keepNext w:val="0"/>
                    <w:keepLines w:val="0"/>
                    <w:pageBreakBefore w:val="0"/>
                    <w:widowControl/>
                    <w:suppressLineNumbers w:val="0"/>
                    <w:kinsoku/>
                    <w:wordWrap/>
                    <w:overflowPunct/>
                    <w:topLinePunct w:val="0"/>
                    <w:bidi w:val="0"/>
                    <w:spacing w:line="240" w:lineRule="auto"/>
                    <w:jc w:val="left"/>
                    <w:textAlignment w:val="auto"/>
                    <w:rPr>
                      <w:rFonts w:hint="default" w:ascii="Times New Roman" w:hAnsi="Times New Roman" w:eastAsia="宋体" w:cs="Times New Roman"/>
                      <w:color w:val="auto"/>
                      <w:sz w:val="21"/>
                      <w:szCs w:val="21"/>
                      <w:highlight w:val="none"/>
                      <w:lang w:eastAsia="zh-CN"/>
                    </w:rPr>
                  </w:pPr>
                </w:p>
              </w:tc>
            </w:tr>
            <w:tr w14:paraId="6AC6A7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366" w:type="pct"/>
                  <w:vMerge w:val="continue"/>
                  <w:tcBorders>
                    <w:tl2br w:val="nil"/>
                    <w:tr2bl w:val="nil"/>
                  </w:tcBorders>
                  <w:noWrap w:val="0"/>
                  <w:tcMar>
                    <w:top w:w="0" w:type="dxa"/>
                    <w:left w:w="0" w:type="dxa"/>
                    <w:bottom w:w="0" w:type="dxa"/>
                    <w:right w:w="0" w:type="dxa"/>
                  </w:tcMar>
                  <w:vAlign w:val="center"/>
                </w:tcPr>
                <w:p w14:paraId="6C551522">
                  <w:pPr>
                    <w:pStyle w:val="74"/>
                    <w:keepNext w:val="0"/>
                    <w:keepLines w:val="0"/>
                    <w:pageBreakBefore w:val="0"/>
                    <w:kinsoku/>
                    <w:wordWrap/>
                    <w:overflowPunct/>
                    <w:topLinePunct w:val="0"/>
                    <w:bidi w:val="0"/>
                    <w:spacing w:line="240" w:lineRule="auto"/>
                    <w:textAlignment w:val="auto"/>
                    <w:rPr>
                      <w:rFonts w:hint="eastAsia" w:ascii="Times New Roman" w:hAnsi="Times New Roman" w:eastAsia="宋体" w:cs="Times New Roman"/>
                      <w:color w:val="auto"/>
                      <w:sz w:val="21"/>
                      <w:szCs w:val="21"/>
                      <w:lang w:eastAsia="zh-CN"/>
                    </w:rPr>
                  </w:pPr>
                </w:p>
              </w:tc>
              <w:tc>
                <w:tcPr>
                  <w:tcW w:w="879" w:type="pct"/>
                  <w:tcBorders>
                    <w:tl2br w:val="nil"/>
                    <w:tr2bl w:val="nil"/>
                  </w:tcBorders>
                  <w:noWrap w:val="0"/>
                  <w:tcMar>
                    <w:top w:w="0" w:type="dxa"/>
                    <w:left w:w="0" w:type="dxa"/>
                    <w:bottom w:w="0" w:type="dxa"/>
                    <w:right w:w="0" w:type="dxa"/>
                  </w:tcMar>
                  <w:vAlign w:val="center"/>
                </w:tcPr>
                <w:p w14:paraId="14FF44CF">
                  <w:pPr>
                    <w:pStyle w:val="74"/>
                    <w:keepNext w:val="0"/>
                    <w:keepLines w:val="0"/>
                    <w:pageBreakBefore w:val="0"/>
                    <w:kinsoku/>
                    <w:wordWrap/>
                    <w:overflowPunct/>
                    <w:topLinePunct w:val="0"/>
                    <w:bidi w:val="0"/>
                    <w:spacing w:line="240" w:lineRule="auto"/>
                    <w:textAlignment w:val="auto"/>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食堂</w:t>
                  </w:r>
                </w:p>
              </w:tc>
              <w:tc>
                <w:tcPr>
                  <w:tcW w:w="780" w:type="pct"/>
                  <w:tcBorders>
                    <w:tl2br w:val="nil"/>
                    <w:tr2bl w:val="nil"/>
                  </w:tcBorders>
                  <w:noWrap w:val="0"/>
                  <w:tcMar>
                    <w:top w:w="0" w:type="dxa"/>
                    <w:left w:w="0" w:type="dxa"/>
                    <w:bottom w:w="0" w:type="dxa"/>
                    <w:right w:w="0" w:type="dxa"/>
                  </w:tcMar>
                  <w:vAlign w:val="center"/>
                </w:tcPr>
                <w:p w14:paraId="65765485">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油烟</w:t>
                  </w:r>
                </w:p>
              </w:tc>
              <w:tc>
                <w:tcPr>
                  <w:tcW w:w="560" w:type="pct"/>
                  <w:tcBorders>
                    <w:tl2br w:val="nil"/>
                    <w:tr2bl w:val="nil"/>
                  </w:tcBorders>
                  <w:noWrap w:val="0"/>
                  <w:tcMar>
                    <w:top w:w="0" w:type="dxa"/>
                    <w:left w:w="0" w:type="dxa"/>
                    <w:bottom w:w="0" w:type="dxa"/>
                    <w:right w:w="0" w:type="dxa"/>
                  </w:tcMar>
                  <w:vAlign w:val="center"/>
                </w:tcPr>
                <w:p w14:paraId="4F7E1A65">
                  <w:pPr>
                    <w:pStyle w:val="74"/>
                    <w:keepNext w:val="0"/>
                    <w:keepLines w:val="0"/>
                    <w:pageBreakBefore w:val="0"/>
                    <w:kinsoku/>
                    <w:wordWrap/>
                    <w:overflowPunct/>
                    <w:topLinePunct w:val="0"/>
                    <w:bidi w:val="0"/>
                    <w:spacing w:line="240" w:lineRule="auto"/>
                    <w:textAlignment w:val="auto"/>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间断</w:t>
                  </w:r>
                </w:p>
              </w:tc>
              <w:tc>
                <w:tcPr>
                  <w:tcW w:w="2414" w:type="pct"/>
                  <w:gridSpan w:val="2"/>
                  <w:tcBorders>
                    <w:tl2br w:val="nil"/>
                    <w:tr2bl w:val="nil"/>
                  </w:tcBorders>
                  <w:noWrap w:val="0"/>
                  <w:tcMar>
                    <w:top w:w="0" w:type="dxa"/>
                    <w:left w:w="0" w:type="dxa"/>
                    <w:bottom w:w="0" w:type="dxa"/>
                    <w:right w:w="0" w:type="dxa"/>
                  </w:tcMar>
                  <w:vAlign w:val="center"/>
                </w:tcPr>
                <w:p w14:paraId="59E370B1">
                  <w:pPr>
                    <w:keepNext w:val="0"/>
                    <w:keepLines w:val="0"/>
                    <w:pageBreakBefore w:val="0"/>
                    <w:widowControl/>
                    <w:suppressLineNumbers w:val="0"/>
                    <w:kinsoku/>
                    <w:wordWrap/>
                    <w:overflowPunct/>
                    <w:topLinePunct w:val="0"/>
                    <w:bidi w:val="0"/>
                    <w:spacing w:line="240" w:lineRule="auto"/>
                    <w:jc w:val="left"/>
                    <w:textAlignment w:val="auto"/>
                    <w:rPr>
                      <w:rFonts w:hint="default" w:ascii="Times New Roman" w:hAnsi="Times New Roman" w:eastAsia="宋体" w:cs="Times New Roman"/>
                      <w:color w:val="auto"/>
                      <w:sz w:val="21"/>
                      <w:szCs w:val="21"/>
                      <w:highlight w:val="none"/>
                      <w:lang w:eastAsia="zh-CN"/>
                    </w:rPr>
                  </w:pPr>
                  <w:r>
                    <w:rPr>
                      <w:sz w:val="21"/>
                      <w:szCs w:val="21"/>
                    </w:rPr>
                    <w:t>油烟净化器</w:t>
                  </w:r>
                  <w:r>
                    <w:rPr>
                      <w:rFonts w:hint="eastAsia" w:ascii="Times New Roman" w:hAnsi="Times New Roman" w:eastAsia="宋体" w:cs="Times New Roman"/>
                      <w:color w:val="auto"/>
                      <w:sz w:val="21"/>
                      <w:szCs w:val="21"/>
                      <w:highlight w:val="none"/>
                      <w:lang w:eastAsia="zh-CN"/>
                    </w:rPr>
                    <w:t>（风量</w:t>
                  </w:r>
                  <w:r>
                    <w:rPr>
                      <w:rFonts w:hint="eastAsia" w:cs="Times New Roman"/>
                      <w:color w:val="auto"/>
                      <w:sz w:val="21"/>
                      <w:szCs w:val="21"/>
                      <w:highlight w:val="none"/>
                      <w:lang w:val="en-US" w:eastAsia="zh-CN"/>
                    </w:rPr>
                    <w:t>4</w:t>
                  </w:r>
                  <w:r>
                    <w:rPr>
                      <w:rFonts w:hint="eastAsia" w:ascii="Times New Roman" w:hAnsi="Times New Roman" w:cs="Times New Roman"/>
                      <w:color w:val="auto"/>
                      <w:sz w:val="21"/>
                      <w:szCs w:val="21"/>
                      <w:highlight w:val="none"/>
                      <w:lang w:val="en-US" w:eastAsia="zh-CN"/>
                    </w:rPr>
                    <w:t>000</w:t>
                  </w:r>
                  <w:r>
                    <w:rPr>
                      <w:rFonts w:hint="eastAsia" w:ascii="Times New Roman" w:hAnsi="Times New Roman" w:eastAsia="宋体" w:cs="Times New Roman"/>
                      <w:color w:val="auto"/>
                      <w:sz w:val="21"/>
                      <w:szCs w:val="21"/>
                      <w:highlight w:val="none"/>
                      <w:lang w:val="en-US" w:eastAsia="zh-CN"/>
                    </w:rPr>
                    <w:t>m</w:t>
                  </w:r>
                  <w:r>
                    <w:rPr>
                      <w:rFonts w:hint="eastAsia" w:ascii="Times New Roman" w:hAnsi="Times New Roman" w:eastAsia="宋体" w:cs="Times New Roman"/>
                      <w:color w:val="auto"/>
                      <w:sz w:val="21"/>
                      <w:szCs w:val="21"/>
                      <w:highlight w:val="none"/>
                      <w:vertAlign w:val="superscript"/>
                      <w:lang w:val="en-US" w:eastAsia="zh-CN"/>
                    </w:rPr>
                    <w:t>3</w:t>
                  </w:r>
                  <w:r>
                    <w:rPr>
                      <w:rFonts w:hint="eastAsia" w:ascii="Times New Roman" w:hAnsi="Times New Roman" w:eastAsia="宋体" w:cs="Times New Roman"/>
                      <w:color w:val="auto"/>
                      <w:sz w:val="21"/>
                      <w:szCs w:val="21"/>
                      <w:highlight w:val="none"/>
                      <w:lang w:val="en-US" w:eastAsia="zh-CN"/>
                    </w:rPr>
                    <w:t>/h</w:t>
                  </w:r>
                  <w:r>
                    <w:rPr>
                      <w:rFonts w:hint="eastAsia" w:ascii="Times New Roman" w:hAnsi="Times New Roman" w:eastAsia="宋体" w:cs="Times New Roman"/>
                      <w:color w:val="auto"/>
                      <w:sz w:val="21"/>
                      <w:szCs w:val="21"/>
                      <w:highlight w:val="none"/>
                      <w:lang w:eastAsia="zh-CN"/>
                    </w:rPr>
                    <w:t>）</w:t>
                  </w:r>
                  <w:r>
                    <w:rPr>
                      <w:rFonts w:hint="eastAsia"/>
                      <w:sz w:val="21"/>
                      <w:szCs w:val="21"/>
                    </w:rPr>
                    <w:t>处理后专用烟道排放。</w:t>
                  </w:r>
                </w:p>
              </w:tc>
            </w:tr>
            <w:tr w14:paraId="43CEBB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366" w:type="pct"/>
                  <w:vMerge w:val="restart"/>
                  <w:tcBorders>
                    <w:tl2br w:val="nil"/>
                    <w:tr2bl w:val="nil"/>
                  </w:tcBorders>
                  <w:noWrap w:val="0"/>
                  <w:tcMar>
                    <w:top w:w="0" w:type="dxa"/>
                    <w:left w:w="0" w:type="dxa"/>
                    <w:bottom w:w="0" w:type="dxa"/>
                    <w:right w:w="0" w:type="dxa"/>
                  </w:tcMar>
                  <w:vAlign w:val="center"/>
                </w:tcPr>
                <w:p w14:paraId="09665FB4">
                  <w:pPr>
                    <w:pStyle w:val="74"/>
                    <w:keepNext w:val="0"/>
                    <w:keepLines w:val="0"/>
                    <w:pageBreakBefore w:val="0"/>
                    <w:kinsoku/>
                    <w:wordWrap/>
                    <w:overflowPunct/>
                    <w:topLinePunct w:val="0"/>
                    <w:bidi w:val="0"/>
                    <w:spacing w:line="240" w:lineRule="auto"/>
                    <w:textAlignment w:val="auto"/>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废水</w:t>
                  </w:r>
                </w:p>
              </w:tc>
              <w:tc>
                <w:tcPr>
                  <w:tcW w:w="879" w:type="pct"/>
                  <w:tcBorders>
                    <w:tl2br w:val="nil"/>
                    <w:tr2bl w:val="nil"/>
                  </w:tcBorders>
                  <w:noWrap w:val="0"/>
                  <w:tcMar>
                    <w:top w:w="0" w:type="dxa"/>
                    <w:left w:w="0" w:type="dxa"/>
                    <w:bottom w:w="0" w:type="dxa"/>
                    <w:right w:w="0" w:type="dxa"/>
                  </w:tcMar>
                  <w:vAlign w:val="center"/>
                </w:tcPr>
                <w:p w14:paraId="6B4DC2E8">
                  <w:pPr>
                    <w:pStyle w:val="74"/>
                    <w:keepNext w:val="0"/>
                    <w:keepLines w:val="0"/>
                    <w:pageBreakBefore w:val="0"/>
                    <w:kinsoku/>
                    <w:wordWrap/>
                    <w:overflowPunct/>
                    <w:topLinePunct w:val="0"/>
                    <w:bidi w:val="0"/>
                    <w:spacing w:line="240" w:lineRule="auto"/>
                    <w:textAlignment w:val="auto"/>
                    <w:rPr>
                      <w:rFonts w:hint="eastAsia" w:ascii="Times New Roman" w:hAnsi="Times New Roman"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配煤压滤废水</w:t>
                  </w:r>
                </w:p>
              </w:tc>
              <w:tc>
                <w:tcPr>
                  <w:tcW w:w="780" w:type="pct"/>
                  <w:tcBorders>
                    <w:tl2br w:val="nil"/>
                    <w:tr2bl w:val="nil"/>
                  </w:tcBorders>
                  <w:noWrap w:val="0"/>
                  <w:tcMar>
                    <w:top w:w="0" w:type="dxa"/>
                    <w:left w:w="0" w:type="dxa"/>
                    <w:bottom w:w="0" w:type="dxa"/>
                    <w:right w:w="0" w:type="dxa"/>
                  </w:tcMar>
                  <w:vAlign w:val="center"/>
                </w:tcPr>
                <w:p w14:paraId="22122241">
                  <w:pPr>
                    <w:pStyle w:val="74"/>
                    <w:keepNext w:val="0"/>
                    <w:keepLines w:val="0"/>
                    <w:pageBreakBefore w:val="0"/>
                    <w:kinsoku/>
                    <w:wordWrap/>
                    <w:overflowPunct/>
                    <w:topLinePunct w:val="0"/>
                    <w:bidi w:val="0"/>
                    <w:spacing w:line="240" w:lineRule="auto"/>
                    <w:textAlignment w:val="auto"/>
                    <w:rPr>
                      <w:rFonts w:hint="eastAsia" w:ascii="Times New Roman" w:hAnsi="Times New Roman" w:eastAsia="宋体" w:cs="Times New Roman"/>
                      <w:color w:val="auto"/>
                      <w:kern w:val="0"/>
                      <w:sz w:val="21"/>
                      <w:szCs w:val="21"/>
                      <w:highlight w:val="none"/>
                      <w:lang w:val="en-US" w:eastAsia="zh-CN" w:bidi="zh-CN"/>
                    </w:rPr>
                  </w:pPr>
                  <w:r>
                    <w:rPr>
                      <w:rFonts w:hint="eastAsia" w:ascii="Times New Roman" w:hAnsi="Times New Roman" w:eastAsia="宋体" w:cs="Times New Roman"/>
                      <w:color w:val="auto"/>
                      <w:sz w:val="21"/>
                      <w:szCs w:val="21"/>
                      <w:highlight w:val="none"/>
                      <w:lang w:val="en-US" w:eastAsia="zh-CN"/>
                    </w:rPr>
                    <w:t>SS等</w:t>
                  </w:r>
                </w:p>
              </w:tc>
              <w:tc>
                <w:tcPr>
                  <w:tcW w:w="560" w:type="pct"/>
                  <w:tcBorders>
                    <w:tl2br w:val="nil"/>
                    <w:tr2bl w:val="nil"/>
                  </w:tcBorders>
                  <w:noWrap w:val="0"/>
                  <w:tcMar>
                    <w:top w:w="0" w:type="dxa"/>
                    <w:left w:w="0" w:type="dxa"/>
                    <w:bottom w:w="0" w:type="dxa"/>
                    <w:right w:w="0" w:type="dxa"/>
                  </w:tcMar>
                  <w:vAlign w:val="center"/>
                </w:tcPr>
                <w:p w14:paraId="0342819D">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kern w:val="0"/>
                      <w:sz w:val="21"/>
                      <w:szCs w:val="21"/>
                      <w:highlight w:val="none"/>
                      <w:lang w:val="en-US" w:eastAsia="zh-CN" w:bidi="zh-CN"/>
                    </w:rPr>
                  </w:pPr>
                  <w:r>
                    <w:rPr>
                      <w:rFonts w:hint="default" w:ascii="Times New Roman" w:hAnsi="Times New Roman" w:eastAsia="宋体" w:cs="Times New Roman"/>
                      <w:color w:val="auto"/>
                      <w:sz w:val="21"/>
                      <w:szCs w:val="21"/>
                      <w:highlight w:val="none"/>
                      <w:lang w:eastAsia="zh-CN"/>
                    </w:rPr>
                    <w:t>间断</w:t>
                  </w:r>
                </w:p>
              </w:tc>
              <w:tc>
                <w:tcPr>
                  <w:tcW w:w="2414" w:type="pct"/>
                  <w:gridSpan w:val="2"/>
                  <w:tcBorders>
                    <w:tl2br w:val="nil"/>
                    <w:tr2bl w:val="nil"/>
                  </w:tcBorders>
                  <w:noWrap w:val="0"/>
                  <w:tcMar>
                    <w:top w:w="0" w:type="dxa"/>
                    <w:left w:w="0" w:type="dxa"/>
                    <w:bottom w:w="0" w:type="dxa"/>
                    <w:right w:w="0" w:type="dxa"/>
                  </w:tcMar>
                  <w:vAlign w:val="center"/>
                </w:tcPr>
                <w:p w14:paraId="3572AE92">
                  <w:pPr>
                    <w:pStyle w:val="74"/>
                    <w:keepNext w:val="0"/>
                    <w:keepLines w:val="0"/>
                    <w:pageBreakBefore w:val="0"/>
                    <w:kinsoku/>
                    <w:wordWrap/>
                    <w:overflowPunct/>
                    <w:topLinePunct w:val="0"/>
                    <w:bidi w:val="0"/>
                    <w:spacing w:line="240" w:lineRule="auto"/>
                    <w:jc w:val="left"/>
                    <w:textAlignment w:val="auto"/>
                    <w:rPr>
                      <w:rFonts w:hint="default" w:ascii="Times New Roman" w:hAnsi="Times New Roman"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部分原煤消耗，部分</w:t>
                  </w:r>
                  <w:r>
                    <w:rPr>
                      <w:rFonts w:hint="eastAsia" w:ascii="Times New Roman" w:hAnsi="Times New Roman" w:eastAsia="宋体" w:cs="Times New Roman"/>
                      <w:color w:val="auto"/>
                      <w:sz w:val="21"/>
                      <w:szCs w:val="21"/>
                      <w:highlight w:val="none"/>
                      <w:lang w:val="en-US" w:eastAsia="zh-CN"/>
                    </w:rPr>
                    <w:t>进入</w:t>
                  </w:r>
                  <w:r>
                    <w:rPr>
                      <w:rFonts w:hint="eastAsia" w:ascii="Times New Roman" w:hAnsi="Times New Roman" w:cs="Times New Roman"/>
                      <w:color w:val="auto"/>
                      <w:sz w:val="21"/>
                      <w:szCs w:val="21"/>
                      <w:highlight w:val="none"/>
                      <w:lang w:val="en-US" w:eastAsia="zh-CN"/>
                    </w:rPr>
                    <w:t>清水池</w:t>
                  </w:r>
                  <w:r>
                    <w:rPr>
                      <w:rFonts w:hint="eastAsia" w:ascii="Times New Roman" w:hAnsi="Times New Roman" w:eastAsia="宋体" w:cs="Times New Roman"/>
                      <w:color w:val="auto"/>
                      <w:sz w:val="21"/>
                      <w:szCs w:val="21"/>
                      <w:highlight w:val="none"/>
                      <w:lang w:val="en-US" w:eastAsia="zh-CN"/>
                    </w:rPr>
                    <w:t>沉淀后回用于生产，不外排</w:t>
                  </w:r>
                  <w:r>
                    <w:rPr>
                      <w:rFonts w:hint="eastAsia" w:ascii="Times New Roman" w:hAnsi="Times New Roman" w:cs="Times New Roman"/>
                      <w:color w:val="auto"/>
                      <w:sz w:val="21"/>
                      <w:szCs w:val="21"/>
                      <w:highlight w:val="none"/>
                      <w:lang w:val="en-US" w:eastAsia="zh-CN"/>
                    </w:rPr>
                    <w:t>。</w:t>
                  </w:r>
                </w:p>
              </w:tc>
            </w:tr>
            <w:tr w14:paraId="619393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trPr>
              <w:tc>
                <w:tcPr>
                  <w:tcW w:w="366" w:type="pct"/>
                  <w:vMerge w:val="continue"/>
                  <w:tcBorders>
                    <w:tl2br w:val="nil"/>
                    <w:tr2bl w:val="nil"/>
                  </w:tcBorders>
                  <w:noWrap w:val="0"/>
                  <w:tcMar>
                    <w:top w:w="0" w:type="dxa"/>
                    <w:left w:w="0" w:type="dxa"/>
                    <w:bottom w:w="0" w:type="dxa"/>
                    <w:right w:w="0" w:type="dxa"/>
                  </w:tcMar>
                  <w:vAlign w:val="center"/>
                </w:tcPr>
                <w:p w14:paraId="036D1836">
                  <w:pPr>
                    <w:pStyle w:val="74"/>
                    <w:keepNext w:val="0"/>
                    <w:keepLines w:val="0"/>
                    <w:pageBreakBefore w:val="0"/>
                    <w:kinsoku/>
                    <w:wordWrap/>
                    <w:overflowPunct/>
                    <w:topLinePunct w:val="0"/>
                    <w:bidi w:val="0"/>
                    <w:spacing w:line="240" w:lineRule="auto"/>
                    <w:textAlignment w:val="auto"/>
                    <w:rPr>
                      <w:rFonts w:hint="eastAsia" w:ascii="Times New Roman" w:hAnsi="Times New Roman" w:eastAsia="宋体" w:cs="Times New Roman"/>
                      <w:color w:val="auto"/>
                      <w:sz w:val="21"/>
                      <w:szCs w:val="21"/>
                      <w:lang w:eastAsia="zh-CN"/>
                    </w:rPr>
                  </w:pPr>
                </w:p>
              </w:tc>
              <w:tc>
                <w:tcPr>
                  <w:tcW w:w="879" w:type="pct"/>
                  <w:tcBorders>
                    <w:tl2br w:val="nil"/>
                    <w:tr2bl w:val="nil"/>
                  </w:tcBorders>
                  <w:noWrap w:val="0"/>
                  <w:tcMar>
                    <w:top w:w="0" w:type="dxa"/>
                    <w:left w:w="0" w:type="dxa"/>
                    <w:bottom w:w="0" w:type="dxa"/>
                    <w:right w:w="0" w:type="dxa"/>
                  </w:tcMar>
                  <w:vAlign w:val="center"/>
                </w:tcPr>
                <w:p w14:paraId="06C717F2">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车辆冲洗废水</w:t>
                  </w:r>
                </w:p>
              </w:tc>
              <w:tc>
                <w:tcPr>
                  <w:tcW w:w="780" w:type="pct"/>
                  <w:tcBorders>
                    <w:tl2br w:val="nil"/>
                    <w:tr2bl w:val="nil"/>
                  </w:tcBorders>
                  <w:noWrap w:val="0"/>
                  <w:tcMar>
                    <w:top w:w="0" w:type="dxa"/>
                    <w:left w:w="0" w:type="dxa"/>
                    <w:bottom w:w="0" w:type="dxa"/>
                    <w:right w:w="0" w:type="dxa"/>
                  </w:tcMar>
                  <w:vAlign w:val="center"/>
                </w:tcPr>
                <w:p w14:paraId="7067CF46">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SS等</w:t>
                  </w:r>
                </w:p>
              </w:tc>
              <w:tc>
                <w:tcPr>
                  <w:tcW w:w="560" w:type="pct"/>
                  <w:tcBorders>
                    <w:tl2br w:val="nil"/>
                    <w:tr2bl w:val="nil"/>
                  </w:tcBorders>
                  <w:noWrap w:val="0"/>
                  <w:tcMar>
                    <w:top w:w="0" w:type="dxa"/>
                    <w:left w:w="0" w:type="dxa"/>
                    <w:bottom w:w="0" w:type="dxa"/>
                    <w:right w:w="0" w:type="dxa"/>
                  </w:tcMar>
                  <w:vAlign w:val="center"/>
                </w:tcPr>
                <w:p w14:paraId="619524B8">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eastAsia="zh-CN"/>
                    </w:rPr>
                    <w:t>间断</w:t>
                  </w:r>
                </w:p>
              </w:tc>
              <w:tc>
                <w:tcPr>
                  <w:tcW w:w="2414" w:type="pct"/>
                  <w:gridSpan w:val="2"/>
                  <w:tcBorders>
                    <w:tl2br w:val="nil"/>
                    <w:tr2bl w:val="nil"/>
                  </w:tcBorders>
                  <w:noWrap w:val="0"/>
                  <w:tcMar>
                    <w:top w:w="0" w:type="dxa"/>
                    <w:left w:w="0" w:type="dxa"/>
                    <w:bottom w:w="0" w:type="dxa"/>
                    <w:right w:w="0" w:type="dxa"/>
                  </w:tcMar>
                  <w:vAlign w:val="center"/>
                </w:tcPr>
                <w:p w14:paraId="6099B944">
                  <w:pPr>
                    <w:pStyle w:val="74"/>
                    <w:keepNext w:val="0"/>
                    <w:keepLines w:val="0"/>
                    <w:pageBreakBefore w:val="0"/>
                    <w:kinsoku/>
                    <w:wordWrap/>
                    <w:overflowPunct/>
                    <w:topLinePunct w:val="0"/>
                    <w:bidi w:val="0"/>
                    <w:spacing w:line="240" w:lineRule="auto"/>
                    <w:jc w:val="left"/>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部分蒸发，部分</w:t>
                  </w:r>
                  <w:r>
                    <w:rPr>
                      <w:rFonts w:hint="eastAsia" w:ascii="Times New Roman" w:hAnsi="Times New Roman" w:eastAsia="宋体" w:cs="Times New Roman"/>
                      <w:color w:val="auto"/>
                      <w:sz w:val="21"/>
                      <w:szCs w:val="21"/>
                      <w:highlight w:val="none"/>
                      <w:lang w:val="en-US" w:eastAsia="zh-CN"/>
                    </w:rPr>
                    <w:t>进入</w:t>
                  </w:r>
                  <w:r>
                    <w:rPr>
                      <w:rFonts w:hint="eastAsia" w:ascii="Times New Roman" w:hAnsi="Times New Roman" w:cs="Times New Roman"/>
                      <w:color w:val="auto"/>
                      <w:sz w:val="21"/>
                      <w:szCs w:val="21"/>
                      <w:highlight w:val="none"/>
                      <w:lang w:val="en-US" w:eastAsia="zh-CN"/>
                    </w:rPr>
                    <w:t>沉淀池</w:t>
                  </w:r>
                  <w:r>
                    <w:rPr>
                      <w:rFonts w:hint="eastAsia" w:ascii="Times New Roman" w:hAnsi="Times New Roman" w:eastAsia="宋体" w:cs="Times New Roman"/>
                      <w:color w:val="auto"/>
                      <w:sz w:val="21"/>
                      <w:szCs w:val="21"/>
                      <w:highlight w:val="none"/>
                      <w:lang w:val="en-US" w:eastAsia="zh-CN"/>
                    </w:rPr>
                    <w:t>沉淀后回用于</w:t>
                  </w:r>
                  <w:r>
                    <w:rPr>
                      <w:rFonts w:hint="eastAsia" w:ascii="Times New Roman" w:hAnsi="Times New Roman" w:cs="Times New Roman"/>
                      <w:color w:val="auto"/>
                      <w:sz w:val="21"/>
                      <w:szCs w:val="21"/>
                      <w:highlight w:val="none"/>
                      <w:lang w:val="en-US" w:eastAsia="zh-CN"/>
                    </w:rPr>
                    <w:t>车辆清洗</w:t>
                  </w:r>
                  <w:r>
                    <w:rPr>
                      <w:rFonts w:hint="eastAsia" w:ascii="Times New Roman" w:hAnsi="Times New Roman" w:eastAsia="宋体" w:cs="Times New Roman"/>
                      <w:color w:val="auto"/>
                      <w:sz w:val="21"/>
                      <w:szCs w:val="21"/>
                      <w:highlight w:val="none"/>
                      <w:lang w:val="en-US" w:eastAsia="zh-CN"/>
                    </w:rPr>
                    <w:t>，不外排。</w:t>
                  </w:r>
                </w:p>
              </w:tc>
            </w:tr>
            <w:tr w14:paraId="17530F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366" w:type="pct"/>
                  <w:vMerge w:val="continue"/>
                  <w:tcBorders>
                    <w:tl2br w:val="nil"/>
                    <w:tr2bl w:val="nil"/>
                  </w:tcBorders>
                  <w:noWrap w:val="0"/>
                  <w:tcMar>
                    <w:top w:w="0" w:type="dxa"/>
                    <w:left w:w="0" w:type="dxa"/>
                    <w:bottom w:w="0" w:type="dxa"/>
                    <w:right w:w="0" w:type="dxa"/>
                  </w:tcMar>
                  <w:vAlign w:val="center"/>
                </w:tcPr>
                <w:p w14:paraId="53A7E335">
                  <w:pPr>
                    <w:pStyle w:val="74"/>
                    <w:keepNext w:val="0"/>
                    <w:keepLines w:val="0"/>
                    <w:pageBreakBefore w:val="0"/>
                    <w:kinsoku/>
                    <w:wordWrap/>
                    <w:overflowPunct/>
                    <w:topLinePunct w:val="0"/>
                    <w:bidi w:val="0"/>
                    <w:spacing w:line="240" w:lineRule="auto"/>
                    <w:textAlignment w:val="auto"/>
                    <w:rPr>
                      <w:rFonts w:hint="eastAsia" w:ascii="Times New Roman" w:hAnsi="Times New Roman" w:cs="Times New Roman"/>
                      <w:color w:val="auto"/>
                      <w:sz w:val="21"/>
                      <w:szCs w:val="21"/>
                      <w:lang w:eastAsia="zh-CN"/>
                    </w:rPr>
                  </w:pPr>
                </w:p>
              </w:tc>
              <w:tc>
                <w:tcPr>
                  <w:tcW w:w="879" w:type="pct"/>
                  <w:tcBorders>
                    <w:tl2br w:val="nil"/>
                    <w:tr2bl w:val="nil"/>
                  </w:tcBorders>
                  <w:noWrap w:val="0"/>
                  <w:tcMar>
                    <w:top w:w="0" w:type="dxa"/>
                    <w:left w:w="0" w:type="dxa"/>
                    <w:bottom w:w="0" w:type="dxa"/>
                    <w:right w:w="0" w:type="dxa"/>
                  </w:tcMar>
                  <w:vAlign w:val="center"/>
                </w:tcPr>
                <w:p w14:paraId="5ED9F85C">
                  <w:pPr>
                    <w:pStyle w:val="74"/>
                    <w:keepNext w:val="0"/>
                    <w:keepLines w:val="0"/>
                    <w:pageBreakBefore w:val="0"/>
                    <w:kinsoku/>
                    <w:wordWrap/>
                    <w:overflowPunct/>
                    <w:topLinePunct w:val="0"/>
                    <w:bidi w:val="0"/>
                    <w:spacing w:line="240" w:lineRule="auto"/>
                    <w:textAlignment w:val="auto"/>
                    <w:rPr>
                      <w:rFonts w:hint="eastAsia"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生活污水</w:t>
                  </w:r>
                </w:p>
              </w:tc>
              <w:tc>
                <w:tcPr>
                  <w:tcW w:w="780" w:type="pct"/>
                  <w:tcBorders>
                    <w:tl2br w:val="nil"/>
                    <w:tr2bl w:val="nil"/>
                  </w:tcBorders>
                  <w:noWrap w:val="0"/>
                  <w:tcMar>
                    <w:top w:w="0" w:type="dxa"/>
                    <w:left w:w="0" w:type="dxa"/>
                    <w:bottom w:w="0" w:type="dxa"/>
                    <w:right w:w="0" w:type="dxa"/>
                  </w:tcMar>
                  <w:vAlign w:val="center"/>
                </w:tcPr>
                <w:p w14:paraId="13687A9B">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SS等</w:t>
                  </w:r>
                </w:p>
              </w:tc>
              <w:tc>
                <w:tcPr>
                  <w:tcW w:w="560" w:type="pct"/>
                  <w:tcBorders>
                    <w:tl2br w:val="nil"/>
                    <w:tr2bl w:val="nil"/>
                  </w:tcBorders>
                  <w:noWrap w:val="0"/>
                  <w:tcMar>
                    <w:top w:w="0" w:type="dxa"/>
                    <w:left w:w="0" w:type="dxa"/>
                    <w:bottom w:w="0" w:type="dxa"/>
                    <w:right w:w="0" w:type="dxa"/>
                  </w:tcMar>
                  <w:vAlign w:val="center"/>
                </w:tcPr>
                <w:p w14:paraId="78F67E97">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eastAsia="zh-CN"/>
                    </w:rPr>
                    <w:t>间断</w:t>
                  </w:r>
                </w:p>
              </w:tc>
              <w:tc>
                <w:tcPr>
                  <w:tcW w:w="2414" w:type="pct"/>
                  <w:gridSpan w:val="2"/>
                  <w:tcBorders>
                    <w:tl2br w:val="nil"/>
                    <w:tr2bl w:val="nil"/>
                  </w:tcBorders>
                  <w:noWrap w:val="0"/>
                  <w:tcMar>
                    <w:top w:w="0" w:type="dxa"/>
                    <w:left w:w="0" w:type="dxa"/>
                    <w:bottom w:w="0" w:type="dxa"/>
                    <w:right w:w="0" w:type="dxa"/>
                  </w:tcMar>
                  <w:vAlign w:val="center"/>
                </w:tcPr>
                <w:p w14:paraId="0668AB49">
                  <w:pPr>
                    <w:keepNext w:val="0"/>
                    <w:keepLines w:val="0"/>
                    <w:pageBreakBefore w:val="0"/>
                    <w:widowControl/>
                    <w:suppressLineNumbers w:val="0"/>
                    <w:kinsoku/>
                    <w:wordWrap/>
                    <w:overflowPunct/>
                    <w:topLinePunct w:val="0"/>
                    <w:bidi w:val="0"/>
                    <w:spacing w:line="240" w:lineRule="auto"/>
                    <w:jc w:val="left"/>
                    <w:textAlignment w:val="auto"/>
                    <w:rPr>
                      <w:rFonts w:hint="eastAsia"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排入</w:t>
                  </w:r>
                  <w:r>
                    <w:rPr>
                      <w:rFonts w:hint="eastAsia"/>
                      <w:sz w:val="21"/>
                      <w:szCs w:val="21"/>
                      <w:lang w:eastAsia="zh-CN"/>
                    </w:rPr>
                    <w:t>市政</w:t>
                  </w:r>
                  <w:r>
                    <w:rPr>
                      <w:rFonts w:hint="eastAsia"/>
                      <w:sz w:val="21"/>
                      <w:szCs w:val="21"/>
                    </w:rPr>
                    <w:t>污水管网</w:t>
                  </w:r>
                  <w:r>
                    <w:rPr>
                      <w:rFonts w:hint="eastAsia"/>
                      <w:sz w:val="21"/>
                      <w:szCs w:val="21"/>
                      <w:lang w:eastAsia="zh-CN"/>
                    </w:rPr>
                    <w:t>。</w:t>
                  </w:r>
                </w:p>
              </w:tc>
            </w:tr>
            <w:tr w14:paraId="504737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366" w:type="pct"/>
                  <w:vMerge w:val="continue"/>
                  <w:tcBorders>
                    <w:tl2br w:val="nil"/>
                    <w:tr2bl w:val="nil"/>
                  </w:tcBorders>
                  <w:noWrap w:val="0"/>
                  <w:tcMar>
                    <w:top w:w="0" w:type="dxa"/>
                    <w:left w:w="0" w:type="dxa"/>
                    <w:bottom w:w="0" w:type="dxa"/>
                    <w:right w:w="0" w:type="dxa"/>
                  </w:tcMar>
                  <w:vAlign w:val="center"/>
                </w:tcPr>
                <w:p w14:paraId="68ADA719">
                  <w:pPr>
                    <w:pStyle w:val="74"/>
                    <w:keepNext w:val="0"/>
                    <w:keepLines w:val="0"/>
                    <w:pageBreakBefore w:val="0"/>
                    <w:kinsoku/>
                    <w:wordWrap/>
                    <w:overflowPunct/>
                    <w:topLinePunct w:val="0"/>
                    <w:bidi w:val="0"/>
                    <w:spacing w:line="240" w:lineRule="auto"/>
                    <w:textAlignment w:val="auto"/>
                    <w:rPr>
                      <w:rFonts w:hint="eastAsia" w:ascii="Times New Roman" w:hAnsi="Times New Roman" w:cs="Times New Roman"/>
                      <w:color w:val="auto"/>
                      <w:sz w:val="21"/>
                      <w:szCs w:val="21"/>
                      <w:lang w:eastAsia="zh-CN"/>
                    </w:rPr>
                  </w:pPr>
                </w:p>
              </w:tc>
              <w:tc>
                <w:tcPr>
                  <w:tcW w:w="879" w:type="pct"/>
                  <w:tcBorders>
                    <w:tl2br w:val="nil"/>
                    <w:tr2bl w:val="nil"/>
                  </w:tcBorders>
                  <w:noWrap w:val="0"/>
                  <w:tcMar>
                    <w:top w:w="0" w:type="dxa"/>
                    <w:left w:w="0" w:type="dxa"/>
                    <w:bottom w:w="0" w:type="dxa"/>
                    <w:right w:w="0" w:type="dxa"/>
                  </w:tcMar>
                  <w:vAlign w:val="center"/>
                </w:tcPr>
                <w:p w14:paraId="325E0E73">
                  <w:pPr>
                    <w:pStyle w:val="74"/>
                    <w:keepNext w:val="0"/>
                    <w:keepLines w:val="0"/>
                    <w:pageBreakBefore w:val="0"/>
                    <w:kinsoku/>
                    <w:wordWrap/>
                    <w:overflowPunct/>
                    <w:topLinePunct w:val="0"/>
                    <w:bidi w:val="0"/>
                    <w:spacing w:line="240" w:lineRule="auto"/>
                    <w:textAlignment w:val="auto"/>
                    <w:rPr>
                      <w:rFonts w:hint="eastAsia" w:ascii="Times New Roman" w:hAnsi="Times New Roman" w:eastAsia="宋体" w:cs="Times New Roman"/>
                      <w:color w:val="auto"/>
                      <w:sz w:val="21"/>
                      <w:szCs w:val="21"/>
                      <w:highlight w:val="none"/>
                      <w:lang w:val="en-US" w:eastAsia="zh-CN"/>
                    </w:rPr>
                  </w:pPr>
                  <w:r>
                    <w:rPr>
                      <w:rFonts w:hint="eastAsia"/>
                      <w:sz w:val="21"/>
                      <w:szCs w:val="21"/>
                    </w:rPr>
                    <w:t>食堂废水</w:t>
                  </w:r>
                </w:p>
              </w:tc>
              <w:tc>
                <w:tcPr>
                  <w:tcW w:w="780" w:type="pct"/>
                  <w:tcBorders>
                    <w:tl2br w:val="nil"/>
                    <w:tr2bl w:val="nil"/>
                  </w:tcBorders>
                  <w:noWrap w:val="0"/>
                  <w:tcMar>
                    <w:top w:w="0" w:type="dxa"/>
                    <w:left w:w="0" w:type="dxa"/>
                    <w:bottom w:w="0" w:type="dxa"/>
                    <w:right w:w="0" w:type="dxa"/>
                  </w:tcMar>
                  <w:vAlign w:val="center"/>
                </w:tcPr>
                <w:p w14:paraId="5F338B9A">
                  <w:pPr>
                    <w:pStyle w:val="74"/>
                    <w:keepNext w:val="0"/>
                    <w:keepLines w:val="0"/>
                    <w:pageBreakBefore w:val="0"/>
                    <w:kinsoku/>
                    <w:wordWrap/>
                    <w:overflowPunct/>
                    <w:topLinePunct w:val="0"/>
                    <w:bidi w:val="0"/>
                    <w:spacing w:line="240" w:lineRule="auto"/>
                    <w:textAlignment w:val="auto"/>
                    <w:rPr>
                      <w:rFonts w:hint="eastAsia"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SS等</w:t>
                  </w:r>
                </w:p>
              </w:tc>
              <w:tc>
                <w:tcPr>
                  <w:tcW w:w="560" w:type="pct"/>
                  <w:tcBorders>
                    <w:tl2br w:val="nil"/>
                    <w:tr2bl w:val="nil"/>
                  </w:tcBorders>
                  <w:noWrap w:val="0"/>
                  <w:tcMar>
                    <w:top w:w="0" w:type="dxa"/>
                    <w:left w:w="0" w:type="dxa"/>
                    <w:bottom w:w="0" w:type="dxa"/>
                    <w:right w:w="0" w:type="dxa"/>
                  </w:tcMar>
                  <w:vAlign w:val="center"/>
                </w:tcPr>
                <w:p w14:paraId="0270DC49">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间断</w:t>
                  </w:r>
                </w:p>
              </w:tc>
              <w:tc>
                <w:tcPr>
                  <w:tcW w:w="2414" w:type="pct"/>
                  <w:gridSpan w:val="2"/>
                  <w:tcBorders>
                    <w:tl2br w:val="nil"/>
                    <w:tr2bl w:val="nil"/>
                  </w:tcBorders>
                  <w:noWrap w:val="0"/>
                  <w:tcMar>
                    <w:top w:w="0" w:type="dxa"/>
                    <w:left w:w="0" w:type="dxa"/>
                    <w:bottom w:w="0" w:type="dxa"/>
                    <w:right w:w="0" w:type="dxa"/>
                  </w:tcMar>
                  <w:vAlign w:val="center"/>
                </w:tcPr>
                <w:p w14:paraId="1FDF48B6">
                  <w:pPr>
                    <w:keepNext w:val="0"/>
                    <w:keepLines w:val="0"/>
                    <w:pageBreakBefore w:val="0"/>
                    <w:widowControl/>
                    <w:suppressLineNumbers w:val="0"/>
                    <w:kinsoku/>
                    <w:wordWrap/>
                    <w:overflowPunct/>
                    <w:topLinePunct w:val="0"/>
                    <w:bidi w:val="0"/>
                    <w:spacing w:line="240" w:lineRule="auto"/>
                    <w:jc w:val="left"/>
                    <w:textAlignment w:val="auto"/>
                    <w:rPr>
                      <w:rFonts w:hint="eastAsia" w:ascii="Times New Roman" w:hAnsi="Times New Roman" w:eastAsia="宋体" w:cs="Times New Roman"/>
                      <w:color w:val="auto"/>
                      <w:sz w:val="21"/>
                      <w:szCs w:val="21"/>
                      <w:highlight w:val="none"/>
                      <w:lang w:val="en-US" w:eastAsia="zh-CN"/>
                    </w:rPr>
                  </w:pPr>
                  <w:r>
                    <w:rPr>
                      <w:sz w:val="21"/>
                      <w:szCs w:val="21"/>
                    </w:rPr>
                    <w:t>经</w:t>
                  </w:r>
                  <w:r>
                    <w:rPr>
                      <w:rFonts w:hint="eastAsia"/>
                      <w:sz w:val="21"/>
                      <w:szCs w:val="21"/>
                    </w:rPr>
                    <w:t>油水分离器处理后排入</w:t>
                  </w:r>
                  <w:r>
                    <w:rPr>
                      <w:rFonts w:hint="eastAsia"/>
                      <w:sz w:val="21"/>
                      <w:szCs w:val="21"/>
                      <w:lang w:eastAsia="zh-CN"/>
                    </w:rPr>
                    <w:t>市政</w:t>
                  </w:r>
                  <w:r>
                    <w:rPr>
                      <w:rFonts w:hint="eastAsia"/>
                      <w:sz w:val="21"/>
                      <w:szCs w:val="21"/>
                    </w:rPr>
                    <w:t>污水管网</w:t>
                  </w:r>
                  <w:r>
                    <w:rPr>
                      <w:rFonts w:hint="eastAsia"/>
                      <w:sz w:val="21"/>
                      <w:szCs w:val="21"/>
                      <w:lang w:eastAsia="zh-CN"/>
                    </w:rPr>
                    <w:t>。</w:t>
                  </w:r>
                </w:p>
              </w:tc>
            </w:tr>
            <w:tr w14:paraId="147ECD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366" w:type="pct"/>
                  <w:tcBorders>
                    <w:tl2br w:val="nil"/>
                    <w:tr2bl w:val="nil"/>
                  </w:tcBorders>
                  <w:noWrap w:val="0"/>
                  <w:tcMar>
                    <w:top w:w="0" w:type="dxa"/>
                    <w:left w:w="0" w:type="dxa"/>
                    <w:bottom w:w="0" w:type="dxa"/>
                    <w:right w:w="0" w:type="dxa"/>
                  </w:tcMar>
                  <w:vAlign w:val="center"/>
                </w:tcPr>
                <w:p w14:paraId="51D59B5A">
                  <w:pPr>
                    <w:pStyle w:val="74"/>
                    <w:keepNext w:val="0"/>
                    <w:keepLines w:val="0"/>
                    <w:pageBreakBefore w:val="0"/>
                    <w:kinsoku/>
                    <w:wordWrap/>
                    <w:overflowPunct/>
                    <w:topLinePunct w:val="0"/>
                    <w:bidi w:val="0"/>
                    <w:spacing w:line="240" w:lineRule="auto"/>
                    <w:textAlignment w:val="auto"/>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噪声</w:t>
                  </w:r>
                </w:p>
              </w:tc>
              <w:tc>
                <w:tcPr>
                  <w:tcW w:w="879" w:type="pct"/>
                  <w:tcBorders>
                    <w:tl2br w:val="nil"/>
                    <w:tr2bl w:val="nil"/>
                  </w:tcBorders>
                  <w:noWrap w:val="0"/>
                  <w:tcMar>
                    <w:top w:w="0" w:type="dxa"/>
                    <w:left w:w="0" w:type="dxa"/>
                    <w:bottom w:w="0" w:type="dxa"/>
                    <w:right w:w="0" w:type="dxa"/>
                  </w:tcMar>
                  <w:vAlign w:val="center"/>
                </w:tcPr>
                <w:p w14:paraId="7AE8B8D4">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生产设备、运输设备</w:t>
                  </w:r>
                </w:p>
              </w:tc>
              <w:tc>
                <w:tcPr>
                  <w:tcW w:w="780" w:type="pct"/>
                  <w:tcBorders>
                    <w:tl2br w:val="nil"/>
                    <w:tr2bl w:val="nil"/>
                  </w:tcBorders>
                  <w:noWrap w:val="0"/>
                  <w:tcMar>
                    <w:top w:w="0" w:type="dxa"/>
                    <w:left w:w="0" w:type="dxa"/>
                    <w:bottom w:w="0" w:type="dxa"/>
                    <w:right w:w="0" w:type="dxa"/>
                  </w:tcMar>
                  <w:vAlign w:val="center"/>
                </w:tcPr>
                <w:p w14:paraId="5A38C30B">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eastAsia="zh-CN"/>
                    </w:rPr>
                    <w:t>噪声</w:t>
                  </w:r>
                </w:p>
              </w:tc>
              <w:tc>
                <w:tcPr>
                  <w:tcW w:w="560" w:type="pct"/>
                  <w:tcBorders>
                    <w:tl2br w:val="nil"/>
                    <w:tr2bl w:val="nil"/>
                  </w:tcBorders>
                  <w:noWrap w:val="0"/>
                  <w:tcMar>
                    <w:top w:w="0" w:type="dxa"/>
                    <w:left w:w="0" w:type="dxa"/>
                    <w:bottom w:w="0" w:type="dxa"/>
                    <w:right w:w="0" w:type="dxa"/>
                  </w:tcMar>
                  <w:vAlign w:val="center"/>
                </w:tcPr>
                <w:p w14:paraId="079AED55">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间断</w:t>
                  </w:r>
                </w:p>
              </w:tc>
              <w:tc>
                <w:tcPr>
                  <w:tcW w:w="2414" w:type="pct"/>
                  <w:gridSpan w:val="2"/>
                  <w:tcBorders>
                    <w:tl2br w:val="nil"/>
                    <w:tr2bl w:val="nil"/>
                  </w:tcBorders>
                  <w:noWrap w:val="0"/>
                  <w:tcMar>
                    <w:top w:w="0" w:type="dxa"/>
                    <w:left w:w="0" w:type="dxa"/>
                    <w:bottom w:w="0" w:type="dxa"/>
                    <w:right w:w="0" w:type="dxa"/>
                  </w:tcMar>
                  <w:vAlign w:val="center"/>
                </w:tcPr>
                <w:p w14:paraId="0AD81666">
                  <w:pPr>
                    <w:keepNext w:val="0"/>
                    <w:keepLines w:val="0"/>
                    <w:pageBreakBefore w:val="0"/>
                    <w:widowControl/>
                    <w:suppressLineNumbers w:val="0"/>
                    <w:kinsoku/>
                    <w:wordWrap/>
                    <w:overflowPunct/>
                    <w:topLinePunct w:val="0"/>
                    <w:bidi w:val="0"/>
                    <w:spacing w:line="240" w:lineRule="auto"/>
                    <w:jc w:val="left"/>
                    <w:textAlignment w:val="auto"/>
                    <w:rPr>
                      <w:rFonts w:hint="default"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val="en-US" w:eastAsia="zh-CN"/>
                    </w:rPr>
                    <w:t>采用低噪声设备，</w:t>
                  </w:r>
                  <w:r>
                    <w:rPr>
                      <w:rFonts w:hint="eastAsia" w:ascii="Times New Roman" w:hAnsi="Times New Roman" w:eastAsia="宋体" w:cs="Times New Roman"/>
                      <w:color w:val="auto"/>
                      <w:sz w:val="21"/>
                      <w:szCs w:val="21"/>
                      <w:highlight w:val="none"/>
                      <w:lang w:val="en-US" w:eastAsia="zh-CN"/>
                    </w:rPr>
                    <w:t>置于封闭厂房内，基础减振。</w:t>
                  </w:r>
                </w:p>
              </w:tc>
            </w:tr>
            <w:tr w14:paraId="74A9EC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366" w:type="pct"/>
                  <w:vMerge w:val="restart"/>
                  <w:tcBorders>
                    <w:tl2br w:val="nil"/>
                    <w:tr2bl w:val="nil"/>
                  </w:tcBorders>
                  <w:noWrap w:val="0"/>
                  <w:tcMar>
                    <w:top w:w="0" w:type="dxa"/>
                    <w:left w:w="0" w:type="dxa"/>
                    <w:bottom w:w="0" w:type="dxa"/>
                    <w:right w:w="0" w:type="dxa"/>
                  </w:tcMar>
                  <w:vAlign w:val="center"/>
                </w:tcPr>
                <w:p w14:paraId="607FFC57">
                  <w:pPr>
                    <w:pStyle w:val="74"/>
                    <w:keepNext w:val="0"/>
                    <w:keepLines w:val="0"/>
                    <w:pageBreakBefore w:val="0"/>
                    <w:kinsoku/>
                    <w:wordWrap/>
                    <w:overflowPunct/>
                    <w:topLinePunct w:val="0"/>
                    <w:bidi w:val="0"/>
                    <w:spacing w:line="240" w:lineRule="auto"/>
                    <w:textAlignment w:val="auto"/>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固废</w:t>
                  </w:r>
                </w:p>
              </w:tc>
              <w:tc>
                <w:tcPr>
                  <w:tcW w:w="879" w:type="pct"/>
                  <w:vMerge w:val="restart"/>
                  <w:tcBorders>
                    <w:tl2br w:val="nil"/>
                    <w:tr2bl w:val="nil"/>
                  </w:tcBorders>
                  <w:noWrap w:val="0"/>
                  <w:tcMar>
                    <w:top w:w="0" w:type="dxa"/>
                    <w:left w:w="0" w:type="dxa"/>
                    <w:bottom w:w="0" w:type="dxa"/>
                    <w:right w:w="0" w:type="dxa"/>
                  </w:tcMar>
                  <w:vAlign w:val="center"/>
                </w:tcPr>
                <w:p w14:paraId="19084E3D">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kern w:val="0"/>
                      <w:sz w:val="21"/>
                      <w:szCs w:val="21"/>
                      <w:lang w:val="zh-CN" w:eastAsia="zh-CN" w:bidi="zh-CN"/>
                    </w:rPr>
                  </w:pPr>
                  <w:r>
                    <w:rPr>
                      <w:rFonts w:hint="eastAsia" w:ascii="Times New Roman" w:hAnsi="Times New Roman" w:eastAsia="宋体" w:cs="Times New Roman"/>
                      <w:color w:val="auto"/>
                      <w:kern w:val="0"/>
                      <w:sz w:val="21"/>
                      <w:szCs w:val="21"/>
                      <w:lang w:val="zh-CN" w:eastAsia="zh-CN" w:bidi="zh-CN"/>
                    </w:rPr>
                    <w:t>压缩机</w:t>
                  </w:r>
                </w:p>
              </w:tc>
              <w:tc>
                <w:tcPr>
                  <w:tcW w:w="780" w:type="pct"/>
                  <w:tcBorders>
                    <w:tl2br w:val="nil"/>
                    <w:tr2bl w:val="nil"/>
                  </w:tcBorders>
                  <w:noWrap w:val="0"/>
                  <w:tcMar>
                    <w:top w:w="0" w:type="dxa"/>
                    <w:left w:w="0" w:type="dxa"/>
                    <w:bottom w:w="0" w:type="dxa"/>
                    <w:right w:w="0" w:type="dxa"/>
                  </w:tcMar>
                  <w:vAlign w:val="center"/>
                </w:tcPr>
                <w:p w14:paraId="1EC94664">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kern w:val="0"/>
                      <w:sz w:val="21"/>
                      <w:szCs w:val="21"/>
                      <w:lang w:val="zh-CN" w:eastAsia="zh-CN" w:bidi="zh-CN"/>
                    </w:rPr>
                  </w:pPr>
                  <w:r>
                    <w:rPr>
                      <w:rFonts w:hint="eastAsia" w:ascii="Times New Roman" w:hAnsi="Times New Roman" w:eastAsia="宋体" w:cs="Times New Roman"/>
                      <w:color w:val="auto"/>
                      <w:sz w:val="21"/>
                      <w:szCs w:val="21"/>
                      <w:lang w:val="en-US" w:eastAsia="zh-CN"/>
                    </w:rPr>
                    <w:t>污泥（劣质煤）</w:t>
                  </w:r>
                </w:p>
              </w:tc>
              <w:tc>
                <w:tcPr>
                  <w:tcW w:w="560" w:type="pct"/>
                  <w:tcBorders>
                    <w:tl2br w:val="nil"/>
                    <w:tr2bl w:val="nil"/>
                  </w:tcBorders>
                  <w:noWrap w:val="0"/>
                  <w:tcMar>
                    <w:top w:w="0" w:type="dxa"/>
                    <w:left w:w="0" w:type="dxa"/>
                    <w:bottom w:w="0" w:type="dxa"/>
                    <w:right w:w="0" w:type="dxa"/>
                  </w:tcMar>
                  <w:vAlign w:val="center"/>
                </w:tcPr>
                <w:p w14:paraId="355FB9F2">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kern w:val="0"/>
                      <w:sz w:val="21"/>
                      <w:szCs w:val="21"/>
                      <w:lang w:val="zh-CN" w:eastAsia="zh-CN" w:bidi="zh-CN"/>
                    </w:rPr>
                  </w:pPr>
                  <w:r>
                    <w:rPr>
                      <w:rFonts w:hint="default" w:ascii="Times New Roman" w:hAnsi="Times New Roman" w:eastAsia="宋体" w:cs="Times New Roman"/>
                      <w:color w:val="auto"/>
                      <w:sz w:val="21"/>
                      <w:szCs w:val="21"/>
                    </w:rPr>
                    <w:t>间断</w:t>
                  </w:r>
                </w:p>
              </w:tc>
              <w:tc>
                <w:tcPr>
                  <w:tcW w:w="2414" w:type="pct"/>
                  <w:gridSpan w:val="2"/>
                  <w:tcBorders>
                    <w:tl2br w:val="nil"/>
                    <w:tr2bl w:val="nil"/>
                  </w:tcBorders>
                  <w:noWrap w:val="0"/>
                  <w:tcMar>
                    <w:top w:w="0" w:type="dxa"/>
                    <w:left w:w="0" w:type="dxa"/>
                    <w:bottom w:w="0" w:type="dxa"/>
                    <w:right w:w="0" w:type="dxa"/>
                  </w:tcMar>
                  <w:vAlign w:val="center"/>
                </w:tcPr>
                <w:p w14:paraId="32AACC3A">
                  <w:pPr>
                    <w:keepNext w:val="0"/>
                    <w:keepLines w:val="0"/>
                    <w:pageBreakBefore w:val="0"/>
                    <w:widowControl/>
                    <w:suppressLineNumbers w:val="0"/>
                    <w:kinsoku/>
                    <w:wordWrap/>
                    <w:overflowPunct/>
                    <w:topLinePunct w:val="0"/>
                    <w:bidi w:val="0"/>
                    <w:spacing w:line="240" w:lineRule="auto"/>
                    <w:jc w:val="left"/>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集中收集后外售。</w:t>
                  </w:r>
                </w:p>
              </w:tc>
            </w:tr>
            <w:tr w14:paraId="1AB8E8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366" w:type="pct"/>
                  <w:vMerge w:val="continue"/>
                  <w:tcBorders>
                    <w:tl2br w:val="nil"/>
                    <w:tr2bl w:val="nil"/>
                  </w:tcBorders>
                  <w:noWrap w:val="0"/>
                  <w:tcMar>
                    <w:top w:w="0" w:type="dxa"/>
                    <w:left w:w="0" w:type="dxa"/>
                    <w:bottom w:w="0" w:type="dxa"/>
                    <w:right w:w="0" w:type="dxa"/>
                  </w:tcMar>
                  <w:vAlign w:val="center"/>
                </w:tcPr>
                <w:p w14:paraId="53A9133D">
                  <w:pPr>
                    <w:pStyle w:val="74"/>
                    <w:keepNext w:val="0"/>
                    <w:keepLines w:val="0"/>
                    <w:pageBreakBefore w:val="0"/>
                    <w:kinsoku/>
                    <w:wordWrap/>
                    <w:overflowPunct/>
                    <w:topLinePunct w:val="0"/>
                    <w:bidi w:val="0"/>
                    <w:spacing w:line="240" w:lineRule="auto"/>
                    <w:textAlignment w:val="auto"/>
                    <w:rPr>
                      <w:rFonts w:hint="eastAsia" w:ascii="Times New Roman" w:hAnsi="Times New Roman" w:cs="Times New Roman"/>
                      <w:color w:val="auto"/>
                      <w:sz w:val="21"/>
                      <w:szCs w:val="21"/>
                      <w:lang w:eastAsia="zh-CN"/>
                    </w:rPr>
                  </w:pPr>
                </w:p>
              </w:tc>
              <w:tc>
                <w:tcPr>
                  <w:tcW w:w="879" w:type="pct"/>
                  <w:vMerge w:val="continue"/>
                  <w:tcBorders>
                    <w:tl2br w:val="nil"/>
                    <w:tr2bl w:val="nil"/>
                  </w:tcBorders>
                  <w:noWrap w:val="0"/>
                  <w:tcMar>
                    <w:top w:w="0" w:type="dxa"/>
                    <w:left w:w="0" w:type="dxa"/>
                    <w:bottom w:w="0" w:type="dxa"/>
                    <w:right w:w="0" w:type="dxa"/>
                  </w:tcMar>
                  <w:vAlign w:val="center"/>
                </w:tcPr>
                <w:p w14:paraId="731F24A0">
                  <w:pPr>
                    <w:pStyle w:val="74"/>
                    <w:keepNext w:val="0"/>
                    <w:keepLines w:val="0"/>
                    <w:pageBreakBefore w:val="0"/>
                    <w:kinsoku/>
                    <w:wordWrap/>
                    <w:overflowPunct/>
                    <w:topLinePunct w:val="0"/>
                    <w:bidi w:val="0"/>
                    <w:spacing w:line="240" w:lineRule="auto"/>
                    <w:textAlignment w:val="auto"/>
                    <w:rPr>
                      <w:rFonts w:hint="eastAsia" w:ascii="Times New Roman" w:hAnsi="Times New Roman" w:eastAsia="宋体" w:cs="Times New Roman"/>
                      <w:color w:val="auto"/>
                      <w:kern w:val="0"/>
                      <w:sz w:val="21"/>
                      <w:szCs w:val="21"/>
                      <w:lang w:val="zh-CN" w:eastAsia="zh-CN" w:bidi="zh-CN"/>
                    </w:rPr>
                  </w:pPr>
                </w:p>
              </w:tc>
              <w:tc>
                <w:tcPr>
                  <w:tcW w:w="780" w:type="pct"/>
                  <w:tcBorders>
                    <w:tl2br w:val="nil"/>
                    <w:tr2bl w:val="nil"/>
                  </w:tcBorders>
                  <w:noWrap w:val="0"/>
                  <w:tcMar>
                    <w:top w:w="0" w:type="dxa"/>
                    <w:left w:w="0" w:type="dxa"/>
                    <w:bottom w:w="0" w:type="dxa"/>
                    <w:right w:w="0" w:type="dxa"/>
                  </w:tcMar>
                  <w:vAlign w:val="center"/>
                </w:tcPr>
                <w:p w14:paraId="571A96AB">
                  <w:pPr>
                    <w:pStyle w:val="74"/>
                    <w:keepNext w:val="0"/>
                    <w:keepLines w:val="0"/>
                    <w:pageBreakBefore w:val="0"/>
                    <w:kinsoku/>
                    <w:wordWrap/>
                    <w:overflowPunct/>
                    <w:topLinePunct w:val="0"/>
                    <w:bidi w:val="0"/>
                    <w:spacing w:line="240" w:lineRule="auto"/>
                    <w:textAlignment w:val="auto"/>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废滤</w:t>
                  </w:r>
                  <w:r>
                    <w:rPr>
                      <w:rFonts w:hint="eastAsia" w:ascii="Times New Roman" w:hAnsi="Times New Roman" w:cs="Times New Roman"/>
                      <w:color w:val="auto"/>
                      <w:sz w:val="21"/>
                      <w:szCs w:val="21"/>
                      <w:lang w:val="en-US" w:eastAsia="zh-CN"/>
                    </w:rPr>
                    <w:t>布</w:t>
                  </w:r>
                </w:p>
              </w:tc>
              <w:tc>
                <w:tcPr>
                  <w:tcW w:w="560" w:type="pct"/>
                  <w:tcBorders>
                    <w:tl2br w:val="nil"/>
                    <w:tr2bl w:val="nil"/>
                  </w:tcBorders>
                  <w:noWrap w:val="0"/>
                  <w:tcMar>
                    <w:top w:w="0" w:type="dxa"/>
                    <w:left w:w="0" w:type="dxa"/>
                    <w:bottom w:w="0" w:type="dxa"/>
                    <w:right w:w="0" w:type="dxa"/>
                  </w:tcMar>
                  <w:vAlign w:val="center"/>
                </w:tcPr>
                <w:p w14:paraId="3BABBFBF">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间断</w:t>
                  </w:r>
                </w:p>
              </w:tc>
              <w:tc>
                <w:tcPr>
                  <w:tcW w:w="2414" w:type="pct"/>
                  <w:gridSpan w:val="2"/>
                  <w:tcBorders>
                    <w:tl2br w:val="nil"/>
                    <w:tr2bl w:val="nil"/>
                  </w:tcBorders>
                  <w:noWrap w:val="0"/>
                  <w:tcMar>
                    <w:top w:w="0" w:type="dxa"/>
                    <w:left w:w="0" w:type="dxa"/>
                    <w:bottom w:w="0" w:type="dxa"/>
                    <w:right w:w="0" w:type="dxa"/>
                  </w:tcMar>
                  <w:vAlign w:val="center"/>
                </w:tcPr>
                <w:p w14:paraId="6B0799B9">
                  <w:pPr>
                    <w:keepNext w:val="0"/>
                    <w:keepLines w:val="0"/>
                    <w:pageBreakBefore w:val="0"/>
                    <w:widowControl/>
                    <w:suppressLineNumbers w:val="0"/>
                    <w:kinsoku/>
                    <w:wordWrap/>
                    <w:overflowPunct/>
                    <w:topLinePunct w:val="0"/>
                    <w:bidi w:val="0"/>
                    <w:spacing w:line="240" w:lineRule="auto"/>
                    <w:jc w:val="left"/>
                    <w:textAlignment w:val="auto"/>
                    <w:rPr>
                      <w:rFonts w:hint="eastAsia"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集中收集后外售。</w:t>
                  </w:r>
                </w:p>
              </w:tc>
            </w:tr>
            <w:tr w14:paraId="53E0AF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366" w:type="pct"/>
                  <w:vMerge w:val="continue"/>
                  <w:tcBorders>
                    <w:tl2br w:val="nil"/>
                    <w:tr2bl w:val="nil"/>
                  </w:tcBorders>
                  <w:noWrap w:val="0"/>
                  <w:tcMar>
                    <w:top w:w="0" w:type="dxa"/>
                    <w:left w:w="0" w:type="dxa"/>
                    <w:bottom w:w="0" w:type="dxa"/>
                    <w:right w:w="0" w:type="dxa"/>
                  </w:tcMar>
                  <w:vAlign w:val="center"/>
                </w:tcPr>
                <w:p w14:paraId="20543E50">
                  <w:pPr>
                    <w:pStyle w:val="74"/>
                    <w:keepNext w:val="0"/>
                    <w:keepLines w:val="0"/>
                    <w:pageBreakBefore w:val="0"/>
                    <w:kinsoku/>
                    <w:wordWrap/>
                    <w:overflowPunct/>
                    <w:topLinePunct w:val="0"/>
                    <w:bidi w:val="0"/>
                    <w:spacing w:line="240" w:lineRule="auto"/>
                    <w:textAlignment w:val="auto"/>
                    <w:rPr>
                      <w:rFonts w:hint="eastAsia" w:ascii="Times New Roman" w:hAnsi="Times New Roman" w:cs="Times New Roman"/>
                      <w:color w:val="auto"/>
                      <w:sz w:val="21"/>
                      <w:szCs w:val="21"/>
                      <w:lang w:eastAsia="zh-CN"/>
                    </w:rPr>
                  </w:pPr>
                </w:p>
              </w:tc>
              <w:tc>
                <w:tcPr>
                  <w:tcW w:w="879" w:type="pct"/>
                  <w:tcBorders>
                    <w:tl2br w:val="nil"/>
                    <w:tr2bl w:val="nil"/>
                  </w:tcBorders>
                  <w:noWrap w:val="0"/>
                  <w:tcMar>
                    <w:top w:w="0" w:type="dxa"/>
                    <w:left w:w="0" w:type="dxa"/>
                    <w:bottom w:w="0" w:type="dxa"/>
                    <w:right w:w="0" w:type="dxa"/>
                  </w:tcMar>
                  <w:vAlign w:val="center"/>
                </w:tcPr>
                <w:p w14:paraId="43C92DB4">
                  <w:pPr>
                    <w:pStyle w:val="74"/>
                    <w:keepNext w:val="0"/>
                    <w:keepLines w:val="0"/>
                    <w:pageBreakBefore w:val="0"/>
                    <w:kinsoku/>
                    <w:wordWrap/>
                    <w:overflowPunct/>
                    <w:topLinePunct w:val="0"/>
                    <w:bidi w:val="0"/>
                    <w:spacing w:line="240" w:lineRule="auto"/>
                    <w:textAlignment w:val="auto"/>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洗车平台沉淀池污泥</w:t>
                  </w:r>
                </w:p>
              </w:tc>
              <w:tc>
                <w:tcPr>
                  <w:tcW w:w="780" w:type="pct"/>
                  <w:tcBorders>
                    <w:tl2br w:val="nil"/>
                    <w:tr2bl w:val="nil"/>
                  </w:tcBorders>
                  <w:noWrap w:val="0"/>
                  <w:tcMar>
                    <w:top w:w="0" w:type="dxa"/>
                    <w:left w:w="0" w:type="dxa"/>
                    <w:bottom w:w="0" w:type="dxa"/>
                    <w:right w:w="0" w:type="dxa"/>
                  </w:tcMar>
                  <w:vAlign w:val="center"/>
                </w:tcPr>
                <w:p w14:paraId="4B5FBDAE">
                  <w:pPr>
                    <w:pStyle w:val="74"/>
                    <w:keepNext w:val="0"/>
                    <w:keepLines w:val="0"/>
                    <w:pageBreakBefore w:val="0"/>
                    <w:kinsoku/>
                    <w:wordWrap/>
                    <w:overflowPunct/>
                    <w:topLinePunct w:val="0"/>
                    <w:bidi w:val="0"/>
                    <w:spacing w:line="240" w:lineRule="auto"/>
                    <w:textAlignment w:val="auto"/>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污泥</w:t>
                  </w:r>
                </w:p>
              </w:tc>
              <w:tc>
                <w:tcPr>
                  <w:tcW w:w="560" w:type="pct"/>
                  <w:tcBorders>
                    <w:tl2br w:val="nil"/>
                    <w:tr2bl w:val="nil"/>
                  </w:tcBorders>
                  <w:noWrap w:val="0"/>
                  <w:tcMar>
                    <w:top w:w="0" w:type="dxa"/>
                    <w:left w:w="0" w:type="dxa"/>
                    <w:bottom w:w="0" w:type="dxa"/>
                    <w:right w:w="0" w:type="dxa"/>
                  </w:tcMar>
                  <w:vAlign w:val="center"/>
                </w:tcPr>
                <w:p w14:paraId="3E02E9F6">
                  <w:pPr>
                    <w:pStyle w:val="74"/>
                    <w:keepNext w:val="0"/>
                    <w:keepLines w:val="0"/>
                    <w:pageBreakBefore w:val="0"/>
                    <w:kinsoku/>
                    <w:wordWrap/>
                    <w:overflowPunct/>
                    <w:topLinePunct w:val="0"/>
                    <w:bidi w:val="0"/>
                    <w:spacing w:line="240" w:lineRule="auto"/>
                    <w:textAlignment w:val="auto"/>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间断</w:t>
                  </w:r>
                </w:p>
              </w:tc>
              <w:tc>
                <w:tcPr>
                  <w:tcW w:w="2414" w:type="pct"/>
                  <w:gridSpan w:val="2"/>
                  <w:tcBorders>
                    <w:tl2br w:val="nil"/>
                    <w:tr2bl w:val="nil"/>
                  </w:tcBorders>
                  <w:noWrap w:val="0"/>
                  <w:tcMar>
                    <w:top w:w="0" w:type="dxa"/>
                    <w:left w:w="0" w:type="dxa"/>
                    <w:bottom w:w="0" w:type="dxa"/>
                    <w:right w:w="0" w:type="dxa"/>
                  </w:tcMar>
                  <w:vAlign w:val="center"/>
                </w:tcPr>
                <w:p w14:paraId="3E403DA9">
                  <w:pPr>
                    <w:keepNext w:val="0"/>
                    <w:keepLines w:val="0"/>
                    <w:pageBreakBefore w:val="0"/>
                    <w:widowControl/>
                    <w:suppressLineNumbers w:val="0"/>
                    <w:kinsoku/>
                    <w:wordWrap/>
                    <w:overflowPunct/>
                    <w:topLinePunct w:val="0"/>
                    <w:bidi w:val="0"/>
                    <w:spacing w:line="240" w:lineRule="auto"/>
                    <w:jc w:val="left"/>
                    <w:textAlignment w:val="auto"/>
                    <w:rPr>
                      <w:rFonts w:hint="eastAsia"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val="en-US" w:eastAsia="zh-CN"/>
                    </w:rPr>
                    <w:t>回用于生产。</w:t>
                  </w:r>
                </w:p>
              </w:tc>
            </w:tr>
            <w:tr w14:paraId="759711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366" w:type="pct"/>
                  <w:vMerge w:val="continue"/>
                  <w:tcBorders>
                    <w:tl2br w:val="nil"/>
                    <w:tr2bl w:val="nil"/>
                  </w:tcBorders>
                  <w:noWrap w:val="0"/>
                  <w:tcMar>
                    <w:top w:w="0" w:type="dxa"/>
                    <w:left w:w="0" w:type="dxa"/>
                    <w:bottom w:w="0" w:type="dxa"/>
                    <w:right w:w="0" w:type="dxa"/>
                  </w:tcMar>
                  <w:vAlign w:val="center"/>
                </w:tcPr>
                <w:p w14:paraId="4EDB5FBD">
                  <w:pPr>
                    <w:pStyle w:val="74"/>
                    <w:keepNext w:val="0"/>
                    <w:keepLines w:val="0"/>
                    <w:pageBreakBefore w:val="0"/>
                    <w:kinsoku/>
                    <w:wordWrap/>
                    <w:overflowPunct/>
                    <w:topLinePunct w:val="0"/>
                    <w:bidi w:val="0"/>
                    <w:spacing w:line="240" w:lineRule="auto"/>
                    <w:textAlignment w:val="auto"/>
                    <w:rPr>
                      <w:rFonts w:hint="eastAsia" w:ascii="Times New Roman" w:hAnsi="Times New Roman" w:cs="Times New Roman"/>
                      <w:color w:val="auto"/>
                      <w:sz w:val="21"/>
                      <w:szCs w:val="21"/>
                      <w:lang w:eastAsia="zh-CN"/>
                    </w:rPr>
                  </w:pPr>
                </w:p>
              </w:tc>
              <w:tc>
                <w:tcPr>
                  <w:tcW w:w="879" w:type="pct"/>
                  <w:tcBorders>
                    <w:tl2br w:val="nil"/>
                    <w:tr2bl w:val="nil"/>
                  </w:tcBorders>
                  <w:noWrap w:val="0"/>
                  <w:tcMar>
                    <w:top w:w="0" w:type="dxa"/>
                    <w:left w:w="0" w:type="dxa"/>
                    <w:bottom w:w="0" w:type="dxa"/>
                    <w:right w:w="0" w:type="dxa"/>
                  </w:tcMar>
                  <w:vAlign w:val="center"/>
                </w:tcPr>
                <w:p w14:paraId="1B2048C1">
                  <w:pPr>
                    <w:pStyle w:val="74"/>
                    <w:keepNext w:val="0"/>
                    <w:keepLines w:val="0"/>
                    <w:pageBreakBefore w:val="0"/>
                    <w:kinsoku/>
                    <w:wordWrap/>
                    <w:overflowPunct/>
                    <w:topLinePunct w:val="0"/>
                    <w:bidi w:val="0"/>
                    <w:spacing w:line="240" w:lineRule="auto"/>
                    <w:textAlignment w:val="auto"/>
                    <w:rPr>
                      <w:rFonts w:hint="eastAsia" w:ascii="Times New Roman" w:hAnsi="Times New Roman" w:eastAsia="宋体" w:cs="Times New Roman"/>
                      <w:color w:val="auto"/>
                      <w:kern w:val="0"/>
                      <w:sz w:val="21"/>
                      <w:szCs w:val="21"/>
                      <w:lang w:val="zh-CN" w:eastAsia="zh-CN" w:bidi="zh-CN"/>
                    </w:rPr>
                  </w:pPr>
                  <w:r>
                    <w:rPr>
                      <w:rFonts w:hint="eastAsia"/>
                      <w:lang w:eastAsia="zh-CN"/>
                    </w:rPr>
                    <w:t>初期</w:t>
                  </w:r>
                  <w:r>
                    <w:rPr>
                      <w:rFonts w:hint="eastAsia" w:ascii="Times New Roman" w:hAnsi="Times New Roman" w:cs="Times New Roman"/>
                      <w:color w:val="auto"/>
                      <w:sz w:val="21"/>
                      <w:szCs w:val="21"/>
                      <w:lang w:eastAsia="zh-CN"/>
                    </w:rPr>
                    <w:t>雨水沉淀池及排水沟</w:t>
                  </w:r>
                </w:p>
              </w:tc>
              <w:tc>
                <w:tcPr>
                  <w:tcW w:w="780" w:type="pct"/>
                  <w:tcBorders>
                    <w:tl2br w:val="nil"/>
                    <w:tr2bl w:val="nil"/>
                  </w:tcBorders>
                  <w:noWrap w:val="0"/>
                  <w:tcMar>
                    <w:top w:w="0" w:type="dxa"/>
                    <w:left w:w="0" w:type="dxa"/>
                    <w:bottom w:w="0" w:type="dxa"/>
                    <w:right w:w="0" w:type="dxa"/>
                  </w:tcMar>
                  <w:vAlign w:val="center"/>
                </w:tcPr>
                <w:p w14:paraId="59756284">
                  <w:pPr>
                    <w:pStyle w:val="74"/>
                    <w:keepNext w:val="0"/>
                    <w:keepLines w:val="0"/>
                    <w:pageBreakBefore w:val="0"/>
                    <w:kinsoku/>
                    <w:wordWrap/>
                    <w:overflowPunct/>
                    <w:topLinePunct w:val="0"/>
                    <w:bidi w:val="0"/>
                    <w:spacing w:line="240" w:lineRule="auto"/>
                    <w:textAlignment w:val="auto"/>
                    <w:rPr>
                      <w:rFonts w:hint="eastAsia" w:ascii="Times New Roman" w:hAnsi="Times New Roman" w:eastAsia="宋体" w:cs="Times New Roman"/>
                      <w:color w:val="auto"/>
                      <w:kern w:val="0"/>
                      <w:sz w:val="21"/>
                      <w:szCs w:val="21"/>
                      <w:lang w:val="en-US" w:eastAsia="zh-CN" w:bidi="zh-CN"/>
                    </w:rPr>
                  </w:pPr>
                  <w:r>
                    <w:rPr>
                      <w:rFonts w:hint="eastAsia" w:ascii="Times New Roman" w:hAnsi="Times New Roman" w:eastAsia="宋体" w:cs="Times New Roman"/>
                      <w:color w:val="auto"/>
                      <w:sz w:val="21"/>
                      <w:szCs w:val="21"/>
                      <w:lang w:val="en-US" w:eastAsia="zh-CN"/>
                    </w:rPr>
                    <w:t>污泥</w:t>
                  </w:r>
                </w:p>
              </w:tc>
              <w:tc>
                <w:tcPr>
                  <w:tcW w:w="560" w:type="pct"/>
                  <w:tcBorders>
                    <w:tl2br w:val="nil"/>
                    <w:tr2bl w:val="nil"/>
                  </w:tcBorders>
                  <w:noWrap w:val="0"/>
                  <w:tcMar>
                    <w:top w:w="0" w:type="dxa"/>
                    <w:left w:w="0" w:type="dxa"/>
                    <w:bottom w:w="0" w:type="dxa"/>
                    <w:right w:w="0" w:type="dxa"/>
                  </w:tcMar>
                  <w:vAlign w:val="center"/>
                </w:tcPr>
                <w:p w14:paraId="31FB207A">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kern w:val="0"/>
                      <w:sz w:val="21"/>
                      <w:szCs w:val="21"/>
                      <w:lang w:val="zh-CN" w:eastAsia="zh-CN" w:bidi="zh-CN"/>
                    </w:rPr>
                  </w:pPr>
                  <w:r>
                    <w:rPr>
                      <w:rFonts w:hint="default" w:ascii="Times New Roman" w:hAnsi="Times New Roman" w:eastAsia="宋体" w:cs="Times New Roman"/>
                      <w:color w:val="auto"/>
                      <w:sz w:val="21"/>
                      <w:szCs w:val="21"/>
                    </w:rPr>
                    <w:t>间断</w:t>
                  </w:r>
                </w:p>
              </w:tc>
              <w:tc>
                <w:tcPr>
                  <w:tcW w:w="2414" w:type="pct"/>
                  <w:gridSpan w:val="2"/>
                  <w:tcBorders>
                    <w:tl2br w:val="nil"/>
                    <w:tr2bl w:val="nil"/>
                  </w:tcBorders>
                  <w:noWrap w:val="0"/>
                  <w:tcMar>
                    <w:top w:w="0" w:type="dxa"/>
                    <w:left w:w="0" w:type="dxa"/>
                    <w:bottom w:w="0" w:type="dxa"/>
                    <w:right w:w="0" w:type="dxa"/>
                  </w:tcMar>
                  <w:vAlign w:val="center"/>
                </w:tcPr>
                <w:p w14:paraId="568D4B6E">
                  <w:pPr>
                    <w:keepNext w:val="0"/>
                    <w:keepLines w:val="0"/>
                    <w:pageBreakBefore w:val="0"/>
                    <w:widowControl/>
                    <w:suppressLineNumbers w:val="0"/>
                    <w:kinsoku/>
                    <w:wordWrap/>
                    <w:overflowPunct/>
                    <w:topLinePunct w:val="0"/>
                    <w:bidi w:val="0"/>
                    <w:spacing w:line="240" w:lineRule="auto"/>
                    <w:jc w:val="left"/>
                    <w:textAlignment w:val="auto"/>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回用于生产。</w:t>
                  </w:r>
                </w:p>
              </w:tc>
            </w:tr>
            <w:tr w14:paraId="0D9F05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366" w:type="pct"/>
                  <w:vMerge w:val="continue"/>
                  <w:tcBorders>
                    <w:tl2br w:val="nil"/>
                    <w:tr2bl w:val="nil"/>
                  </w:tcBorders>
                  <w:noWrap w:val="0"/>
                  <w:tcMar>
                    <w:top w:w="0" w:type="dxa"/>
                    <w:left w:w="0" w:type="dxa"/>
                    <w:bottom w:w="0" w:type="dxa"/>
                    <w:right w:w="0" w:type="dxa"/>
                  </w:tcMar>
                  <w:vAlign w:val="center"/>
                </w:tcPr>
                <w:p w14:paraId="447D4347">
                  <w:pPr>
                    <w:pStyle w:val="74"/>
                    <w:keepNext w:val="0"/>
                    <w:keepLines w:val="0"/>
                    <w:pageBreakBefore w:val="0"/>
                    <w:kinsoku/>
                    <w:wordWrap/>
                    <w:overflowPunct/>
                    <w:topLinePunct w:val="0"/>
                    <w:bidi w:val="0"/>
                    <w:spacing w:line="240" w:lineRule="auto"/>
                    <w:textAlignment w:val="auto"/>
                    <w:rPr>
                      <w:rFonts w:hint="eastAsia" w:ascii="Times New Roman" w:hAnsi="Times New Roman" w:cs="Times New Roman"/>
                      <w:color w:val="auto"/>
                      <w:sz w:val="21"/>
                      <w:szCs w:val="21"/>
                      <w:lang w:eastAsia="zh-CN"/>
                    </w:rPr>
                  </w:pPr>
                </w:p>
              </w:tc>
              <w:tc>
                <w:tcPr>
                  <w:tcW w:w="879" w:type="pct"/>
                  <w:vMerge w:val="restart"/>
                  <w:tcBorders>
                    <w:tl2br w:val="nil"/>
                    <w:tr2bl w:val="nil"/>
                  </w:tcBorders>
                  <w:noWrap w:val="0"/>
                  <w:tcMar>
                    <w:top w:w="0" w:type="dxa"/>
                    <w:left w:w="0" w:type="dxa"/>
                    <w:bottom w:w="0" w:type="dxa"/>
                    <w:right w:w="0" w:type="dxa"/>
                  </w:tcMar>
                  <w:vAlign w:val="center"/>
                </w:tcPr>
                <w:p w14:paraId="014D6DE5">
                  <w:pPr>
                    <w:pStyle w:val="74"/>
                    <w:keepNext w:val="0"/>
                    <w:keepLines w:val="0"/>
                    <w:pageBreakBefore w:val="0"/>
                    <w:kinsoku/>
                    <w:wordWrap/>
                    <w:overflowPunct/>
                    <w:topLinePunct w:val="0"/>
                    <w:bidi w:val="0"/>
                    <w:spacing w:line="240" w:lineRule="auto"/>
                    <w:textAlignment w:val="auto"/>
                    <w:rPr>
                      <w:rFonts w:hint="eastAsia" w:ascii="Times New Roman" w:hAnsi="Times New Roman" w:cs="Times New Roman"/>
                      <w:color w:val="auto"/>
                      <w:sz w:val="21"/>
                      <w:szCs w:val="21"/>
                      <w:lang w:eastAsia="zh-CN"/>
                    </w:rPr>
                  </w:pPr>
                  <w:r>
                    <w:rPr>
                      <w:rFonts w:hint="eastAsia" w:ascii="Times New Roman" w:hAnsi="Times New Roman" w:cs="Times New Roman"/>
                      <w:color w:val="auto"/>
                      <w:sz w:val="21"/>
                      <w:szCs w:val="21"/>
                      <w:lang w:eastAsia="zh-CN"/>
                    </w:rPr>
                    <w:t>除尘器</w:t>
                  </w:r>
                </w:p>
              </w:tc>
              <w:tc>
                <w:tcPr>
                  <w:tcW w:w="780" w:type="pct"/>
                  <w:tcBorders>
                    <w:tl2br w:val="nil"/>
                    <w:tr2bl w:val="nil"/>
                  </w:tcBorders>
                  <w:noWrap w:val="0"/>
                  <w:tcMar>
                    <w:top w:w="0" w:type="dxa"/>
                    <w:left w:w="0" w:type="dxa"/>
                    <w:bottom w:w="0" w:type="dxa"/>
                    <w:right w:w="0" w:type="dxa"/>
                  </w:tcMar>
                  <w:vAlign w:val="center"/>
                </w:tcPr>
                <w:p w14:paraId="4719A96D">
                  <w:pPr>
                    <w:pStyle w:val="74"/>
                    <w:keepNext w:val="0"/>
                    <w:keepLines w:val="0"/>
                    <w:pageBreakBefore w:val="0"/>
                    <w:kinsoku/>
                    <w:wordWrap/>
                    <w:overflowPunct/>
                    <w:topLinePunct w:val="0"/>
                    <w:bidi w:val="0"/>
                    <w:spacing w:line="240" w:lineRule="auto"/>
                    <w:textAlignment w:val="auto"/>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除尘灰</w:t>
                  </w:r>
                </w:p>
              </w:tc>
              <w:tc>
                <w:tcPr>
                  <w:tcW w:w="560" w:type="pct"/>
                  <w:tcBorders>
                    <w:tl2br w:val="nil"/>
                    <w:tr2bl w:val="nil"/>
                  </w:tcBorders>
                  <w:noWrap w:val="0"/>
                  <w:tcMar>
                    <w:top w:w="0" w:type="dxa"/>
                    <w:left w:w="0" w:type="dxa"/>
                    <w:bottom w:w="0" w:type="dxa"/>
                    <w:right w:w="0" w:type="dxa"/>
                  </w:tcMar>
                  <w:vAlign w:val="center"/>
                </w:tcPr>
                <w:p w14:paraId="744D38DA">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间断</w:t>
                  </w:r>
                </w:p>
              </w:tc>
              <w:tc>
                <w:tcPr>
                  <w:tcW w:w="2414" w:type="pct"/>
                  <w:gridSpan w:val="2"/>
                  <w:tcBorders>
                    <w:tl2br w:val="nil"/>
                    <w:tr2bl w:val="nil"/>
                  </w:tcBorders>
                  <w:noWrap w:val="0"/>
                  <w:tcMar>
                    <w:top w:w="0" w:type="dxa"/>
                    <w:left w:w="0" w:type="dxa"/>
                    <w:bottom w:w="0" w:type="dxa"/>
                    <w:right w:w="0" w:type="dxa"/>
                  </w:tcMar>
                  <w:vAlign w:val="center"/>
                </w:tcPr>
                <w:p w14:paraId="75CD1135">
                  <w:pPr>
                    <w:keepNext w:val="0"/>
                    <w:keepLines w:val="0"/>
                    <w:pageBreakBefore w:val="0"/>
                    <w:widowControl/>
                    <w:suppressLineNumbers w:val="0"/>
                    <w:kinsoku/>
                    <w:wordWrap/>
                    <w:overflowPunct/>
                    <w:topLinePunct w:val="0"/>
                    <w:bidi w:val="0"/>
                    <w:spacing w:line="240" w:lineRule="auto"/>
                    <w:jc w:val="left"/>
                    <w:textAlignment w:val="auto"/>
                    <w:rPr>
                      <w:rFonts w:hint="eastAsia"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回用于生产。</w:t>
                  </w:r>
                </w:p>
              </w:tc>
            </w:tr>
            <w:tr w14:paraId="2824A9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366" w:type="pct"/>
                  <w:vMerge w:val="continue"/>
                  <w:tcBorders>
                    <w:tl2br w:val="nil"/>
                    <w:tr2bl w:val="nil"/>
                  </w:tcBorders>
                  <w:noWrap w:val="0"/>
                  <w:tcMar>
                    <w:top w:w="0" w:type="dxa"/>
                    <w:left w:w="0" w:type="dxa"/>
                    <w:bottom w:w="0" w:type="dxa"/>
                    <w:right w:w="0" w:type="dxa"/>
                  </w:tcMar>
                  <w:vAlign w:val="center"/>
                </w:tcPr>
                <w:p w14:paraId="31A717EA">
                  <w:pPr>
                    <w:pStyle w:val="74"/>
                    <w:keepNext w:val="0"/>
                    <w:keepLines w:val="0"/>
                    <w:pageBreakBefore w:val="0"/>
                    <w:kinsoku/>
                    <w:wordWrap/>
                    <w:overflowPunct/>
                    <w:topLinePunct w:val="0"/>
                    <w:bidi w:val="0"/>
                    <w:spacing w:line="240" w:lineRule="auto"/>
                    <w:textAlignment w:val="auto"/>
                    <w:rPr>
                      <w:rFonts w:hint="eastAsia" w:ascii="Times New Roman" w:hAnsi="Times New Roman" w:cs="Times New Roman"/>
                      <w:color w:val="auto"/>
                      <w:sz w:val="21"/>
                      <w:szCs w:val="21"/>
                      <w:lang w:eastAsia="zh-CN"/>
                    </w:rPr>
                  </w:pPr>
                </w:p>
              </w:tc>
              <w:tc>
                <w:tcPr>
                  <w:tcW w:w="879" w:type="pct"/>
                  <w:vMerge w:val="continue"/>
                  <w:tcBorders>
                    <w:tl2br w:val="nil"/>
                    <w:tr2bl w:val="nil"/>
                  </w:tcBorders>
                  <w:noWrap w:val="0"/>
                  <w:tcMar>
                    <w:top w:w="0" w:type="dxa"/>
                    <w:left w:w="0" w:type="dxa"/>
                    <w:bottom w:w="0" w:type="dxa"/>
                    <w:right w:w="0" w:type="dxa"/>
                  </w:tcMar>
                  <w:vAlign w:val="center"/>
                </w:tcPr>
                <w:p w14:paraId="6457E703">
                  <w:pPr>
                    <w:pStyle w:val="74"/>
                    <w:keepNext w:val="0"/>
                    <w:keepLines w:val="0"/>
                    <w:pageBreakBefore w:val="0"/>
                    <w:kinsoku/>
                    <w:wordWrap/>
                    <w:overflowPunct/>
                    <w:topLinePunct w:val="0"/>
                    <w:bidi w:val="0"/>
                    <w:spacing w:line="240" w:lineRule="auto"/>
                    <w:textAlignment w:val="auto"/>
                    <w:rPr>
                      <w:rFonts w:hint="eastAsia" w:ascii="Times New Roman" w:hAnsi="Times New Roman" w:cs="Times New Roman"/>
                      <w:color w:val="auto"/>
                      <w:sz w:val="21"/>
                      <w:szCs w:val="21"/>
                      <w:lang w:eastAsia="zh-CN"/>
                    </w:rPr>
                  </w:pPr>
                </w:p>
              </w:tc>
              <w:tc>
                <w:tcPr>
                  <w:tcW w:w="780" w:type="pct"/>
                  <w:tcBorders>
                    <w:tl2br w:val="nil"/>
                    <w:tr2bl w:val="nil"/>
                  </w:tcBorders>
                  <w:noWrap w:val="0"/>
                  <w:tcMar>
                    <w:top w:w="0" w:type="dxa"/>
                    <w:left w:w="0" w:type="dxa"/>
                    <w:bottom w:w="0" w:type="dxa"/>
                    <w:right w:w="0" w:type="dxa"/>
                  </w:tcMar>
                  <w:vAlign w:val="center"/>
                </w:tcPr>
                <w:p w14:paraId="539DFF36">
                  <w:pPr>
                    <w:pStyle w:val="74"/>
                    <w:keepNext w:val="0"/>
                    <w:keepLines w:val="0"/>
                    <w:pageBreakBefore w:val="0"/>
                    <w:kinsoku/>
                    <w:wordWrap/>
                    <w:overflowPunct/>
                    <w:topLinePunct w:val="0"/>
                    <w:bidi w:val="0"/>
                    <w:spacing w:line="240" w:lineRule="auto"/>
                    <w:textAlignment w:val="auto"/>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废布袋</w:t>
                  </w:r>
                </w:p>
              </w:tc>
              <w:tc>
                <w:tcPr>
                  <w:tcW w:w="560" w:type="pct"/>
                  <w:tcBorders>
                    <w:tl2br w:val="nil"/>
                    <w:tr2bl w:val="nil"/>
                  </w:tcBorders>
                  <w:noWrap w:val="0"/>
                  <w:tcMar>
                    <w:top w:w="0" w:type="dxa"/>
                    <w:left w:w="0" w:type="dxa"/>
                    <w:bottom w:w="0" w:type="dxa"/>
                    <w:right w:w="0" w:type="dxa"/>
                  </w:tcMar>
                  <w:vAlign w:val="center"/>
                </w:tcPr>
                <w:p w14:paraId="58CEA682">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间断</w:t>
                  </w:r>
                </w:p>
              </w:tc>
              <w:tc>
                <w:tcPr>
                  <w:tcW w:w="2414" w:type="pct"/>
                  <w:gridSpan w:val="2"/>
                  <w:tcBorders>
                    <w:tl2br w:val="nil"/>
                    <w:tr2bl w:val="nil"/>
                  </w:tcBorders>
                  <w:noWrap w:val="0"/>
                  <w:tcMar>
                    <w:top w:w="0" w:type="dxa"/>
                    <w:left w:w="0" w:type="dxa"/>
                    <w:bottom w:w="0" w:type="dxa"/>
                    <w:right w:w="0" w:type="dxa"/>
                  </w:tcMar>
                  <w:vAlign w:val="center"/>
                </w:tcPr>
                <w:p w14:paraId="503FDD66">
                  <w:pPr>
                    <w:keepNext w:val="0"/>
                    <w:keepLines w:val="0"/>
                    <w:pageBreakBefore w:val="0"/>
                    <w:widowControl/>
                    <w:suppressLineNumbers w:val="0"/>
                    <w:kinsoku/>
                    <w:wordWrap/>
                    <w:overflowPunct/>
                    <w:topLinePunct w:val="0"/>
                    <w:bidi w:val="0"/>
                    <w:spacing w:line="240" w:lineRule="auto"/>
                    <w:jc w:val="left"/>
                    <w:textAlignment w:val="auto"/>
                    <w:rPr>
                      <w:rFonts w:hint="eastAsia"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集中收集后</w:t>
                  </w:r>
                  <w:r>
                    <w:rPr>
                      <w:rFonts w:hint="eastAsia" w:cs="Times New Roman"/>
                      <w:color w:val="auto"/>
                      <w:sz w:val="21"/>
                      <w:szCs w:val="21"/>
                      <w:highlight w:val="none"/>
                      <w:lang w:val="en-US" w:eastAsia="zh-CN"/>
                    </w:rPr>
                    <w:t>外售。</w:t>
                  </w:r>
                </w:p>
              </w:tc>
            </w:tr>
            <w:tr w14:paraId="671728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366" w:type="pct"/>
                  <w:vMerge w:val="continue"/>
                  <w:tcBorders>
                    <w:tl2br w:val="nil"/>
                    <w:tr2bl w:val="nil"/>
                  </w:tcBorders>
                  <w:noWrap w:val="0"/>
                  <w:tcMar>
                    <w:top w:w="0" w:type="dxa"/>
                    <w:left w:w="0" w:type="dxa"/>
                    <w:bottom w:w="0" w:type="dxa"/>
                    <w:right w:w="0" w:type="dxa"/>
                  </w:tcMar>
                  <w:vAlign w:val="center"/>
                </w:tcPr>
                <w:p w14:paraId="67B07778">
                  <w:pPr>
                    <w:pStyle w:val="74"/>
                    <w:keepNext w:val="0"/>
                    <w:keepLines w:val="0"/>
                    <w:pageBreakBefore w:val="0"/>
                    <w:kinsoku/>
                    <w:wordWrap/>
                    <w:overflowPunct/>
                    <w:topLinePunct w:val="0"/>
                    <w:bidi w:val="0"/>
                    <w:spacing w:line="240" w:lineRule="auto"/>
                    <w:textAlignment w:val="auto"/>
                    <w:rPr>
                      <w:rFonts w:hint="eastAsia" w:ascii="Times New Roman" w:hAnsi="Times New Roman" w:cs="Times New Roman"/>
                      <w:color w:val="auto"/>
                      <w:sz w:val="21"/>
                      <w:szCs w:val="21"/>
                      <w:lang w:eastAsia="zh-CN"/>
                    </w:rPr>
                  </w:pPr>
                </w:p>
              </w:tc>
              <w:tc>
                <w:tcPr>
                  <w:tcW w:w="879" w:type="pct"/>
                  <w:tcBorders>
                    <w:tl2br w:val="nil"/>
                    <w:tr2bl w:val="nil"/>
                  </w:tcBorders>
                  <w:noWrap w:val="0"/>
                  <w:tcMar>
                    <w:top w:w="0" w:type="dxa"/>
                    <w:left w:w="0" w:type="dxa"/>
                    <w:bottom w:w="0" w:type="dxa"/>
                    <w:right w:w="0" w:type="dxa"/>
                  </w:tcMar>
                  <w:vAlign w:val="center"/>
                </w:tcPr>
                <w:p w14:paraId="05C36203">
                  <w:pPr>
                    <w:pStyle w:val="74"/>
                    <w:keepNext w:val="0"/>
                    <w:keepLines w:val="0"/>
                    <w:pageBreakBefore w:val="0"/>
                    <w:kinsoku/>
                    <w:wordWrap/>
                    <w:overflowPunct/>
                    <w:topLinePunct w:val="0"/>
                    <w:bidi w:val="0"/>
                    <w:spacing w:line="240" w:lineRule="auto"/>
                    <w:jc w:val="center"/>
                    <w:textAlignment w:val="auto"/>
                    <w:rPr>
                      <w:rFonts w:hint="default"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职工生活</w:t>
                  </w:r>
                </w:p>
              </w:tc>
              <w:tc>
                <w:tcPr>
                  <w:tcW w:w="780" w:type="pct"/>
                  <w:tcBorders>
                    <w:tl2br w:val="nil"/>
                    <w:tr2bl w:val="nil"/>
                  </w:tcBorders>
                  <w:noWrap w:val="0"/>
                  <w:tcMar>
                    <w:top w:w="0" w:type="dxa"/>
                    <w:left w:w="0" w:type="dxa"/>
                    <w:bottom w:w="0" w:type="dxa"/>
                    <w:right w:w="0" w:type="dxa"/>
                  </w:tcMar>
                  <w:vAlign w:val="center"/>
                </w:tcPr>
                <w:p w14:paraId="0E8786DC">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生活垃圾</w:t>
                  </w:r>
                </w:p>
              </w:tc>
              <w:tc>
                <w:tcPr>
                  <w:tcW w:w="560" w:type="pct"/>
                  <w:tcBorders>
                    <w:tl2br w:val="nil"/>
                    <w:tr2bl w:val="nil"/>
                  </w:tcBorders>
                  <w:noWrap w:val="0"/>
                  <w:tcMar>
                    <w:top w:w="0" w:type="dxa"/>
                    <w:left w:w="0" w:type="dxa"/>
                    <w:bottom w:w="0" w:type="dxa"/>
                    <w:right w:w="0" w:type="dxa"/>
                  </w:tcMar>
                  <w:vAlign w:val="center"/>
                </w:tcPr>
                <w:p w14:paraId="7970FB00">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间断</w:t>
                  </w:r>
                </w:p>
              </w:tc>
              <w:tc>
                <w:tcPr>
                  <w:tcW w:w="2414" w:type="pct"/>
                  <w:gridSpan w:val="2"/>
                  <w:tcBorders>
                    <w:tl2br w:val="nil"/>
                    <w:tr2bl w:val="nil"/>
                  </w:tcBorders>
                  <w:noWrap w:val="0"/>
                  <w:tcMar>
                    <w:top w:w="0" w:type="dxa"/>
                    <w:left w:w="0" w:type="dxa"/>
                    <w:bottom w:w="0" w:type="dxa"/>
                    <w:right w:w="0" w:type="dxa"/>
                  </w:tcMar>
                  <w:vAlign w:val="center"/>
                </w:tcPr>
                <w:p w14:paraId="2F92B367">
                  <w:pPr>
                    <w:keepNext w:val="0"/>
                    <w:keepLines w:val="0"/>
                    <w:pageBreakBefore w:val="0"/>
                    <w:widowControl/>
                    <w:suppressLineNumbers w:val="0"/>
                    <w:kinsoku/>
                    <w:wordWrap/>
                    <w:overflowPunct/>
                    <w:topLinePunct w:val="0"/>
                    <w:bidi w:val="0"/>
                    <w:spacing w:line="240" w:lineRule="auto"/>
                    <w:jc w:val="left"/>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集中收集后由环卫部门统一处理</w:t>
                  </w:r>
                  <w:r>
                    <w:rPr>
                      <w:rFonts w:hint="eastAsia" w:cs="Times New Roman"/>
                      <w:color w:val="auto"/>
                      <w:sz w:val="21"/>
                      <w:szCs w:val="21"/>
                      <w:highlight w:val="none"/>
                      <w:lang w:val="en-US" w:eastAsia="zh-CN"/>
                    </w:rPr>
                    <w:t>。</w:t>
                  </w:r>
                </w:p>
              </w:tc>
            </w:tr>
            <w:tr w14:paraId="70467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366" w:type="pct"/>
                  <w:vMerge w:val="continue"/>
                  <w:tcBorders>
                    <w:tl2br w:val="nil"/>
                    <w:tr2bl w:val="nil"/>
                  </w:tcBorders>
                  <w:noWrap w:val="0"/>
                  <w:tcMar>
                    <w:top w:w="0" w:type="dxa"/>
                    <w:left w:w="0" w:type="dxa"/>
                    <w:bottom w:w="0" w:type="dxa"/>
                    <w:right w:w="0" w:type="dxa"/>
                  </w:tcMar>
                  <w:vAlign w:val="center"/>
                </w:tcPr>
                <w:p w14:paraId="24116E48">
                  <w:pPr>
                    <w:pStyle w:val="74"/>
                    <w:keepNext w:val="0"/>
                    <w:keepLines w:val="0"/>
                    <w:pageBreakBefore w:val="0"/>
                    <w:kinsoku/>
                    <w:wordWrap/>
                    <w:overflowPunct/>
                    <w:topLinePunct w:val="0"/>
                    <w:bidi w:val="0"/>
                    <w:spacing w:line="240" w:lineRule="auto"/>
                    <w:textAlignment w:val="auto"/>
                    <w:rPr>
                      <w:rFonts w:hint="eastAsia" w:ascii="Times New Roman" w:hAnsi="Times New Roman" w:cs="Times New Roman"/>
                      <w:color w:val="auto"/>
                      <w:sz w:val="21"/>
                      <w:szCs w:val="21"/>
                      <w:lang w:eastAsia="zh-CN"/>
                    </w:rPr>
                  </w:pPr>
                </w:p>
              </w:tc>
              <w:tc>
                <w:tcPr>
                  <w:tcW w:w="879" w:type="pct"/>
                  <w:vMerge w:val="restart"/>
                  <w:tcBorders>
                    <w:tl2br w:val="nil"/>
                    <w:tr2bl w:val="nil"/>
                  </w:tcBorders>
                  <w:noWrap w:val="0"/>
                  <w:tcMar>
                    <w:top w:w="0" w:type="dxa"/>
                    <w:left w:w="0" w:type="dxa"/>
                    <w:bottom w:w="0" w:type="dxa"/>
                    <w:right w:w="0" w:type="dxa"/>
                  </w:tcMar>
                  <w:vAlign w:val="center"/>
                </w:tcPr>
                <w:p w14:paraId="7C073326">
                  <w:pPr>
                    <w:pStyle w:val="74"/>
                    <w:keepNext w:val="0"/>
                    <w:keepLines w:val="0"/>
                    <w:pageBreakBefore w:val="0"/>
                    <w:kinsoku/>
                    <w:wordWrap/>
                    <w:overflowPunct/>
                    <w:topLinePunct w:val="0"/>
                    <w:bidi w:val="0"/>
                    <w:spacing w:line="240" w:lineRule="auto"/>
                    <w:jc w:val="center"/>
                    <w:textAlignment w:val="auto"/>
                    <w:rPr>
                      <w:rFonts w:hint="eastAsia" w:ascii="Times New Roman" w:hAnsi="Times New Roman" w:cs="Times New Roman"/>
                      <w:color w:val="auto"/>
                      <w:sz w:val="21"/>
                      <w:szCs w:val="21"/>
                      <w:lang w:eastAsia="zh-CN"/>
                    </w:rPr>
                  </w:pPr>
                  <w:r>
                    <w:rPr>
                      <w:rFonts w:hint="eastAsia" w:ascii="Times New Roman" w:hAnsi="Times New Roman" w:cs="Times New Roman"/>
                      <w:color w:val="auto"/>
                      <w:sz w:val="21"/>
                      <w:szCs w:val="21"/>
                      <w:lang w:eastAsia="zh-CN"/>
                    </w:rPr>
                    <w:t>食堂</w:t>
                  </w:r>
                </w:p>
              </w:tc>
              <w:tc>
                <w:tcPr>
                  <w:tcW w:w="780" w:type="pct"/>
                  <w:tcBorders>
                    <w:tl2br w:val="nil"/>
                    <w:tr2bl w:val="nil"/>
                  </w:tcBorders>
                  <w:noWrap w:val="0"/>
                  <w:tcMar>
                    <w:top w:w="0" w:type="dxa"/>
                    <w:left w:w="0" w:type="dxa"/>
                    <w:bottom w:w="0" w:type="dxa"/>
                    <w:right w:w="0" w:type="dxa"/>
                  </w:tcMar>
                  <w:vAlign w:val="center"/>
                </w:tcPr>
                <w:p w14:paraId="3F168789">
                  <w:pPr>
                    <w:pStyle w:val="74"/>
                    <w:keepNext w:val="0"/>
                    <w:keepLines w:val="0"/>
                    <w:pageBreakBefore w:val="0"/>
                    <w:kinsoku/>
                    <w:wordWrap/>
                    <w:overflowPunct/>
                    <w:topLinePunct w:val="0"/>
                    <w:bidi w:val="0"/>
                    <w:spacing w:line="240" w:lineRule="auto"/>
                    <w:textAlignment w:val="auto"/>
                    <w:rPr>
                      <w:rFonts w:hint="eastAsia" w:ascii="Times New Roman" w:hAnsi="Times New Roman" w:cs="Times New Roman"/>
                      <w:color w:val="auto"/>
                      <w:sz w:val="21"/>
                      <w:szCs w:val="21"/>
                      <w:lang w:eastAsia="zh-CN"/>
                    </w:rPr>
                  </w:pPr>
                  <w:r>
                    <w:rPr>
                      <w:rFonts w:hint="eastAsia" w:ascii="Times New Roman" w:hAnsi="Times New Roman" w:cs="Times New Roman"/>
                      <w:color w:val="auto"/>
                      <w:sz w:val="21"/>
                      <w:szCs w:val="21"/>
                      <w:lang w:eastAsia="zh-CN"/>
                    </w:rPr>
                    <w:t>餐厨垃圾</w:t>
                  </w:r>
                </w:p>
              </w:tc>
              <w:tc>
                <w:tcPr>
                  <w:tcW w:w="560" w:type="pct"/>
                  <w:tcBorders>
                    <w:tl2br w:val="nil"/>
                    <w:tr2bl w:val="nil"/>
                  </w:tcBorders>
                  <w:noWrap w:val="0"/>
                  <w:tcMar>
                    <w:top w:w="0" w:type="dxa"/>
                    <w:left w:w="0" w:type="dxa"/>
                    <w:bottom w:w="0" w:type="dxa"/>
                    <w:right w:w="0" w:type="dxa"/>
                  </w:tcMar>
                  <w:vAlign w:val="center"/>
                </w:tcPr>
                <w:p w14:paraId="573967D6">
                  <w:pPr>
                    <w:pStyle w:val="74"/>
                    <w:keepNext w:val="0"/>
                    <w:keepLines w:val="0"/>
                    <w:pageBreakBefore w:val="0"/>
                    <w:kinsoku/>
                    <w:wordWrap/>
                    <w:overflowPunct/>
                    <w:topLinePunct w:val="0"/>
                    <w:bidi w:val="0"/>
                    <w:spacing w:line="240" w:lineRule="auto"/>
                    <w:textAlignment w:val="auto"/>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间断</w:t>
                  </w:r>
                </w:p>
              </w:tc>
              <w:tc>
                <w:tcPr>
                  <w:tcW w:w="2414" w:type="pct"/>
                  <w:gridSpan w:val="2"/>
                  <w:tcBorders>
                    <w:tl2br w:val="nil"/>
                    <w:tr2bl w:val="nil"/>
                  </w:tcBorders>
                  <w:noWrap w:val="0"/>
                  <w:tcMar>
                    <w:top w:w="0" w:type="dxa"/>
                    <w:left w:w="0" w:type="dxa"/>
                    <w:bottom w:w="0" w:type="dxa"/>
                    <w:right w:w="0" w:type="dxa"/>
                  </w:tcMar>
                  <w:vAlign w:val="center"/>
                </w:tcPr>
                <w:p w14:paraId="3C9B8F79">
                  <w:pPr>
                    <w:keepNext w:val="0"/>
                    <w:keepLines w:val="0"/>
                    <w:pageBreakBefore w:val="0"/>
                    <w:widowControl/>
                    <w:suppressLineNumbers w:val="0"/>
                    <w:kinsoku/>
                    <w:wordWrap/>
                    <w:overflowPunct/>
                    <w:topLinePunct w:val="0"/>
                    <w:bidi w:val="0"/>
                    <w:spacing w:line="240" w:lineRule="auto"/>
                    <w:jc w:val="left"/>
                    <w:textAlignment w:val="auto"/>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rPr>
                    <w:t>收集后由有餐饮垃圾资质单位处理</w:t>
                  </w:r>
                  <w:r>
                    <w:rPr>
                      <w:rFonts w:hint="eastAsia" w:ascii="Times New Roman" w:hAnsi="Times New Roman" w:eastAsia="宋体" w:cs="Times New Roman"/>
                      <w:sz w:val="21"/>
                      <w:szCs w:val="21"/>
                      <w:lang w:val="en-US" w:eastAsia="zh-CN"/>
                    </w:rPr>
                    <w:t>。</w:t>
                  </w:r>
                </w:p>
              </w:tc>
            </w:tr>
            <w:tr w14:paraId="271130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366" w:type="pct"/>
                  <w:vMerge w:val="continue"/>
                  <w:tcBorders>
                    <w:tl2br w:val="nil"/>
                    <w:tr2bl w:val="nil"/>
                  </w:tcBorders>
                  <w:noWrap w:val="0"/>
                  <w:tcMar>
                    <w:top w:w="0" w:type="dxa"/>
                    <w:left w:w="0" w:type="dxa"/>
                    <w:bottom w:w="0" w:type="dxa"/>
                    <w:right w:w="0" w:type="dxa"/>
                  </w:tcMar>
                  <w:vAlign w:val="center"/>
                </w:tcPr>
                <w:p w14:paraId="31319C39">
                  <w:pPr>
                    <w:pStyle w:val="74"/>
                    <w:keepNext w:val="0"/>
                    <w:keepLines w:val="0"/>
                    <w:pageBreakBefore w:val="0"/>
                    <w:kinsoku/>
                    <w:wordWrap/>
                    <w:overflowPunct/>
                    <w:topLinePunct w:val="0"/>
                    <w:bidi w:val="0"/>
                    <w:spacing w:line="240" w:lineRule="auto"/>
                    <w:textAlignment w:val="auto"/>
                    <w:rPr>
                      <w:rFonts w:hint="eastAsia" w:ascii="Times New Roman" w:hAnsi="Times New Roman" w:cs="Times New Roman"/>
                      <w:color w:val="auto"/>
                      <w:sz w:val="21"/>
                      <w:szCs w:val="21"/>
                      <w:lang w:eastAsia="zh-CN"/>
                    </w:rPr>
                  </w:pPr>
                </w:p>
              </w:tc>
              <w:tc>
                <w:tcPr>
                  <w:tcW w:w="879" w:type="pct"/>
                  <w:vMerge w:val="continue"/>
                  <w:tcBorders>
                    <w:tl2br w:val="nil"/>
                    <w:tr2bl w:val="nil"/>
                  </w:tcBorders>
                  <w:noWrap w:val="0"/>
                  <w:tcMar>
                    <w:top w:w="0" w:type="dxa"/>
                    <w:left w:w="0" w:type="dxa"/>
                    <w:bottom w:w="0" w:type="dxa"/>
                    <w:right w:w="0" w:type="dxa"/>
                  </w:tcMar>
                  <w:vAlign w:val="center"/>
                </w:tcPr>
                <w:p w14:paraId="38B88559">
                  <w:pPr>
                    <w:pStyle w:val="74"/>
                    <w:keepNext w:val="0"/>
                    <w:keepLines w:val="0"/>
                    <w:pageBreakBefore w:val="0"/>
                    <w:kinsoku/>
                    <w:wordWrap/>
                    <w:overflowPunct/>
                    <w:topLinePunct w:val="0"/>
                    <w:bidi w:val="0"/>
                    <w:spacing w:line="240" w:lineRule="auto"/>
                    <w:jc w:val="center"/>
                    <w:textAlignment w:val="auto"/>
                    <w:rPr>
                      <w:rFonts w:hint="eastAsia" w:ascii="Times New Roman" w:hAnsi="Times New Roman" w:cs="Times New Roman"/>
                      <w:color w:val="auto"/>
                      <w:sz w:val="21"/>
                      <w:szCs w:val="21"/>
                      <w:lang w:eastAsia="zh-CN"/>
                    </w:rPr>
                  </w:pPr>
                </w:p>
              </w:tc>
              <w:tc>
                <w:tcPr>
                  <w:tcW w:w="780" w:type="pct"/>
                  <w:tcBorders>
                    <w:tl2br w:val="nil"/>
                    <w:tr2bl w:val="nil"/>
                  </w:tcBorders>
                  <w:noWrap w:val="0"/>
                  <w:tcMar>
                    <w:top w:w="0" w:type="dxa"/>
                    <w:left w:w="0" w:type="dxa"/>
                    <w:bottom w:w="0" w:type="dxa"/>
                    <w:right w:w="0" w:type="dxa"/>
                  </w:tcMar>
                  <w:vAlign w:val="center"/>
                </w:tcPr>
                <w:p w14:paraId="7C33B91B">
                  <w:pPr>
                    <w:pStyle w:val="74"/>
                    <w:keepNext w:val="0"/>
                    <w:keepLines w:val="0"/>
                    <w:pageBreakBefore w:val="0"/>
                    <w:kinsoku/>
                    <w:wordWrap/>
                    <w:overflowPunct/>
                    <w:topLinePunct w:val="0"/>
                    <w:bidi w:val="0"/>
                    <w:spacing w:line="240" w:lineRule="auto"/>
                    <w:textAlignment w:val="auto"/>
                    <w:rPr>
                      <w:rFonts w:hint="eastAsia" w:ascii="Times New Roman" w:hAnsi="Times New Roman" w:cs="Times New Roman"/>
                      <w:color w:val="auto"/>
                      <w:sz w:val="21"/>
                      <w:szCs w:val="21"/>
                      <w:lang w:eastAsia="zh-CN"/>
                    </w:rPr>
                  </w:pPr>
                  <w:r>
                    <w:rPr>
                      <w:rFonts w:hint="eastAsia" w:ascii="Times New Roman" w:hAnsi="Times New Roman" w:cs="Times New Roman"/>
                      <w:color w:val="auto"/>
                      <w:sz w:val="21"/>
                      <w:szCs w:val="21"/>
                      <w:lang w:eastAsia="zh-CN"/>
                    </w:rPr>
                    <w:t>废油脂</w:t>
                  </w:r>
                </w:p>
              </w:tc>
              <w:tc>
                <w:tcPr>
                  <w:tcW w:w="560" w:type="pct"/>
                  <w:tcBorders>
                    <w:tl2br w:val="nil"/>
                    <w:tr2bl w:val="nil"/>
                  </w:tcBorders>
                  <w:noWrap w:val="0"/>
                  <w:tcMar>
                    <w:top w:w="0" w:type="dxa"/>
                    <w:left w:w="0" w:type="dxa"/>
                    <w:bottom w:w="0" w:type="dxa"/>
                    <w:right w:w="0" w:type="dxa"/>
                  </w:tcMar>
                  <w:vAlign w:val="center"/>
                </w:tcPr>
                <w:p w14:paraId="107047EA">
                  <w:pPr>
                    <w:pStyle w:val="74"/>
                    <w:keepNext w:val="0"/>
                    <w:keepLines w:val="0"/>
                    <w:pageBreakBefore w:val="0"/>
                    <w:kinsoku/>
                    <w:wordWrap/>
                    <w:overflowPunct/>
                    <w:topLinePunct w:val="0"/>
                    <w:bidi w:val="0"/>
                    <w:spacing w:line="240" w:lineRule="auto"/>
                    <w:textAlignment w:val="auto"/>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间断</w:t>
                  </w:r>
                </w:p>
              </w:tc>
              <w:tc>
                <w:tcPr>
                  <w:tcW w:w="2414" w:type="pct"/>
                  <w:gridSpan w:val="2"/>
                  <w:tcBorders>
                    <w:tl2br w:val="nil"/>
                    <w:tr2bl w:val="nil"/>
                  </w:tcBorders>
                  <w:noWrap w:val="0"/>
                  <w:tcMar>
                    <w:top w:w="0" w:type="dxa"/>
                    <w:left w:w="0" w:type="dxa"/>
                    <w:bottom w:w="0" w:type="dxa"/>
                    <w:right w:w="0" w:type="dxa"/>
                  </w:tcMar>
                  <w:vAlign w:val="center"/>
                </w:tcPr>
                <w:p w14:paraId="56C1394A">
                  <w:pPr>
                    <w:keepNext w:val="0"/>
                    <w:keepLines w:val="0"/>
                    <w:pageBreakBefore w:val="0"/>
                    <w:widowControl/>
                    <w:suppressLineNumbers w:val="0"/>
                    <w:kinsoku/>
                    <w:wordWrap/>
                    <w:overflowPunct/>
                    <w:topLinePunct w:val="0"/>
                    <w:bidi w:val="0"/>
                    <w:spacing w:line="240" w:lineRule="auto"/>
                    <w:jc w:val="left"/>
                    <w:textAlignment w:val="auto"/>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rPr>
                    <w:t>存放在专用容器内，收集后由有餐饮垃圾资质单位处理</w:t>
                  </w:r>
                  <w:r>
                    <w:rPr>
                      <w:rFonts w:hint="eastAsia" w:ascii="Times New Roman" w:hAnsi="Times New Roman" w:eastAsia="宋体" w:cs="Times New Roman"/>
                      <w:sz w:val="21"/>
                      <w:szCs w:val="21"/>
                      <w:lang w:eastAsia="zh-CN"/>
                    </w:rPr>
                    <w:t>。</w:t>
                  </w:r>
                </w:p>
              </w:tc>
            </w:tr>
            <w:tr w14:paraId="46B3EF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366" w:type="pct"/>
                  <w:vMerge w:val="continue"/>
                  <w:tcBorders>
                    <w:tl2br w:val="nil"/>
                    <w:tr2bl w:val="nil"/>
                  </w:tcBorders>
                  <w:noWrap w:val="0"/>
                  <w:tcMar>
                    <w:top w:w="0" w:type="dxa"/>
                    <w:left w:w="0" w:type="dxa"/>
                    <w:bottom w:w="0" w:type="dxa"/>
                    <w:right w:w="0" w:type="dxa"/>
                  </w:tcMar>
                  <w:vAlign w:val="center"/>
                </w:tcPr>
                <w:p w14:paraId="5E18A78C">
                  <w:pPr>
                    <w:pStyle w:val="74"/>
                    <w:keepNext w:val="0"/>
                    <w:keepLines w:val="0"/>
                    <w:pageBreakBefore w:val="0"/>
                    <w:kinsoku/>
                    <w:wordWrap/>
                    <w:overflowPunct/>
                    <w:topLinePunct w:val="0"/>
                    <w:bidi w:val="0"/>
                    <w:spacing w:line="240" w:lineRule="auto"/>
                    <w:textAlignment w:val="auto"/>
                    <w:rPr>
                      <w:rFonts w:hint="eastAsia" w:ascii="Times New Roman" w:hAnsi="Times New Roman" w:cs="Times New Roman"/>
                      <w:color w:val="auto"/>
                      <w:sz w:val="21"/>
                      <w:szCs w:val="21"/>
                      <w:lang w:eastAsia="zh-CN"/>
                    </w:rPr>
                  </w:pPr>
                </w:p>
              </w:tc>
              <w:tc>
                <w:tcPr>
                  <w:tcW w:w="879" w:type="pct"/>
                  <w:vMerge w:val="restart"/>
                  <w:tcBorders>
                    <w:tl2br w:val="nil"/>
                    <w:tr2bl w:val="nil"/>
                  </w:tcBorders>
                  <w:noWrap w:val="0"/>
                  <w:tcMar>
                    <w:top w:w="0" w:type="dxa"/>
                    <w:left w:w="0" w:type="dxa"/>
                    <w:bottom w:w="0" w:type="dxa"/>
                    <w:right w:w="0" w:type="dxa"/>
                  </w:tcMar>
                  <w:vAlign w:val="center"/>
                </w:tcPr>
                <w:p w14:paraId="34FDDF88">
                  <w:pPr>
                    <w:pStyle w:val="74"/>
                    <w:keepNext w:val="0"/>
                    <w:keepLines w:val="0"/>
                    <w:pageBreakBefore w:val="0"/>
                    <w:kinsoku/>
                    <w:wordWrap/>
                    <w:overflowPunct/>
                    <w:topLinePunct w:val="0"/>
                    <w:bidi w:val="0"/>
                    <w:spacing w:line="240" w:lineRule="auto"/>
                    <w:jc w:val="center"/>
                    <w:textAlignment w:val="auto"/>
                    <w:rPr>
                      <w:rFonts w:hint="eastAsia" w:ascii="Times New Roman" w:hAnsi="Times New Roman" w:cs="Times New Roman"/>
                      <w:color w:val="auto"/>
                      <w:sz w:val="21"/>
                      <w:szCs w:val="21"/>
                      <w:lang w:eastAsia="zh-CN"/>
                    </w:rPr>
                  </w:pPr>
                  <w:r>
                    <w:rPr>
                      <w:rFonts w:hint="eastAsia" w:ascii="Times New Roman" w:hAnsi="Times New Roman" w:cs="Times New Roman"/>
                      <w:color w:val="auto"/>
                      <w:sz w:val="21"/>
                      <w:szCs w:val="21"/>
                      <w:lang w:eastAsia="zh-CN"/>
                    </w:rPr>
                    <w:t>设备维护保养</w:t>
                  </w:r>
                </w:p>
              </w:tc>
              <w:tc>
                <w:tcPr>
                  <w:tcW w:w="780" w:type="pct"/>
                  <w:tcBorders>
                    <w:tl2br w:val="nil"/>
                    <w:tr2bl w:val="nil"/>
                  </w:tcBorders>
                  <w:noWrap w:val="0"/>
                  <w:tcMar>
                    <w:top w:w="0" w:type="dxa"/>
                    <w:left w:w="0" w:type="dxa"/>
                    <w:bottom w:w="0" w:type="dxa"/>
                    <w:right w:w="0" w:type="dxa"/>
                  </w:tcMar>
                  <w:vAlign w:val="center"/>
                </w:tcPr>
                <w:p w14:paraId="6E56A2CB">
                  <w:pPr>
                    <w:pStyle w:val="74"/>
                    <w:keepNext w:val="0"/>
                    <w:keepLines w:val="0"/>
                    <w:pageBreakBefore w:val="0"/>
                    <w:kinsoku/>
                    <w:wordWrap/>
                    <w:overflowPunct/>
                    <w:topLinePunct w:val="0"/>
                    <w:bidi w:val="0"/>
                    <w:spacing w:line="240" w:lineRule="auto"/>
                    <w:textAlignment w:val="auto"/>
                    <w:rPr>
                      <w:rFonts w:hint="eastAsia" w:ascii="Times New Roman" w:hAnsi="Times New Roman" w:cs="Times New Roman"/>
                      <w:color w:val="auto"/>
                      <w:sz w:val="21"/>
                      <w:szCs w:val="21"/>
                      <w:lang w:eastAsia="zh-CN"/>
                    </w:rPr>
                  </w:pPr>
                  <w:r>
                    <w:rPr>
                      <w:rFonts w:hint="eastAsia" w:ascii="Times New Roman" w:hAnsi="Times New Roman" w:cs="Times New Roman"/>
                      <w:color w:val="auto"/>
                      <w:sz w:val="21"/>
                      <w:szCs w:val="21"/>
                      <w:lang w:eastAsia="zh-CN"/>
                    </w:rPr>
                    <w:t>废润滑油</w:t>
                  </w:r>
                </w:p>
              </w:tc>
              <w:tc>
                <w:tcPr>
                  <w:tcW w:w="560" w:type="pct"/>
                  <w:tcBorders>
                    <w:tl2br w:val="nil"/>
                    <w:tr2bl w:val="nil"/>
                  </w:tcBorders>
                  <w:noWrap w:val="0"/>
                  <w:tcMar>
                    <w:top w:w="0" w:type="dxa"/>
                    <w:left w:w="0" w:type="dxa"/>
                    <w:bottom w:w="0" w:type="dxa"/>
                    <w:right w:w="0" w:type="dxa"/>
                  </w:tcMar>
                  <w:vAlign w:val="center"/>
                </w:tcPr>
                <w:p w14:paraId="1B5765F3">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间断</w:t>
                  </w:r>
                </w:p>
              </w:tc>
              <w:tc>
                <w:tcPr>
                  <w:tcW w:w="2414" w:type="pct"/>
                  <w:gridSpan w:val="2"/>
                  <w:vMerge w:val="restart"/>
                  <w:tcBorders>
                    <w:tl2br w:val="nil"/>
                    <w:tr2bl w:val="nil"/>
                  </w:tcBorders>
                  <w:noWrap w:val="0"/>
                  <w:tcMar>
                    <w:top w:w="0" w:type="dxa"/>
                    <w:left w:w="0" w:type="dxa"/>
                    <w:bottom w:w="0" w:type="dxa"/>
                    <w:right w:w="0" w:type="dxa"/>
                  </w:tcMar>
                  <w:vAlign w:val="center"/>
                </w:tcPr>
                <w:p w14:paraId="38A922DA">
                  <w:pPr>
                    <w:keepNext w:val="0"/>
                    <w:keepLines w:val="0"/>
                    <w:pageBreakBefore w:val="0"/>
                    <w:widowControl/>
                    <w:suppressLineNumbers w:val="0"/>
                    <w:kinsoku/>
                    <w:wordWrap/>
                    <w:overflowPunct/>
                    <w:topLinePunct w:val="0"/>
                    <w:bidi w:val="0"/>
                    <w:spacing w:line="240" w:lineRule="auto"/>
                    <w:jc w:val="left"/>
                    <w:textAlignment w:val="auto"/>
                    <w:rPr>
                      <w:rFonts w:hint="eastAsia"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val="en-US" w:eastAsia="zh-CN"/>
                    </w:rPr>
                    <w:t>暂存于危废间，定期交由有资质单位处理。</w:t>
                  </w:r>
                </w:p>
              </w:tc>
            </w:tr>
            <w:tr w14:paraId="68320B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366" w:type="pct"/>
                  <w:vMerge w:val="continue"/>
                  <w:tcBorders>
                    <w:tl2br w:val="nil"/>
                    <w:tr2bl w:val="nil"/>
                  </w:tcBorders>
                  <w:noWrap w:val="0"/>
                  <w:tcMar>
                    <w:top w:w="0" w:type="dxa"/>
                    <w:left w:w="0" w:type="dxa"/>
                    <w:bottom w:w="0" w:type="dxa"/>
                    <w:right w:w="0" w:type="dxa"/>
                  </w:tcMar>
                  <w:vAlign w:val="center"/>
                </w:tcPr>
                <w:p w14:paraId="3C5634CB">
                  <w:pPr>
                    <w:pStyle w:val="74"/>
                    <w:keepNext w:val="0"/>
                    <w:keepLines w:val="0"/>
                    <w:pageBreakBefore w:val="0"/>
                    <w:kinsoku/>
                    <w:wordWrap/>
                    <w:overflowPunct/>
                    <w:topLinePunct w:val="0"/>
                    <w:bidi w:val="0"/>
                    <w:spacing w:line="240" w:lineRule="auto"/>
                    <w:textAlignment w:val="auto"/>
                    <w:rPr>
                      <w:rFonts w:hint="eastAsia" w:ascii="Times New Roman" w:hAnsi="Times New Roman" w:cs="Times New Roman"/>
                      <w:color w:val="auto"/>
                      <w:sz w:val="21"/>
                      <w:szCs w:val="21"/>
                      <w:lang w:eastAsia="zh-CN"/>
                    </w:rPr>
                  </w:pPr>
                </w:p>
              </w:tc>
              <w:tc>
                <w:tcPr>
                  <w:tcW w:w="879" w:type="pct"/>
                  <w:vMerge w:val="continue"/>
                  <w:tcBorders>
                    <w:tl2br w:val="nil"/>
                    <w:tr2bl w:val="nil"/>
                  </w:tcBorders>
                  <w:noWrap w:val="0"/>
                  <w:tcMar>
                    <w:top w:w="0" w:type="dxa"/>
                    <w:left w:w="0" w:type="dxa"/>
                    <w:bottom w:w="0" w:type="dxa"/>
                    <w:right w:w="0" w:type="dxa"/>
                  </w:tcMar>
                  <w:vAlign w:val="center"/>
                </w:tcPr>
                <w:p w14:paraId="616A468E">
                  <w:pPr>
                    <w:pStyle w:val="74"/>
                    <w:keepNext w:val="0"/>
                    <w:keepLines w:val="0"/>
                    <w:pageBreakBefore w:val="0"/>
                    <w:kinsoku/>
                    <w:wordWrap/>
                    <w:overflowPunct/>
                    <w:topLinePunct w:val="0"/>
                    <w:bidi w:val="0"/>
                    <w:spacing w:line="240" w:lineRule="auto"/>
                    <w:jc w:val="center"/>
                    <w:textAlignment w:val="auto"/>
                    <w:rPr>
                      <w:rFonts w:hint="eastAsia" w:ascii="Times New Roman" w:hAnsi="Times New Roman" w:cs="Times New Roman"/>
                      <w:color w:val="auto"/>
                      <w:sz w:val="21"/>
                      <w:szCs w:val="21"/>
                      <w:lang w:eastAsia="zh-CN"/>
                    </w:rPr>
                  </w:pPr>
                </w:p>
              </w:tc>
              <w:tc>
                <w:tcPr>
                  <w:tcW w:w="780" w:type="pct"/>
                  <w:tcBorders>
                    <w:tl2br w:val="nil"/>
                    <w:tr2bl w:val="nil"/>
                  </w:tcBorders>
                  <w:noWrap w:val="0"/>
                  <w:tcMar>
                    <w:top w:w="0" w:type="dxa"/>
                    <w:left w:w="0" w:type="dxa"/>
                    <w:bottom w:w="0" w:type="dxa"/>
                    <w:right w:w="0" w:type="dxa"/>
                  </w:tcMar>
                  <w:vAlign w:val="center"/>
                </w:tcPr>
                <w:p w14:paraId="40299AE0">
                  <w:pPr>
                    <w:pStyle w:val="74"/>
                    <w:keepNext w:val="0"/>
                    <w:keepLines w:val="0"/>
                    <w:pageBreakBefore w:val="0"/>
                    <w:kinsoku/>
                    <w:wordWrap/>
                    <w:overflowPunct/>
                    <w:topLinePunct w:val="0"/>
                    <w:bidi w:val="0"/>
                    <w:spacing w:line="240" w:lineRule="auto"/>
                    <w:textAlignment w:val="auto"/>
                    <w:rPr>
                      <w:rFonts w:hint="eastAsia" w:ascii="Times New Roman" w:hAnsi="Times New Roman" w:cs="Times New Roman"/>
                      <w:color w:val="auto"/>
                      <w:sz w:val="21"/>
                      <w:szCs w:val="21"/>
                      <w:lang w:eastAsia="zh-CN"/>
                    </w:rPr>
                  </w:pPr>
                  <w:r>
                    <w:rPr>
                      <w:rFonts w:hint="eastAsia" w:ascii="Times New Roman" w:hAnsi="Times New Roman" w:cs="Times New Roman"/>
                      <w:color w:val="auto"/>
                      <w:sz w:val="21"/>
                      <w:szCs w:val="21"/>
                      <w:lang w:eastAsia="zh-CN"/>
                    </w:rPr>
                    <w:t>废油桶</w:t>
                  </w:r>
                </w:p>
              </w:tc>
              <w:tc>
                <w:tcPr>
                  <w:tcW w:w="560" w:type="pct"/>
                  <w:tcBorders>
                    <w:tl2br w:val="nil"/>
                    <w:tr2bl w:val="nil"/>
                  </w:tcBorders>
                  <w:noWrap w:val="0"/>
                  <w:tcMar>
                    <w:top w:w="0" w:type="dxa"/>
                    <w:left w:w="0" w:type="dxa"/>
                    <w:bottom w:w="0" w:type="dxa"/>
                    <w:right w:w="0" w:type="dxa"/>
                  </w:tcMar>
                  <w:vAlign w:val="center"/>
                </w:tcPr>
                <w:p w14:paraId="38862DD2">
                  <w:pPr>
                    <w:pStyle w:val="74"/>
                    <w:keepNext w:val="0"/>
                    <w:keepLines w:val="0"/>
                    <w:pageBreakBefore w:val="0"/>
                    <w:kinsoku/>
                    <w:wordWrap/>
                    <w:overflowPunct/>
                    <w:topLinePunct w:val="0"/>
                    <w:bidi w:val="0"/>
                    <w:spacing w:line="240" w:lineRule="auto"/>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间断</w:t>
                  </w:r>
                </w:p>
              </w:tc>
              <w:tc>
                <w:tcPr>
                  <w:tcW w:w="2414" w:type="pct"/>
                  <w:gridSpan w:val="2"/>
                  <w:vMerge w:val="continue"/>
                  <w:tcBorders>
                    <w:tl2br w:val="nil"/>
                    <w:tr2bl w:val="nil"/>
                  </w:tcBorders>
                  <w:noWrap w:val="0"/>
                  <w:tcMar>
                    <w:top w:w="0" w:type="dxa"/>
                    <w:left w:w="0" w:type="dxa"/>
                    <w:bottom w:w="0" w:type="dxa"/>
                    <w:right w:w="0" w:type="dxa"/>
                  </w:tcMar>
                  <w:vAlign w:val="center"/>
                </w:tcPr>
                <w:p w14:paraId="3A92ACE2">
                  <w:pPr>
                    <w:keepNext w:val="0"/>
                    <w:keepLines w:val="0"/>
                    <w:pageBreakBefore w:val="0"/>
                    <w:widowControl/>
                    <w:suppressLineNumbers w:val="0"/>
                    <w:kinsoku/>
                    <w:wordWrap/>
                    <w:overflowPunct/>
                    <w:topLinePunct w:val="0"/>
                    <w:bidi w:val="0"/>
                    <w:spacing w:line="240" w:lineRule="auto"/>
                    <w:jc w:val="left"/>
                    <w:textAlignment w:val="auto"/>
                    <w:rPr>
                      <w:rFonts w:hint="eastAsia" w:ascii="Times New Roman" w:hAnsi="Times New Roman" w:eastAsia="宋体" w:cs="Times New Roman"/>
                      <w:color w:val="auto"/>
                      <w:sz w:val="21"/>
                      <w:szCs w:val="21"/>
                      <w:highlight w:val="none"/>
                      <w:lang w:val="en-US" w:eastAsia="zh-CN"/>
                    </w:rPr>
                  </w:pPr>
                </w:p>
              </w:tc>
            </w:tr>
          </w:tbl>
          <w:p w14:paraId="204A52AB">
            <w:pPr>
              <w:bidi w:val="0"/>
              <w:rPr>
                <w:rFonts w:hint="default"/>
                <w:lang w:val="en-US" w:eastAsia="zh-CN"/>
              </w:rPr>
            </w:pPr>
          </w:p>
        </w:tc>
      </w:tr>
      <w:tr w14:paraId="0E4008F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52" w:type="dxa"/>
            <w:noWrap w:val="0"/>
            <w:vAlign w:val="center"/>
          </w:tcPr>
          <w:p w14:paraId="24487E5B">
            <w:pPr>
              <w:pStyle w:val="22"/>
              <w:adjustRightInd w:val="0"/>
              <w:snapToGrid w:val="0"/>
              <w:spacing w:before="0" w:beforeAutospacing="0" w:after="0" w:afterAutospacing="0"/>
              <w:jc w:val="center"/>
              <w:rPr>
                <w:rFonts w:cs="宋体"/>
                <w:sz w:val="24"/>
                <w:szCs w:val="24"/>
                <w:highlight w:val="none"/>
              </w:rPr>
            </w:pPr>
            <w:r>
              <w:rPr>
                <w:rFonts w:hint="eastAsia" w:cs="宋体"/>
                <w:bCs/>
                <w:kern w:val="2"/>
                <w:sz w:val="24"/>
                <w:szCs w:val="24"/>
                <w:highlight w:val="none"/>
              </w:rPr>
              <w:t>与项目有关的原有环境污染问题</w:t>
            </w:r>
          </w:p>
        </w:tc>
        <w:tc>
          <w:tcPr>
            <w:tcW w:w="8608" w:type="dxa"/>
            <w:noWrap w:val="0"/>
            <w:vAlign w:val="center"/>
          </w:tcPr>
          <w:p w14:paraId="374AD017">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jc w:val="both"/>
              <w:textAlignment w:val="auto"/>
              <w:rPr>
                <w:rFonts w:hint="eastAsia" w:ascii="宋体" w:hAnsi="宋体" w:eastAsia="宋体" w:cs="宋体"/>
                <w:b w:val="0"/>
                <w:bCs w:val="0"/>
                <w:color w:val="000000"/>
                <w:sz w:val="24"/>
                <w:szCs w:val="24"/>
                <w:highlight w:val="none"/>
                <w:lang w:val="en-US" w:eastAsia="zh-CN"/>
              </w:rPr>
            </w:pPr>
            <w:r>
              <w:rPr>
                <w:rFonts w:hint="eastAsia" w:ascii="Times New Roman" w:hAnsi="Times New Roman" w:eastAsia="宋体" w:cs="Times New Roman"/>
                <w:bCs/>
                <w:szCs w:val="21"/>
                <w:highlight w:val="none"/>
                <w:vertAlign w:val="baseline"/>
                <w:lang w:val="en-US" w:eastAsia="zh-CN"/>
              </w:rPr>
              <w:t>本项目属于新建项目，用地现状为空地，不存在与本项目有关的原有污染情况及主要环境问题。</w:t>
            </w:r>
          </w:p>
        </w:tc>
      </w:tr>
    </w:tbl>
    <w:p w14:paraId="3B136CEC">
      <w:pPr>
        <w:pStyle w:val="22"/>
        <w:jc w:val="center"/>
        <w:rPr>
          <w:rFonts w:ascii="黑体" w:hAnsi="黑体" w:eastAsia="黑体"/>
          <w:snapToGrid w:val="0"/>
          <w:sz w:val="36"/>
          <w:szCs w:val="36"/>
          <w:highlight w:val="none"/>
        </w:rPr>
        <w:sectPr>
          <w:pgSz w:w="11906" w:h="16838"/>
          <w:pgMar w:top="1701" w:right="1531" w:bottom="1701" w:left="1531" w:header="851" w:footer="851" w:gutter="0"/>
          <w:pgBorders>
            <w:top w:val="none" w:sz="0" w:space="0"/>
            <w:left w:val="none" w:sz="0" w:space="0"/>
            <w:bottom w:val="none" w:sz="0" w:space="0"/>
            <w:right w:val="none" w:sz="0" w:space="0"/>
          </w:pgBorders>
          <w:pgNumType w:fmt="decimal"/>
          <w:cols w:space="720" w:num="1"/>
          <w:docGrid w:linePitch="312" w:charSpace="0"/>
        </w:sectPr>
      </w:pPr>
    </w:p>
    <w:p w14:paraId="3042A72B">
      <w:pPr>
        <w:pStyle w:val="22"/>
        <w:adjustRightInd w:val="0"/>
        <w:snapToGrid w:val="0"/>
        <w:spacing w:before="0" w:beforeAutospacing="0" w:after="0" w:afterAutospacing="0" w:line="14" w:lineRule="auto"/>
        <w:jc w:val="center"/>
        <w:outlineLvl w:val="0"/>
        <w:rPr>
          <w:rFonts w:hint="eastAsia" w:ascii="黑体" w:hAnsi="黑体" w:eastAsia="黑体"/>
          <w:snapToGrid w:val="0"/>
          <w:sz w:val="30"/>
          <w:szCs w:val="30"/>
          <w:highlight w:val="none"/>
        </w:rPr>
      </w:pPr>
    </w:p>
    <w:p w14:paraId="2776D587">
      <w:pPr>
        <w:pStyle w:val="22"/>
        <w:jc w:val="center"/>
        <w:outlineLvl w:val="0"/>
        <w:rPr>
          <w:rFonts w:ascii="黑体" w:hAnsi="黑体" w:eastAsia="黑体"/>
          <w:snapToGrid w:val="0"/>
          <w:sz w:val="30"/>
          <w:szCs w:val="30"/>
          <w:highlight w:val="none"/>
        </w:rPr>
      </w:pPr>
      <w:bookmarkStart w:id="5" w:name="_Toc28636"/>
      <w:r>
        <w:rPr>
          <w:rFonts w:hint="eastAsia" w:ascii="黑体" w:hAnsi="黑体" w:eastAsia="黑体"/>
          <w:snapToGrid w:val="0"/>
          <w:sz w:val="30"/>
          <w:szCs w:val="30"/>
          <w:highlight w:val="none"/>
        </w:rPr>
        <w:t>三、区域环境质量现状、环境保护目标及评价标准</w:t>
      </w:r>
      <w:bookmarkEnd w:id="5"/>
    </w:p>
    <w:tbl>
      <w:tblPr>
        <w:tblStyle w:val="25"/>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00"/>
        <w:gridCol w:w="8190"/>
      </w:tblGrid>
      <w:tr w14:paraId="51CA992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906" w:hRule="atLeast"/>
          <w:jc w:val="center"/>
        </w:trPr>
        <w:tc>
          <w:tcPr>
            <w:tcW w:w="800" w:type="dxa"/>
            <w:noWrap w:val="0"/>
            <w:vAlign w:val="center"/>
          </w:tcPr>
          <w:p w14:paraId="28A9BDE1">
            <w:pPr>
              <w:adjustRightInd w:val="0"/>
              <w:snapToGrid w:val="0"/>
              <w:jc w:val="center"/>
              <w:rPr>
                <w:rFonts w:hint="eastAsia" w:ascii="宋体" w:hAnsi="宋体" w:cs="宋体"/>
                <w:kern w:val="0"/>
                <w:szCs w:val="21"/>
                <w:highlight w:val="none"/>
              </w:rPr>
            </w:pPr>
            <w:r>
              <w:rPr>
                <w:rFonts w:hint="eastAsia" w:ascii="宋体" w:hAnsi="宋体" w:cs="宋体"/>
                <w:kern w:val="0"/>
                <w:szCs w:val="21"/>
                <w:highlight w:val="none"/>
              </w:rPr>
              <w:t>区域</w:t>
            </w:r>
          </w:p>
          <w:p w14:paraId="17AFB7E8">
            <w:pPr>
              <w:adjustRightInd w:val="0"/>
              <w:snapToGrid w:val="0"/>
              <w:jc w:val="center"/>
              <w:rPr>
                <w:rFonts w:hint="eastAsia" w:ascii="宋体" w:hAnsi="宋体" w:cs="宋体"/>
                <w:kern w:val="0"/>
                <w:szCs w:val="21"/>
                <w:highlight w:val="none"/>
              </w:rPr>
            </w:pPr>
            <w:r>
              <w:rPr>
                <w:rFonts w:hint="eastAsia" w:ascii="宋体" w:hAnsi="宋体" w:cs="宋体"/>
                <w:kern w:val="0"/>
                <w:szCs w:val="21"/>
                <w:highlight w:val="none"/>
              </w:rPr>
              <w:t>环境</w:t>
            </w:r>
          </w:p>
          <w:p w14:paraId="30BB54D4">
            <w:pPr>
              <w:adjustRightInd w:val="0"/>
              <w:snapToGrid w:val="0"/>
              <w:jc w:val="center"/>
              <w:rPr>
                <w:rFonts w:hint="eastAsia" w:ascii="宋体" w:hAnsi="宋体" w:cs="宋体"/>
                <w:kern w:val="0"/>
                <w:szCs w:val="21"/>
                <w:highlight w:val="none"/>
              </w:rPr>
            </w:pPr>
            <w:r>
              <w:rPr>
                <w:rFonts w:hint="eastAsia" w:ascii="宋体" w:hAnsi="宋体" w:cs="宋体"/>
                <w:kern w:val="0"/>
                <w:szCs w:val="21"/>
                <w:highlight w:val="none"/>
              </w:rPr>
              <w:t>质量</w:t>
            </w:r>
          </w:p>
          <w:p w14:paraId="6432AC28">
            <w:pPr>
              <w:adjustRightInd w:val="0"/>
              <w:snapToGrid w:val="0"/>
              <w:jc w:val="center"/>
              <w:rPr>
                <w:rFonts w:ascii="宋体" w:hAnsi="宋体" w:cs="宋体"/>
                <w:kern w:val="0"/>
                <w:szCs w:val="21"/>
                <w:highlight w:val="none"/>
              </w:rPr>
            </w:pPr>
            <w:r>
              <w:rPr>
                <w:rFonts w:hint="eastAsia" w:ascii="宋体" w:hAnsi="宋体" w:cs="宋体"/>
                <w:kern w:val="0"/>
                <w:szCs w:val="21"/>
                <w:highlight w:val="none"/>
              </w:rPr>
              <w:t>现状</w:t>
            </w:r>
          </w:p>
        </w:tc>
        <w:tc>
          <w:tcPr>
            <w:tcW w:w="8190" w:type="dxa"/>
            <w:noWrap w:val="0"/>
            <w:vAlign w:val="center"/>
          </w:tcPr>
          <w:p w14:paraId="49669334">
            <w:pPr>
              <w:keepNext w:val="0"/>
              <w:keepLines w:val="0"/>
              <w:pageBreakBefore w:val="0"/>
              <w:widowControl w:val="0"/>
              <w:tabs>
                <w:tab w:val="left" w:pos="320"/>
              </w:tabs>
              <w:kinsoku/>
              <w:wordWrap/>
              <w:overflowPunct/>
              <w:topLinePunct w:val="0"/>
              <w:autoSpaceDE/>
              <w:autoSpaceDN/>
              <w:bidi w:val="0"/>
              <w:adjustRightInd/>
              <w:snapToGrid/>
              <w:spacing w:line="500" w:lineRule="exact"/>
              <w:textAlignment w:val="auto"/>
              <w:rPr>
                <w:b/>
                <w:bCs/>
                <w:sz w:val="24"/>
                <w:szCs w:val="32"/>
                <w:highlight w:val="none"/>
              </w:rPr>
            </w:pPr>
            <w:r>
              <w:rPr>
                <w:rFonts w:hint="eastAsia"/>
                <w:b/>
                <w:bCs/>
                <w:sz w:val="24"/>
                <w:szCs w:val="32"/>
                <w:highlight w:val="none"/>
                <w:lang w:val="en-US" w:eastAsia="zh-CN"/>
              </w:rPr>
              <w:t>1、</w:t>
            </w:r>
            <w:r>
              <w:rPr>
                <w:b/>
                <w:bCs/>
                <w:sz w:val="24"/>
                <w:szCs w:val="32"/>
                <w:highlight w:val="none"/>
              </w:rPr>
              <w:t>环境空气</w:t>
            </w:r>
          </w:p>
          <w:p w14:paraId="3AED13A7">
            <w:pPr>
              <w:keepNext w:val="0"/>
              <w:keepLines w:val="0"/>
              <w:pageBreakBefore w:val="0"/>
              <w:widowControl w:val="0"/>
              <w:kinsoku/>
              <w:wordWrap/>
              <w:overflowPunct/>
              <w:topLinePunct w:val="0"/>
              <w:autoSpaceDE/>
              <w:autoSpaceDN/>
              <w:bidi w:val="0"/>
              <w:spacing w:line="500" w:lineRule="exact"/>
              <w:ind w:firstLine="480" w:firstLineChars="200"/>
              <w:textAlignment w:val="auto"/>
              <w:rPr>
                <w:sz w:val="24"/>
                <w:szCs w:val="32"/>
                <w:highlight w:val="none"/>
              </w:rPr>
            </w:pPr>
            <w:r>
              <w:rPr>
                <w:rFonts w:hint="eastAsia"/>
                <w:sz w:val="24"/>
                <w:szCs w:val="32"/>
                <w:highlight w:val="none"/>
              </w:rPr>
              <w:t>（1）</w:t>
            </w:r>
            <w:r>
              <w:rPr>
                <w:sz w:val="24"/>
                <w:szCs w:val="32"/>
                <w:highlight w:val="none"/>
              </w:rPr>
              <w:t>空气质量达标区判定</w:t>
            </w:r>
          </w:p>
          <w:p w14:paraId="112D45E3">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textAlignment w:val="auto"/>
              <w:rPr>
                <w:sz w:val="24"/>
                <w:szCs w:val="32"/>
                <w:highlight w:val="none"/>
              </w:rPr>
            </w:pPr>
            <w:r>
              <w:rPr>
                <w:rFonts w:hint="eastAsia"/>
                <w:sz w:val="24"/>
                <w:szCs w:val="32"/>
                <w:highlight w:val="none"/>
                <w:lang w:val="en-US" w:eastAsia="zh-CN"/>
              </w:rPr>
              <w:t>环境空气质量现状数据引用</w:t>
            </w:r>
            <w:r>
              <w:rPr>
                <w:sz w:val="24"/>
                <w:szCs w:val="32"/>
                <w:highlight w:val="none"/>
              </w:rPr>
              <w:t>20</w:t>
            </w:r>
            <w:r>
              <w:rPr>
                <w:rFonts w:hint="eastAsia"/>
                <w:sz w:val="24"/>
                <w:szCs w:val="32"/>
                <w:highlight w:val="none"/>
                <w:lang w:val="en-US" w:eastAsia="zh-CN"/>
              </w:rPr>
              <w:t>23</w:t>
            </w:r>
            <w:r>
              <w:rPr>
                <w:sz w:val="24"/>
                <w:szCs w:val="32"/>
                <w:highlight w:val="none"/>
              </w:rPr>
              <w:t>年</w:t>
            </w:r>
            <w:r>
              <w:rPr>
                <w:rFonts w:hint="eastAsia"/>
                <w:sz w:val="24"/>
                <w:szCs w:val="32"/>
                <w:highlight w:val="none"/>
                <w:lang w:val="en-US" w:eastAsia="zh-CN"/>
              </w:rPr>
              <w:t>唐山市生态环境状况公报中数据。</w:t>
            </w:r>
          </w:p>
          <w:p w14:paraId="6D021042">
            <w:pPr>
              <w:pStyle w:val="51"/>
              <w:keepNext w:val="0"/>
              <w:keepLines w:val="0"/>
              <w:pageBreakBefore w:val="0"/>
              <w:widowControl w:val="0"/>
              <w:kinsoku/>
              <w:wordWrap/>
              <w:overflowPunct/>
              <w:topLinePunct w:val="0"/>
              <w:autoSpaceDE/>
              <w:autoSpaceDN/>
              <w:bidi w:val="0"/>
              <w:spacing w:line="500" w:lineRule="exact"/>
              <w:ind w:firstLine="454"/>
              <w:textAlignment w:val="auto"/>
              <w:rPr>
                <w:sz w:val="24"/>
                <w:szCs w:val="32"/>
                <w:highlight w:val="none"/>
              </w:rPr>
            </w:pPr>
            <w:r>
              <w:rPr>
                <w:rFonts w:hint="eastAsia"/>
                <w:sz w:val="24"/>
                <w:szCs w:val="32"/>
                <w:highlight w:val="none"/>
              </w:rPr>
              <w:t>202</w:t>
            </w:r>
            <w:r>
              <w:rPr>
                <w:rFonts w:hint="eastAsia"/>
                <w:sz w:val="24"/>
                <w:szCs w:val="32"/>
                <w:highlight w:val="none"/>
                <w:lang w:val="en-US" w:eastAsia="zh-CN"/>
              </w:rPr>
              <w:t>3</w:t>
            </w:r>
            <w:r>
              <w:rPr>
                <w:rFonts w:hint="eastAsia"/>
                <w:sz w:val="24"/>
                <w:szCs w:val="32"/>
                <w:highlight w:val="none"/>
              </w:rPr>
              <w:t>年，全市细颗粒物（PM</w:t>
            </w:r>
            <w:r>
              <w:rPr>
                <w:rFonts w:hint="eastAsia"/>
                <w:sz w:val="24"/>
                <w:szCs w:val="32"/>
                <w:highlight w:val="none"/>
                <w:vertAlign w:val="subscript"/>
              </w:rPr>
              <w:t>2.5</w:t>
            </w:r>
            <w:r>
              <w:rPr>
                <w:rFonts w:hint="eastAsia"/>
                <w:sz w:val="24"/>
                <w:szCs w:val="32"/>
                <w:highlight w:val="none"/>
              </w:rPr>
              <w:t>）年均浓度为</w:t>
            </w:r>
            <w:r>
              <w:rPr>
                <w:rFonts w:hint="eastAsia"/>
                <w:sz w:val="24"/>
                <w:szCs w:val="32"/>
                <w:highlight w:val="none"/>
                <w:lang w:val="en-US" w:eastAsia="zh-CN"/>
              </w:rPr>
              <w:t>40</w:t>
            </w:r>
            <w:r>
              <w:rPr>
                <w:rFonts w:hint="eastAsia"/>
                <w:sz w:val="24"/>
                <w:szCs w:val="32"/>
                <w:highlight w:val="none"/>
              </w:rPr>
              <w:t>微克/立方米，可吸入颗粒物（PM</w:t>
            </w:r>
            <w:r>
              <w:rPr>
                <w:rFonts w:hint="eastAsia"/>
                <w:sz w:val="24"/>
                <w:szCs w:val="32"/>
                <w:highlight w:val="none"/>
                <w:vertAlign w:val="subscript"/>
              </w:rPr>
              <w:t>10</w:t>
            </w:r>
            <w:r>
              <w:rPr>
                <w:rFonts w:hint="eastAsia"/>
                <w:sz w:val="24"/>
                <w:szCs w:val="32"/>
                <w:highlight w:val="none"/>
              </w:rPr>
              <w:t>）年均浓度为</w:t>
            </w:r>
            <w:r>
              <w:rPr>
                <w:rFonts w:hint="eastAsia"/>
                <w:sz w:val="24"/>
                <w:szCs w:val="32"/>
                <w:highlight w:val="none"/>
                <w:lang w:val="en-US" w:eastAsia="zh-CN"/>
              </w:rPr>
              <w:t>74</w:t>
            </w:r>
            <w:r>
              <w:rPr>
                <w:rFonts w:hint="eastAsia"/>
                <w:sz w:val="24"/>
                <w:szCs w:val="32"/>
                <w:highlight w:val="none"/>
              </w:rPr>
              <w:t>微克/立方米，二氧化硫（SO</w:t>
            </w:r>
            <w:r>
              <w:rPr>
                <w:rFonts w:hint="eastAsia"/>
                <w:sz w:val="24"/>
                <w:szCs w:val="32"/>
                <w:highlight w:val="none"/>
                <w:vertAlign w:val="subscript"/>
              </w:rPr>
              <w:t>2</w:t>
            </w:r>
            <w:r>
              <w:rPr>
                <w:rFonts w:hint="eastAsia"/>
                <w:sz w:val="24"/>
                <w:szCs w:val="32"/>
                <w:highlight w:val="none"/>
              </w:rPr>
              <w:t>）年均浓度为</w:t>
            </w:r>
            <w:r>
              <w:rPr>
                <w:rFonts w:hint="eastAsia"/>
                <w:sz w:val="24"/>
                <w:szCs w:val="32"/>
                <w:highlight w:val="none"/>
                <w:lang w:val="en-US" w:eastAsia="zh-CN"/>
              </w:rPr>
              <w:t>7</w:t>
            </w:r>
            <w:r>
              <w:rPr>
                <w:rFonts w:hint="eastAsia"/>
                <w:sz w:val="24"/>
                <w:szCs w:val="32"/>
                <w:highlight w:val="none"/>
              </w:rPr>
              <w:t>微克/立方米，二氧化氮（NO</w:t>
            </w:r>
            <w:r>
              <w:rPr>
                <w:rFonts w:hint="eastAsia"/>
                <w:sz w:val="24"/>
                <w:szCs w:val="32"/>
                <w:highlight w:val="none"/>
                <w:vertAlign w:val="subscript"/>
              </w:rPr>
              <w:t>2</w:t>
            </w:r>
            <w:r>
              <w:rPr>
                <w:rFonts w:hint="eastAsia"/>
                <w:sz w:val="24"/>
                <w:szCs w:val="32"/>
                <w:highlight w:val="none"/>
              </w:rPr>
              <w:t>）年均浓度为</w:t>
            </w:r>
            <w:r>
              <w:rPr>
                <w:rFonts w:hint="eastAsia"/>
                <w:sz w:val="24"/>
                <w:szCs w:val="32"/>
                <w:highlight w:val="none"/>
                <w:lang w:val="en-US" w:eastAsia="zh-CN"/>
              </w:rPr>
              <w:t>33</w:t>
            </w:r>
            <w:r>
              <w:rPr>
                <w:rFonts w:hint="eastAsia"/>
                <w:sz w:val="24"/>
                <w:szCs w:val="32"/>
                <w:highlight w:val="none"/>
              </w:rPr>
              <w:t>微克/立方米，一氧化碳（CO）日均值第95百分位浓度平均为1.5毫克/立方米，臭氧（O</w:t>
            </w:r>
            <w:r>
              <w:rPr>
                <w:rFonts w:hint="eastAsia"/>
                <w:sz w:val="24"/>
                <w:szCs w:val="32"/>
                <w:highlight w:val="none"/>
                <w:vertAlign w:val="subscript"/>
              </w:rPr>
              <w:t>3</w:t>
            </w:r>
            <w:r>
              <w:rPr>
                <w:rFonts w:hint="eastAsia"/>
                <w:sz w:val="24"/>
                <w:szCs w:val="32"/>
                <w:highlight w:val="none"/>
              </w:rPr>
              <w:t>）日最大8小时平均第90百分位浓度平均为18</w:t>
            </w:r>
            <w:r>
              <w:rPr>
                <w:rFonts w:hint="eastAsia"/>
                <w:sz w:val="24"/>
                <w:szCs w:val="32"/>
                <w:highlight w:val="none"/>
                <w:lang w:val="en-US" w:eastAsia="zh-CN"/>
              </w:rPr>
              <w:t>1</w:t>
            </w:r>
            <w:r>
              <w:rPr>
                <w:rFonts w:hint="eastAsia"/>
                <w:sz w:val="24"/>
                <w:szCs w:val="32"/>
                <w:highlight w:val="none"/>
              </w:rPr>
              <w:t>微克/立方米。</w:t>
            </w:r>
          </w:p>
          <w:p w14:paraId="7FEF6AFD">
            <w:pPr>
              <w:keepNext w:val="0"/>
              <w:keepLines w:val="0"/>
              <w:pageBreakBefore w:val="0"/>
              <w:widowControl w:val="0"/>
              <w:kinsoku/>
              <w:wordWrap/>
              <w:overflowPunct/>
              <w:topLinePunct w:val="0"/>
              <w:autoSpaceDE/>
              <w:autoSpaceDN/>
              <w:bidi w:val="0"/>
              <w:adjustRightInd/>
              <w:snapToGrid/>
              <w:spacing w:line="480" w:lineRule="exact"/>
              <w:ind w:firstLine="482" w:firstLineChars="200"/>
              <w:jc w:val="center"/>
              <w:textAlignment w:val="auto"/>
              <w:rPr>
                <w:b/>
                <w:bCs/>
                <w:sz w:val="24"/>
                <w:szCs w:val="32"/>
                <w:highlight w:val="none"/>
              </w:rPr>
            </w:pPr>
            <w:r>
              <w:rPr>
                <w:b/>
                <w:bCs/>
                <w:sz w:val="24"/>
                <w:szCs w:val="32"/>
                <w:highlight w:val="none"/>
              </w:rPr>
              <w:t>表</w:t>
            </w:r>
            <w:r>
              <w:rPr>
                <w:rFonts w:hint="eastAsia"/>
                <w:b/>
                <w:bCs/>
                <w:sz w:val="24"/>
                <w:szCs w:val="32"/>
                <w:highlight w:val="none"/>
                <w:lang w:val="en-US" w:eastAsia="zh-CN"/>
              </w:rPr>
              <w:t>3-1</w:t>
            </w:r>
            <w:r>
              <w:rPr>
                <w:b/>
                <w:bCs/>
                <w:sz w:val="24"/>
                <w:szCs w:val="32"/>
                <w:highlight w:val="none"/>
              </w:rPr>
              <w:t xml:space="preserve"> 区域空气质量现状评价表</w:t>
            </w:r>
          </w:p>
          <w:tbl>
            <w:tblPr>
              <w:tblStyle w:val="25"/>
              <w:tblW w:w="0" w:type="auto"/>
              <w:jc w:val="center"/>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Layout w:type="fixed"/>
              <w:tblCellMar>
                <w:top w:w="0" w:type="dxa"/>
                <w:left w:w="108" w:type="dxa"/>
                <w:bottom w:w="0" w:type="dxa"/>
                <w:right w:w="108" w:type="dxa"/>
              </w:tblCellMar>
            </w:tblPr>
            <w:tblGrid>
              <w:gridCol w:w="925"/>
              <w:gridCol w:w="2549"/>
              <w:gridCol w:w="1455"/>
              <w:gridCol w:w="1575"/>
              <w:gridCol w:w="1437"/>
            </w:tblGrid>
            <w:tr w14:paraId="2EBC1616">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cantSplit/>
                <w:trHeight w:val="510" w:hRule="atLeast"/>
                <w:jc w:val="center"/>
              </w:trPr>
              <w:tc>
                <w:tcPr>
                  <w:tcW w:w="925" w:type="dxa"/>
                  <w:tcBorders>
                    <w:tl2br w:val="nil"/>
                    <w:tr2bl w:val="nil"/>
                  </w:tcBorders>
                  <w:noWrap w:val="0"/>
                  <w:vAlign w:val="center"/>
                </w:tcPr>
                <w:p w14:paraId="556857CA">
                  <w:pPr>
                    <w:keepNext w:val="0"/>
                    <w:keepLines w:val="0"/>
                    <w:pageBreakBefore w:val="0"/>
                    <w:kinsoku/>
                    <w:wordWrap/>
                    <w:overflowPunct/>
                    <w:topLinePunct w:val="0"/>
                    <w:autoSpaceDE/>
                    <w:autoSpaceDN/>
                    <w:bidi w:val="0"/>
                    <w:adjustRightInd/>
                    <w:snapToGrid/>
                    <w:spacing w:line="240" w:lineRule="auto"/>
                    <w:ind w:right="28"/>
                    <w:jc w:val="center"/>
                    <w:textAlignment w:val="auto"/>
                    <w:rPr>
                      <w:sz w:val="21"/>
                      <w:szCs w:val="21"/>
                      <w:highlight w:val="none"/>
                    </w:rPr>
                  </w:pPr>
                  <w:r>
                    <w:rPr>
                      <w:sz w:val="21"/>
                      <w:szCs w:val="21"/>
                      <w:highlight w:val="none"/>
                    </w:rPr>
                    <w:t>污染物</w:t>
                  </w:r>
                </w:p>
              </w:tc>
              <w:tc>
                <w:tcPr>
                  <w:tcW w:w="2549" w:type="dxa"/>
                  <w:tcBorders>
                    <w:tl2br w:val="nil"/>
                    <w:tr2bl w:val="nil"/>
                  </w:tcBorders>
                  <w:noWrap w:val="0"/>
                  <w:vAlign w:val="center"/>
                </w:tcPr>
                <w:p w14:paraId="05EFCC0C">
                  <w:pPr>
                    <w:keepNext w:val="0"/>
                    <w:keepLines w:val="0"/>
                    <w:pageBreakBefore w:val="0"/>
                    <w:kinsoku/>
                    <w:wordWrap/>
                    <w:overflowPunct/>
                    <w:topLinePunct w:val="0"/>
                    <w:autoSpaceDE/>
                    <w:autoSpaceDN/>
                    <w:bidi w:val="0"/>
                    <w:adjustRightInd/>
                    <w:snapToGrid/>
                    <w:spacing w:line="240" w:lineRule="auto"/>
                    <w:ind w:right="28"/>
                    <w:jc w:val="center"/>
                    <w:textAlignment w:val="auto"/>
                    <w:rPr>
                      <w:sz w:val="21"/>
                      <w:szCs w:val="21"/>
                      <w:highlight w:val="none"/>
                    </w:rPr>
                  </w:pPr>
                  <w:r>
                    <w:rPr>
                      <w:sz w:val="21"/>
                      <w:szCs w:val="21"/>
                      <w:highlight w:val="none"/>
                    </w:rPr>
                    <w:t>年评价指标</w:t>
                  </w:r>
                </w:p>
              </w:tc>
              <w:tc>
                <w:tcPr>
                  <w:tcW w:w="1455" w:type="dxa"/>
                  <w:tcBorders>
                    <w:tl2br w:val="nil"/>
                    <w:tr2bl w:val="nil"/>
                  </w:tcBorders>
                  <w:noWrap w:val="0"/>
                  <w:vAlign w:val="center"/>
                </w:tcPr>
                <w:p w14:paraId="1E60242C">
                  <w:pPr>
                    <w:keepNext w:val="0"/>
                    <w:keepLines w:val="0"/>
                    <w:pageBreakBefore w:val="0"/>
                    <w:kinsoku/>
                    <w:wordWrap/>
                    <w:overflowPunct/>
                    <w:topLinePunct w:val="0"/>
                    <w:autoSpaceDE/>
                    <w:autoSpaceDN/>
                    <w:bidi w:val="0"/>
                    <w:adjustRightInd/>
                    <w:snapToGrid/>
                    <w:spacing w:line="240" w:lineRule="auto"/>
                    <w:jc w:val="center"/>
                    <w:textAlignment w:val="auto"/>
                    <w:rPr>
                      <w:sz w:val="21"/>
                      <w:szCs w:val="21"/>
                      <w:highlight w:val="none"/>
                    </w:rPr>
                  </w:pPr>
                  <w:r>
                    <w:rPr>
                      <w:sz w:val="21"/>
                      <w:szCs w:val="21"/>
                      <w:highlight w:val="none"/>
                    </w:rPr>
                    <w:t>现状浓度（μg/</w:t>
                  </w:r>
                  <w:r>
                    <w:rPr>
                      <w:rFonts w:hint="eastAsia"/>
                      <w:sz w:val="21"/>
                      <w:szCs w:val="21"/>
                      <w:highlight w:val="none"/>
                      <w:lang w:eastAsia="zh-CN"/>
                    </w:rPr>
                    <w:t>m</w:t>
                  </w:r>
                  <w:r>
                    <w:rPr>
                      <w:rFonts w:hint="eastAsia"/>
                      <w:sz w:val="21"/>
                      <w:szCs w:val="21"/>
                      <w:highlight w:val="none"/>
                      <w:vertAlign w:val="superscript"/>
                      <w:lang w:val="en-US" w:eastAsia="zh-CN"/>
                    </w:rPr>
                    <w:t>3</w:t>
                  </w:r>
                  <w:r>
                    <w:rPr>
                      <w:sz w:val="21"/>
                      <w:szCs w:val="21"/>
                      <w:highlight w:val="none"/>
                    </w:rPr>
                    <w:t>）</w:t>
                  </w:r>
                </w:p>
              </w:tc>
              <w:tc>
                <w:tcPr>
                  <w:tcW w:w="1575" w:type="dxa"/>
                  <w:tcBorders>
                    <w:tl2br w:val="nil"/>
                    <w:tr2bl w:val="nil"/>
                  </w:tcBorders>
                  <w:noWrap w:val="0"/>
                  <w:vAlign w:val="center"/>
                </w:tcPr>
                <w:p w14:paraId="38196AD2">
                  <w:pPr>
                    <w:keepNext w:val="0"/>
                    <w:keepLines w:val="0"/>
                    <w:pageBreakBefore w:val="0"/>
                    <w:kinsoku/>
                    <w:wordWrap/>
                    <w:overflowPunct/>
                    <w:topLinePunct w:val="0"/>
                    <w:autoSpaceDE/>
                    <w:autoSpaceDN/>
                    <w:bidi w:val="0"/>
                    <w:adjustRightInd/>
                    <w:snapToGrid/>
                    <w:spacing w:line="240" w:lineRule="auto"/>
                    <w:jc w:val="center"/>
                    <w:textAlignment w:val="auto"/>
                    <w:rPr>
                      <w:sz w:val="21"/>
                      <w:szCs w:val="21"/>
                      <w:highlight w:val="none"/>
                    </w:rPr>
                  </w:pPr>
                  <w:r>
                    <w:rPr>
                      <w:sz w:val="21"/>
                      <w:szCs w:val="21"/>
                      <w:highlight w:val="none"/>
                    </w:rPr>
                    <w:t>标准值</w:t>
                  </w:r>
                </w:p>
                <w:p w14:paraId="6FE4237D">
                  <w:pPr>
                    <w:keepNext w:val="0"/>
                    <w:keepLines w:val="0"/>
                    <w:pageBreakBefore w:val="0"/>
                    <w:kinsoku/>
                    <w:wordWrap/>
                    <w:overflowPunct/>
                    <w:topLinePunct w:val="0"/>
                    <w:autoSpaceDE/>
                    <w:autoSpaceDN/>
                    <w:bidi w:val="0"/>
                    <w:adjustRightInd/>
                    <w:snapToGrid/>
                    <w:spacing w:line="240" w:lineRule="auto"/>
                    <w:jc w:val="center"/>
                    <w:textAlignment w:val="auto"/>
                    <w:rPr>
                      <w:sz w:val="21"/>
                      <w:szCs w:val="21"/>
                      <w:highlight w:val="none"/>
                    </w:rPr>
                  </w:pPr>
                  <w:r>
                    <w:rPr>
                      <w:sz w:val="21"/>
                      <w:szCs w:val="21"/>
                      <w:highlight w:val="none"/>
                    </w:rPr>
                    <w:t>（μg/</w:t>
                  </w:r>
                  <w:r>
                    <w:rPr>
                      <w:rFonts w:hint="eastAsia"/>
                      <w:sz w:val="21"/>
                      <w:szCs w:val="21"/>
                      <w:highlight w:val="none"/>
                      <w:lang w:val="en-US" w:eastAsia="zh-CN"/>
                    </w:rPr>
                    <w:t>m</w:t>
                  </w:r>
                  <w:r>
                    <w:rPr>
                      <w:rFonts w:hint="eastAsia"/>
                      <w:sz w:val="21"/>
                      <w:szCs w:val="21"/>
                      <w:highlight w:val="none"/>
                      <w:vertAlign w:val="superscript"/>
                      <w:lang w:val="en-US" w:eastAsia="zh-CN"/>
                    </w:rPr>
                    <w:t>3</w:t>
                  </w:r>
                  <w:r>
                    <w:rPr>
                      <w:sz w:val="21"/>
                      <w:szCs w:val="21"/>
                      <w:highlight w:val="none"/>
                    </w:rPr>
                    <w:t>）</w:t>
                  </w:r>
                </w:p>
              </w:tc>
              <w:tc>
                <w:tcPr>
                  <w:tcW w:w="1437" w:type="dxa"/>
                  <w:tcBorders>
                    <w:tl2br w:val="nil"/>
                    <w:tr2bl w:val="nil"/>
                  </w:tcBorders>
                  <w:noWrap w:val="0"/>
                  <w:vAlign w:val="center"/>
                </w:tcPr>
                <w:p w14:paraId="7A603970">
                  <w:pPr>
                    <w:keepNext w:val="0"/>
                    <w:keepLines w:val="0"/>
                    <w:pageBreakBefore w:val="0"/>
                    <w:widowControl/>
                    <w:kinsoku/>
                    <w:wordWrap/>
                    <w:overflowPunct/>
                    <w:topLinePunct w:val="0"/>
                    <w:autoSpaceDE/>
                    <w:autoSpaceDN/>
                    <w:bidi w:val="0"/>
                    <w:adjustRightInd/>
                    <w:snapToGrid/>
                    <w:spacing w:line="240" w:lineRule="auto"/>
                    <w:jc w:val="center"/>
                    <w:textAlignment w:val="auto"/>
                    <w:rPr>
                      <w:sz w:val="21"/>
                      <w:szCs w:val="21"/>
                      <w:highlight w:val="none"/>
                    </w:rPr>
                  </w:pPr>
                  <w:r>
                    <w:rPr>
                      <w:sz w:val="21"/>
                      <w:szCs w:val="21"/>
                      <w:highlight w:val="none"/>
                    </w:rPr>
                    <w:t>达标情况</w:t>
                  </w:r>
                </w:p>
              </w:tc>
            </w:tr>
            <w:tr w14:paraId="7FA22888">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cantSplit/>
                <w:trHeight w:val="510" w:hRule="atLeast"/>
                <w:jc w:val="center"/>
              </w:trPr>
              <w:tc>
                <w:tcPr>
                  <w:tcW w:w="925" w:type="dxa"/>
                  <w:tcBorders>
                    <w:tl2br w:val="nil"/>
                    <w:tr2bl w:val="nil"/>
                  </w:tcBorders>
                  <w:noWrap w:val="0"/>
                  <w:vAlign w:val="center"/>
                </w:tcPr>
                <w:p w14:paraId="0D3F0F31">
                  <w:pPr>
                    <w:keepNext w:val="0"/>
                    <w:keepLines w:val="0"/>
                    <w:pageBreakBefore w:val="0"/>
                    <w:kinsoku/>
                    <w:wordWrap/>
                    <w:overflowPunct/>
                    <w:topLinePunct w:val="0"/>
                    <w:autoSpaceDE/>
                    <w:autoSpaceDN/>
                    <w:bidi w:val="0"/>
                    <w:adjustRightInd/>
                    <w:snapToGrid/>
                    <w:spacing w:line="240" w:lineRule="auto"/>
                    <w:ind w:right="28"/>
                    <w:jc w:val="center"/>
                    <w:textAlignment w:val="auto"/>
                    <w:rPr>
                      <w:rFonts w:hint="eastAsia" w:eastAsia="宋体"/>
                      <w:sz w:val="21"/>
                      <w:szCs w:val="21"/>
                      <w:highlight w:val="none"/>
                      <w:vertAlign w:val="subscript"/>
                      <w:lang w:val="en-US" w:eastAsia="zh-CN"/>
                    </w:rPr>
                  </w:pPr>
                  <w:r>
                    <w:rPr>
                      <w:sz w:val="21"/>
                      <w:szCs w:val="21"/>
                      <w:highlight w:val="none"/>
                    </w:rPr>
                    <w:t>SO</w:t>
                  </w:r>
                  <w:r>
                    <w:rPr>
                      <w:rFonts w:hint="eastAsia"/>
                      <w:sz w:val="21"/>
                      <w:szCs w:val="21"/>
                      <w:highlight w:val="none"/>
                      <w:vertAlign w:val="subscript"/>
                      <w:lang w:val="en-US" w:eastAsia="zh-CN"/>
                    </w:rPr>
                    <w:t>2</w:t>
                  </w:r>
                </w:p>
              </w:tc>
              <w:tc>
                <w:tcPr>
                  <w:tcW w:w="2549" w:type="dxa"/>
                  <w:tcBorders>
                    <w:tl2br w:val="nil"/>
                    <w:tr2bl w:val="nil"/>
                  </w:tcBorders>
                  <w:noWrap w:val="0"/>
                  <w:vAlign w:val="center"/>
                </w:tcPr>
                <w:p w14:paraId="5AAEFE77">
                  <w:pPr>
                    <w:keepNext w:val="0"/>
                    <w:keepLines w:val="0"/>
                    <w:pageBreakBefore w:val="0"/>
                    <w:kinsoku/>
                    <w:wordWrap/>
                    <w:overflowPunct/>
                    <w:topLinePunct w:val="0"/>
                    <w:autoSpaceDE/>
                    <w:autoSpaceDN/>
                    <w:bidi w:val="0"/>
                    <w:adjustRightInd/>
                    <w:snapToGrid/>
                    <w:spacing w:line="240" w:lineRule="auto"/>
                    <w:ind w:right="28"/>
                    <w:jc w:val="center"/>
                    <w:textAlignment w:val="auto"/>
                    <w:rPr>
                      <w:sz w:val="21"/>
                      <w:szCs w:val="21"/>
                      <w:highlight w:val="none"/>
                    </w:rPr>
                  </w:pPr>
                  <w:r>
                    <w:rPr>
                      <w:sz w:val="21"/>
                      <w:szCs w:val="21"/>
                      <w:highlight w:val="none"/>
                    </w:rPr>
                    <w:t>年平均质量浓度值</w:t>
                  </w:r>
                </w:p>
              </w:tc>
              <w:tc>
                <w:tcPr>
                  <w:tcW w:w="1455" w:type="dxa"/>
                  <w:tcBorders>
                    <w:tl2br w:val="nil"/>
                    <w:tr2bl w:val="nil"/>
                  </w:tcBorders>
                  <w:noWrap w:val="0"/>
                  <w:vAlign w:val="center"/>
                </w:tcPr>
                <w:p w14:paraId="71DA0B4F">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sz w:val="21"/>
                      <w:szCs w:val="21"/>
                      <w:highlight w:val="none"/>
                      <w:lang w:val="en-US" w:eastAsia="zh-CN"/>
                    </w:rPr>
                  </w:pPr>
                  <w:r>
                    <w:rPr>
                      <w:rFonts w:hint="eastAsia"/>
                      <w:sz w:val="21"/>
                      <w:szCs w:val="21"/>
                      <w:highlight w:val="none"/>
                      <w:lang w:val="en-US" w:eastAsia="zh-CN"/>
                    </w:rPr>
                    <w:t>7</w:t>
                  </w:r>
                </w:p>
              </w:tc>
              <w:tc>
                <w:tcPr>
                  <w:tcW w:w="1575" w:type="dxa"/>
                  <w:tcBorders>
                    <w:tl2br w:val="nil"/>
                    <w:tr2bl w:val="nil"/>
                  </w:tcBorders>
                  <w:noWrap w:val="0"/>
                  <w:vAlign w:val="center"/>
                </w:tcPr>
                <w:p w14:paraId="33AC74AE">
                  <w:pPr>
                    <w:keepNext w:val="0"/>
                    <w:keepLines w:val="0"/>
                    <w:pageBreakBefore w:val="0"/>
                    <w:kinsoku/>
                    <w:wordWrap/>
                    <w:overflowPunct/>
                    <w:topLinePunct w:val="0"/>
                    <w:autoSpaceDE/>
                    <w:autoSpaceDN/>
                    <w:bidi w:val="0"/>
                    <w:adjustRightInd/>
                    <w:snapToGrid/>
                    <w:spacing w:line="240" w:lineRule="auto"/>
                    <w:ind w:right="28"/>
                    <w:jc w:val="center"/>
                    <w:textAlignment w:val="auto"/>
                    <w:rPr>
                      <w:sz w:val="21"/>
                      <w:szCs w:val="21"/>
                      <w:highlight w:val="none"/>
                    </w:rPr>
                  </w:pPr>
                  <w:r>
                    <w:rPr>
                      <w:sz w:val="21"/>
                      <w:szCs w:val="21"/>
                      <w:highlight w:val="none"/>
                    </w:rPr>
                    <w:t>60</w:t>
                  </w:r>
                </w:p>
              </w:tc>
              <w:tc>
                <w:tcPr>
                  <w:tcW w:w="1437" w:type="dxa"/>
                  <w:tcBorders>
                    <w:tl2br w:val="nil"/>
                    <w:tr2bl w:val="nil"/>
                  </w:tcBorders>
                  <w:noWrap w:val="0"/>
                  <w:vAlign w:val="center"/>
                </w:tcPr>
                <w:p w14:paraId="7252AE2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eastAsia" w:eastAsia="宋体"/>
                      <w:sz w:val="21"/>
                      <w:szCs w:val="21"/>
                      <w:highlight w:val="none"/>
                      <w:lang w:val="en-US" w:eastAsia="zh-CN"/>
                    </w:rPr>
                  </w:pPr>
                  <w:r>
                    <w:rPr>
                      <w:rFonts w:hint="eastAsia"/>
                      <w:sz w:val="21"/>
                      <w:szCs w:val="21"/>
                      <w:highlight w:val="none"/>
                      <w:lang w:val="en-US" w:eastAsia="zh-CN"/>
                    </w:rPr>
                    <w:t>达标</w:t>
                  </w:r>
                </w:p>
              </w:tc>
            </w:tr>
            <w:tr w14:paraId="3AF9526D">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cantSplit/>
                <w:trHeight w:val="510" w:hRule="atLeast"/>
                <w:jc w:val="center"/>
              </w:trPr>
              <w:tc>
                <w:tcPr>
                  <w:tcW w:w="925" w:type="dxa"/>
                  <w:tcBorders>
                    <w:tl2br w:val="nil"/>
                    <w:tr2bl w:val="nil"/>
                  </w:tcBorders>
                  <w:noWrap w:val="0"/>
                  <w:vAlign w:val="center"/>
                </w:tcPr>
                <w:p w14:paraId="14E2C511">
                  <w:pPr>
                    <w:keepNext w:val="0"/>
                    <w:keepLines w:val="0"/>
                    <w:pageBreakBefore w:val="0"/>
                    <w:kinsoku/>
                    <w:wordWrap/>
                    <w:overflowPunct/>
                    <w:topLinePunct w:val="0"/>
                    <w:autoSpaceDE/>
                    <w:autoSpaceDN/>
                    <w:bidi w:val="0"/>
                    <w:adjustRightInd/>
                    <w:snapToGrid/>
                    <w:spacing w:line="240" w:lineRule="auto"/>
                    <w:ind w:right="28"/>
                    <w:jc w:val="center"/>
                    <w:textAlignment w:val="auto"/>
                    <w:rPr>
                      <w:rFonts w:hint="eastAsia" w:eastAsia="宋体"/>
                      <w:sz w:val="21"/>
                      <w:szCs w:val="21"/>
                      <w:highlight w:val="none"/>
                      <w:vertAlign w:val="subscript"/>
                      <w:lang w:val="en-US" w:eastAsia="zh-CN"/>
                    </w:rPr>
                  </w:pPr>
                  <w:r>
                    <w:rPr>
                      <w:sz w:val="21"/>
                      <w:szCs w:val="21"/>
                      <w:highlight w:val="none"/>
                    </w:rPr>
                    <w:t>NO</w:t>
                  </w:r>
                  <w:r>
                    <w:rPr>
                      <w:rFonts w:hint="eastAsia"/>
                      <w:sz w:val="21"/>
                      <w:szCs w:val="21"/>
                      <w:highlight w:val="none"/>
                      <w:vertAlign w:val="subscript"/>
                      <w:lang w:val="en-US" w:eastAsia="zh-CN"/>
                    </w:rPr>
                    <w:t>2</w:t>
                  </w:r>
                </w:p>
              </w:tc>
              <w:tc>
                <w:tcPr>
                  <w:tcW w:w="2549" w:type="dxa"/>
                  <w:tcBorders>
                    <w:tl2br w:val="nil"/>
                    <w:tr2bl w:val="nil"/>
                  </w:tcBorders>
                  <w:noWrap w:val="0"/>
                  <w:vAlign w:val="center"/>
                </w:tcPr>
                <w:p w14:paraId="1A4F6F1A">
                  <w:pPr>
                    <w:keepNext w:val="0"/>
                    <w:keepLines w:val="0"/>
                    <w:pageBreakBefore w:val="0"/>
                    <w:kinsoku/>
                    <w:wordWrap/>
                    <w:overflowPunct/>
                    <w:topLinePunct w:val="0"/>
                    <w:autoSpaceDE/>
                    <w:autoSpaceDN/>
                    <w:bidi w:val="0"/>
                    <w:adjustRightInd/>
                    <w:snapToGrid/>
                    <w:spacing w:line="240" w:lineRule="auto"/>
                    <w:ind w:right="28"/>
                    <w:jc w:val="center"/>
                    <w:textAlignment w:val="auto"/>
                    <w:rPr>
                      <w:sz w:val="21"/>
                      <w:szCs w:val="21"/>
                      <w:highlight w:val="none"/>
                    </w:rPr>
                  </w:pPr>
                  <w:r>
                    <w:rPr>
                      <w:sz w:val="21"/>
                      <w:szCs w:val="21"/>
                      <w:highlight w:val="none"/>
                    </w:rPr>
                    <w:t>年平均质量浓度值</w:t>
                  </w:r>
                </w:p>
              </w:tc>
              <w:tc>
                <w:tcPr>
                  <w:tcW w:w="1455" w:type="dxa"/>
                  <w:tcBorders>
                    <w:tl2br w:val="nil"/>
                    <w:tr2bl w:val="nil"/>
                  </w:tcBorders>
                  <w:noWrap w:val="0"/>
                  <w:vAlign w:val="center"/>
                </w:tcPr>
                <w:p w14:paraId="288AAE03">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sz w:val="21"/>
                      <w:szCs w:val="21"/>
                      <w:highlight w:val="none"/>
                      <w:lang w:val="en-US" w:eastAsia="zh-CN"/>
                    </w:rPr>
                  </w:pPr>
                  <w:r>
                    <w:rPr>
                      <w:rFonts w:hint="eastAsia"/>
                      <w:sz w:val="21"/>
                      <w:szCs w:val="21"/>
                      <w:highlight w:val="none"/>
                      <w:lang w:val="en-US" w:eastAsia="zh-CN"/>
                    </w:rPr>
                    <w:t>33</w:t>
                  </w:r>
                </w:p>
              </w:tc>
              <w:tc>
                <w:tcPr>
                  <w:tcW w:w="1575" w:type="dxa"/>
                  <w:tcBorders>
                    <w:tl2br w:val="nil"/>
                    <w:tr2bl w:val="nil"/>
                  </w:tcBorders>
                  <w:noWrap w:val="0"/>
                  <w:vAlign w:val="center"/>
                </w:tcPr>
                <w:p w14:paraId="7148F9F6">
                  <w:pPr>
                    <w:keepNext w:val="0"/>
                    <w:keepLines w:val="0"/>
                    <w:pageBreakBefore w:val="0"/>
                    <w:kinsoku/>
                    <w:wordWrap/>
                    <w:overflowPunct/>
                    <w:topLinePunct w:val="0"/>
                    <w:autoSpaceDE/>
                    <w:autoSpaceDN/>
                    <w:bidi w:val="0"/>
                    <w:adjustRightInd/>
                    <w:snapToGrid/>
                    <w:spacing w:line="240" w:lineRule="auto"/>
                    <w:ind w:right="28"/>
                    <w:jc w:val="center"/>
                    <w:textAlignment w:val="auto"/>
                    <w:rPr>
                      <w:sz w:val="21"/>
                      <w:szCs w:val="21"/>
                      <w:highlight w:val="none"/>
                    </w:rPr>
                  </w:pPr>
                  <w:r>
                    <w:rPr>
                      <w:sz w:val="21"/>
                      <w:szCs w:val="21"/>
                      <w:highlight w:val="none"/>
                    </w:rPr>
                    <w:t>40</w:t>
                  </w:r>
                </w:p>
              </w:tc>
              <w:tc>
                <w:tcPr>
                  <w:tcW w:w="1437" w:type="dxa"/>
                  <w:tcBorders>
                    <w:tl2br w:val="nil"/>
                    <w:tr2bl w:val="nil"/>
                  </w:tcBorders>
                  <w:noWrap w:val="0"/>
                  <w:vAlign w:val="center"/>
                </w:tcPr>
                <w:p w14:paraId="56B65440">
                  <w:pPr>
                    <w:keepNext w:val="0"/>
                    <w:keepLines w:val="0"/>
                    <w:pageBreakBefore w:val="0"/>
                    <w:widowControl/>
                    <w:tabs>
                      <w:tab w:val="left" w:pos="491"/>
                    </w:tabs>
                    <w:kinsoku/>
                    <w:wordWrap/>
                    <w:overflowPunct/>
                    <w:topLinePunct w:val="0"/>
                    <w:autoSpaceDE/>
                    <w:autoSpaceDN/>
                    <w:bidi w:val="0"/>
                    <w:adjustRightInd/>
                    <w:snapToGrid/>
                    <w:spacing w:line="240" w:lineRule="auto"/>
                    <w:jc w:val="center"/>
                    <w:textAlignment w:val="auto"/>
                    <w:rPr>
                      <w:rFonts w:hint="default" w:eastAsia="宋体"/>
                      <w:sz w:val="21"/>
                      <w:szCs w:val="21"/>
                      <w:highlight w:val="none"/>
                      <w:lang w:val="en-US" w:eastAsia="zh-CN"/>
                    </w:rPr>
                  </w:pPr>
                  <w:r>
                    <w:rPr>
                      <w:rFonts w:hint="eastAsia"/>
                      <w:sz w:val="21"/>
                      <w:szCs w:val="21"/>
                      <w:highlight w:val="none"/>
                      <w:lang w:val="en-US" w:eastAsia="zh-CN"/>
                    </w:rPr>
                    <w:t>达标</w:t>
                  </w:r>
                </w:p>
              </w:tc>
            </w:tr>
            <w:tr w14:paraId="19999CC1">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cantSplit/>
                <w:trHeight w:val="510" w:hRule="atLeast"/>
                <w:jc w:val="center"/>
              </w:trPr>
              <w:tc>
                <w:tcPr>
                  <w:tcW w:w="925" w:type="dxa"/>
                  <w:tcBorders>
                    <w:tl2br w:val="nil"/>
                    <w:tr2bl w:val="nil"/>
                  </w:tcBorders>
                  <w:noWrap w:val="0"/>
                  <w:vAlign w:val="center"/>
                </w:tcPr>
                <w:p w14:paraId="3809B442">
                  <w:pPr>
                    <w:keepNext w:val="0"/>
                    <w:keepLines w:val="0"/>
                    <w:pageBreakBefore w:val="0"/>
                    <w:kinsoku/>
                    <w:wordWrap/>
                    <w:overflowPunct/>
                    <w:topLinePunct w:val="0"/>
                    <w:autoSpaceDE/>
                    <w:autoSpaceDN/>
                    <w:bidi w:val="0"/>
                    <w:adjustRightInd/>
                    <w:snapToGrid/>
                    <w:spacing w:line="240" w:lineRule="auto"/>
                    <w:ind w:right="28"/>
                    <w:jc w:val="center"/>
                    <w:textAlignment w:val="auto"/>
                    <w:rPr>
                      <w:sz w:val="21"/>
                      <w:szCs w:val="21"/>
                      <w:highlight w:val="none"/>
                    </w:rPr>
                  </w:pPr>
                  <w:r>
                    <w:rPr>
                      <w:sz w:val="21"/>
                      <w:szCs w:val="21"/>
                      <w:highlight w:val="none"/>
                    </w:rPr>
                    <w:t>CO</w:t>
                  </w:r>
                </w:p>
              </w:tc>
              <w:tc>
                <w:tcPr>
                  <w:tcW w:w="2549" w:type="dxa"/>
                  <w:tcBorders>
                    <w:tl2br w:val="nil"/>
                    <w:tr2bl w:val="nil"/>
                  </w:tcBorders>
                  <w:noWrap w:val="0"/>
                  <w:vAlign w:val="center"/>
                </w:tcPr>
                <w:p w14:paraId="0DDB5081">
                  <w:pPr>
                    <w:keepNext w:val="0"/>
                    <w:keepLines w:val="0"/>
                    <w:pageBreakBefore w:val="0"/>
                    <w:kinsoku/>
                    <w:wordWrap/>
                    <w:overflowPunct/>
                    <w:topLinePunct w:val="0"/>
                    <w:autoSpaceDE/>
                    <w:autoSpaceDN/>
                    <w:bidi w:val="0"/>
                    <w:adjustRightInd/>
                    <w:snapToGrid/>
                    <w:spacing w:line="240" w:lineRule="auto"/>
                    <w:ind w:right="28"/>
                    <w:jc w:val="center"/>
                    <w:textAlignment w:val="auto"/>
                    <w:rPr>
                      <w:sz w:val="21"/>
                      <w:szCs w:val="21"/>
                      <w:highlight w:val="none"/>
                    </w:rPr>
                  </w:pPr>
                  <w:r>
                    <w:rPr>
                      <w:sz w:val="21"/>
                      <w:szCs w:val="21"/>
                      <w:highlight w:val="none"/>
                    </w:rPr>
                    <w:t>日平均浓度值</w:t>
                  </w:r>
                </w:p>
              </w:tc>
              <w:tc>
                <w:tcPr>
                  <w:tcW w:w="1455" w:type="dxa"/>
                  <w:tcBorders>
                    <w:tl2br w:val="nil"/>
                    <w:tr2bl w:val="nil"/>
                  </w:tcBorders>
                  <w:noWrap w:val="0"/>
                  <w:vAlign w:val="center"/>
                </w:tcPr>
                <w:p w14:paraId="58EEFACD">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sz w:val="21"/>
                      <w:szCs w:val="21"/>
                      <w:highlight w:val="none"/>
                      <w:lang w:val="en-US" w:eastAsia="zh-CN"/>
                    </w:rPr>
                  </w:pPr>
                  <w:r>
                    <w:rPr>
                      <w:rFonts w:hint="eastAsia"/>
                      <w:sz w:val="21"/>
                      <w:szCs w:val="21"/>
                      <w:highlight w:val="none"/>
                      <w:lang w:val="en-US" w:eastAsia="zh-CN"/>
                    </w:rPr>
                    <w:t>1500</w:t>
                  </w:r>
                </w:p>
              </w:tc>
              <w:tc>
                <w:tcPr>
                  <w:tcW w:w="1575" w:type="dxa"/>
                  <w:tcBorders>
                    <w:tl2br w:val="nil"/>
                    <w:tr2bl w:val="nil"/>
                  </w:tcBorders>
                  <w:noWrap w:val="0"/>
                  <w:vAlign w:val="center"/>
                </w:tcPr>
                <w:p w14:paraId="65CEF214">
                  <w:pPr>
                    <w:keepNext w:val="0"/>
                    <w:keepLines w:val="0"/>
                    <w:pageBreakBefore w:val="0"/>
                    <w:kinsoku/>
                    <w:wordWrap/>
                    <w:overflowPunct/>
                    <w:topLinePunct w:val="0"/>
                    <w:autoSpaceDE/>
                    <w:autoSpaceDN/>
                    <w:bidi w:val="0"/>
                    <w:adjustRightInd/>
                    <w:snapToGrid/>
                    <w:spacing w:line="240" w:lineRule="auto"/>
                    <w:ind w:right="28"/>
                    <w:jc w:val="center"/>
                    <w:textAlignment w:val="auto"/>
                    <w:rPr>
                      <w:sz w:val="21"/>
                      <w:szCs w:val="21"/>
                      <w:highlight w:val="none"/>
                    </w:rPr>
                  </w:pPr>
                  <w:r>
                    <w:rPr>
                      <w:sz w:val="21"/>
                      <w:szCs w:val="21"/>
                      <w:highlight w:val="none"/>
                    </w:rPr>
                    <w:t>4000</w:t>
                  </w:r>
                </w:p>
              </w:tc>
              <w:tc>
                <w:tcPr>
                  <w:tcW w:w="1437" w:type="dxa"/>
                  <w:tcBorders>
                    <w:tl2br w:val="nil"/>
                    <w:tr2bl w:val="nil"/>
                  </w:tcBorders>
                  <w:noWrap w:val="0"/>
                  <w:vAlign w:val="center"/>
                </w:tcPr>
                <w:p w14:paraId="7A842BF7">
                  <w:pPr>
                    <w:keepNext w:val="0"/>
                    <w:keepLines w:val="0"/>
                    <w:pageBreakBefore w:val="0"/>
                    <w:kinsoku/>
                    <w:wordWrap/>
                    <w:overflowPunct/>
                    <w:topLinePunct w:val="0"/>
                    <w:autoSpaceDE/>
                    <w:autoSpaceDN/>
                    <w:bidi w:val="0"/>
                    <w:adjustRightInd/>
                    <w:snapToGrid/>
                    <w:spacing w:line="240" w:lineRule="auto"/>
                    <w:ind w:right="28"/>
                    <w:jc w:val="center"/>
                    <w:textAlignment w:val="auto"/>
                    <w:rPr>
                      <w:rFonts w:hint="eastAsia" w:eastAsia="宋体"/>
                      <w:sz w:val="21"/>
                      <w:szCs w:val="21"/>
                      <w:highlight w:val="none"/>
                      <w:lang w:val="en-US" w:eastAsia="zh-CN"/>
                    </w:rPr>
                  </w:pPr>
                  <w:r>
                    <w:rPr>
                      <w:rFonts w:hint="eastAsia"/>
                      <w:sz w:val="21"/>
                      <w:szCs w:val="21"/>
                      <w:highlight w:val="none"/>
                      <w:lang w:val="en-US" w:eastAsia="zh-CN"/>
                    </w:rPr>
                    <w:t>达标</w:t>
                  </w:r>
                </w:p>
              </w:tc>
            </w:tr>
            <w:tr w14:paraId="5AE03328">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cantSplit/>
                <w:trHeight w:val="510" w:hRule="atLeast"/>
                <w:jc w:val="center"/>
              </w:trPr>
              <w:tc>
                <w:tcPr>
                  <w:tcW w:w="925" w:type="dxa"/>
                  <w:tcBorders>
                    <w:tl2br w:val="nil"/>
                    <w:tr2bl w:val="nil"/>
                  </w:tcBorders>
                  <w:noWrap w:val="0"/>
                  <w:vAlign w:val="center"/>
                </w:tcPr>
                <w:p w14:paraId="4C17C6C2">
                  <w:pPr>
                    <w:keepNext w:val="0"/>
                    <w:keepLines w:val="0"/>
                    <w:pageBreakBefore w:val="0"/>
                    <w:kinsoku/>
                    <w:wordWrap/>
                    <w:overflowPunct/>
                    <w:topLinePunct w:val="0"/>
                    <w:autoSpaceDE/>
                    <w:autoSpaceDN/>
                    <w:bidi w:val="0"/>
                    <w:adjustRightInd/>
                    <w:snapToGrid/>
                    <w:spacing w:line="240" w:lineRule="auto"/>
                    <w:ind w:right="28"/>
                    <w:jc w:val="center"/>
                    <w:textAlignment w:val="auto"/>
                    <w:rPr>
                      <w:rFonts w:hint="eastAsia" w:eastAsia="宋体"/>
                      <w:sz w:val="21"/>
                      <w:szCs w:val="21"/>
                      <w:highlight w:val="none"/>
                      <w:vertAlign w:val="subscript"/>
                      <w:lang w:val="en-US" w:eastAsia="zh-CN"/>
                    </w:rPr>
                  </w:pPr>
                  <w:r>
                    <w:rPr>
                      <w:sz w:val="21"/>
                      <w:szCs w:val="21"/>
                      <w:highlight w:val="none"/>
                    </w:rPr>
                    <w:t>O</w:t>
                  </w:r>
                  <w:r>
                    <w:rPr>
                      <w:rFonts w:hint="eastAsia"/>
                      <w:sz w:val="21"/>
                      <w:szCs w:val="21"/>
                      <w:highlight w:val="none"/>
                      <w:vertAlign w:val="subscript"/>
                      <w:lang w:val="en-US" w:eastAsia="zh-CN"/>
                    </w:rPr>
                    <w:t>3</w:t>
                  </w:r>
                </w:p>
              </w:tc>
              <w:tc>
                <w:tcPr>
                  <w:tcW w:w="2549" w:type="dxa"/>
                  <w:tcBorders>
                    <w:tl2br w:val="nil"/>
                    <w:tr2bl w:val="nil"/>
                  </w:tcBorders>
                  <w:noWrap w:val="0"/>
                  <w:vAlign w:val="center"/>
                </w:tcPr>
                <w:p w14:paraId="4B572037">
                  <w:pPr>
                    <w:keepNext w:val="0"/>
                    <w:keepLines w:val="0"/>
                    <w:pageBreakBefore w:val="0"/>
                    <w:kinsoku/>
                    <w:wordWrap/>
                    <w:overflowPunct/>
                    <w:topLinePunct w:val="0"/>
                    <w:autoSpaceDE/>
                    <w:autoSpaceDN/>
                    <w:bidi w:val="0"/>
                    <w:adjustRightInd/>
                    <w:snapToGrid/>
                    <w:spacing w:line="240" w:lineRule="auto"/>
                    <w:ind w:right="28"/>
                    <w:jc w:val="center"/>
                    <w:textAlignment w:val="auto"/>
                    <w:rPr>
                      <w:sz w:val="21"/>
                      <w:szCs w:val="21"/>
                      <w:highlight w:val="none"/>
                    </w:rPr>
                  </w:pPr>
                  <w:r>
                    <w:rPr>
                      <w:sz w:val="21"/>
                      <w:szCs w:val="21"/>
                      <w:highlight w:val="none"/>
                    </w:rPr>
                    <w:t>日最大8小时平均浓度值</w:t>
                  </w:r>
                </w:p>
              </w:tc>
              <w:tc>
                <w:tcPr>
                  <w:tcW w:w="1455" w:type="dxa"/>
                  <w:tcBorders>
                    <w:tl2br w:val="nil"/>
                    <w:tr2bl w:val="nil"/>
                  </w:tcBorders>
                  <w:noWrap w:val="0"/>
                  <w:vAlign w:val="center"/>
                </w:tcPr>
                <w:p w14:paraId="7D52CEDC">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sz w:val="21"/>
                      <w:szCs w:val="21"/>
                      <w:highlight w:val="none"/>
                      <w:lang w:val="en-US" w:eastAsia="zh-CN"/>
                    </w:rPr>
                  </w:pPr>
                  <w:r>
                    <w:rPr>
                      <w:rFonts w:hint="eastAsia"/>
                      <w:sz w:val="21"/>
                      <w:szCs w:val="21"/>
                      <w:highlight w:val="none"/>
                      <w:lang w:val="en-US" w:eastAsia="zh-CN"/>
                    </w:rPr>
                    <w:t>181</w:t>
                  </w:r>
                </w:p>
              </w:tc>
              <w:tc>
                <w:tcPr>
                  <w:tcW w:w="1575" w:type="dxa"/>
                  <w:tcBorders>
                    <w:tl2br w:val="nil"/>
                    <w:tr2bl w:val="nil"/>
                  </w:tcBorders>
                  <w:noWrap w:val="0"/>
                  <w:vAlign w:val="center"/>
                </w:tcPr>
                <w:p w14:paraId="622BCD4D">
                  <w:pPr>
                    <w:keepNext w:val="0"/>
                    <w:keepLines w:val="0"/>
                    <w:pageBreakBefore w:val="0"/>
                    <w:kinsoku/>
                    <w:wordWrap/>
                    <w:overflowPunct/>
                    <w:topLinePunct w:val="0"/>
                    <w:autoSpaceDE/>
                    <w:autoSpaceDN/>
                    <w:bidi w:val="0"/>
                    <w:adjustRightInd/>
                    <w:snapToGrid/>
                    <w:spacing w:line="240" w:lineRule="auto"/>
                    <w:ind w:right="28"/>
                    <w:jc w:val="center"/>
                    <w:textAlignment w:val="auto"/>
                    <w:rPr>
                      <w:sz w:val="21"/>
                      <w:szCs w:val="21"/>
                      <w:highlight w:val="none"/>
                    </w:rPr>
                  </w:pPr>
                  <w:r>
                    <w:rPr>
                      <w:sz w:val="21"/>
                      <w:szCs w:val="21"/>
                      <w:highlight w:val="none"/>
                    </w:rPr>
                    <w:t>160</w:t>
                  </w:r>
                </w:p>
              </w:tc>
              <w:tc>
                <w:tcPr>
                  <w:tcW w:w="1437" w:type="dxa"/>
                  <w:tcBorders>
                    <w:tl2br w:val="nil"/>
                    <w:tr2bl w:val="nil"/>
                  </w:tcBorders>
                  <w:noWrap w:val="0"/>
                  <w:vAlign w:val="center"/>
                </w:tcPr>
                <w:p w14:paraId="497DEAD8">
                  <w:pPr>
                    <w:keepNext w:val="0"/>
                    <w:keepLines w:val="0"/>
                    <w:pageBreakBefore w:val="0"/>
                    <w:kinsoku/>
                    <w:wordWrap/>
                    <w:overflowPunct/>
                    <w:topLinePunct w:val="0"/>
                    <w:autoSpaceDE/>
                    <w:autoSpaceDN/>
                    <w:bidi w:val="0"/>
                    <w:adjustRightInd/>
                    <w:snapToGrid/>
                    <w:spacing w:line="240" w:lineRule="auto"/>
                    <w:ind w:right="28"/>
                    <w:jc w:val="center"/>
                    <w:textAlignment w:val="auto"/>
                    <w:rPr>
                      <w:rFonts w:hint="eastAsia" w:eastAsia="宋体"/>
                      <w:sz w:val="21"/>
                      <w:szCs w:val="21"/>
                      <w:highlight w:val="none"/>
                      <w:lang w:val="en-US" w:eastAsia="zh-CN"/>
                    </w:rPr>
                  </w:pPr>
                  <w:r>
                    <w:rPr>
                      <w:rFonts w:hint="eastAsia"/>
                      <w:sz w:val="21"/>
                      <w:szCs w:val="21"/>
                      <w:highlight w:val="none"/>
                      <w:lang w:val="en-US" w:eastAsia="zh-CN"/>
                    </w:rPr>
                    <w:t>不达标</w:t>
                  </w:r>
                </w:p>
              </w:tc>
            </w:tr>
            <w:tr w14:paraId="7A9D9270">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cantSplit/>
                <w:trHeight w:val="510" w:hRule="atLeast"/>
                <w:jc w:val="center"/>
              </w:trPr>
              <w:tc>
                <w:tcPr>
                  <w:tcW w:w="925" w:type="dxa"/>
                  <w:tcBorders>
                    <w:tl2br w:val="nil"/>
                    <w:tr2bl w:val="nil"/>
                  </w:tcBorders>
                  <w:noWrap w:val="0"/>
                  <w:vAlign w:val="center"/>
                </w:tcPr>
                <w:p w14:paraId="10217FD7">
                  <w:pPr>
                    <w:keepNext w:val="0"/>
                    <w:keepLines w:val="0"/>
                    <w:pageBreakBefore w:val="0"/>
                    <w:kinsoku/>
                    <w:wordWrap/>
                    <w:overflowPunct/>
                    <w:topLinePunct w:val="0"/>
                    <w:autoSpaceDE/>
                    <w:autoSpaceDN/>
                    <w:bidi w:val="0"/>
                    <w:adjustRightInd/>
                    <w:snapToGrid/>
                    <w:spacing w:line="240" w:lineRule="auto"/>
                    <w:ind w:right="28"/>
                    <w:jc w:val="center"/>
                    <w:textAlignment w:val="auto"/>
                    <w:rPr>
                      <w:rFonts w:hint="default" w:eastAsia="宋体"/>
                      <w:sz w:val="21"/>
                      <w:szCs w:val="21"/>
                      <w:highlight w:val="none"/>
                      <w:vertAlign w:val="subscript"/>
                      <w:lang w:val="en-US" w:eastAsia="zh-CN"/>
                    </w:rPr>
                  </w:pPr>
                  <w:r>
                    <w:rPr>
                      <w:sz w:val="21"/>
                      <w:szCs w:val="21"/>
                      <w:highlight w:val="none"/>
                    </w:rPr>
                    <w:t>PM</w:t>
                  </w:r>
                  <w:r>
                    <w:rPr>
                      <w:rFonts w:hint="eastAsia"/>
                      <w:sz w:val="21"/>
                      <w:szCs w:val="21"/>
                      <w:highlight w:val="none"/>
                      <w:vertAlign w:val="subscript"/>
                      <w:lang w:val="en-US" w:eastAsia="zh-CN"/>
                    </w:rPr>
                    <w:t>10</w:t>
                  </w:r>
                </w:p>
              </w:tc>
              <w:tc>
                <w:tcPr>
                  <w:tcW w:w="2549" w:type="dxa"/>
                  <w:tcBorders>
                    <w:tl2br w:val="nil"/>
                    <w:tr2bl w:val="nil"/>
                  </w:tcBorders>
                  <w:noWrap w:val="0"/>
                  <w:vAlign w:val="center"/>
                </w:tcPr>
                <w:p w14:paraId="645FFBBE">
                  <w:pPr>
                    <w:keepNext w:val="0"/>
                    <w:keepLines w:val="0"/>
                    <w:pageBreakBefore w:val="0"/>
                    <w:kinsoku/>
                    <w:wordWrap/>
                    <w:overflowPunct/>
                    <w:topLinePunct w:val="0"/>
                    <w:autoSpaceDE/>
                    <w:autoSpaceDN/>
                    <w:bidi w:val="0"/>
                    <w:adjustRightInd/>
                    <w:snapToGrid/>
                    <w:spacing w:line="240" w:lineRule="auto"/>
                    <w:ind w:right="28"/>
                    <w:jc w:val="center"/>
                    <w:textAlignment w:val="auto"/>
                    <w:rPr>
                      <w:sz w:val="21"/>
                      <w:szCs w:val="21"/>
                      <w:highlight w:val="none"/>
                    </w:rPr>
                  </w:pPr>
                  <w:r>
                    <w:rPr>
                      <w:sz w:val="21"/>
                      <w:szCs w:val="21"/>
                      <w:highlight w:val="none"/>
                    </w:rPr>
                    <w:t>年平均质量浓度值</w:t>
                  </w:r>
                </w:p>
              </w:tc>
              <w:tc>
                <w:tcPr>
                  <w:tcW w:w="1455" w:type="dxa"/>
                  <w:tcBorders>
                    <w:tl2br w:val="nil"/>
                    <w:tr2bl w:val="nil"/>
                  </w:tcBorders>
                  <w:noWrap w:val="0"/>
                  <w:vAlign w:val="center"/>
                </w:tcPr>
                <w:p w14:paraId="506808DC">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sz w:val="21"/>
                      <w:szCs w:val="21"/>
                      <w:highlight w:val="none"/>
                      <w:lang w:val="en-US" w:eastAsia="zh-CN"/>
                    </w:rPr>
                  </w:pPr>
                  <w:r>
                    <w:rPr>
                      <w:rFonts w:hint="eastAsia"/>
                      <w:sz w:val="21"/>
                      <w:szCs w:val="21"/>
                      <w:highlight w:val="none"/>
                      <w:lang w:val="en-US" w:eastAsia="zh-CN"/>
                    </w:rPr>
                    <w:t>74</w:t>
                  </w:r>
                </w:p>
              </w:tc>
              <w:tc>
                <w:tcPr>
                  <w:tcW w:w="1575" w:type="dxa"/>
                  <w:tcBorders>
                    <w:tl2br w:val="nil"/>
                    <w:tr2bl w:val="nil"/>
                  </w:tcBorders>
                  <w:noWrap w:val="0"/>
                  <w:vAlign w:val="center"/>
                </w:tcPr>
                <w:p w14:paraId="6CC00510">
                  <w:pPr>
                    <w:keepNext w:val="0"/>
                    <w:keepLines w:val="0"/>
                    <w:pageBreakBefore w:val="0"/>
                    <w:kinsoku/>
                    <w:wordWrap/>
                    <w:overflowPunct/>
                    <w:topLinePunct w:val="0"/>
                    <w:autoSpaceDE/>
                    <w:autoSpaceDN/>
                    <w:bidi w:val="0"/>
                    <w:adjustRightInd/>
                    <w:snapToGrid/>
                    <w:spacing w:line="240" w:lineRule="auto"/>
                    <w:ind w:right="28"/>
                    <w:jc w:val="center"/>
                    <w:textAlignment w:val="auto"/>
                    <w:rPr>
                      <w:sz w:val="21"/>
                      <w:szCs w:val="21"/>
                      <w:highlight w:val="none"/>
                    </w:rPr>
                  </w:pPr>
                  <w:r>
                    <w:rPr>
                      <w:sz w:val="21"/>
                      <w:szCs w:val="21"/>
                      <w:highlight w:val="none"/>
                    </w:rPr>
                    <w:t>70</w:t>
                  </w:r>
                </w:p>
              </w:tc>
              <w:tc>
                <w:tcPr>
                  <w:tcW w:w="1437" w:type="dxa"/>
                  <w:tcBorders>
                    <w:tl2br w:val="nil"/>
                    <w:tr2bl w:val="nil"/>
                  </w:tcBorders>
                  <w:noWrap w:val="0"/>
                  <w:vAlign w:val="center"/>
                </w:tcPr>
                <w:p w14:paraId="09605A1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eastAsia" w:eastAsia="宋体"/>
                      <w:sz w:val="21"/>
                      <w:szCs w:val="21"/>
                      <w:highlight w:val="none"/>
                      <w:lang w:val="en-US" w:eastAsia="zh-CN"/>
                    </w:rPr>
                  </w:pPr>
                  <w:r>
                    <w:rPr>
                      <w:rFonts w:hint="eastAsia"/>
                      <w:sz w:val="21"/>
                      <w:szCs w:val="21"/>
                      <w:highlight w:val="none"/>
                      <w:lang w:val="en-US" w:eastAsia="zh-CN"/>
                    </w:rPr>
                    <w:t>不达标</w:t>
                  </w:r>
                </w:p>
              </w:tc>
            </w:tr>
            <w:tr w14:paraId="34313D70">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cantSplit/>
                <w:trHeight w:val="510" w:hRule="atLeast"/>
                <w:jc w:val="center"/>
              </w:trPr>
              <w:tc>
                <w:tcPr>
                  <w:tcW w:w="925" w:type="dxa"/>
                  <w:tcBorders>
                    <w:tl2br w:val="nil"/>
                    <w:tr2bl w:val="nil"/>
                  </w:tcBorders>
                  <w:noWrap w:val="0"/>
                  <w:vAlign w:val="center"/>
                </w:tcPr>
                <w:p w14:paraId="4752E069">
                  <w:pPr>
                    <w:keepNext w:val="0"/>
                    <w:keepLines w:val="0"/>
                    <w:pageBreakBefore w:val="0"/>
                    <w:kinsoku/>
                    <w:wordWrap/>
                    <w:overflowPunct/>
                    <w:topLinePunct w:val="0"/>
                    <w:autoSpaceDE/>
                    <w:autoSpaceDN/>
                    <w:bidi w:val="0"/>
                    <w:adjustRightInd/>
                    <w:snapToGrid/>
                    <w:spacing w:line="240" w:lineRule="auto"/>
                    <w:ind w:right="28"/>
                    <w:jc w:val="center"/>
                    <w:textAlignment w:val="auto"/>
                    <w:rPr>
                      <w:rFonts w:hint="default" w:eastAsia="宋体"/>
                      <w:sz w:val="21"/>
                      <w:szCs w:val="21"/>
                      <w:highlight w:val="none"/>
                      <w:vertAlign w:val="subscript"/>
                      <w:lang w:val="en-US" w:eastAsia="zh-CN"/>
                    </w:rPr>
                  </w:pPr>
                  <w:r>
                    <w:rPr>
                      <w:sz w:val="21"/>
                      <w:szCs w:val="21"/>
                      <w:highlight w:val="none"/>
                    </w:rPr>
                    <w:t>PM</w:t>
                  </w:r>
                  <w:r>
                    <w:rPr>
                      <w:rFonts w:hint="eastAsia"/>
                      <w:sz w:val="21"/>
                      <w:szCs w:val="21"/>
                      <w:highlight w:val="none"/>
                      <w:vertAlign w:val="subscript"/>
                      <w:lang w:val="en-US" w:eastAsia="zh-CN"/>
                    </w:rPr>
                    <w:t>2.5</w:t>
                  </w:r>
                </w:p>
              </w:tc>
              <w:tc>
                <w:tcPr>
                  <w:tcW w:w="2549" w:type="dxa"/>
                  <w:tcBorders>
                    <w:tl2br w:val="nil"/>
                    <w:tr2bl w:val="nil"/>
                  </w:tcBorders>
                  <w:noWrap w:val="0"/>
                  <w:vAlign w:val="center"/>
                </w:tcPr>
                <w:p w14:paraId="45F5ABF6">
                  <w:pPr>
                    <w:keepNext w:val="0"/>
                    <w:keepLines w:val="0"/>
                    <w:pageBreakBefore w:val="0"/>
                    <w:kinsoku/>
                    <w:wordWrap/>
                    <w:overflowPunct/>
                    <w:topLinePunct w:val="0"/>
                    <w:autoSpaceDE/>
                    <w:autoSpaceDN/>
                    <w:bidi w:val="0"/>
                    <w:adjustRightInd/>
                    <w:snapToGrid/>
                    <w:spacing w:line="240" w:lineRule="auto"/>
                    <w:ind w:right="28"/>
                    <w:jc w:val="center"/>
                    <w:textAlignment w:val="auto"/>
                    <w:rPr>
                      <w:sz w:val="21"/>
                      <w:szCs w:val="21"/>
                      <w:highlight w:val="none"/>
                    </w:rPr>
                  </w:pPr>
                  <w:r>
                    <w:rPr>
                      <w:sz w:val="21"/>
                      <w:szCs w:val="21"/>
                      <w:highlight w:val="none"/>
                    </w:rPr>
                    <w:t>年平均质量浓度值</w:t>
                  </w:r>
                </w:p>
              </w:tc>
              <w:tc>
                <w:tcPr>
                  <w:tcW w:w="1455" w:type="dxa"/>
                  <w:tcBorders>
                    <w:tl2br w:val="nil"/>
                    <w:tr2bl w:val="nil"/>
                  </w:tcBorders>
                  <w:noWrap w:val="0"/>
                  <w:vAlign w:val="center"/>
                </w:tcPr>
                <w:p w14:paraId="314E9F01">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sz w:val="21"/>
                      <w:szCs w:val="21"/>
                      <w:highlight w:val="none"/>
                      <w:lang w:val="en-US" w:eastAsia="zh-CN"/>
                    </w:rPr>
                  </w:pPr>
                  <w:r>
                    <w:rPr>
                      <w:rFonts w:hint="eastAsia"/>
                      <w:sz w:val="21"/>
                      <w:szCs w:val="21"/>
                      <w:highlight w:val="none"/>
                      <w:lang w:val="en-US" w:eastAsia="zh-CN"/>
                    </w:rPr>
                    <w:t>40</w:t>
                  </w:r>
                </w:p>
              </w:tc>
              <w:tc>
                <w:tcPr>
                  <w:tcW w:w="1575" w:type="dxa"/>
                  <w:tcBorders>
                    <w:tl2br w:val="nil"/>
                    <w:tr2bl w:val="nil"/>
                  </w:tcBorders>
                  <w:noWrap w:val="0"/>
                  <w:vAlign w:val="center"/>
                </w:tcPr>
                <w:p w14:paraId="5C052FB9">
                  <w:pPr>
                    <w:keepNext w:val="0"/>
                    <w:keepLines w:val="0"/>
                    <w:pageBreakBefore w:val="0"/>
                    <w:kinsoku/>
                    <w:wordWrap/>
                    <w:overflowPunct/>
                    <w:topLinePunct w:val="0"/>
                    <w:autoSpaceDE/>
                    <w:autoSpaceDN/>
                    <w:bidi w:val="0"/>
                    <w:adjustRightInd/>
                    <w:snapToGrid/>
                    <w:spacing w:line="240" w:lineRule="auto"/>
                    <w:ind w:right="28"/>
                    <w:jc w:val="center"/>
                    <w:textAlignment w:val="auto"/>
                    <w:rPr>
                      <w:sz w:val="21"/>
                      <w:szCs w:val="21"/>
                      <w:highlight w:val="none"/>
                    </w:rPr>
                  </w:pPr>
                  <w:r>
                    <w:rPr>
                      <w:sz w:val="21"/>
                      <w:szCs w:val="21"/>
                      <w:highlight w:val="none"/>
                    </w:rPr>
                    <w:t>35</w:t>
                  </w:r>
                </w:p>
              </w:tc>
              <w:tc>
                <w:tcPr>
                  <w:tcW w:w="1437" w:type="dxa"/>
                  <w:tcBorders>
                    <w:tl2br w:val="nil"/>
                    <w:tr2bl w:val="nil"/>
                  </w:tcBorders>
                  <w:noWrap w:val="0"/>
                  <w:vAlign w:val="center"/>
                </w:tcPr>
                <w:p w14:paraId="6130BC4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eastAsia" w:eastAsia="宋体"/>
                      <w:sz w:val="21"/>
                      <w:szCs w:val="21"/>
                      <w:highlight w:val="none"/>
                      <w:lang w:val="en-US" w:eastAsia="zh-CN"/>
                    </w:rPr>
                  </w:pPr>
                  <w:r>
                    <w:rPr>
                      <w:rFonts w:hint="eastAsia"/>
                      <w:sz w:val="21"/>
                      <w:szCs w:val="21"/>
                      <w:highlight w:val="none"/>
                      <w:lang w:val="en-US" w:eastAsia="zh-CN"/>
                    </w:rPr>
                    <w:t>不达标</w:t>
                  </w:r>
                </w:p>
              </w:tc>
            </w:tr>
          </w:tbl>
          <w:p w14:paraId="53E12428">
            <w:pPr>
              <w:pStyle w:val="24"/>
              <w:keepNext w:val="0"/>
              <w:keepLines w:val="0"/>
              <w:pageBreakBefore w:val="0"/>
              <w:widowControl w:val="0"/>
              <w:kinsoku/>
              <w:wordWrap/>
              <w:overflowPunct/>
              <w:topLinePunct w:val="0"/>
              <w:autoSpaceDE/>
              <w:autoSpaceDN/>
              <w:bidi w:val="0"/>
              <w:adjustRightInd/>
              <w:snapToGrid/>
              <w:spacing w:after="0" w:line="500" w:lineRule="exact"/>
              <w:ind w:left="0" w:leftChars="0" w:firstLine="480"/>
              <w:jc w:val="left"/>
              <w:textAlignment w:val="auto"/>
              <w:rPr>
                <w:highlight w:val="none"/>
              </w:rPr>
            </w:pPr>
            <w:r>
              <w:rPr>
                <w:highlight w:val="none"/>
              </w:rPr>
              <w:t>由上表可知，项目所在区域</w:t>
            </w:r>
            <w:r>
              <w:rPr>
                <w:rFonts w:hint="eastAsia"/>
                <w:highlight w:val="none"/>
                <w:lang w:val="en-US" w:eastAsia="zh-CN"/>
              </w:rPr>
              <w:t>为不达标区域，区域的O</w:t>
            </w:r>
            <w:r>
              <w:rPr>
                <w:rFonts w:hint="eastAsia"/>
                <w:highlight w:val="none"/>
                <w:vertAlign w:val="subscript"/>
                <w:lang w:val="en-US" w:eastAsia="zh-CN"/>
              </w:rPr>
              <w:t>3</w:t>
            </w:r>
            <w:r>
              <w:rPr>
                <w:rFonts w:hint="eastAsia"/>
                <w:highlight w:val="none"/>
                <w:vertAlign w:val="baseline"/>
                <w:lang w:val="en-US" w:eastAsia="zh-CN"/>
              </w:rPr>
              <w:t>日最大8小时平均浓度超标，PM</w:t>
            </w:r>
            <w:r>
              <w:rPr>
                <w:rFonts w:hint="eastAsia"/>
                <w:highlight w:val="none"/>
                <w:vertAlign w:val="subscript"/>
                <w:lang w:val="en-US" w:eastAsia="zh-CN"/>
              </w:rPr>
              <w:t>10</w:t>
            </w:r>
            <w:r>
              <w:rPr>
                <w:rFonts w:hint="eastAsia"/>
                <w:highlight w:val="none"/>
                <w:vertAlign w:val="baseline"/>
                <w:lang w:val="en-US" w:eastAsia="zh-CN"/>
              </w:rPr>
              <w:t>、PM</w:t>
            </w:r>
            <w:r>
              <w:rPr>
                <w:rFonts w:hint="eastAsia"/>
                <w:highlight w:val="none"/>
                <w:vertAlign w:val="subscript"/>
                <w:lang w:val="en-US" w:eastAsia="zh-CN"/>
              </w:rPr>
              <w:t>2.5</w:t>
            </w:r>
            <w:r>
              <w:rPr>
                <w:rFonts w:hint="eastAsia"/>
                <w:highlight w:val="none"/>
                <w:vertAlign w:val="baseline"/>
                <w:lang w:val="en-US" w:eastAsia="zh-CN"/>
              </w:rPr>
              <w:t>年平均质量浓度超标，其他基本污染物均满足《环境空气质量标准》（GB3095-2012）中的二级标准。</w:t>
            </w:r>
          </w:p>
          <w:p w14:paraId="4F2956DA">
            <w:pPr>
              <w:keepNext w:val="0"/>
              <w:keepLines w:val="0"/>
              <w:pageBreakBefore w:val="0"/>
              <w:widowControl w:val="0"/>
              <w:kinsoku/>
              <w:wordWrap/>
              <w:overflowPunct/>
              <w:topLinePunct w:val="0"/>
              <w:autoSpaceDE/>
              <w:autoSpaceDN/>
              <w:bidi w:val="0"/>
              <w:adjustRightInd/>
              <w:snapToGrid/>
              <w:spacing w:line="500" w:lineRule="exact"/>
              <w:textAlignment w:val="auto"/>
              <w:rPr>
                <w:sz w:val="24"/>
                <w:szCs w:val="40"/>
                <w:highlight w:val="none"/>
              </w:rPr>
            </w:pPr>
            <w:r>
              <w:rPr>
                <w:rFonts w:hint="eastAsia"/>
                <w:sz w:val="24"/>
                <w:szCs w:val="32"/>
                <w:highlight w:val="none"/>
              </w:rPr>
              <w:t>（2）基本污染物环境质量现状评价</w:t>
            </w:r>
          </w:p>
          <w:p w14:paraId="491C36C4">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left"/>
              <w:textAlignment w:val="auto"/>
              <w:rPr>
                <w:rFonts w:hint="default"/>
                <w:sz w:val="24"/>
                <w:szCs w:val="24"/>
                <w:highlight w:val="none"/>
              </w:rPr>
            </w:pPr>
            <w:r>
              <w:rPr>
                <w:rFonts w:hint="default"/>
                <w:sz w:val="24"/>
                <w:szCs w:val="24"/>
                <w:highlight w:val="none"/>
              </w:rPr>
              <w:t>本项目基本</w:t>
            </w:r>
            <w:r>
              <w:rPr>
                <w:rFonts w:hint="eastAsia"/>
                <w:sz w:val="24"/>
                <w:szCs w:val="24"/>
                <w:highlight w:val="none"/>
                <w:lang w:val="en-US" w:eastAsia="zh-CN"/>
              </w:rPr>
              <w:t>污</w:t>
            </w:r>
            <w:r>
              <w:rPr>
                <w:rFonts w:hint="default"/>
                <w:sz w:val="24"/>
                <w:szCs w:val="24"/>
                <w:highlight w:val="none"/>
              </w:rPr>
              <w:t>染物环境质量现状数据使用</w:t>
            </w:r>
            <w:r>
              <w:rPr>
                <w:sz w:val="24"/>
                <w:szCs w:val="32"/>
                <w:highlight w:val="none"/>
              </w:rPr>
              <w:t>20</w:t>
            </w:r>
            <w:r>
              <w:rPr>
                <w:rFonts w:hint="eastAsia"/>
                <w:sz w:val="24"/>
                <w:szCs w:val="32"/>
                <w:highlight w:val="none"/>
                <w:lang w:val="en-US" w:eastAsia="zh-CN"/>
              </w:rPr>
              <w:t>23</w:t>
            </w:r>
            <w:r>
              <w:rPr>
                <w:sz w:val="24"/>
                <w:szCs w:val="32"/>
                <w:highlight w:val="none"/>
              </w:rPr>
              <w:t>年</w:t>
            </w:r>
            <w:r>
              <w:rPr>
                <w:rFonts w:hint="eastAsia"/>
                <w:sz w:val="24"/>
                <w:szCs w:val="32"/>
                <w:highlight w:val="none"/>
                <w:lang w:val="en-US" w:eastAsia="zh-CN"/>
              </w:rPr>
              <w:t>唐山市生态环境状况公报</w:t>
            </w:r>
            <w:r>
              <w:rPr>
                <w:rFonts w:hint="eastAsia"/>
                <w:color w:val="auto"/>
                <w:sz w:val="24"/>
                <w:szCs w:val="32"/>
                <w:highlight w:val="none"/>
                <w:lang w:val="en-US" w:eastAsia="zh-CN"/>
              </w:rPr>
              <w:t>中曹妃甸区主要污</w:t>
            </w:r>
            <w:r>
              <w:rPr>
                <w:rFonts w:hint="eastAsia"/>
                <w:sz w:val="24"/>
                <w:szCs w:val="32"/>
                <w:highlight w:val="none"/>
                <w:lang w:val="en-US" w:eastAsia="zh-CN"/>
              </w:rPr>
              <w:t>染物浓度情况，</w:t>
            </w:r>
            <w:r>
              <w:rPr>
                <w:rFonts w:hint="default"/>
                <w:sz w:val="24"/>
                <w:szCs w:val="24"/>
                <w:highlight w:val="none"/>
              </w:rPr>
              <w:t>结果见</w:t>
            </w:r>
            <w:r>
              <w:rPr>
                <w:rFonts w:hint="eastAsia"/>
                <w:sz w:val="24"/>
                <w:szCs w:val="24"/>
                <w:highlight w:val="none"/>
                <w:lang w:eastAsia="zh-CN"/>
              </w:rPr>
              <w:t>下</w:t>
            </w:r>
            <w:r>
              <w:rPr>
                <w:rFonts w:hint="default"/>
                <w:sz w:val="24"/>
                <w:szCs w:val="24"/>
                <w:highlight w:val="none"/>
              </w:rPr>
              <w:t>表。</w:t>
            </w:r>
          </w:p>
          <w:p w14:paraId="1EDCF065">
            <w:pPr>
              <w:pStyle w:val="52"/>
              <w:keepNext w:val="0"/>
              <w:keepLines w:val="0"/>
              <w:pageBreakBefore w:val="0"/>
              <w:widowControl w:val="0"/>
              <w:kinsoku/>
              <w:wordWrap/>
              <w:overflowPunct/>
              <w:topLinePunct w:val="0"/>
              <w:bidi w:val="0"/>
              <w:spacing w:line="480" w:lineRule="exact"/>
              <w:jc w:val="center"/>
              <w:rPr>
                <w:rFonts w:hint="default" w:ascii="Times New Roman" w:hAnsi="Times New Roman" w:cs="Times New Roman"/>
                <w:b/>
                <w:bCs/>
                <w:sz w:val="24"/>
                <w:szCs w:val="22"/>
                <w:highlight w:val="none"/>
                <w:lang w:val="en-US" w:eastAsia="zh-CN"/>
              </w:rPr>
            </w:pPr>
          </w:p>
          <w:p w14:paraId="38466D0C">
            <w:pPr>
              <w:pStyle w:val="52"/>
              <w:keepNext w:val="0"/>
              <w:keepLines w:val="0"/>
              <w:pageBreakBefore w:val="0"/>
              <w:widowControl w:val="0"/>
              <w:kinsoku/>
              <w:wordWrap/>
              <w:overflowPunct/>
              <w:topLinePunct w:val="0"/>
              <w:bidi w:val="0"/>
              <w:spacing w:line="480" w:lineRule="exact"/>
              <w:jc w:val="center"/>
              <w:rPr>
                <w:rFonts w:hint="default"/>
                <w:b/>
                <w:bCs/>
                <w:sz w:val="24"/>
                <w:szCs w:val="22"/>
                <w:highlight w:val="none"/>
              </w:rPr>
            </w:pPr>
            <w:r>
              <w:rPr>
                <w:rFonts w:hint="default" w:ascii="Times New Roman" w:hAnsi="Times New Roman" w:cs="Times New Roman"/>
                <w:b/>
                <w:bCs/>
                <w:sz w:val="24"/>
                <w:szCs w:val="22"/>
                <w:highlight w:val="none"/>
                <w:lang w:val="en-US" w:eastAsia="zh-CN"/>
              </w:rPr>
              <w:t>表</w:t>
            </w:r>
            <w:r>
              <w:rPr>
                <w:rFonts w:hint="eastAsia" w:ascii="Times New Roman" w:hAnsi="Times New Roman" w:cs="Times New Roman"/>
                <w:b/>
                <w:bCs/>
                <w:sz w:val="24"/>
                <w:szCs w:val="22"/>
                <w:highlight w:val="none"/>
                <w:lang w:val="en-US" w:eastAsia="zh-CN"/>
              </w:rPr>
              <w:t>3-2</w:t>
            </w:r>
            <w:r>
              <w:rPr>
                <w:rFonts w:hint="eastAsia"/>
                <w:b/>
                <w:bCs/>
                <w:sz w:val="24"/>
                <w:szCs w:val="22"/>
                <w:highlight w:val="none"/>
                <w:lang w:val="en-US" w:eastAsia="zh-CN"/>
              </w:rPr>
              <w:t xml:space="preserve"> </w:t>
            </w:r>
            <w:r>
              <w:rPr>
                <w:rFonts w:hint="default" w:ascii="Times New Roman" w:hAnsi="Times New Roman" w:eastAsia="宋体" w:cs="Times New Roman"/>
                <w:b/>
                <w:bCs/>
                <w:sz w:val="24"/>
                <w:szCs w:val="22"/>
                <w:highlight w:val="none"/>
                <w:lang w:val="en-US" w:eastAsia="zh-CN"/>
              </w:rPr>
              <w:t>202</w:t>
            </w:r>
            <w:r>
              <w:rPr>
                <w:rFonts w:hint="eastAsia" w:ascii="Times New Roman" w:hAnsi="Times New Roman" w:cs="Times New Roman"/>
                <w:b/>
                <w:bCs/>
                <w:sz w:val="24"/>
                <w:szCs w:val="22"/>
                <w:highlight w:val="none"/>
                <w:lang w:val="en-US" w:eastAsia="zh-CN"/>
              </w:rPr>
              <w:t>3</w:t>
            </w:r>
            <w:r>
              <w:rPr>
                <w:rFonts w:hint="default" w:ascii="Times New Roman" w:hAnsi="Times New Roman" w:eastAsia="宋体" w:cs="Times New Roman"/>
                <w:b/>
                <w:bCs/>
                <w:sz w:val="24"/>
                <w:szCs w:val="22"/>
                <w:highlight w:val="none"/>
                <w:lang w:val="en-US" w:eastAsia="zh-CN"/>
              </w:rPr>
              <w:t>年曹妃甸区环境质量达标情况评价表</w:t>
            </w:r>
          </w:p>
          <w:tbl>
            <w:tblPr>
              <w:tblStyle w:val="25"/>
              <w:tblW w:w="4998" w:type="pct"/>
              <w:jc w:val="center"/>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Layout w:type="fixed"/>
              <w:tblCellMar>
                <w:top w:w="15" w:type="dxa"/>
                <w:left w:w="15" w:type="dxa"/>
                <w:bottom w:w="15" w:type="dxa"/>
                <w:right w:w="15" w:type="dxa"/>
              </w:tblCellMar>
            </w:tblPr>
            <w:tblGrid>
              <w:gridCol w:w="779"/>
              <w:gridCol w:w="2145"/>
              <w:gridCol w:w="1217"/>
              <w:gridCol w:w="1340"/>
              <w:gridCol w:w="1235"/>
              <w:gridCol w:w="1235"/>
            </w:tblGrid>
            <w:tr w14:paraId="147FFFB1">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15" w:type="dxa"/>
                  <w:left w:w="15" w:type="dxa"/>
                  <w:bottom w:w="15" w:type="dxa"/>
                  <w:right w:w="15" w:type="dxa"/>
                </w:tblCellMar>
              </w:tblPrEx>
              <w:trPr>
                <w:trHeight w:val="454" w:hRule="atLeast"/>
                <w:jc w:val="center"/>
              </w:trPr>
              <w:tc>
                <w:tcPr>
                  <w:tcW w:w="490" w:type="pct"/>
                  <w:tcBorders>
                    <w:tl2br w:val="nil"/>
                    <w:tr2bl w:val="nil"/>
                  </w:tcBorders>
                  <w:noWrap w:val="0"/>
                  <w:vAlign w:val="center"/>
                </w:tcPr>
                <w:p w14:paraId="0D8B7484">
                  <w:pPr>
                    <w:spacing w:line="240" w:lineRule="auto"/>
                    <w:ind w:right="28" w:rightChars="0"/>
                    <w:jc w:val="center"/>
                    <w:rPr>
                      <w:kern w:val="2"/>
                      <w:sz w:val="21"/>
                      <w:szCs w:val="21"/>
                      <w:highlight w:val="none"/>
                      <w:lang w:val="en-US" w:eastAsia="zh-CN" w:bidi="ar-SA"/>
                    </w:rPr>
                  </w:pPr>
                  <w:r>
                    <w:rPr>
                      <w:sz w:val="21"/>
                      <w:szCs w:val="21"/>
                      <w:highlight w:val="none"/>
                    </w:rPr>
                    <w:t>污染物</w:t>
                  </w:r>
                </w:p>
              </w:tc>
              <w:tc>
                <w:tcPr>
                  <w:tcW w:w="1348" w:type="pct"/>
                  <w:tcBorders>
                    <w:tl2br w:val="nil"/>
                    <w:tr2bl w:val="nil"/>
                  </w:tcBorders>
                  <w:noWrap w:val="0"/>
                  <w:vAlign w:val="center"/>
                </w:tcPr>
                <w:p w14:paraId="30162FAF">
                  <w:pPr>
                    <w:spacing w:line="240" w:lineRule="auto"/>
                    <w:ind w:right="28" w:rightChars="0"/>
                    <w:jc w:val="center"/>
                    <w:rPr>
                      <w:kern w:val="2"/>
                      <w:sz w:val="21"/>
                      <w:szCs w:val="21"/>
                      <w:highlight w:val="none"/>
                      <w:lang w:val="en-US" w:eastAsia="zh-CN" w:bidi="ar-SA"/>
                    </w:rPr>
                  </w:pPr>
                  <w:r>
                    <w:rPr>
                      <w:sz w:val="21"/>
                      <w:szCs w:val="21"/>
                      <w:highlight w:val="none"/>
                    </w:rPr>
                    <w:t>年评价指标</w:t>
                  </w:r>
                </w:p>
              </w:tc>
              <w:tc>
                <w:tcPr>
                  <w:tcW w:w="765" w:type="pct"/>
                  <w:tcBorders>
                    <w:tl2br w:val="nil"/>
                    <w:tr2bl w:val="nil"/>
                  </w:tcBorders>
                  <w:noWrap w:val="0"/>
                  <w:vAlign w:val="center"/>
                </w:tcPr>
                <w:p w14:paraId="694D3289">
                  <w:pPr>
                    <w:spacing w:line="240" w:lineRule="auto"/>
                    <w:jc w:val="center"/>
                    <w:rPr>
                      <w:kern w:val="2"/>
                      <w:sz w:val="21"/>
                      <w:szCs w:val="21"/>
                      <w:highlight w:val="none"/>
                      <w:lang w:val="en-US" w:eastAsia="zh-CN" w:bidi="ar-SA"/>
                    </w:rPr>
                  </w:pPr>
                  <w:r>
                    <w:rPr>
                      <w:sz w:val="21"/>
                      <w:szCs w:val="21"/>
                      <w:highlight w:val="none"/>
                    </w:rPr>
                    <w:t>现状浓度（μg/</w:t>
                  </w:r>
                  <w:r>
                    <w:rPr>
                      <w:rFonts w:hint="eastAsia"/>
                      <w:sz w:val="21"/>
                      <w:szCs w:val="21"/>
                      <w:highlight w:val="none"/>
                      <w:lang w:eastAsia="zh-CN"/>
                    </w:rPr>
                    <w:t>m</w:t>
                  </w:r>
                  <w:r>
                    <w:rPr>
                      <w:rFonts w:hint="eastAsia"/>
                      <w:sz w:val="21"/>
                      <w:szCs w:val="21"/>
                      <w:highlight w:val="none"/>
                      <w:vertAlign w:val="superscript"/>
                      <w:lang w:val="en-US" w:eastAsia="zh-CN"/>
                    </w:rPr>
                    <w:t>3</w:t>
                  </w:r>
                  <w:r>
                    <w:rPr>
                      <w:sz w:val="21"/>
                      <w:szCs w:val="21"/>
                      <w:highlight w:val="none"/>
                    </w:rPr>
                    <w:t>）</w:t>
                  </w:r>
                </w:p>
              </w:tc>
              <w:tc>
                <w:tcPr>
                  <w:tcW w:w="842" w:type="pct"/>
                  <w:tcBorders>
                    <w:tl2br w:val="nil"/>
                    <w:tr2bl w:val="nil"/>
                  </w:tcBorders>
                  <w:noWrap w:val="0"/>
                  <w:vAlign w:val="center"/>
                </w:tcPr>
                <w:p w14:paraId="07C5AF45">
                  <w:pPr>
                    <w:spacing w:line="240" w:lineRule="auto"/>
                    <w:jc w:val="center"/>
                    <w:rPr>
                      <w:sz w:val="21"/>
                      <w:szCs w:val="21"/>
                      <w:highlight w:val="none"/>
                    </w:rPr>
                  </w:pPr>
                  <w:r>
                    <w:rPr>
                      <w:sz w:val="21"/>
                      <w:szCs w:val="21"/>
                      <w:highlight w:val="none"/>
                    </w:rPr>
                    <w:t>标准值</w:t>
                  </w:r>
                </w:p>
                <w:p w14:paraId="2EC667AD">
                  <w:pPr>
                    <w:spacing w:line="240" w:lineRule="auto"/>
                    <w:jc w:val="center"/>
                    <w:rPr>
                      <w:kern w:val="2"/>
                      <w:sz w:val="21"/>
                      <w:szCs w:val="21"/>
                      <w:highlight w:val="none"/>
                      <w:lang w:val="en-US" w:eastAsia="zh-CN" w:bidi="ar-SA"/>
                    </w:rPr>
                  </w:pPr>
                  <w:r>
                    <w:rPr>
                      <w:sz w:val="21"/>
                      <w:szCs w:val="21"/>
                      <w:highlight w:val="none"/>
                    </w:rPr>
                    <w:t>（μg/</w:t>
                  </w:r>
                  <w:r>
                    <w:rPr>
                      <w:rFonts w:hint="eastAsia"/>
                      <w:sz w:val="21"/>
                      <w:szCs w:val="21"/>
                      <w:highlight w:val="none"/>
                      <w:lang w:val="en-US" w:eastAsia="zh-CN"/>
                    </w:rPr>
                    <w:t>m</w:t>
                  </w:r>
                  <w:r>
                    <w:rPr>
                      <w:rFonts w:hint="eastAsia"/>
                      <w:sz w:val="21"/>
                      <w:szCs w:val="21"/>
                      <w:highlight w:val="none"/>
                      <w:vertAlign w:val="superscript"/>
                      <w:lang w:val="en-US" w:eastAsia="zh-CN"/>
                    </w:rPr>
                    <w:t>3</w:t>
                  </w:r>
                  <w:r>
                    <w:rPr>
                      <w:sz w:val="21"/>
                      <w:szCs w:val="21"/>
                      <w:highlight w:val="none"/>
                    </w:rPr>
                    <w:t>）</w:t>
                  </w:r>
                </w:p>
              </w:tc>
              <w:tc>
                <w:tcPr>
                  <w:tcW w:w="776" w:type="pct"/>
                  <w:tcBorders>
                    <w:tl2br w:val="nil"/>
                    <w:tr2bl w:val="nil"/>
                  </w:tcBorders>
                  <w:noWrap w:val="0"/>
                  <w:vAlign w:val="center"/>
                </w:tcPr>
                <w:p w14:paraId="7AA72508">
                  <w:pPr>
                    <w:spacing w:line="240" w:lineRule="auto"/>
                    <w:jc w:val="center"/>
                    <w:rPr>
                      <w:sz w:val="21"/>
                      <w:szCs w:val="21"/>
                      <w:highlight w:val="none"/>
                    </w:rPr>
                  </w:pPr>
                  <w:r>
                    <w:rPr>
                      <w:rFonts w:hint="default" w:ascii="Times New Roman" w:hAnsi="Times New Roman" w:eastAsia="宋体" w:cs="Times New Roman"/>
                      <w:color w:val="auto"/>
                      <w:spacing w:val="0"/>
                      <w:kern w:val="0"/>
                      <w:position w:val="0"/>
                      <w:sz w:val="21"/>
                      <w:szCs w:val="21"/>
                      <w:highlight w:val="none"/>
                      <w:shd w:val="clear" w:color="auto" w:fill="auto"/>
                    </w:rPr>
                    <w:t>占标率/%</w:t>
                  </w:r>
                </w:p>
              </w:tc>
              <w:tc>
                <w:tcPr>
                  <w:tcW w:w="776" w:type="pct"/>
                  <w:tcBorders>
                    <w:tl2br w:val="nil"/>
                    <w:tr2bl w:val="nil"/>
                  </w:tcBorders>
                  <w:noWrap w:val="0"/>
                  <w:vAlign w:val="center"/>
                </w:tcPr>
                <w:p w14:paraId="5AB38716">
                  <w:pPr>
                    <w:widowControl/>
                    <w:spacing w:line="240" w:lineRule="auto"/>
                    <w:jc w:val="center"/>
                    <w:rPr>
                      <w:kern w:val="2"/>
                      <w:sz w:val="21"/>
                      <w:szCs w:val="21"/>
                      <w:highlight w:val="none"/>
                      <w:lang w:val="en-US" w:eastAsia="zh-CN" w:bidi="ar-SA"/>
                    </w:rPr>
                  </w:pPr>
                  <w:r>
                    <w:rPr>
                      <w:sz w:val="21"/>
                      <w:szCs w:val="21"/>
                      <w:highlight w:val="none"/>
                    </w:rPr>
                    <w:t>达标情况</w:t>
                  </w:r>
                </w:p>
              </w:tc>
            </w:tr>
            <w:tr w14:paraId="479EA9BC">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15" w:type="dxa"/>
                  <w:left w:w="15" w:type="dxa"/>
                  <w:bottom w:w="15" w:type="dxa"/>
                  <w:right w:w="15" w:type="dxa"/>
                </w:tblCellMar>
              </w:tblPrEx>
              <w:trPr>
                <w:trHeight w:val="454" w:hRule="atLeast"/>
                <w:jc w:val="center"/>
              </w:trPr>
              <w:tc>
                <w:tcPr>
                  <w:tcW w:w="490" w:type="pct"/>
                  <w:tcBorders>
                    <w:tl2br w:val="nil"/>
                    <w:tr2bl w:val="nil"/>
                  </w:tcBorders>
                  <w:noWrap w:val="0"/>
                  <w:vAlign w:val="center"/>
                </w:tcPr>
                <w:p w14:paraId="3DEDD5A9">
                  <w:pPr>
                    <w:spacing w:line="240" w:lineRule="auto"/>
                    <w:ind w:right="28" w:rightChars="0"/>
                    <w:jc w:val="center"/>
                    <w:rPr>
                      <w:rFonts w:hint="eastAsia" w:eastAsia="宋体"/>
                      <w:kern w:val="2"/>
                      <w:sz w:val="21"/>
                      <w:szCs w:val="21"/>
                      <w:highlight w:val="none"/>
                      <w:vertAlign w:val="subscript"/>
                      <w:lang w:val="en-US" w:eastAsia="zh-CN" w:bidi="ar-SA"/>
                    </w:rPr>
                  </w:pPr>
                  <w:r>
                    <w:rPr>
                      <w:sz w:val="21"/>
                      <w:szCs w:val="21"/>
                      <w:highlight w:val="none"/>
                    </w:rPr>
                    <w:t>SO</w:t>
                  </w:r>
                  <w:r>
                    <w:rPr>
                      <w:rFonts w:hint="eastAsia"/>
                      <w:sz w:val="21"/>
                      <w:szCs w:val="21"/>
                      <w:highlight w:val="none"/>
                      <w:vertAlign w:val="subscript"/>
                      <w:lang w:val="en-US" w:eastAsia="zh-CN"/>
                    </w:rPr>
                    <w:t>2</w:t>
                  </w:r>
                </w:p>
              </w:tc>
              <w:tc>
                <w:tcPr>
                  <w:tcW w:w="1348" w:type="pct"/>
                  <w:tcBorders>
                    <w:tl2br w:val="nil"/>
                    <w:tr2bl w:val="nil"/>
                  </w:tcBorders>
                  <w:noWrap w:val="0"/>
                  <w:vAlign w:val="center"/>
                </w:tcPr>
                <w:p w14:paraId="4BCABCF4">
                  <w:pPr>
                    <w:spacing w:line="240" w:lineRule="auto"/>
                    <w:ind w:right="28" w:rightChars="0"/>
                    <w:jc w:val="center"/>
                    <w:rPr>
                      <w:kern w:val="2"/>
                      <w:sz w:val="21"/>
                      <w:szCs w:val="21"/>
                      <w:highlight w:val="none"/>
                      <w:lang w:val="en-US" w:eastAsia="zh-CN" w:bidi="ar-SA"/>
                    </w:rPr>
                  </w:pPr>
                  <w:r>
                    <w:rPr>
                      <w:sz w:val="21"/>
                      <w:szCs w:val="21"/>
                      <w:highlight w:val="none"/>
                    </w:rPr>
                    <w:t>年平均质量浓度值</w:t>
                  </w:r>
                </w:p>
              </w:tc>
              <w:tc>
                <w:tcPr>
                  <w:tcW w:w="765" w:type="pct"/>
                  <w:tcBorders>
                    <w:tl2br w:val="nil"/>
                    <w:tr2bl w:val="nil"/>
                  </w:tcBorders>
                  <w:noWrap w:val="0"/>
                  <w:vAlign w:val="center"/>
                </w:tcPr>
                <w:p w14:paraId="4613FC26">
                  <w:pPr>
                    <w:bidi w:val="0"/>
                    <w:spacing w:line="240" w:lineRule="auto"/>
                    <w:jc w:val="center"/>
                    <w:rPr>
                      <w:rFonts w:hint="default" w:ascii="Times New Roman" w:hAnsi="Times New Roman" w:eastAsia="宋体" w:cs="Times New Roman"/>
                      <w:kern w:val="2"/>
                      <w:sz w:val="21"/>
                      <w:szCs w:val="21"/>
                      <w:highlight w:val="none"/>
                      <w:lang w:val="en-US" w:eastAsia="zh-CN" w:bidi="ar-SA"/>
                    </w:rPr>
                  </w:pPr>
                  <w:r>
                    <w:rPr>
                      <w:rFonts w:hint="eastAsia"/>
                      <w:sz w:val="21"/>
                      <w:szCs w:val="21"/>
                      <w:highlight w:val="none"/>
                      <w:lang w:val="en-US" w:eastAsia="zh-CN"/>
                    </w:rPr>
                    <w:t>9</w:t>
                  </w:r>
                </w:p>
              </w:tc>
              <w:tc>
                <w:tcPr>
                  <w:tcW w:w="842" w:type="pct"/>
                  <w:tcBorders>
                    <w:tl2br w:val="nil"/>
                    <w:tr2bl w:val="nil"/>
                  </w:tcBorders>
                  <w:noWrap w:val="0"/>
                  <w:vAlign w:val="center"/>
                </w:tcPr>
                <w:p w14:paraId="1563AF74">
                  <w:pPr>
                    <w:spacing w:line="240" w:lineRule="auto"/>
                    <w:ind w:right="28" w:rightChars="0"/>
                    <w:jc w:val="center"/>
                    <w:rPr>
                      <w:kern w:val="2"/>
                      <w:sz w:val="21"/>
                      <w:szCs w:val="21"/>
                      <w:highlight w:val="none"/>
                      <w:lang w:val="en-US" w:eastAsia="zh-CN" w:bidi="ar-SA"/>
                    </w:rPr>
                  </w:pPr>
                  <w:r>
                    <w:rPr>
                      <w:sz w:val="21"/>
                      <w:szCs w:val="21"/>
                      <w:highlight w:val="none"/>
                    </w:rPr>
                    <w:t>60</w:t>
                  </w:r>
                </w:p>
              </w:tc>
              <w:tc>
                <w:tcPr>
                  <w:tcW w:w="776" w:type="pct"/>
                  <w:tcBorders>
                    <w:tl2br w:val="nil"/>
                    <w:tr2bl w:val="nil"/>
                  </w:tcBorders>
                  <w:noWrap w:val="0"/>
                  <w:vAlign w:val="center"/>
                </w:tcPr>
                <w:p w14:paraId="08DA5E31">
                  <w:pPr>
                    <w:spacing w:line="240" w:lineRule="auto"/>
                    <w:ind w:right="28" w:rightChars="0"/>
                    <w:jc w:val="center"/>
                    <w:rPr>
                      <w:rFonts w:hint="default" w:ascii="Times New Roman" w:hAnsi="Times New Roman" w:cs="Times New Roman"/>
                      <w:kern w:val="2"/>
                      <w:sz w:val="21"/>
                      <w:szCs w:val="21"/>
                      <w:highlight w:val="none"/>
                      <w:lang w:val="en-US" w:eastAsia="zh-CN" w:bidi="ar-SA"/>
                    </w:rPr>
                  </w:pPr>
                  <w:r>
                    <w:rPr>
                      <w:rFonts w:hint="eastAsia" w:ascii="Times New Roman" w:hAnsi="Times New Roman" w:cs="Times New Roman"/>
                      <w:kern w:val="2"/>
                      <w:sz w:val="21"/>
                      <w:szCs w:val="21"/>
                      <w:highlight w:val="none"/>
                      <w:lang w:val="en-US" w:eastAsia="zh-CN" w:bidi="ar-SA"/>
                    </w:rPr>
                    <w:t>15.0</w:t>
                  </w:r>
                </w:p>
              </w:tc>
              <w:tc>
                <w:tcPr>
                  <w:tcW w:w="776" w:type="pct"/>
                  <w:tcBorders>
                    <w:tl2br w:val="nil"/>
                    <w:tr2bl w:val="nil"/>
                  </w:tcBorders>
                  <w:noWrap w:val="0"/>
                  <w:vAlign w:val="center"/>
                </w:tcPr>
                <w:p w14:paraId="3A52E996">
                  <w:pPr>
                    <w:widowControl/>
                    <w:spacing w:line="240" w:lineRule="auto"/>
                    <w:jc w:val="center"/>
                    <w:rPr>
                      <w:rFonts w:hint="eastAsia" w:eastAsia="宋体"/>
                      <w:kern w:val="2"/>
                      <w:sz w:val="21"/>
                      <w:szCs w:val="21"/>
                      <w:highlight w:val="none"/>
                      <w:lang w:val="en-US" w:eastAsia="zh-CN" w:bidi="ar-SA"/>
                    </w:rPr>
                  </w:pPr>
                  <w:r>
                    <w:rPr>
                      <w:rFonts w:hint="eastAsia"/>
                      <w:sz w:val="21"/>
                      <w:szCs w:val="21"/>
                      <w:highlight w:val="none"/>
                      <w:lang w:val="en-US" w:eastAsia="zh-CN"/>
                    </w:rPr>
                    <w:t>达标</w:t>
                  </w:r>
                </w:p>
              </w:tc>
            </w:tr>
            <w:tr w14:paraId="6E21F4B2">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15" w:type="dxa"/>
                  <w:left w:w="15" w:type="dxa"/>
                  <w:bottom w:w="15" w:type="dxa"/>
                  <w:right w:w="15" w:type="dxa"/>
                </w:tblCellMar>
              </w:tblPrEx>
              <w:trPr>
                <w:trHeight w:val="454" w:hRule="atLeast"/>
                <w:jc w:val="center"/>
              </w:trPr>
              <w:tc>
                <w:tcPr>
                  <w:tcW w:w="490" w:type="pct"/>
                  <w:tcBorders>
                    <w:tl2br w:val="nil"/>
                    <w:tr2bl w:val="nil"/>
                  </w:tcBorders>
                  <w:noWrap w:val="0"/>
                  <w:vAlign w:val="center"/>
                </w:tcPr>
                <w:p w14:paraId="15156E27">
                  <w:pPr>
                    <w:spacing w:line="240" w:lineRule="auto"/>
                    <w:ind w:right="28" w:rightChars="0"/>
                    <w:jc w:val="center"/>
                    <w:rPr>
                      <w:rFonts w:hint="eastAsia" w:eastAsia="宋体"/>
                      <w:kern w:val="2"/>
                      <w:sz w:val="21"/>
                      <w:szCs w:val="21"/>
                      <w:highlight w:val="none"/>
                      <w:vertAlign w:val="subscript"/>
                      <w:lang w:val="en-US" w:eastAsia="zh-CN" w:bidi="ar-SA"/>
                    </w:rPr>
                  </w:pPr>
                  <w:r>
                    <w:rPr>
                      <w:sz w:val="21"/>
                      <w:szCs w:val="21"/>
                      <w:highlight w:val="none"/>
                    </w:rPr>
                    <w:t>NO</w:t>
                  </w:r>
                  <w:r>
                    <w:rPr>
                      <w:rFonts w:hint="eastAsia"/>
                      <w:sz w:val="21"/>
                      <w:szCs w:val="21"/>
                      <w:highlight w:val="none"/>
                      <w:vertAlign w:val="subscript"/>
                      <w:lang w:val="en-US" w:eastAsia="zh-CN"/>
                    </w:rPr>
                    <w:t>2</w:t>
                  </w:r>
                </w:p>
              </w:tc>
              <w:tc>
                <w:tcPr>
                  <w:tcW w:w="1348" w:type="pct"/>
                  <w:tcBorders>
                    <w:tl2br w:val="nil"/>
                    <w:tr2bl w:val="nil"/>
                  </w:tcBorders>
                  <w:noWrap w:val="0"/>
                  <w:vAlign w:val="center"/>
                </w:tcPr>
                <w:p w14:paraId="5D6701D4">
                  <w:pPr>
                    <w:spacing w:line="240" w:lineRule="auto"/>
                    <w:ind w:right="28" w:rightChars="0"/>
                    <w:jc w:val="center"/>
                    <w:rPr>
                      <w:kern w:val="2"/>
                      <w:sz w:val="21"/>
                      <w:szCs w:val="21"/>
                      <w:highlight w:val="none"/>
                      <w:lang w:val="en-US" w:eastAsia="zh-CN" w:bidi="ar-SA"/>
                    </w:rPr>
                  </w:pPr>
                  <w:r>
                    <w:rPr>
                      <w:sz w:val="21"/>
                      <w:szCs w:val="21"/>
                      <w:highlight w:val="none"/>
                    </w:rPr>
                    <w:t>年平均质量浓度值</w:t>
                  </w:r>
                </w:p>
              </w:tc>
              <w:tc>
                <w:tcPr>
                  <w:tcW w:w="765" w:type="pct"/>
                  <w:tcBorders>
                    <w:tl2br w:val="nil"/>
                    <w:tr2bl w:val="nil"/>
                  </w:tcBorders>
                  <w:noWrap w:val="0"/>
                  <w:vAlign w:val="center"/>
                </w:tcPr>
                <w:p w14:paraId="68AA8140">
                  <w:pPr>
                    <w:bidi w:val="0"/>
                    <w:spacing w:line="240" w:lineRule="auto"/>
                    <w:jc w:val="center"/>
                    <w:rPr>
                      <w:rFonts w:hint="default" w:ascii="Times New Roman" w:hAnsi="Times New Roman" w:eastAsia="宋体" w:cs="Times New Roman"/>
                      <w:kern w:val="2"/>
                      <w:sz w:val="21"/>
                      <w:szCs w:val="21"/>
                      <w:highlight w:val="none"/>
                      <w:lang w:val="en-US" w:eastAsia="zh-CN" w:bidi="ar-SA"/>
                    </w:rPr>
                  </w:pPr>
                  <w:r>
                    <w:rPr>
                      <w:rFonts w:hint="eastAsia"/>
                      <w:sz w:val="21"/>
                      <w:szCs w:val="21"/>
                      <w:highlight w:val="none"/>
                      <w:lang w:val="en-US" w:eastAsia="zh-CN"/>
                    </w:rPr>
                    <w:t>29</w:t>
                  </w:r>
                </w:p>
              </w:tc>
              <w:tc>
                <w:tcPr>
                  <w:tcW w:w="842" w:type="pct"/>
                  <w:tcBorders>
                    <w:tl2br w:val="nil"/>
                    <w:tr2bl w:val="nil"/>
                  </w:tcBorders>
                  <w:noWrap w:val="0"/>
                  <w:vAlign w:val="center"/>
                </w:tcPr>
                <w:p w14:paraId="04DB00FB">
                  <w:pPr>
                    <w:spacing w:line="240" w:lineRule="auto"/>
                    <w:ind w:right="28" w:rightChars="0"/>
                    <w:jc w:val="center"/>
                    <w:rPr>
                      <w:kern w:val="2"/>
                      <w:sz w:val="21"/>
                      <w:szCs w:val="21"/>
                      <w:highlight w:val="none"/>
                      <w:lang w:val="en-US" w:eastAsia="zh-CN" w:bidi="ar-SA"/>
                    </w:rPr>
                  </w:pPr>
                  <w:r>
                    <w:rPr>
                      <w:sz w:val="21"/>
                      <w:szCs w:val="21"/>
                      <w:highlight w:val="none"/>
                    </w:rPr>
                    <w:t>40</w:t>
                  </w:r>
                </w:p>
              </w:tc>
              <w:tc>
                <w:tcPr>
                  <w:tcW w:w="1238" w:type="dxa"/>
                  <w:tcBorders>
                    <w:tl2br w:val="nil"/>
                    <w:tr2bl w:val="nil"/>
                  </w:tcBorders>
                  <w:noWrap w:val="0"/>
                  <w:vAlign w:val="center"/>
                </w:tcPr>
                <w:p w14:paraId="1437264E">
                  <w:pPr>
                    <w:spacing w:line="240" w:lineRule="auto"/>
                    <w:ind w:right="28" w:rightChars="0"/>
                    <w:jc w:val="center"/>
                    <w:rPr>
                      <w:rFonts w:hint="default" w:ascii="Times New Roman" w:hAnsi="Times New Roman" w:cs="Times New Roman"/>
                      <w:kern w:val="2"/>
                      <w:sz w:val="21"/>
                      <w:szCs w:val="21"/>
                      <w:highlight w:val="none"/>
                      <w:lang w:val="en-US" w:eastAsia="zh-CN" w:bidi="ar-SA"/>
                    </w:rPr>
                  </w:pPr>
                  <w:r>
                    <w:rPr>
                      <w:rFonts w:hint="eastAsia" w:ascii="Times New Roman" w:hAnsi="Times New Roman" w:cs="Times New Roman"/>
                      <w:kern w:val="2"/>
                      <w:sz w:val="21"/>
                      <w:szCs w:val="21"/>
                      <w:highlight w:val="none"/>
                      <w:lang w:val="en-US" w:eastAsia="zh-CN" w:bidi="ar-SA"/>
                    </w:rPr>
                    <w:t>72.5</w:t>
                  </w:r>
                </w:p>
              </w:tc>
              <w:tc>
                <w:tcPr>
                  <w:tcW w:w="776" w:type="pct"/>
                  <w:tcBorders>
                    <w:tl2br w:val="nil"/>
                    <w:tr2bl w:val="nil"/>
                  </w:tcBorders>
                  <w:noWrap w:val="0"/>
                  <w:vAlign w:val="center"/>
                </w:tcPr>
                <w:p w14:paraId="23CAF22C">
                  <w:pPr>
                    <w:widowControl/>
                    <w:tabs>
                      <w:tab w:val="left" w:pos="491"/>
                    </w:tabs>
                    <w:spacing w:line="240" w:lineRule="auto"/>
                    <w:jc w:val="center"/>
                    <w:rPr>
                      <w:rFonts w:hint="default" w:eastAsia="宋体"/>
                      <w:kern w:val="2"/>
                      <w:sz w:val="21"/>
                      <w:szCs w:val="21"/>
                      <w:highlight w:val="none"/>
                      <w:lang w:val="en-US" w:eastAsia="zh-CN" w:bidi="ar-SA"/>
                    </w:rPr>
                  </w:pPr>
                  <w:r>
                    <w:rPr>
                      <w:rFonts w:hint="eastAsia"/>
                      <w:sz w:val="21"/>
                      <w:szCs w:val="21"/>
                      <w:highlight w:val="none"/>
                      <w:lang w:val="en-US" w:eastAsia="zh-CN"/>
                    </w:rPr>
                    <w:t>达标</w:t>
                  </w:r>
                </w:p>
              </w:tc>
            </w:tr>
            <w:tr w14:paraId="77DFCF3A">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15" w:type="dxa"/>
                  <w:left w:w="15" w:type="dxa"/>
                  <w:bottom w:w="15" w:type="dxa"/>
                  <w:right w:w="15" w:type="dxa"/>
                </w:tblCellMar>
              </w:tblPrEx>
              <w:trPr>
                <w:trHeight w:val="454" w:hRule="atLeast"/>
                <w:jc w:val="center"/>
              </w:trPr>
              <w:tc>
                <w:tcPr>
                  <w:tcW w:w="490" w:type="pct"/>
                  <w:tcBorders>
                    <w:tl2br w:val="nil"/>
                    <w:tr2bl w:val="nil"/>
                  </w:tcBorders>
                  <w:noWrap w:val="0"/>
                  <w:vAlign w:val="center"/>
                </w:tcPr>
                <w:p w14:paraId="24890D9E">
                  <w:pPr>
                    <w:spacing w:line="240" w:lineRule="auto"/>
                    <w:ind w:right="28" w:rightChars="0"/>
                    <w:jc w:val="center"/>
                    <w:rPr>
                      <w:kern w:val="2"/>
                      <w:sz w:val="21"/>
                      <w:szCs w:val="21"/>
                      <w:highlight w:val="none"/>
                      <w:lang w:val="en-US" w:eastAsia="zh-CN" w:bidi="ar-SA"/>
                    </w:rPr>
                  </w:pPr>
                  <w:r>
                    <w:rPr>
                      <w:sz w:val="21"/>
                      <w:szCs w:val="21"/>
                      <w:highlight w:val="none"/>
                    </w:rPr>
                    <w:t>CO</w:t>
                  </w:r>
                </w:p>
              </w:tc>
              <w:tc>
                <w:tcPr>
                  <w:tcW w:w="1348" w:type="pct"/>
                  <w:tcBorders>
                    <w:tl2br w:val="nil"/>
                    <w:tr2bl w:val="nil"/>
                  </w:tcBorders>
                  <w:noWrap w:val="0"/>
                  <w:vAlign w:val="center"/>
                </w:tcPr>
                <w:p w14:paraId="79C0838C">
                  <w:pPr>
                    <w:spacing w:line="240" w:lineRule="auto"/>
                    <w:ind w:right="28" w:rightChars="0"/>
                    <w:jc w:val="center"/>
                    <w:rPr>
                      <w:kern w:val="2"/>
                      <w:sz w:val="21"/>
                      <w:szCs w:val="21"/>
                      <w:highlight w:val="none"/>
                      <w:lang w:val="en-US" w:eastAsia="zh-CN" w:bidi="ar-SA"/>
                    </w:rPr>
                  </w:pPr>
                  <w:r>
                    <w:rPr>
                      <w:sz w:val="21"/>
                      <w:szCs w:val="21"/>
                      <w:highlight w:val="none"/>
                    </w:rPr>
                    <w:t>日平均浓度值</w:t>
                  </w:r>
                </w:p>
              </w:tc>
              <w:tc>
                <w:tcPr>
                  <w:tcW w:w="765" w:type="pct"/>
                  <w:tcBorders>
                    <w:tl2br w:val="nil"/>
                    <w:tr2bl w:val="nil"/>
                  </w:tcBorders>
                  <w:noWrap w:val="0"/>
                  <w:vAlign w:val="center"/>
                </w:tcPr>
                <w:p w14:paraId="45CE37F2">
                  <w:pPr>
                    <w:bidi w:val="0"/>
                    <w:spacing w:line="240" w:lineRule="auto"/>
                    <w:jc w:val="center"/>
                    <w:rPr>
                      <w:rFonts w:hint="default" w:ascii="Times New Roman" w:hAnsi="Times New Roman" w:eastAsia="宋体" w:cs="Times New Roman"/>
                      <w:kern w:val="2"/>
                      <w:sz w:val="21"/>
                      <w:szCs w:val="21"/>
                      <w:highlight w:val="none"/>
                      <w:lang w:val="en-US" w:eastAsia="zh-CN" w:bidi="ar-SA"/>
                    </w:rPr>
                  </w:pPr>
                  <w:r>
                    <w:rPr>
                      <w:rFonts w:hint="eastAsia"/>
                      <w:sz w:val="21"/>
                      <w:szCs w:val="21"/>
                      <w:highlight w:val="none"/>
                      <w:lang w:val="en-US" w:eastAsia="zh-CN"/>
                    </w:rPr>
                    <w:t>1100</w:t>
                  </w:r>
                </w:p>
              </w:tc>
              <w:tc>
                <w:tcPr>
                  <w:tcW w:w="842" w:type="pct"/>
                  <w:tcBorders>
                    <w:tl2br w:val="nil"/>
                    <w:tr2bl w:val="nil"/>
                  </w:tcBorders>
                  <w:noWrap w:val="0"/>
                  <w:vAlign w:val="center"/>
                </w:tcPr>
                <w:p w14:paraId="02168681">
                  <w:pPr>
                    <w:spacing w:line="240" w:lineRule="auto"/>
                    <w:ind w:right="28" w:rightChars="0"/>
                    <w:jc w:val="center"/>
                    <w:rPr>
                      <w:kern w:val="2"/>
                      <w:sz w:val="21"/>
                      <w:szCs w:val="21"/>
                      <w:highlight w:val="none"/>
                      <w:lang w:val="en-US" w:eastAsia="zh-CN" w:bidi="ar-SA"/>
                    </w:rPr>
                  </w:pPr>
                  <w:r>
                    <w:rPr>
                      <w:sz w:val="21"/>
                      <w:szCs w:val="21"/>
                      <w:highlight w:val="none"/>
                    </w:rPr>
                    <w:t>4000</w:t>
                  </w:r>
                </w:p>
              </w:tc>
              <w:tc>
                <w:tcPr>
                  <w:tcW w:w="1238" w:type="dxa"/>
                  <w:tcBorders>
                    <w:tl2br w:val="nil"/>
                    <w:tr2bl w:val="nil"/>
                  </w:tcBorders>
                  <w:noWrap w:val="0"/>
                  <w:vAlign w:val="center"/>
                </w:tcPr>
                <w:p w14:paraId="5C06041C">
                  <w:pPr>
                    <w:spacing w:line="240" w:lineRule="auto"/>
                    <w:ind w:right="28" w:rightChars="0"/>
                    <w:jc w:val="center"/>
                    <w:rPr>
                      <w:rFonts w:hint="default" w:ascii="Times New Roman" w:hAnsi="Times New Roman" w:cs="Times New Roman"/>
                      <w:kern w:val="2"/>
                      <w:sz w:val="21"/>
                      <w:szCs w:val="21"/>
                      <w:highlight w:val="none"/>
                      <w:lang w:val="en-US" w:eastAsia="zh-CN" w:bidi="ar-SA"/>
                    </w:rPr>
                  </w:pPr>
                  <w:r>
                    <w:rPr>
                      <w:rFonts w:hint="eastAsia" w:ascii="Times New Roman" w:hAnsi="Times New Roman" w:cs="Times New Roman"/>
                      <w:kern w:val="2"/>
                      <w:sz w:val="21"/>
                      <w:szCs w:val="21"/>
                      <w:highlight w:val="none"/>
                      <w:lang w:val="en-US" w:eastAsia="zh-CN" w:bidi="ar-SA"/>
                    </w:rPr>
                    <w:t>27.5</w:t>
                  </w:r>
                </w:p>
              </w:tc>
              <w:tc>
                <w:tcPr>
                  <w:tcW w:w="776" w:type="pct"/>
                  <w:tcBorders>
                    <w:tl2br w:val="nil"/>
                    <w:tr2bl w:val="nil"/>
                  </w:tcBorders>
                  <w:noWrap w:val="0"/>
                  <w:vAlign w:val="center"/>
                </w:tcPr>
                <w:p w14:paraId="10830EF0">
                  <w:pPr>
                    <w:spacing w:line="240" w:lineRule="auto"/>
                    <w:ind w:right="28" w:rightChars="0"/>
                    <w:jc w:val="center"/>
                    <w:rPr>
                      <w:rFonts w:hint="eastAsia" w:eastAsia="宋体"/>
                      <w:kern w:val="2"/>
                      <w:sz w:val="21"/>
                      <w:szCs w:val="21"/>
                      <w:highlight w:val="none"/>
                      <w:lang w:val="en-US" w:eastAsia="zh-CN" w:bidi="ar-SA"/>
                    </w:rPr>
                  </w:pPr>
                  <w:r>
                    <w:rPr>
                      <w:rFonts w:hint="eastAsia"/>
                      <w:sz w:val="21"/>
                      <w:szCs w:val="21"/>
                      <w:highlight w:val="none"/>
                      <w:lang w:val="en-US" w:eastAsia="zh-CN"/>
                    </w:rPr>
                    <w:t>达标</w:t>
                  </w:r>
                </w:p>
              </w:tc>
            </w:tr>
            <w:tr w14:paraId="7EDFE257">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15" w:type="dxa"/>
                  <w:left w:w="15" w:type="dxa"/>
                  <w:bottom w:w="15" w:type="dxa"/>
                  <w:right w:w="15" w:type="dxa"/>
                </w:tblCellMar>
              </w:tblPrEx>
              <w:trPr>
                <w:trHeight w:val="454" w:hRule="atLeast"/>
                <w:jc w:val="center"/>
              </w:trPr>
              <w:tc>
                <w:tcPr>
                  <w:tcW w:w="490" w:type="pct"/>
                  <w:tcBorders>
                    <w:tl2br w:val="nil"/>
                    <w:tr2bl w:val="nil"/>
                  </w:tcBorders>
                  <w:noWrap w:val="0"/>
                  <w:vAlign w:val="center"/>
                </w:tcPr>
                <w:p w14:paraId="7A3B9719">
                  <w:pPr>
                    <w:spacing w:line="240" w:lineRule="auto"/>
                    <w:ind w:right="28" w:rightChars="0"/>
                    <w:jc w:val="center"/>
                    <w:rPr>
                      <w:rFonts w:hint="eastAsia" w:eastAsia="宋体"/>
                      <w:kern w:val="2"/>
                      <w:sz w:val="21"/>
                      <w:szCs w:val="21"/>
                      <w:highlight w:val="none"/>
                      <w:vertAlign w:val="subscript"/>
                      <w:lang w:val="en-US" w:eastAsia="zh-CN" w:bidi="ar-SA"/>
                    </w:rPr>
                  </w:pPr>
                  <w:r>
                    <w:rPr>
                      <w:sz w:val="21"/>
                      <w:szCs w:val="21"/>
                      <w:highlight w:val="none"/>
                    </w:rPr>
                    <w:t>O</w:t>
                  </w:r>
                  <w:r>
                    <w:rPr>
                      <w:rFonts w:hint="eastAsia"/>
                      <w:sz w:val="21"/>
                      <w:szCs w:val="21"/>
                      <w:highlight w:val="none"/>
                      <w:vertAlign w:val="subscript"/>
                      <w:lang w:val="en-US" w:eastAsia="zh-CN"/>
                    </w:rPr>
                    <w:t>3</w:t>
                  </w:r>
                </w:p>
              </w:tc>
              <w:tc>
                <w:tcPr>
                  <w:tcW w:w="1348" w:type="pct"/>
                  <w:tcBorders>
                    <w:tl2br w:val="nil"/>
                    <w:tr2bl w:val="nil"/>
                  </w:tcBorders>
                  <w:noWrap w:val="0"/>
                  <w:vAlign w:val="center"/>
                </w:tcPr>
                <w:p w14:paraId="6E0A52AC">
                  <w:pPr>
                    <w:spacing w:line="240" w:lineRule="auto"/>
                    <w:ind w:right="28" w:rightChars="0"/>
                    <w:jc w:val="center"/>
                    <w:rPr>
                      <w:kern w:val="2"/>
                      <w:sz w:val="21"/>
                      <w:szCs w:val="21"/>
                      <w:highlight w:val="none"/>
                      <w:lang w:val="en-US" w:eastAsia="zh-CN" w:bidi="ar-SA"/>
                    </w:rPr>
                  </w:pPr>
                  <w:r>
                    <w:rPr>
                      <w:sz w:val="21"/>
                      <w:szCs w:val="21"/>
                      <w:highlight w:val="none"/>
                    </w:rPr>
                    <w:t>日最大8小时平均浓度值</w:t>
                  </w:r>
                </w:p>
              </w:tc>
              <w:tc>
                <w:tcPr>
                  <w:tcW w:w="765" w:type="pct"/>
                  <w:tcBorders>
                    <w:tl2br w:val="nil"/>
                    <w:tr2bl w:val="nil"/>
                  </w:tcBorders>
                  <w:noWrap w:val="0"/>
                  <w:vAlign w:val="center"/>
                </w:tcPr>
                <w:p w14:paraId="245811FA">
                  <w:pPr>
                    <w:bidi w:val="0"/>
                    <w:spacing w:line="240" w:lineRule="auto"/>
                    <w:jc w:val="center"/>
                    <w:rPr>
                      <w:rFonts w:hint="default" w:ascii="Times New Roman" w:hAnsi="Times New Roman" w:eastAsia="宋体" w:cs="Times New Roman"/>
                      <w:kern w:val="2"/>
                      <w:sz w:val="21"/>
                      <w:szCs w:val="21"/>
                      <w:highlight w:val="none"/>
                      <w:lang w:val="en-US" w:eastAsia="zh-CN" w:bidi="ar-SA"/>
                    </w:rPr>
                  </w:pPr>
                  <w:r>
                    <w:rPr>
                      <w:rFonts w:hint="eastAsia"/>
                      <w:sz w:val="21"/>
                      <w:szCs w:val="21"/>
                      <w:highlight w:val="none"/>
                      <w:lang w:val="en-US" w:eastAsia="zh-CN"/>
                    </w:rPr>
                    <w:t>189</w:t>
                  </w:r>
                </w:p>
              </w:tc>
              <w:tc>
                <w:tcPr>
                  <w:tcW w:w="842" w:type="pct"/>
                  <w:tcBorders>
                    <w:tl2br w:val="nil"/>
                    <w:tr2bl w:val="nil"/>
                  </w:tcBorders>
                  <w:noWrap w:val="0"/>
                  <w:vAlign w:val="center"/>
                </w:tcPr>
                <w:p w14:paraId="763DF8D1">
                  <w:pPr>
                    <w:spacing w:line="240" w:lineRule="auto"/>
                    <w:ind w:right="28" w:rightChars="0"/>
                    <w:jc w:val="center"/>
                    <w:rPr>
                      <w:kern w:val="2"/>
                      <w:sz w:val="21"/>
                      <w:szCs w:val="21"/>
                      <w:highlight w:val="none"/>
                      <w:lang w:val="en-US" w:eastAsia="zh-CN" w:bidi="ar-SA"/>
                    </w:rPr>
                  </w:pPr>
                  <w:r>
                    <w:rPr>
                      <w:sz w:val="21"/>
                      <w:szCs w:val="21"/>
                      <w:highlight w:val="none"/>
                    </w:rPr>
                    <w:t>160</w:t>
                  </w:r>
                </w:p>
              </w:tc>
              <w:tc>
                <w:tcPr>
                  <w:tcW w:w="1238" w:type="dxa"/>
                  <w:tcBorders>
                    <w:tl2br w:val="nil"/>
                    <w:tr2bl w:val="nil"/>
                  </w:tcBorders>
                  <w:noWrap w:val="0"/>
                  <w:vAlign w:val="center"/>
                </w:tcPr>
                <w:p w14:paraId="3E8156C6">
                  <w:pPr>
                    <w:spacing w:line="240" w:lineRule="auto"/>
                    <w:ind w:right="28" w:rightChars="0"/>
                    <w:jc w:val="center"/>
                    <w:rPr>
                      <w:rFonts w:hint="default" w:ascii="Times New Roman" w:hAnsi="Times New Roman" w:cs="Times New Roman"/>
                      <w:kern w:val="2"/>
                      <w:sz w:val="21"/>
                      <w:szCs w:val="21"/>
                      <w:highlight w:val="none"/>
                      <w:lang w:val="en-US" w:eastAsia="zh-CN" w:bidi="ar-SA"/>
                    </w:rPr>
                  </w:pPr>
                  <w:r>
                    <w:rPr>
                      <w:rFonts w:hint="eastAsia" w:ascii="Times New Roman" w:hAnsi="Times New Roman" w:cs="Times New Roman"/>
                      <w:kern w:val="2"/>
                      <w:sz w:val="21"/>
                      <w:szCs w:val="21"/>
                      <w:highlight w:val="none"/>
                      <w:lang w:val="en-US" w:eastAsia="zh-CN" w:bidi="ar-SA"/>
                    </w:rPr>
                    <w:t>118.1</w:t>
                  </w:r>
                </w:p>
              </w:tc>
              <w:tc>
                <w:tcPr>
                  <w:tcW w:w="776" w:type="pct"/>
                  <w:tcBorders>
                    <w:tl2br w:val="nil"/>
                    <w:tr2bl w:val="nil"/>
                  </w:tcBorders>
                  <w:noWrap w:val="0"/>
                  <w:vAlign w:val="center"/>
                </w:tcPr>
                <w:p w14:paraId="7ADF6D65">
                  <w:pPr>
                    <w:spacing w:line="240" w:lineRule="auto"/>
                    <w:ind w:right="28" w:rightChars="0"/>
                    <w:jc w:val="center"/>
                    <w:rPr>
                      <w:rFonts w:hint="eastAsia" w:eastAsia="宋体"/>
                      <w:kern w:val="2"/>
                      <w:sz w:val="21"/>
                      <w:szCs w:val="21"/>
                      <w:highlight w:val="none"/>
                      <w:lang w:val="en-US" w:eastAsia="zh-CN" w:bidi="ar-SA"/>
                    </w:rPr>
                  </w:pPr>
                  <w:r>
                    <w:rPr>
                      <w:rFonts w:hint="eastAsia"/>
                      <w:sz w:val="21"/>
                      <w:szCs w:val="21"/>
                      <w:highlight w:val="none"/>
                      <w:lang w:val="en-US" w:eastAsia="zh-CN"/>
                    </w:rPr>
                    <w:t>不达标</w:t>
                  </w:r>
                </w:p>
              </w:tc>
            </w:tr>
            <w:tr w14:paraId="0486E2E4">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15" w:type="dxa"/>
                  <w:left w:w="15" w:type="dxa"/>
                  <w:bottom w:w="15" w:type="dxa"/>
                  <w:right w:w="15" w:type="dxa"/>
                </w:tblCellMar>
              </w:tblPrEx>
              <w:trPr>
                <w:trHeight w:val="454" w:hRule="atLeast"/>
                <w:jc w:val="center"/>
              </w:trPr>
              <w:tc>
                <w:tcPr>
                  <w:tcW w:w="490" w:type="pct"/>
                  <w:tcBorders>
                    <w:tl2br w:val="nil"/>
                    <w:tr2bl w:val="nil"/>
                  </w:tcBorders>
                  <w:noWrap w:val="0"/>
                  <w:vAlign w:val="center"/>
                </w:tcPr>
                <w:p w14:paraId="78029BE8">
                  <w:pPr>
                    <w:spacing w:line="240" w:lineRule="auto"/>
                    <w:ind w:right="28" w:rightChars="0"/>
                    <w:jc w:val="center"/>
                    <w:rPr>
                      <w:rFonts w:hint="default" w:eastAsia="宋体"/>
                      <w:kern w:val="2"/>
                      <w:sz w:val="21"/>
                      <w:szCs w:val="21"/>
                      <w:highlight w:val="none"/>
                      <w:vertAlign w:val="subscript"/>
                      <w:lang w:val="en-US" w:eastAsia="zh-CN" w:bidi="ar-SA"/>
                    </w:rPr>
                  </w:pPr>
                  <w:r>
                    <w:rPr>
                      <w:sz w:val="21"/>
                      <w:szCs w:val="21"/>
                      <w:highlight w:val="none"/>
                    </w:rPr>
                    <w:t>PM</w:t>
                  </w:r>
                  <w:r>
                    <w:rPr>
                      <w:rFonts w:hint="eastAsia"/>
                      <w:sz w:val="21"/>
                      <w:szCs w:val="21"/>
                      <w:highlight w:val="none"/>
                      <w:vertAlign w:val="subscript"/>
                      <w:lang w:val="en-US" w:eastAsia="zh-CN"/>
                    </w:rPr>
                    <w:t>10</w:t>
                  </w:r>
                </w:p>
              </w:tc>
              <w:tc>
                <w:tcPr>
                  <w:tcW w:w="1348" w:type="pct"/>
                  <w:tcBorders>
                    <w:tl2br w:val="nil"/>
                    <w:tr2bl w:val="nil"/>
                  </w:tcBorders>
                  <w:noWrap w:val="0"/>
                  <w:vAlign w:val="center"/>
                </w:tcPr>
                <w:p w14:paraId="4F955AC7">
                  <w:pPr>
                    <w:spacing w:line="240" w:lineRule="auto"/>
                    <w:ind w:right="28" w:rightChars="0"/>
                    <w:jc w:val="center"/>
                    <w:rPr>
                      <w:kern w:val="2"/>
                      <w:sz w:val="21"/>
                      <w:szCs w:val="21"/>
                      <w:highlight w:val="none"/>
                      <w:lang w:val="en-US" w:eastAsia="zh-CN" w:bidi="ar-SA"/>
                    </w:rPr>
                  </w:pPr>
                  <w:r>
                    <w:rPr>
                      <w:sz w:val="21"/>
                      <w:szCs w:val="21"/>
                      <w:highlight w:val="none"/>
                    </w:rPr>
                    <w:t>年平均质量浓度值</w:t>
                  </w:r>
                </w:p>
              </w:tc>
              <w:tc>
                <w:tcPr>
                  <w:tcW w:w="765" w:type="pct"/>
                  <w:tcBorders>
                    <w:tl2br w:val="nil"/>
                    <w:tr2bl w:val="nil"/>
                  </w:tcBorders>
                  <w:noWrap w:val="0"/>
                  <w:vAlign w:val="center"/>
                </w:tcPr>
                <w:p w14:paraId="1F846842">
                  <w:pPr>
                    <w:bidi w:val="0"/>
                    <w:spacing w:line="240" w:lineRule="auto"/>
                    <w:jc w:val="center"/>
                    <w:rPr>
                      <w:rFonts w:hint="default" w:ascii="Times New Roman" w:hAnsi="Times New Roman" w:eastAsia="宋体" w:cs="Times New Roman"/>
                      <w:kern w:val="2"/>
                      <w:sz w:val="21"/>
                      <w:szCs w:val="21"/>
                      <w:highlight w:val="none"/>
                      <w:lang w:val="en-US" w:eastAsia="zh-CN" w:bidi="ar-SA"/>
                    </w:rPr>
                  </w:pPr>
                  <w:r>
                    <w:rPr>
                      <w:rFonts w:hint="eastAsia"/>
                      <w:sz w:val="21"/>
                      <w:szCs w:val="21"/>
                      <w:highlight w:val="none"/>
                      <w:lang w:val="en-US" w:eastAsia="zh-CN"/>
                    </w:rPr>
                    <w:t>63</w:t>
                  </w:r>
                </w:p>
              </w:tc>
              <w:tc>
                <w:tcPr>
                  <w:tcW w:w="842" w:type="pct"/>
                  <w:tcBorders>
                    <w:tl2br w:val="nil"/>
                    <w:tr2bl w:val="nil"/>
                  </w:tcBorders>
                  <w:noWrap w:val="0"/>
                  <w:vAlign w:val="center"/>
                </w:tcPr>
                <w:p w14:paraId="03C58D6B">
                  <w:pPr>
                    <w:spacing w:line="240" w:lineRule="auto"/>
                    <w:ind w:right="28" w:rightChars="0"/>
                    <w:jc w:val="center"/>
                    <w:rPr>
                      <w:kern w:val="2"/>
                      <w:sz w:val="21"/>
                      <w:szCs w:val="21"/>
                      <w:highlight w:val="none"/>
                      <w:lang w:val="en-US" w:eastAsia="zh-CN" w:bidi="ar-SA"/>
                    </w:rPr>
                  </w:pPr>
                  <w:r>
                    <w:rPr>
                      <w:sz w:val="21"/>
                      <w:szCs w:val="21"/>
                      <w:highlight w:val="none"/>
                    </w:rPr>
                    <w:t>70</w:t>
                  </w:r>
                </w:p>
              </w:tc>
              <w:tc>
                <w:tcPr>
                  <w:tcW w:w="1238" w:type="dxa"/>
                  <w:tcBorders>
                    <w:tl2br w:val="nil"/>
                    <w:tr2bl w:val="nil"/>
                  </w:tcBorders>
                  <w:noWrap w:val="0"/>
                  <w:vAlign w:val="center"/>
                </w:tcPr>
                <w:p w14:paraId="6B00B94F">
                  <w:pPr>
                    <w:spacing w:line="240" w:lineRule="auto"/>
                    <w:ind w:right="28" w:rightChars="0"/>
                    <w:jc w:val="center"/>
                    <w:rPr>
                      <w:rFonts w:hint="default" w:ascii="Times New Roman" w:hAnsi="Times New Roman" w:cs="Times New Roman"/>
                      <w:kern w:val="2"/>
                      <w:sz w:val="21"/>
                      <w:szCs w:val="21"/>
                      <w:highlight w:val="none"/>
                      <w:lang w:val="en-US" w:eastAsia="zh-CN" w:bidi="ar-SA"/>
                    </w:rPr>
                  </w:pPr>
                  <w:r>
                    <w:rPr>
                      <w:rFonts w:hint="eastAsia" w:ascii="Times New Roman" w:hAnsi="Times New Roman" w:cs="Times New Roman"/>
                      <w:kern w:val="2"/>
                      <w:sz w:val="21"/>
                      <w:szCs w:val="21"/>
                      <w:highlight w:val="none"/>
                      <w:lang w:val="en-US" w:eastAsia="zh-CN" w:bidi="ar-SA"/>
                    </w:rPr>
                    <w:t>90.0</w:t>
                  </w:r>
                </w:p>
              </w:tc>
              <w:tc>
                <w:tcPr>
                  <w:tcW w:w="776" w:type="pct"/>
                  <w:tcBorders>
                    <w:tl2br w:val="nil"/>
                    <w:tr2bl w:val="nil"/>
                  </w:tcBorders>
                  <w:noWrap w:val="0"/>
                  <w:vAlign w:val="center"/>
                </w:tcPr>
                <w:p w14:paraId="517DF060">
                  <w:pPr>
                    <w:widowControl/>
                    <w:spacing w:line="240" w:lineRule="auto"/>
                    <w:jc w:val="center"/>
                    <w:rPr>
                      <w:rFonts w:hint="default" w:eastAsia="宋体"/>
                      <w:kern w:val="2"/>
                      <w:sz w:val="21"/>
                      <w:szCs w:val="21"/>
                      <w:highlight w:val="none"/>
                      <w:lang w:val="en-US" w:eastAsia="zh-CN" w:bidi="ar-SA"/>
                    </w:rPr>
                  </w:pPr>
                  <w:r>
                    <w:rPr>
                      <w:rFonts w:hint="eastAsia"/>
                      <w:sz w:val="21"/>
                      <w:szCs w:val="21"/>
                      <w:highlight w:val="none"/>
                      <w:lang w:val="en-US" w:eastAsia="zh-CN"/>
                    </w:rPr>
                    <w:t>达标</w:t>
                  </w:r>
                </w:p>
              </w:tc>
            </w:tr>
            <w:tr w14:paraId="386877C5">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15" w:type="dxa"/>
                  <w:left w:w="15" w:type="dxa"/>
                  <w:bottom w:w="15" w:type="dxa"/>
                  <w:right w:w="15" w:type="dxa"/>
                </w:tblCellMar>
              </w:tblPrEx>
              <w:trPr>
                <w:trHeight w:val="454" w:hRule="atLeast"/>
                <w:jc w:val="center"/>
              </w:trPr>
              <w:tc>
                <w:tcPr>
                  <w:tcW w:w="490" w:type="pct"/>
                  <w:tcBorders>
                    <w:tl2br w:val="nil"/>
                    <w:tr2bl w:val="nil"/>
                  </w:tcBorders>
                  <w:noWrap w:val="0"/>
                  <w:vAlign w:val="center"/>
                </w:tcPr>
                <w:p w14:paraId="054EFC3A">
                  <w:pPr>
                    <w:spacing w:line="240" w:lineRule="auto"/>
                    <w:ind w:right="28" w:rightChars="0"/>
                    <w:jc w:val="center"/>
                    <w:rPr>
                      <w:rFonts w:hint="default" w:eastAsia="宋体"/>
                      <w:kern w:val="2"/>
                      <w:sz w:val="21"/>
                      <w:szCs w:val="21"/>
                      <w:highlight w:val="none"/>
                      <w:vertAlign w:val="subscript"/>
                      <w:lang w:val="en-US" w:eastAsia="zh-CN" w:bidi="ar-SA"/>
                    </w:rPr>
                  </w:pPr>
                  <w:r>
                    <w:rPr>
                      <w:sz w:val="21"/>
                      <w:szCs w:val="21"/>
                      <w:highlight w:val="none"/>
                    </w:rPr>
                    <w:t>PM</w:t>
                  </w:r>
                  <w:r>
                    <w:rPr>
                      <w:rFonts w:hint="eastAsia"/>
                      <w:sz w:val="21"/>
                      <w:szCs w:val="21"/>
                      <w:highlight w:val="none"/>
                      <w:vertAlign w:val="subscript"/>
                      <w:lang w:val="en-US" w:eastAsia="zh-CN"/>
                    </w:rPr>
                    <w:t>2.5</w:t>
                  </w:r>
                </w:p>
              </w:tc>
              <w:tc>
                <w:tcPr>
                  <w:tcW w:w="1348" w:type="pct"/>
                  <w:tcBorders>
                    <w:tl2br w:val="nil"/>
                    <w:tr2bl w:val="nil"/>
                  </w:tcBorders>
                  <w:noWrap w:val="0"/>
                  <w:vAlign w:val="center"/>
                </w:tcPr>
                <w:p w14:paraId="2DA2F360">
                  <w:pPr>
                    <w:spacing w:line="240" w:lineRule="auto"/>
                    <w:ind w:right="28" w:rightChars="0"/>
                    <w:jc w:val="center"/>
                    <w:rPr>
                      <w:kern w:val="2"/>
                      <w:sz w:val="21"/>
                      <w:szCs w:val="21"/>
                      <w:highlight w:val="none"/>
                      <w:lang w:val="en-US" w:eastAsia="zh-CN" w:bidi="ar-SA"/>
                    </w:rPr>
                  </w:pPr>
                  <w:r>
                    <w:rPr>
                      <w:sz w:val="21"/>
                      <w:szCs w:val="21"/>
                      <w:highlight w:val="none"/>
                    </w:rPr>
                    <w:t>年平均质量浓度值</w:t>
                  </w:r>
                </w:p>
              </w:tc>
              <w:tc>
                <w:tcPr>
                  <w:tcW w:w="765" w:type="pct"/>
                  <w:tcBorders>
                    <w:tl2br w:val="nil"/>
                    <w:tr2bl w:val="nil"/>
                  </w:tcBorders>
                  <w:noWrap w:val="0"/>
                  <w:vAlign w:val="center"/>
                </w:tcPr>
                <w:p w14:paraId="7A228AEE">
                  <w:pPr>
                    <w:bidi w:val="0"/>
                    <w:spacing w:line="240" w:lineRule="auto"/>
                    <w:jc w:val="center"/>
                    <w:rPr>
                      <w:rFonts w:hint="default" w:ascii="Times New Roman" w:hAnsi="Times New Roman" w:eastAsia="宋体" w:cs="Times New Roman"/>
                      <w:kern w:val="2"/>
                      <w:sz w:val="21"/>
                      <w:szCs w:val="21"/>
                      <w:highlight w:val="none"/>
                      <w:lang w:val="en-US" w:eastAsia="zh-CN" w:bidi="ar-SA"/>
                    </w:rPr>
                  </w:pPr>
                  <w:r>
                    <w:rPr>
                      <w:rFonts w:hint="eastAsia"/>
                      <w:sz w:val="21"/>
                      <w:szCs w:val="21"/>
                      <w:highlight w:val="none"/>
                      <w:lang w:val="en-US" w:eastAsia="zh-CN"/>
                    </w:rPr>
                    <w:t>36</w:t>
                  </w:r>
                </w:p>
              </w:tc>
              <w:tc>
                <w:tcPr>
                  <w:tcW w:w="842" w:type="pct"/>
                  <w:tcBorders>
                    <w:tl2br w:val="nil"/>
                    <w:tr2bl w:val="nil"/>
                  </w:tcBorders>
                  <w:noWrap w:val="0"/>
                  <w:vAlign w:val="center"/>
                </w:tcPr>
                <w:p w14:paraId="475B07A1">
                  <w:pPr>
                    <w:spacing w:line="240" w:lineRule="auto"/>
                    <w:ind w:right="28" w:rightChars="0"/>
                    <w:jc w:val="center"/>
                    <w:rPr>
                      <w:kern w:val="2"/>
                      <w:sz w:val="21"/>
                      <w:szCs w:val="21"/>
                      <w:highlight w:val="none"/>
                      <w:lang w:val="en-US" w:eastAsia="zh-CN" w:bidi="ar-SA"/>
                    </w:rPr>
                  </w:pPr>
                  <w:r>
                    <w:rPr>
                      <w:sz w:val="21"/>
                      <w:szCs w:val="21"/>
                      <w:highlight w:val="none"/>
                    </w:rPr>
                    <w:t>35</w:t>
                  </w:r>
                </w:p>
              </w:tc>
              <w:tc>
                <w:tcPr>
                  <w:tcW w:w="1238" w:type="dxa"/>
                  <w:tcBorders>
                    <w:tl2br w:val="nil"/>
                    <w:tr2bl w:val="nil"/>
                  </w:tcBorders>
                  <w:noWrap w:val="0"/>
                  <w:vAlign w:val="center"/>
                </w:tcPr>
                <w:p w14:paraId="04A916BC">
                  <w:pPr>
                    <w:spacing w:line="240" w:lineRule="auto"/>
                    <w:ind w:right="28" w:rightChars="0"/>
                    <w:jc w:val="center"/>
                    <w:rPr>
                      <w:rFonts w:hint="default" w:ascii="Times New Roman" w:hAnsi="Times New Roman" w:cs="Times New Roman"/>
                      <w:kern w:val="2"/>
                      <w:sz w:val="21"/>
                      <w:szCs w:val="21"/>
                      <w:highlight w:val="none"/>
                      <w:lang w:val="en-US" w:eastAsia="zh-CN" w:bidi="ar-SA"/>
                    </w:rPr>
                  </w:pPr>
                  <w:r>
                    <w:rPr>
                      <w:rFonts w:hint="eastAsia" w:ascii="Times New Roman" w:hAnsi="Times New Roman" w:cs="Times New Roman"/>
                      <w:kern w:val="2"/>
                      <w:sz w:val="21"/>
                      <w:szCs w:val="21"/>
                      <w:highlight w:val="none"/>
                      <w:lang w:val="en-US" w:eastAsia="zh-CN" w:bidi="ar-SA"/>
                    </w:rPr>
                    <w:t>1.02.9</w:t>
                  </w:r>
                </w:p>
              </w:tc>
              <w:tc>
                <w:tcPr>
                  <w:tcW w:w="776" w:type="pct"/>
                  <w:tcBorders>
                    <w:tl2br w:val="nil"/>
                    <w:tr2bl w:val="nil"/>
                  </w:tcBorders>
                  <w:noWrap w:val="0"/>
                  <w:vAlign w:val="center"/>
                </w:tcPr>
                <w:p w14:paraId="7DD47220">
                  <w:pPr>
                    <w:widowControl/>
                    <w:spacing w:line="240" w:lineRule="auto"/>
                    <w:jc w:val="center"/>
                    <w:rPr>
                      <w:rFonts w:hint="eastAsia"/>
                      <w:sz w:val="21"/>
                      <w:szCs w:val="21"/>
                      <w:highlight w:val="none"/>
                      <w:lang w:val="en-US" w:eastAsia="zh-CN"/>
                    </w:rPr>
                  </w:pPr>
                  <w:r>
                    <w:rPr>
                      <w:rFonts w:hint="eastAsia"/>
                      <w:sz w:val="21"/>
                      <w:szCs w:val="21"/>
                      <w:highlight w:val="none"/>
                      <w:lang w:val="en-US" w:eastAsia="zh-CN"/>
                    </w:rPr>
                    <w:t>不达标</w:t>
                  </w:r>
                </w:p>
              </w:tc>
            </w:tr>
          </w:tbl>
          <w:p w14:paraId="72EA1A74">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default"/>
                <w:sz w:val="24"/>
                <w:szCs w:val="32"/>
                <w:highlight w:val="none"/>
              </w:rPr>
            </w:pPr>
            <w:r>
              <w:rPr>
                <w:rFonts w:hint="default"/>
                <w:sz w:val="24"/>
                <w:szCs w:val="32"/>
                <w:highlight w:val="none"/>
              </w:rPr>
              <w:t>由上表可知，</w:t>
            </w:r>
            <w:r>
              <w:rPr>
                <w:rFonts w:hint="default" w:ascii="Times New Roman" w:hAnsi="Times New Roman" w:eastAsia="宋体" w:cs="Times New Roman"/>
                <w:sz w:val="24"/>
                <w:szCs w:val="32"/>
                <w:highlight w:val="none"/>
                <w:lang w:val="en-US" w:eastAsia="zh-CN"/>
              </w:rPr>
              <w:t>202</w:t>
            </w:r>
            <w:r>
              <w:rPr>
                <w:rFonts w:hint="eastAsia" w:cs="Times New Roman"/>
                <w:sz w:val="24"/>
                <w:szCs w:val="32"/>
                <w:highlight w:val="none"/>
                <w:lang w:val="en-US" w:eastAsia="zh-CN"/>
              </w:rPr>
              <w:t>3</w:t>
            </w:r>
            <w:r>
              <w:rPr>
                <w:rFonts w:hint="default" w:ascii="Times New Roman" w:hAnsi="Times New Roman" w:eastAsia="宋体" w:cs="Times New Roman"/>
                <w:sz w:val="24"/>
                <w:szCs w:val="32"/>
                <w:highlight w:val="none"/>
                <w:lang w:val="en-US" w:eastAsia="zh-CN"/>
              </w:rPr>
              <w:t>年曹妃甸区</w:t>
            </w:r>
            <w:r>
              <w:rPr>
                <w:rFonts w:hint="default" w:ascii="Times New Roman" w:hAnsi="Times New Roman" w:eastAsia="宋体" w:cs="Times New Roman"/>
                <w:sz w:val="24"/>
                <w:szCs w:val="32"/>
                <w:highlight w:val="none"/>
              </w:rPr>
              <w:t>一氧化</w:t>
            </w:r>
            <w:r>
              <w:rPr>
                <w:rFonts w:hint="default"/>
                <w:sz w:val="24"/>
                <w:szCs w:val="32"/>
                <w:highlight w:val="none"/>
              </w:rPr>
              <w:t>碳日均浓度值，二氧化硫、二氧化氮、PM</w:t>
            </w:r>
            <w:r>
              <w:rPr>
                <w:rFonts w:hint="default"/>
                <w:sz w:val="24"/>
                <w:szCs w:val="32"/>
                <w:highlight w:val="none"/>
                <w:vertAlign w:val="subscript"/>
              </w:rPr>
              <w:t>10</w:t>
            </w:r>
            <w:r>
              <w:rPr>
                <w:rFonts w:hint="default"/>
                <w:sz w:val="24"/>
                <w:szCs w:val="32"/>
                <w:highlight w:val="none"/>
              </w:rPr>
              <w:t>年均值满足空气质量标准要求</w:t>
            </w:r>
            <w:r>
              <w:rPr>
                <w:rFonts w:hint="eastAsia"/>
                <w:sz w:val="24"/>
                <w:szCs w:val="32"/>
                <w:highlight w:val="none"/>
                <w:lang w:eastAsia="zh-CN"/>
              </w:rPr>
              <w:t>；</w:t>
            </w:r>
            <w:r>
              <w:rPr>
                <w:rFonts w:hint="default"/>
                <w:sz w:val="24"/>
                <w:szCs w:val="32"/>
                <w:highlight w:val="none"/>
              </w:rPr>
              <w:t>臭氧日最大8小时平均质量浓度值</w:t>
            </w:r>
            <w:r>
              <w:rPr>
                <w:rFonts w:hint="eastAsia"/>
                <w:sz w:val="24"/>
                <w:szCs w:val="32"/>
                <w:highlight w:val="none"/>
                <w:lang w:eastAsia="zh-CN"/>
              </w:rPr>
              <w:t>、</w:t>
            </w:r>
            <w:r>
              <w:rPr>
                <w:rFonts w:hint="eastAsia"/>
                <w:highlight w:val="none"/>
                <w:vertAlign w:val="baseline"/>
                <w:lang w:val="en-US" w:eastAsia="zh-CN"/>
              </w:rPr>
              <w:t>PM</w:t>
            </w:r>
            <w:r>
              <w:rPr>
                <w:rFonts w:hint="eastAsia"/>
                <w:highlight w:val="none"/>
                <w:vertAlign w:val="subscript"/>
                <w:lang w:val="en-US" w:eastAsia="zh-CN"/>
              </w:rPr>
              <w:t>2.5</w:t>
            </w:r>
            <w:r>
              <w:rPr>
                <w:rFonts w:hint="eastAsia"/>
                <w:highlight w:val="none"/>
                <w:vertAlign w:val="baseline"/>
                <w:lang w:val="en-US" w:eastAsia="zh-CN"/>
              </w:rPr>
              <w:t>年平均质量浓度</w:t>
            </w:r>
            <w:r>
              <w:rPr>
                <w:rFonts w:hint="default"/>
                <w:sz w:val="24"/>
                <w:szCs w:val="32"/>
                <w:highlight w:val="none"/>
              </w:rPr>
              <w:t>超过环境质量标准要求，即项目所在区域为不达标区。</w:t>
            </w:r>
          </w:p>
          <w:p w14:paraId="5CB5B0B0">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default" w:eastAsia="宋体"/>
                <w:sz w:val="24"/>
                <w:szCs w:val="32"/>
                <w:highlight w:val="none"/>
                <w:lang w:val="en-US" w:eastAsia="zh-CN"/>
              </w:rPr>
            </w:pPr>
            <w:r>
              <w:rPr>
                <w:rFonts w:hint="eastAsia"/>
                <w:sz w:val="24"/>
                <w:szCs w:val="32"/>
                <w:highlight w:val="none"/>
                <w:lang w:eastAsia="zh-CN"/>
              </w:rPr>
              <w:t>（</w:t>
            </w:r>
            <w:r>
              <w:rPr>
                <w:rFonts w:hint="eastAsia"/>
                <w:sz w:val="24"/>
                <w:szCs w:val="32"/>
                <w:highlight w:val="none"/>
                <w:lang w:val="en-US" w:eastAsia="zh-CN"/>
              </w:rPr>
              <w:t>3</w:t>
            </w:r>
            <w:r>
              <w:rPr>
                <w:rFonts w:hint="eastAsia"/>
                <w:sz w:val="24"/>
                <w:szCs w:val="32"/>
                <w:highlight w:val="none"/>
                <w:lang w:eastAsia="zh-CN"/>
              </w:rPr>
              <w:t>）</w:t>
            </w:r>
            <w:r>
              <w:rPr>
                <w:rFonts w:hint="eastAsia"/>
                <w:color w:val="auto"/>
                <w:sz w:val="24"/>
                <w:szCs w:val="32"/>
                <w:highlight w:val="none"/>
                <w:lang w:val="en-US" w:eastAsia="zh-CN"/>
              </w:rPr>
              <w:t>特征污染物</w:t>
            </w:r>
          </w:p>
          <w:p w14:paraId="4C341D60">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cs="Times New Roman"/>
                <w:color w:val="auto"/>
                <w:sz w:val="24"/>
                <w:szCs w:val="24"/>
                <w:highlight w:val="none"/>
                <w:lang w:val="en-US" w:eastAsia="zh-CN"/>
              </w:rPr>
            </w:pPr>
            <w:r>
              <w:rPr>
                <w:rFonts w:hint="default" w:ascii="Times New Roman" w:hAnsi="Times New Roman" w:cs="Times New Roman"/>
                <w:color w:val="auto"/>
                <w:sz w:val="24"/>
                <w:szCs w:val="24"/>
                <w:highlight w:val="none"/>
                <w:lang w:eastAsia="zh-CN"/>
              </w:rPr>
              <w:t>根据《建设项目环境影响报告表编制技术指南</w:t>
            </w:r>
            <w:r>
              <w:rPr>
                <w:rFonts w:hint="eastAsia" w:ascii="Times New Roman" w:hAnsi="Times New Roman" w:cs="Times New Roman"/>
                <w:color w:val="auto"/>
                <w:sz w:val="24"/>
                <w:szCs w:val="24"/>
                <w:highlight w:val="none"/>
                <w:lang w:eastAsia="zh-CN"/>
              </w:rPr>
              <w:t>（</w:t>
            </w:r>
            <w:r>
              <w:rPr>
                <w:rFonts w:hint="default" w:ascii="Times New Roman" w:hAnsi="Times New Roman" w:cs="Times New Roman"/>
                <w:color w:val="auto"/>
                <w:sz w:val="24"/>
                <w:szCs w:val="24"/>
                <w:highlight w:val="none"/>
                <w:lang w:eastAsia="zh-CN"/>
              </w:rPr>
              <w:t>污染影响类</w:t>
            </w:r>
            <w:r>
              <w:rPr>
                <w:rFonts w:hint="eastAsia" w:ascii="Times New Roman" w:hAnsi="Times New Roman" w:cs="Times New Roman"/>
                <w:color w:val="auto"/>
                <w:sz w:val="24"/>
                <w:szCs w:val="24"/>
                <w:highlight w:val="none"/>
                <w:lang w:eastAsia="zh-CN"/>
              </w:rPr>
              <w:t>）（试行）“</w:t>
            </w:r>
            <w:r>
              <w:rPr>
                <w:rFonts w:hint="default" w:ascii="Times New Roman" w:hAnsi="Times New Roman" w:cs="Times New Roman"/>
                <w:color w:val="auto"/>
                <w:sz w:val="24"/>
                <w:szCs w:val="24"/>
                <w:highlight w:val="none"/>
                <w:lang w:eastAsia="zh-CN"/>
              </w:rPr>
              <w:t>排放国家、地方环境空气质量标准中有标准限值要求的特征污染物时，引用建设项目周边5千米范围内近3年的现有监测数据，无相关数据的选择当季主导风向下风向1个点位补充不少于3天的监测数据</w:t>
            </w:r>
            <w:r>
              <w:rPr>
                <w:rFonts w:hint="eastAsia" w:ascii="Times New Roman" w:hAnsi="Times New Roman" w:cs="Times New Roman"/>
                <w:color w:val="auto"/>
                <w:sz w:val="24"/>
                <w:szCs w:val="24"/>
                <w:highlight w:val="none"/>
                <w:lang w:eastAsia="zh-CN"/>
              </w:rPr>
              <w:t>”</w:t>
            </w:r>
            <w:r>
              <w:rPr>
                <w:rFonts w:hint="default" w:ascii="Times New Roman" w:hAnsi="Times New Roman" w:cs="Times New Roman"/>
                <w:color w:val="auto"/>
                <w:sz w:val="24"/>
                <w:szCs w:val="24"/>
                <w:highlight w:val="none"/>
                <w:lang w:eastAsia="zh-CN"/>
              </w:rPr>
              <w:t>。本项目生产过程涉及排放的有环境空气质量标准限值的特征污染物为颗粒物</w:t>
            </w:r>
            <w:r>
              <w:rPr>
                <w:rFonts w:hint="eastAsia" w:ascii="Times New Roman" w:hAnsi="Times New Roman" w:cs="Times New Roman"/>
                <w:color w:val="auto"/>
                <w:sz w:val="24"/>
                <w:szCs w:val="24"/>
                <w:highlight w:val="none"/>
                <w:lang w:eastAsia="zh-CN"/>
              </w:rPr>
              <w:t>（</w:t>
            </w:r>
            <w:r>
              <w:rPr>
                <w:rFonts w:hint="eastAsia" w:ascii="Times New Roman" w:hAnsi="Times New Roman" w:cs="Times New Roman"/>
                <w:color w:val="auto"/>
                <w:sz w:val="24"/>
                <w:szCs w:val="24"/>
                <w:highlight w:val="none"/>
                <w:lang w:val="en-US" w:eastAsia="zh-CN"/>
              </w:rPr>
              <w:t>TSP</w:t>
            </w:r>
            <w:r>
              <w:rPr>
                <w:rFonts w:hint="eastAsia" w:ascii="Times New Roman" w:hAnsi="Times New Roman" w:cs="Times New Roman"/>
                <w:color w:val="auto"/>
                <w:sz w:val="24"/>
                <w:szCs w:val="24"/>
                <w:highlight w:val="none"/>
                <w:lang w:eastAsia="zh-CN"/>
              </w:rPr>
              <w:t>）</w:t>
            </w:r>
            <w:r>
              <w:rPr>
                <w:rFonts w:hint="default" w:ascii="Times New Roman" w:hAnsi="Times New Roman" w:cs="Times New Roman"/>
                <w:color w:val="auto"/>
                <w:sz w:val="24"/>
                <w:szCs w:val="24"/>
                <w:highlight w:val="none"/>
                <w:lang w:eastAsia="zh-CN"/>
              </w:rPr>
              <w:t>。本次在评价</w:t>
            </w:r>
            <w:r>
              <w:rPr>
                <w:rFonts w:hint="eastAsia" w:ascii="Times New Roman" w:hAnsi="Times New Roman" w:cs="Times New Roman"/>
                <w:color w:val="auto"/>
                <w:sz w:val="24"/>
                <w:szCs w:val="24"/>
                <w:highlight w:val="none"/>
                <w:lang w:eastAsia="zh-CN"/>
              </w:rPr>
              <w:t>特征污染物环境质量现状时，引用建设项目周边</w:t>
            </w:r>
            <w:r>
              <w:rPr>
                <w:rFonts w:hint="eastAsia" w:ascii="Times New Roman" w:hAnsi="Times New Roman" w:cs="Times New Roman"/>
                <w:color w:val="auto"/>
                <w:sz w:val="24"/>
                <w:szCs w:val="24"/>
                <w:highlight w:val="none"/>
                <w:lang w:val="en-US" w:eastAsia="zh-CN"/>
              </w:rPr>
              <w:t>5千米范围内近3年的现有监测数据进行分析。</w:t>
            </w:r>
          </w:p>
          <w:p w14:paraId="37F32902">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eastAsia="zh-CN"/>
              </w:rPr>
            </w:pPr>
            <w:r>
              <w:rPr>
                <w:rFonts w:hint="default" w:ascii="Times New Roman" w:hAnsi="Times New Roman" w:eastAsia="宋体" w:cs="Times New Roman"/>
                <w:color w:val="auto"/>
                <w:sz w:val="24"/>
                <w:szCs w:val="24"/>
                <w:highlight w:val="none"/>
                <w:lang w:eastAsia="zh-CN"/>
              </w:rPr>
              <w:t>TSP环境质量现状监测数据引用《唐山港煤炭储运基地项目环境质量现状检测报告》中唐山港煤炭储运基地项目场址的监测数据，监测时间为2022年12月11日~2022年12月13日，唐山港煤炭储运基地项目场址位于本项目南侧</w:t>
            </w:r>
            <w:r>
              <w:rPr>
                <w:rFonts w:hint="eastAsia" w:ascii="Times New Roman" w:hAnsi="Times New Roman" w:cs="Times New Roman"/>
                <w:color w:val="auto"/>
                <w:sz w:val="24"/>
                <w:szCs w:val="24"/>
                <w:highlight w:val="none"/>
                <w:lang w:val="en-US" w:eastAsia="zh-CN"/>
              </w:rPr>
              <w:t>2967</w:t>
            </w:r>
            <w:r>
              <w:rPr>
                <w:rFonts w:hint="default" w:ascii="Times New Roman" w:hAnsi="Times New Roman" w:eastAsia="宋体" w:cs="Times New Roman"/>
                <w:color w:val="auto"/>
                <w:sz w:val="24"/>
                <w:szCs w:val="24"/>
                <w:highlight w:val="none"/>
                <w:lang w:eastAsia="zh-CN"/>
              </w:rPr>
              <w:t>m处，在5km范围之内，且监测时间在三年之内，符合《建设项目环境影响报告表编制技术指南</w:t>
            </w:r>
            <w:r>
              <w:rPr>
                <w:rFonts w:hint="eastAsia" w:ascii="Times New Roman" w:hAnsi="Times New Roman" w:cs="Times New Roman"/>
                <w:color w:val="auto"/>
                <w:sz w:val="24"/>
                <w:szCs w:val="24"/>
                <w:highlight w:val="none"/>
                <w:lang w:eastAsia="zh-CN"/>
              </w:rPr>
              <w:t>（</w:t>
            </w:r>
            <w:r>
              <w:rPr>
                <w:rFonts w:hint="default" w:ascii="Times New Roman" w:hAnsi="Times New Roman" w:cs="Times New Roman"/>
                <w:color w:val="auto"/>
                <w:sz w:val="24"/>
                <w:szCs w:val="24"/>
                <w:highlight w:val="none"/>
                <w:lang w:eastAsia="zh-CN"/>
              </w:rPr>
              <w:t>污染影响类</w:t>
            </w:r>
            <w:r>
              <w:rPr>
                <w:rFonts w:hint="eastAsia" w:ascii="Times New Roman" w:hAnsi="Times New Roman" w:cs="Times New Roman"/>
                <w:color w:val="auto"/>
                <w:sz w:val="24"/>
                <w:szCs w:val="24"/>
                <w:highlight w:val="none"/>
                <w:lang w:eastAsia="zh-CN"/>
              </w:rPr>
              <w:t>）（试行）</w:t>
            </w:r>
            <w:r>
              <w:rPr>
                <w:rFonts w:hint="default" w:ascii="Times New Roman" w:hAnsi="Times New Roman" w:eastAsia="宋体" w:cs="Times New Roman"/>
                <w:color w:val="auto"/>
                <w:sz w:val="24"/>
                <w:szCs w:val="24"/>
                <w:highlight w:val="none"/>
                <w:lang w:eastAsia="zh-CN"/>
              </w:rPr>
              <w:t>》的数据引用要求。</w:t>
            </w:r>
          </w:p>
          <w:p w14:paraId="7F520BDF">
            <w:pPr>
              <w:pStyle w:val="52"/>
              <w:keepNext w:val="0"/>
              <w:keepLines w:val="0"/>
              <w:pageBreakBefore w:val="0"/>
              <w:widowControl w:val="0"/>
              <w:kinsoku/>
              <w:wordWrap/>
              <w:overflowPunct/>
              <w:topLinePunct w:val="0"/>
              <w:bidi w:val="0"/>
              <w:spacing w:line="480" w:lineRule="exact"/>
              <w:jc w:val="center"/>
              <w:rPr>
                <w:rFonts w:hint="default" w:ascii="Times New Roman" w:hAnsi="Times New Roman" w:cs="Times New Roman"/>
                <w:b/>
                <w:bCs/>
                <w:sz w:val="24"/>
                <w:szCs w:val="22"/>
                <w:highlight w:val="none"/>
                <w:lang w:val="en-US" w:eastAsia="zh-CN"/>
              </w:rPr>
            </w:pPr>
          </w:p>
          <w:p w14:paraId="3F078FC0">
            <w:pPr>
              <w:pStyle w:val="52"/>
              <w:keepNext w:val="0"/>
              <w:keepLines w:val="0"/>
              <w:pageBreakBefore w:val="0"/>
              <w:widowControl w:val="0"/>
              <w:kinsoku/>
              <w:wordWrap/>
              <w:overflowPunct/>
              <w:topLinePunct w:val="0"/>
              <w:bidi w:val="0"/>
              <w:spacing w:line="480" w:lineRule="exact"/>
              <w:jc w:val="center"/>
              <w:rPr>
                <w:rFonts w:hint="default"/>
                <w:b/>
                <w:bCs/>
                <w:sz w:val="24"/>
                <w:szCs w:val="22"/>
                <w:highlight w:val="none"/>
              </w:rPr>
            </w:pPr>
            <w:r>
              <w:rPr>
                <w:rFonts w:hint="default" w:ascii="Times New Roman" w:hAnsi="Times New Roman" w:cs="Times New Roman"/>
                <w:b/>
                <w:bCs/>
                <w:sz w:val="24"/>
                <w:szCs w:val="22"/>
                <w:highlight w:val="none"/>
                <w:lang w:val="en-US" w:eastAsia="zh-CN"/>
              </w:rPr>
              <w:t>表</w:t>
            </w:r>
            <w:r>
              <w:rPr>
                <w:rFonts w:hint="eastAsia" w:ascii="Times New Roman" w:hAnsi="Times New Roman" w:cs="Times New Roman"/>
                <w:b/>
                <w:bCs/>
                <w:sz w:val="24"/>
                <w:szCs w:val="22"/>
                <w:highlight w:val="none"/>
                <w:lang w:val="en-US" w:eastAsia="zh-CN"/>
              </w:rPr>
              <w:t>3-3</w:t>
            </w:r>
            <w:r>
              <w:rPr>
                <w:rFonts w:hint="eastAsia"/>
                <w:b/>
                <w:bCs/>
                <w:sz w:val="24"/>
                <w:szCs w:val="22"/>
                <w:highlight w:val="none"/>
                <w:lang w:val="en-US" w:eastAsia="zh-CN"/>
              </w:rPr>
              <w:t xml:space="preserve"> 其他污染物环境质量现状检测结果一览表</w:t>
            </w:r>
          </w:p>
          <w:tbl>
            <w:tblPr>
              <w:tblStyle w:val="26"/>
              <w:tblW w:w="7974" w:type="dxa"/>
              <w:tblInd w:w="-5"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963"/>
              <w:gridCol w:w="893"/>
              <w:gridCol w:w="877"/>
              <w:gridCol w:w="1181"/>
              <w:gridCol w:w="1181"/>
              <w:gridCol w:w="938"/>
              <w:gridCol w:w="955"/>
              <w:gridCol w:w="986"/>
            </w:tblGrid>
            <w:tr w14:paraId="626EC71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963" w:type="dxa"/>
                  <w:tcBorders>
                    <w:tl2br w:val="nil"/>
                    <w:tr2bl w:val="nil"/>
                  </w:tcBorders>
                  <w:noWrap w:val="0"/>
                  <w:vAlign w:val="center"/>
                </w:tcPr>
                <w:p w14:paraId="5B37636D">
                  <w:pPr>
                    <w:pStyle w:val="53"/>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baseline"/>
                    <w:rPr>
                      <w:rFonts w:hint="default" w:ascii="Times New Roman" w:hAnsi="Times New Roman" w:eastAsia="宋体" w:cs="Times New Roman"/>
                      <w:color w:val="auto"/>
                      <w:kern w:val="0"/>
                      <w:sz w:val="21"/>
                      <w:szCs w:val="21"/>
                      <w:highlight w:val="none"/>
                      <w:vertAlign w:val="baseline"/>
                      <w:lang w:val="en-US" w:eastAsia="zh-CN" w:bidi="ar-SA"/>
                    </w:rPr>
                  </w:pPr>
                  <w:r>
                    <w:rPr>
                      <w:rFonts w:hint="default" w:ascii="Times New Roman" w:hAnsi="Times New Roman" w:eastAsia="宋体" w:cs="Times New Roman"/>
                      <w:color w:val="auto"/>
                      <w:kern w:val="0"/>
                      <w:sz w:val="21"/>
                      <w:szCs w:val="21"/>
                      <w:highlight w:val="none"/>
                      <w:vertAlign w:val="baseline"/>
                      <w:lang w:val="en-US" w:eastAsia="zh-CN" w:bidi="ar-SA"/>
                    </w:rPr>
                    <w:t>检测点位</w:t>
                  </w:r>
                </w:p>
              </w:tc>
              <w:tc>
                <w:tcPr>
                  <w:tcW w:w="893" w:type="dxa"/>
                  <w:tcBorders>
                    <w:tl2br w:val="nil"/>
                    <w:tr2bl w:val="nil"/>
                  </w:tcBorders>
                  <w:noWrap w:val="0"/>
                  <w:vAlign w:val="center"/>
                </w:tcPr>
                <w:p w14:paraId="5EF7E4C7">
                  <w:pPr>
                    <w:pStyle w:val="53"/>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baseline"/>
                    <w:rPr>
                      <w:rFonts w:hint="default" w:ascii="Times New Roman" w:hAnsi="Times New Roman" w:eastAsia="宋体" w:cs="Times New Roman"/>
                      <w:color w:val="auto"/>
                      <w:kern w:val="0"/>
                      <w:sz w:val="21"/>
                      <w:szCs w:val="21"/>
                      <w:highlight w:val="none"/>
                      <w:vertAlign w:val="baseline"/>
                      <w:lang w:val="en-US" w:eastAsia="zh-CN" w:bidi="ar-SA"/>
                    </w:rPr>
                  </w:pPr>
                  <w:r>
                    <w:rPr>
                      <w:rFonts w:hint="default" w:ascii="Times New Roman" w:hAnsi="Times New Roman" w:eastAsia="宋体" w:cs="Times New Roman"/>
                      <w:color w:val="auto"/>
                      <w:kern w:val="0"/>
                      <w:sz w:val="21"/>
                      <w:szCs w:val="21"/>
                      <w:highlight w:val="none"/>
                      <w:vertAlign w:val="baseline"/>
                      <w:lang w:val="en-US" w:eastAsia="zh-CN" w:bidi="ar-SA"/>
                    </w:rPr>
                    <w:t>污染物</w:t>
                  </w:r>
                </w:p>
              </w:tc>
              <w:tc>
                <w:tcPr>
                  <w:tcW w:w="877" w:type="dxa"/>
                  <w:tcBorders>
                    <w:tl2br w:val="nil"/>
                    <w:tr2bl w:val="nil"/>
                  </w:tcBorders>
                  <w:noWrap w:val="0"/>
                  <w:vAlign w:val="center"/>
                </w:tcPr>
                <w:p w14:paraId="71684A0F">
                  <w:pPr>
                    <w:pStyle w:val="53"/>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baseline"/>
                    <w:rPr>
                      <w:rFonts w:hint="default" w:ascii="Times New Roman" w:hAnsi="Times New Roman" w:eastAsia="宋体" w:cs="Times New Roman"/>
                      <w:color w:val="auto"/>
                      <w:kern w:val="0"/>
                      <w:sz w:val="21"/>
                      <w:szCs w:val="21"/>
                      <w:highlight w:val="none"/>
                      <w:vertAlign w:val="baseline"/>
                      <w:lang w:val="en-US" w:eastAsia="zh-CN" w:bidi="ar-SA"/>
                    </w:rPr>
                  </w:pPr>
                  <w:r>
                    <w:rPr>
                      <w:rFonts w:hint="default" w:ascii="Times New Roman" w:hAnsi="Times New Roman" w:eastAsia="宋体" w:cs="Times New Roman"/>
                      <w:color w:val="auto"/>
                      <w:kern w:val="0"/>
                      <w:sz w:val="21"/>
                      <w:szCs w:val="21"/>
                      <w:highlight w:val="none"/>
                      <w:vertAlign w:val="baseline"/>
                      <w:lang w:val="en-US" w:eastAsia="zh-CN" w:bidi="ar-SA"/>
                    </w:rPr>
                    <w:t>平均时间</w:t>
                  </w:r>
                </w:p>
              </w:tc>
              <w:tc>
                <w:tcPr>
                  <w:tcW w:w="1181" w:type="dxa"/>
                  <w:tcBorders>
                    <w:tl2br w:val="nil"/>
                    <w:tr2bl w:val="nil"/>
                  </w:tcBorders>
                  <w:noWrap w:val="0"/>
                  <w:vAlign w:val="center"/>
                </w:tcPr>
                <w:p w14:paraId="3B4843CF">
                  <w:pPr>
                    <w:pStyle w:val="53"/>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baseline"/>
                    <w:rPr>
                      <w:rFonts w:hint="default" w:ascii="Times New Roman" w:hAnsi="Times New Roman" w:eastAsia="宋体" w:cs="Times New Roman"/>
                      <w:color w:val="auto"/>
                      <w:kern w:val="0"/>
                      <w:sz w:val="21"/>
                      <w:szCs w:val="21"/>
                      <w:highlight w:val="none"/>
                      <w:vertAlign w:val="baseline"/>
                      <w:lang w:val="en-US" w:eastAsia="zh-CN" w:bidi="ar-SA"/>
                    </w:rPr>
                  </w:pPr>
                  <w:r>
                    <w:rPr>
                      <w:rFonts w:hint="default" w:ascii="Times New Roman" w:hAnsi="Times New Roman" w:eastAsia="宋体" w:cs="Times New Roman"/>
                      <w:color w:val="auto"/>
                      <w:kern w:val="0"/>
                      <w:sz w:val="21"/>
                      <w:szCs w:val="21"/>
                      <w:highlight w:val="none"/>
                      <w:vertAlign w:val="baseline"/>
                      <w:lang w:val="en-US" w:eastAsia="zh-CN" w:bidi="ar-SA"/>
                    </w:rPr>
                    <w:t>评价标准</w:t>
                  </w:r>
                </w:p>
                <w:p w14:paraId="6745519D">
                  <w:pPr>
                    <w:pStyle w:val="53"/>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baseline"/>
                    <w:rPr>
                      <w:rFonts w:hint="default" w:ascii="Times New Roman" w:hAnsi="Times New Roman" w:eastAsia="宋体" w:cs="Times New Roman"/>
                      <w:color w:val="auto"/>
                      <w:kern w:val="0"/>
                      <w:sz w:val="21"/>
                      <w:szCs w:val="21"/>
                      <w:highlight w:val="none"/>
                      <w:vertAlign w:val="baseline"/>
                      <w:lang w:val="en-US" w:eastAsia="zh-CN" w:bidi="ar-SA"/>
                    </w:rPr>
                  </w:pPr>
                  <w:r>
                    <w:rPr>
                      <w:rFonts w:hint="default" w:ascii="Times New Roman" w:hAnsi="Times New Roman" w:eastAsia="宋体" w:cs="Times New Roman"/>
                      <w:color w:val="auto"/>
                      <w:kern w:val="0"/>
                      <w:sz w:val="21"/>
                      <w:szCs w:val="21"/>
                      <w:highlight w:val="none"/>
                      <w:vertAlign w:val="baseline"/>
                      <w:lang w:val="en-US" w:eastAsia="zh-CN" w:bidi="ar-SA"/>
                    </w:rPr>
                    <w:t>（μ</w:t>
                  </w:r>
                  <w:r>
                    <w:rPr>
                      <w:rFonts w:hint="eastAsia" w:ascii="Times New Roman" w:hAnsi="Times New Roman" w:eastAsia="宋体" w:cs="Times New Roman"/>
                      <w:color w:val="auto"/>
                      <w:kern w:val="0"/>
                      <w:sz w:val="21"/>
                      <w:szCs w:val="21"/>
                      <w:highlight w:val="none"/>
                      <w:vertAlign w:val="baseline"/>
                      <w:lang w:val="en-US" w:eastAsia="zh-CN" w:bidi="ar-SA"/>
                    </w:rPr>
                    <w:t>g</w:t>
                  </w:r>
                  <w:r>
                    <w:rPr>
                      <w:rFonts w:hint="default" w:ascii="Times New Roman" w:hAnsi="Times New Roman" w:eastAsia="宋体" w:cs="Times New Roman"/>
                      <w:color w:val="auto"/>
                      <w:kern w:val="0"/>
                      <w:sz w:val="21"/>
                      <w:szCs w:val="21"/>
                      <w:highlight w:val="none"/>
                      <w:vertAlign w:val="baseline"/>
                      <w:lang w:val="en-US" w:eastAsia="zh-CN" w:bidi="ar-SA"/>
                    </w:rPr>
                    <w:t>/m</w:t>
                  </w:r>
                  <w:r>
                    <w:rPr>
                      <w:rFonts w:hint="default" w:ascii="Times New Roman" w:hAnsi="Times New Roman" w:eastAsia="宋体" w:cs="Times New Roman"/>
                      <w:color w:val="auto"/>
                      <w:kern w:val="0"/>
                      <w:sz w:val="21"/>
                      <w:szCs w:val="21"/>
                      <w:highlight w:val="none"/>
                      <w:vertAlign w:val="superscript"/>
                      <w:lang w:val="en-US" w:eastAsia="zh-CN" w:bidi="ar-SA"/>
                    </w:rPr>
                    <w:t>3</w:t>
                  </w:r>
                  <w:r>
                    <w:rPr>
                      <w:rFonts w:hint="default" w:ascii="Times New Roman" w:hAnsi="Times New Roman" w:eastAsia="宋体" w:cs="Times New Roman"/>
                      <w:color w:val="auto"/>
                      <w:kern w:val="0"/>
                      <w:sz w:val="21"/>
                      <w:szCs w:val="21"/>
                      <w:highlight w:val="none"/>
                      <w:vertAlign w:val="baseline"/>
                      <w:lang w:val="en-US" w:eastAsia="zh-CN" w:bidi="ar-SA"/>
                    </w:rPr>
                    <w:t>）</w:t>
                  </w:r>
                </w:p>
              </w:tc>
              <w:tc>
                <w:tcPr>
                  <w:tcW w:w="1181" w:type="dxa"/>
                  <w:tcBorders>
                    <w:tl2br w:val="nil"/>
                    <w:tr2bl w:val="nil"/>
                  </w:tcBorders>
                  <w:noWrap w:val="0"/>
                  <w:vAlign w:val="center"/>
                </w:tcPr>
                <w:p w14:paraId="320ADDB7">
                  <w:pPr>
                    <w:pStyle w:val="53"/>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baseline"/>
                    <w:rPr>
                      <w:rFonts w:hint="default" w:ascii="Times New Roman" w:hAnsi="Times New Roman" w:eastAsia="宋体" w:cs="Times New Roman"/>
                      <w:color w:val="auto"/>
                      <w:kern w:val="0"/>
                      <w:sz w:val="21"/>
                      <w:szCs w:val="21"/>
                      <w:highlight w:val="none"/>
                      <w:vertAlign w:val="baseline"/>
                      <w:lang w:val="en-US" w:eastAsia="zh-CN" w:bidi="ar-SA"/>
                    </w:rPr>
                  </w:pPr>
                  <w:r>
                    <w:rPr>
                      <w:rFonts w:hint="eastAsia" w:ascii="Times New Roman" w:hAnsi="Times New Roman" w:eastAsia="宋体" w:cs="Times New Roman"/>
                      <w:color w:val="auto"/>
                      <w:kern w:val="0"/>
                      <w:sz w:val="21"/>
                      <w:szCs w:val="21"/>
                      <w:highlight w:val="none"/>
                      <w:vertAlign w:val="baseline"/>
                      <w:lang w:val="en-US" w:eastAsia="zh-CN" w:bidi="ar-SA"/>
                    </w:rPr>
                    <w:t>检测浓度范围</w:t>
                  </w:r>
                  <w:r>
                    <w:rPr>
                      <w:rFonts w:hint="default" w:ascii="Times New Roman" w:hAnsi="Times New Roman" w:eastAsia="宋体" w:cs="Times New Roman"/>
                      <w:color w:val="auto"/>
                      <w:kern w:val="0"/>
                      <w:sz w:val="21"/>
                      <w:szCs w:val="21"/>
                      <w:highlight w:val="none"/>
                      <w:vertAlign w:val="baseline"/>
                      <w:lang w:val="en-US" w:eastAsia="zh-CN" w:bidi="ar-SA"/>
                    </w:rPr>
                    <w:t>（μ</w:t>
                  </w:r>
                  <w:r>
                    <w:rPr>
                      <w:rFonts w:hint="eastAsia" w:ascii="Times New Roman" w:hAnsi="Times New Roman" w:eastAsia="宋体" w:cs="Times New Roman"/>
                      <w:color w:val="auto"/>
                      <w:kern w:val="0"/>
                      <w:sz w:val="21"/>
                      <w:szCs w:val="21"/>
                      <w:highlight w:val="none"/>
                      <w:vertAlign w:val="baseline"/>
                      <w:lang w:val="en-US" w:eastAsia="zh-CN" w:bidi="ar-SA"/>
                    </w:rPr>
                    <w:t>g</w:t>
                  </w:r>
                  <w:r>
                    <w:rPr>
                      <w:rFonts w:hint="default" w:ascii="Times New Roman" w:hAnsi="Times New Roman" w:eastAsia="宋体" w:cs="Times New Roman"/>
                      <w:color w:val="auto"/>
                      <w:kern w:val="0"/>
                      <w:sz w:val="21"/>
                      <w:szCs w:val="21"/>
                      <w:highlight w:val="none"/>
                      <w:vertAlign w:val="baseline"/>
                      <w:lang w:val="en-US" w:eastAsia="zh-CN" w:bidi="ar-SA"/>
                    </w:rPr>
                    <w:t>/m</w:t>
                  </w:r>
                  <w:r>
                    <w:rPr>
                      <w:rFonts w:hint="default" w:ascii="Times New Roman" w:hAnsi="Times New Roman" w:eastAsia="宋体" w:cs="Times New Roman"/>
                      <w:color w:val="auto"/>
                      <w:kern w:val="0"/>
                      <w:sz w:val="21"/>
                      <w:szCs w:val="21"/>
                      <w:highlight w:val="none"/>
                      <w:vertAlign w:val="superscript"/>
                      <w:lang w:val="en-US" w:eastAsia="zh-CN" w:bidi="ar-SA"/>
                    </w:rPr>
                    <w:t>3</w:t>
                  </w:r>
                  <w:r>
                    <w:rPr>
                      <w:rFonts w:hint="default" w:ascii="Times New Roman" w:hAnsi="Times New Roman" w:eastAsia="宋体" w:cs="Times New Roman"/>
                      <w:color w:val="auto"/>
                      <w:kern w:val="0"/>
                      <w:sz w:val="21"/>
                      <w:szCs w:val="21"/>
                      <w:highlight w:val="none"/>
                      <w:vertAlign w:val="baseline"/>
                      <w:lang w:val="en-US" w:eastAsia="zh-CN" w:bidi="ar-SA"/>
                    </w:rPr>
                    <w:t>）</w:t>
                  </w:r>
                </w:p>
              </w:tc>
              <w:tc>
                <w:tcPr>
                  <w:tcW w:w="938" w:type="dxa"/>
                  <w:tcBorders>
                    <w:tl2br w:val="nil"/>
                    <w:tr2bl w:val="nil"/>
                  </w:tcBorders>
                  <w:noWrap w:val="0"/>
                  <w:vAlign w:val="center"/>
                </w:tcPr>
                <w:p w14:paraId="60D479A8">
                  <w:pPr>
                    <w:pStyle w:val="53"/>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baseline"/>
                    <w:rPr>
                      <w:rFonts w:hint="default" w:ascii="Times New Roman" w:hAnsi="Times New Roman" w:eastAsia="宋体" w:cs="Times New Roman"/>
                      <w:color w:val="auto"/>
                      <w:kern w:val="0"/>
                      <w:sz w:val="21"/>
                      <w:szCs w:val="21"/>
                      <w:highlight w:val="none"/>
                      <w:vertAlign w:val="baseline"/>
                      <w:lang w:val="en-US" w:eastAsia="zh-CN" w:bidi="ar-SA"/>
                    </w:rPr>
                  </w:pPr>
                  <w:r>
                    <w:rPr>
                      <w:rFonts w:hint="eastAsia" w:ascii="Times New Roman" w:hAnsi="Times New Roman" w:eastAsia="宋体" w:cs="Times New Roman"/>
                      <w:color w:val="auto"/>
                      <w:kern w:val="0"/>
                      <w:sz w:val="21"/>
                      <w:szCs w:val="21"/>
                      <w:highlight w:val="none"/>
                      <w:vertAlign w:val="baseline"/>
                      <w:lang w:val="en-US" w:eastAsia="zh-CN" w:bidi="ar-SA"/>
                    </w:rPr>
                    <w:t>最大浓度占标率（%）</w:t>
                  </w:r>
                </w:p>
              </w:tc>
              <w:tc>
                <w:tcPr>
                  <w:tcW w:w="955" w:type="dxa"/>
                  <w:tcBorders>
                    <w:tl2br w:val="nil"/>
                    <w:tr2bl w:val="nil"/>
                  </w:tcBorders>
                  <w:noWrap w:val="0"/>
                  <w:vAlign w:val="center"/>
                </w:tcPr>
                <w:p w14:paraId="020398D3">
                  <w:pPr>
                    <w:pStyle w:val="53"/>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baseline"/>
                    <w:rPr>
                      <w:rFonts w:hint="default" w:ascii="Times New Roman" w:hAnsi="Times New Roman" w:eastAsia="宋体" w:cs="Times New Roman"/>
                      <w:color w:val="auto"/>
                      <w:kern w:val="0"/>
                      <w:sz w:val="21"/>
                      <w:szCs w:val="21"/>
                      <w:highlight w:val="none"/>
                      <w:vertAlign w:val="baseline"/>
                      <w:lang w:val="en-US" w:eastAsia="zh-CN" w:bidi="ar-SA"/>
                    </w:rPr>
                  </w:pPr>
                  <w:r>
                    <w:rPr>
                      <w:rFonts w:hint="eastAsia" w:ascii="Times New Roman" w:hAnsi="Times New Roman" w:eastAsia="宋体" w:cs="Times New Roman"/>
                      <w:color w:val="auto"/>
                      <w:kern w:val="0"/>
                      <w:sz w:val="21"/>
                      <w:szCs w:val="21"/>
                      <w:highlight w:val="none"/>
                      <w:vertAlign w:val="baseline"/>
                      <w:lang w:val="en-US" w:eastAsia="zh-CN" w:bidi="ar-SA"/>
                    </w:rPr>
                    <w:t>超标率（%）</w:t>
                  </w:r>
                </w:p>
              </w:tc>
              <w:tc>
                <w:tcPr>
                  <w:tcW w:w="986" w:type="dxa"/>
                  <w:tcBorders>
                    <w:tl2br w:val="nil"/>
                    <w:tr2bl w:val="nil"/>
                  </w:tcBorders>
                  <w:noWrap w:val="0"/>
                  <w:vAlign w:val="center"/>
                </w:tcPr>
                <w:p w14:paraId="05142DE0">
                  <w:pPr>
                    <w:pStyle w:val="53"/>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baseline"/>
                    <w:rPr>
                      <w:rFonts w:hint="default" w:ascii="Times New Roman" w:hAnsi="Times New Roman" w:eastAsia="宋体" w:cs="Times New Roman"/>
                      <w:color w:val="auto"/>
                      <w:kern w:val="0"/>
                      <w:sz w:val="21"/>
                      <w:szCs w:val="21"/>
                      <w:highlight w:val="none"/>
                      <w:vertAlign w:val="baseline"/>
                      <w:lang w:val="en-US" w:eastAsia="zh-CN" w:bidi="ar-SA"/>
                    </w:rPr>
                  </w:pPr>
                  <w:r>
                    <w:rPr>
                      <w:rFonts w:hint="eastAsia" w:ascii="Times New Roman" w:hAnsi="Times New Roman" w:eastAsia="宋体" w:cs="Times New Roman"/>
                      <w:color w:val="auto"/>
                      <w:kern w:val="0"/>
                      <w:sz w:val="21"/>
                      <w:szCs w:val="21"/>
                      <w:highlight w:val="none"/>
                      <w:vertAlign w:val="baseline"/>
                      <w:lang w:val="en-US" w:eastAsia="zh-CN" w:bidi="ar-SA"/>
                    </w:rPr>
                    <w:t>达标情况</w:t>
                  </w:r>
                </w:p>
              </w:tc>
            </w:tr>
            <w:tr w14:paraId="6D47582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963" w:type="dxa"/>
                  <w:tcBorders>
                    <w:tl2br w:val="nil"/>
                    <w:tr2bl w:val="nil"/>
                  </w:tcBorders>
                  <w:noWrap w:val="0"/>
                  <w:vAlign w:val="center"/>
                </w:tcPr>
                <w:p w14:paraId="0943133B">
                  <w:pPr>
                    <w:pStyle w:val="53"/>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baseline"/>
                    <w:rPr>
                      <w:rFonts w:hint="default" w:ascii="Times New Roman" w:hAnsi="Times New Roman" w:eastAsia="宋体" w:cs="Times New Roman"/>
                      <w:color w:val="auto"/>
                      <w:kern w:val="0"/>
                      <w:sz w:val="21"/>
                      <w:szCs w:val="21"/>
                      <w:highlight w:val="none"/>
                      <w:vertAlign w:val="baseline"/>
                      <w:lang w:val="en-US" w:eastAsia="zh-CN" w:bidi="ar-SA"/>
                    </w:rPr>
                  </w:pPr>
                  <w:r>
                    <w:rPr>
                      <w:rFonts w:hint="default" w:ascii="Times New Roman" w:hAnsi="Times New Roman" w:eastAsia="宋体" w:cs="Times New Roman"/>
                      <w:color w:val="auto"/>
                      <w:kern w:val="0"/>
                      <w:sz w:val="21"/>
                      <w:szCs w:val="21"/>
                      <w:highlight w:val="none"/>
                      <w:vertAlign w:val="baseline"/>
                      <w:lang w:val="en-US" w:eastAsia="zh-CN" w:bidi="ar-SA"/>
                    </w:rPr>
                    <w:t>唐山港煤炭储运基地项目场址</w:t>
                  </w:r>
                </w:p>
              </w:tc>
              <w:tc>
                <w:tcPr>
                  <w:tcW w:w="893" w:type="dxa"/>
                  <w:tcBorders>
                    <w:tl2br w:val="nil"/>
                    <w:tr2bl w:val="nil"/>
                  </w:tcBorders>
                  <w:noWrap w:val="0"/>
                  <w:vAlign w:val="center"/>
                </w:tcPr>
                <w:p w14:paraId="4508E4C9">
                  <w:pPr>
                    <w:pStyle w:val="53"/>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baseline"/>
                    <w:rPr>
                      <w:rFonts w:hint="default" w:ascii="Times New Roman" w:hAnsi="Times New Roman" w:eastAsia="宋体" w:cs="Times New Roman"/>
                      <w:color w:val="auto"/>
                      <w:kern w:val="0"/>
                      <w:sz w:val="21"/>
                      <w:szCs w:val="21"/>
                      <w:highlight w:val="none"/>
                      <w:vertAlign w:val="baseline"/>
                      <w:lang w:val="en-US" w:eastAsia="zh-CN" w:bidi="ar-SA"/>
                    </w:rPr>
                  </w:pPr>
                  <w:r>
                    <w:rPr>
                      <w:rFonts w:hint="eastAsia" w:ascii="Times New Roman" w:hAnsi="Times New Roman" w:eastAsia="宋体" w:cs="Times New Roman"/>
                      <w:color w:val="auto"/>
                      <w:kern w:val="0"/>
                      <w:sz w:val="21"/>
                      <w:szCs w:val="21"/>
                      <w:highlight w:val="none"/>
                      <w:vertAlign w:val="baseline"/>
                      <w:lang w:val="en-US" w:eastAsia="zh-CN" w:bidi="ar-SA"/>
                    </w:rPr>
                    <w:t>TSP</w:t>
                  </w:r>
                </w:p>
              </w:tc>
              <w:tc>
                <w:tcPr>
                  <w:tcW w:w="877" w:type="dxa"/>
                  <w:tcBorders>
                    <w:tl2br w:val="nil"/>
                    <w:tr2bl w:val="nil"/>
                  </w:tcBorders>
                  <w:noWrap w:val="0"/>
                  <w:vAlign w:val="center"/>
                </w:tcPr>
                <w:p w14:paraId="081E6004">
                  <w:pPr>
                    <w:pStyle w:val="53"/>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baseline"/>
                    <w:rPr>
                      <w:rFonts w:hint="default" w:ascii="Times New Roman" w:hAnsi="Times New Roman" w:eastAsia="宋体" w:cs="Times New Roman"/>
                      <w:color w:val="auto"/>
                      <w:kern w:val="0"/>
                      <w:sz w:val="21"/>
                      <w:szCs w:val="21"/>
                      <w:highlight w:val="none"/>
                      <w:vertAlign w:val="baseline"/>
                      <w:lang w:val="en-US" w:eastAsia="zh-CN" w:bidi="ar-SA"/>
                    </w:rPr>
                  </w:pPr>
                  <w:r>
                    <w:rPr>
                      <w:rFonts w:hint="eastAsia" w:ascii="Times New Roman" w:hAnsi="Times New Roman" w:eastAsia="宋体" w:cs="Times New Roman"/>
                      <w:color w:val="auto"/>
                      <w:kern w:val="0"/>
                      <w:sz w:val="21"/>
                      <w:szCs w:val="21"/>
                      <w:highlight w:val="none"/>
                      <w:vertAlign w:val="baseline"/>
                      <w:lang w:val="en-US" w:eastAsia="zh-CN" w:bidi="ar-SA"/>
                    </w:rPr>
                    <w:t>24小时平均</w:t>
                  </w:r>
                </w:p>
              </w:tc>
              <w:tc>
                <w:tcPr>
                  <w:tcW w:w="1181" w:type="dxa"/>
                  <w:tcBorders>
                    <w:tl2br w:val="nil"/>
                    <w:tr2bl w:val="nil"/>
                  </w:tcBorders>
                  <w:noWrap w:val="0"/>
                  <w:vAlign w:val="center"/>
                </w:tcPr>
                <w:p w14:paraId="0B1E3A24">
                  <w:pPr>
                    <w:pStyle w:val="53"/>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baseline"/>
                    <w:rPr>
                      <w:rFonts w:hint="default" w:ascii="Times New Roman" w:hAnsi="Times New Roman" w:eastAsia="宋体" w:cs="Times New Roman"/>
                      <w:color w:val="auto"/>
                      <w:kern w:val="0"/>
                      <w:sz w:val="21"/>
                      <w:szCs w:val="21"/>
                      <w:highlight w:val="none"/>
                      <w:vertAlign w:val="baseline"/>
                      <w:lang w:val="en-US" w:eastAsia="zh-CN" w:bidi="ar-SA"/>
                    </w:rPr>
                  </w:pPr>
                  <w:r>
                    <w:rPr>
                      <w:rFonts w:hint="eastAsia" w:ascii="Times New Roman" w:hAnsi="Times New Roman" w:eastAsia="宋体" w:cs="Times New Roman"/>
                      <w:color w:val="auto"/>
                      <w:kern w:val="0"/>
                      <w:sz w:val="21"/>
                      <w:szCs w:val="21"/>
                      <w:highlight w:val="none"/>
                      <w:vertAlign w:val="baseline"/>
                      <w:lang w:val="en-US" w:eastAsia="zh-CN" w:bidi="ar-SA"/>
                    </w:rPr>
                    <w:t>300</w:t>
                  </w:r>
                </w:p>
              </w:tc>
              <w:tc>
                <w:tcPr>
                  <w:tcW w:w="1181" w:type="dxa"/>
                  <w:tcBorders>
                    <w:tl2br w:val="nil"/>
                    <w:tr2bl w:val="nil"/>
                  </w:tcBorders>
                  <w:noWrap w:val="0"/>
                  <w:vAlign w:val="center"/>
                </w:tcPr>
                <w:p w14:paraId="4A8D56BB">
                  <w:pPr>
                    <w:pStyle w:val="53"/>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baseline"/>
                    <w:rPr>
                      <w:rFonts w:hint="default" w:ascii="Times New Roman" w:hAnsi="Times New Roman" w:eastAsia="宋体" w:cs="Times New Roman"/>
                      <w:color w:val="auto"/>
                      <w:kern w:val="0"/>
                      <w:sz w:val="21"/>
                      <w:szCs w:val="21"/>
                      <w:highlight w:val="none"/>
                      <w:vertAlign w:val="baseline"/>
                      <w:lang w:val="en-US" w:eastAsia="zh-CN" w:bidi="ar-SA"/>
                    </w:rPr>
                  </w:pPr>
                  <w:r>
                    <w:rPr>
                      <w:rFonts w:hint="eastAsia" w:ascii="Times New Roman" w:hAnsi="Times New Roman" w:eastAsia="宋体" w:cs="Times New Roman"/>
                      <w:color w:val="auto"/>
                      <w:kern w:val="0"/>
                      <w:sz w:val="21"/>
                      <w:szCs w:val="21"/>
                      <w:highlight w:val="none"/>
                      <w:vertAlign w:val="baseline"/>
                      <w:lang w:val="en-US" w:eastAsia="zh-CN" w:bidi="ar-SA"/>
                    </w:rPr>
                    <w:t>219-237</w:t>
                  </w:r>
                </w:p>
              </w:tc>
              <w:tc>
                <w:tcPr>
                  <w:tcW w:w="938" w:type="dxa"/>
                  <w:tcBorders>
                    <w:tl2br w:val="nil"/>
                    <w:tr2bl w:val="nil"/>
                  </w:tcBorders>
                  <w:noWrap w:val="0"/>
                  <w:vAlign w:val="center"/>
                </w:tcPr>
                <w:p w14:paraId="17934127">
                  <w:pPr>
                    <w:pStyle w:val="53"/>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baseline"/>
                    <w:rPr>
                      <w:rFonts w:hint="default" w:ascii="Times New Roman" w:hAnsi="Times New Roman" w:eastAsia="宋体" w:cs="Times New Roman"/>
                      <w:color w:val="auto"/>
                      <w:kern w:val="0"/>
                      <w:sz w:val="21"/>
                      <w:szCs w:val="21"/>
                      <w:highlight w:val="none"/>
                      <w:vertAlign w:val="baseline"/>
                      <w:lang w:val="en-US" w:eastAsia="zh-CN" w:bidi="ar-SA"/>
                    </w:rPr>
                  </w:pPr>
                  <w:r>
                    <w:rPr>
                      <w:rFonts w:hint="eastAsia" w:ascii="Times New Roman" w:hAnsi="Times New Roman" w:eastAsia="宋体" w:cs="Times New Roman"/>
                      <w:color w:val="auto"/>
                      <w:kern w:val="0"/>
                      <w:sz w:val="21"/>
                      <w:szCs w:val="21"/>
                      <w:highlight w:val="none"/>
                      <w:vertAlign w:val="baseline"/>
                      <w:lang w:val="en-US" w:eastAsia="zh-CN" w:bidi="ar-SA"/>
                    </w:rPr>
                    <w:t>79</w:t>
                  </w:r>
                </w:p>
              </w:tc>
              <w:tc>
                <w:tcPr>
                  <w:tcW w:w="955" w:type="dxa"/>
                  <w:tcBorders>
                    <w:tl2br w:val="nil"/>
                    <w:tr2bl w:val="nil"/>
                  </w:tcBorders>
                  <w:noWrap w:val="0"/>
                  <w:vAlign w:val="center"/>
                </w:tcPr>
                <w:p w14:paraId="2F5AC7C0">
                  <w:pPr>
                    <w:pStyle w:val="53"/>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baseline"/>
                    <w:rPr>
                      <w:rFonts w:hint="default" w:ascii="Times New Roman" w:hAnsi="Times New Roman" w:eastAsia="宋体" w:cs="Times New Roman"/>
                      <w:color w:val="auto"/>
                      <w:kern w:val="0"/>
                      <w:sz w:val="21"/>
                      <w:szCs w:val="21"/>
                      <w:highlight w:val="none"/>
                      <w:vertAlign w:val="baseline"/>
                      <w:lang w:val="en-US" w:eastAsia="zh-CN" w:bidi="ar-SA"/>
                    </w:rPr>
                  </w:pPr>
                  <w:r>
                    <w:rPr>
                      <w:rFonts w:hint="eastAsia" w:ascii="Times New Roman" w:hAnsi="Times New Roman" w:eastAsia="宋体" w:cs="Times New Roman"/>
                      <w:color w:val="auto"/>
                      <w:kern w:val="0"/>
                      <w:sz w:val="21"/>
                      <w:szCs w:val="21"/>
                      <w:highlight w:val="none"/>
                      <w:vertAlign w:val="baseline"/>
                      <w:lang w:val="en-US" w:eastAsia="zh-CN" w:bidi="ar-SA"/>
                    </w:rPr>
                    <w:t>0</w:t>
                  </w:r>
                </w:p>
              </w:tc>
              <w:tc>
                <w:tcPr>
                  <w:tcW w:w="986" w:type="dxa"/>
                  <w:tcBorders>
                    <w:tl2br w:val="nil"/>
                    <w:tr2bl w:val="nil"/>
                  </w:tcBorders>
                  <w:noWrap w:val="0"/>
                  <w:vAlign w:val="center"/>
                </w:tcPr>
                <w:p w14:paraId="306C699E">
                  <w:pPr>
                    <w:pStyle w:val="53"/>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baseline"/>
                    <w:rPr>
                      <w:rFonts w:hint="default" w:ascii="Times New Roman" w:hAnsi="Times New Roman" w:eastAsia="宋体" w:cs="Times New Roman"/>
                      <w:color w:val="auto"/>
                      <w:kern w:val="0"/>
                      <w:sz w:val="21"/>
                      <w:szCs w:val="21"/>
                      <w:highlight w:val="none"/>
                      <w:vertAlign w:val="baseline"/>
                      <w:lang w:val="en-US" w:eastAsia="zh-CN" w:bidi="ar-SA"/>
                    </w:rPr>
                  </w:pPr>
                  <w:r>
                    <w:rPr>
                      <w:rFonts w:hint="eastAsia" w:ascii="Times New Roman" w:hAnsi="Times New Roman" w:eastAsia="宋体" w:cs="Times New Roman"/>
                      <w:color w:val="auto"/>
                      <w:kern w:val="0"/>
                      <w:sz w:val="21"/>
                      <w:szCs w:val="21"/>
                      <w:highlight w:val="none"/>
                      <w:vertAlign w:val="baseline"/>
                      <w:lang w:val="en-US" w:eastAsia="zh-CN" w:bidi="ar-SA"/>
                    </w:rPr>
                    <w:t>达标</w:t>
                  </w:r>
                </w:p>
              </w:tc>
            </w:tr>
          </w:tbl>
          <w:p w14:paraId="1E1F1BC5">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cs="Times New Roman"/>
                <w:color w:val="auto"/>
                <w:sz w:val="24"/>
                <w:szCs w:val="24"/>
                <w:highlight w:val="none"/>
                <w:lang w:eastAsia="zh-CN"/>
              </w:rPr>
            </w:pPr>
            <w:r>
              <w:rPr>
                <w:rFonts w:hint="default" w:ascii="Times New Roman" w:hAnsi="Times New Roman" w:cs="Times New Roman"/>
                <w:color w:val="auto"/>
                <w:sz w:val="24"/>
                <w:szCs w:val="24"/>
                <w:highlight w:val="none"/>
                <w:lang w:eastAsia="zh-CN"/>
              </w:rPr>
              <w:t>由上表可以看出，其他污染物</w:t>
            </w:r>
            <w:r>
              <w:rPr>
                <w:rFonts w:hint="default" w:ascii="Times New Roman" w:hAnsi="Times New Roman" w:cs="Times New Roman"/>
                <w:color w:val="auto"/>
                <w:sz w:val="24"/>
                <w:szCs w:val="24"/>
                <w:highlight w:val="none"/>
                <w:lang w:val="en-US" w:eastAsia="zh-CN"/>
              </w:rPr>
              <w:t>TSP24小时浓度满足《环境空气质量标准》(GB3095-2012)及其修改单中二级标准的要求。</w:t>
            </w:r>
          </w:p>
          <w:p w14:paraId="1899F426">
            <w:pPr>
              <w:keepNext w:val="0"/>
              <w:keepLines w:val="0"/>
              <w:pageBreakBefore w:val="0"/>
              <w:widowControl w:val="0"/>
              <w:kinsoku/>
              <w:wordWrap/>
              <w:overflowPunct/>
              <w:topLinePunct w:val="0"/>
              <w:autoSpaceDE/>
              <w:autoSpaceDN/>
              <w:bidi w:val="0"/>
              <w:adjustRightInd/>
              <w:snapToGrid/>
              <w:spacing w:line="500" w:lineRule="exact"/>
              <w:jc w:val="left"/>
              <w:textAlignment w:val="auto"/>
              <w:rPr>
                <w:rFonts w:hint="default" w:ascii="Times New Roman" w:hAnsi="Times New Roman" w:cs="Times New Roman"/>
                <w:b/>
                <w:bCs/>
                <w:color w:val="auto"/>
                <w:sz w:val="24"/>
                <w:szCs w:val="24"/>
                <w:highlight w:val="none"/>
                <w:lang w:val="en-US" w:eastAsia="zh-CN"/>
              </w:rPr>
            </w:pPr>
            <w:r>
              <w:rPr>
                <w:rFonts w:hint="default" w:ascii="Times New Roman" w:hAnsi="Times New Roman" w:cs="Times New Roman"/>
                <w:b/>
                <w:bCs/>
                <w:color w:val="auto"/>
                <w:sz w:val="24"/>
                <w:szCs w:val="24"/>
                <w:highlight w:val="none"/>
                <w:lang w:val="en-US" w:eastAsia="zh-CN"/>
              </w:rPr>
              <w:t>2、地表水</w:t>
            </w:r>
          </w:p>
          <w:p w14:paraId="7951AF7D">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距离本项目最近的地表水体为港口码头附近海域，202</w:t>
            </w:r>
            <w:r>
              <w:rPr>
                <w:rFonts w:hint="default" w:ascii="Times New Roman" w:hAnsi="Times New Roman" w:cs="Times New Roman"/>
                <w:color w:val="auto"/>
                <w:sz w:val="24"/>
                <w:szCs w:val="24"/>
                <w:highlight w:val="none"/>
                <w:lang w:val="en-US" w:eastAsia="zh-CN"/>
              </w:rPr>
              <w:t>3</w:t>
            </w:r>
            <w:r>
              <w:rPr>
                <w:rFonts w:hint="default" w:ascii="Times New Roman" w:hAnsi="Times New Roman" w:eastAsia="宋体" w:cs="Times New Roman"/>
                <w:color w:val="auto"/>
                <w:sz w:val="24"/>
                <w:szCs w:val="24"/>
                <w:highlight w:val="none"/>
                <w:lang w:val="en-US" w:eastAsia="zh-CN"/>
              </w:rPr>
              <w:t>年</w:t>
            </w:r>
            <w:r>
              <w:rPr>
                <w:rFonts w:hint="default" w:ascii="Times New Roman" w:hAnsi="Times New Roman" w:cs="Times New Roman"/>
                <w:color w:val="auto"/>
                <w:sz w:val="24"/>
                <w:szCs w:val="24"/>
                <w:highlight w:val="none"/>
                <w:lang w:val="en-US" w:eastAsia="zh-CN"/>
              </w:rPr>
              <w:t>春、夏、秋三季</w:t>
            </w:r>
            <w:r>
              <w:rPr>
                <w:rFonts w:hint="default" w:ascii="Times New Roman" w:hAnsi="Times New Roman" w:eastAsia="宋体" w:cs="Times New Roman"/>
                <w:color w:val="auto"/>
                <w:sz w:val="24"/>
                <w:szCs w:val="24"/>
                <w:highlight w:val="none"/>
                <w:lang w:val="en-US" w:eastAsia="zh-CN"/>
              </w:rPr>
              <w:t>全市近岸海域</w:t>
            </w:r>
            <w:r>
              <w:rPr>
                <w:rFonts w:hint="default" w:ascii="Times New Roman" w:hAnsi="Times New Roman" w:cs="Times New Roman"/>
                <w:color w:val="auto"/>
                <w:sz w:val="24"/>
                <w:szCs w:val="24"/>
                <w:highlight w:val="none"/>
                <w:lang w:val="en-US" w:eastAsia="zh-CN"/>
              </w:rPr>
              <w:t>17</w:t>
            </w:r>
            <w:r>
              <w:rPr>
                <w:rFonts w:hint="default" w:ascii="Times New Roman" w:hAnsi="Times New Roman" w:eastAsia="宋体" w:cs="Times New Roman"/>
                <w:color w:val="auto"/>
                <w:sz w:val="24"/>
                <w:szCs w:val="24"/>
                <w:highlight w:val="none"/>
                <w:lang w:val="en-US" w:eastAsia="zh-CN"/>
              </w:rPr>
              <w:t>个监测点位，水质优良</w:t>
            </w:r>
            <w:r>
              <w:rPr>
                <w:rFonts w:hint="default" w:ascii="Times New Roman" w:hAnsi="Times New Roman" w:cs="Times New Roman"/>
                <w:color w:val="auto"/>
                <w:sz w:val="24"/>
                <w:szCs w:val="24"/>
                <w:highlight w:val="none"/>
                <w:lang w:val="en-US" w:eastAsia="zh-CN"/>
              </w:rPr>
              <w:t>比例均为</w:t>
            </w:r>
            <w:r>
              <w:rPr>
                <w:rFonts w:hint="default" w:ascii="Times New Roman" w:hAnsi="Times New Roman" w:eastAsia="宋体" w:cs="Times New Roman"/>
                <w:color w:val="auto"/>
                <w:sz w:val="24"/>
                <w:szCs w:val="24"/>
                <w:highlight w:val="none"/>
                <w:lang w:val="en-US" w:eastAsia="zh-CN"/>
              </w:rPr>
              <w:t>100%。</w:t>
            </w:r>
          </w:p>
          <w:p w14:paraId="7F1FF06E">
            <w:pPr>
              <w:keepNext w:val="0"/>
              <w:keepLines w:val="0"/>
              <w:pageBreakBefore w:val="0"/>
              <w:widowControl w:val="0"/>
              <w:kinsoku/>
              <w:wordWrap/>
              <w:overflowPunct/>
              <w:topLinePunct w:val="0"/>
              <w:autoSpaceDE/>
              <w:autoSpaceDN/>
              <w:bidi w:val="0"/>
              <w:adjustRightInd/>
              <w:snapToGrid/>
              <w:spacing w:line="500" w:lineRule="exact"/>
              <w:textAlignment w:val="auto"/>
              <w:rPr>
                <w:rFonts w:hint="default" w:ascii="Times New Roman" w:hAnsi="Times New Roman" w:cs="Times New Roman"/>
                <w:b/>
                <w:bCs/>
                <w:sz w:val="24"/>
                <w:szCs w:val="32"/>
                <w:highlight w:val="none"/>
              </w:rPr>
            </w:pPr>
            <w:r>
              <w:rPr>
                <w:rFonts w:hint="default" w:ascii="Times New Roman" w:hAnsi="Times New Roman" w:cs="Times New Roman"/>
                <w:b/>
                <w:bCs/>
                <w:sz w:val="24"/>
                <w:szCs w:val="32"/>
                <w:highlight w:val="none"/>
                <w:lang w:val="en-US" w:eastAsia="zh-CN"/>
              </w:rPr>
              <w:t>3、</w:t>
            </w:r>
            <w:r>
              <w:rPr>
                <w:rFonts w:hint="default" w:ascii="Times New Roman" w:hAnsi="Times New Roman" w:cs="Times New Roman"/>
                <w:b/>
                <w:bCs/>
                <w:sz w:val="24"/>
                <w:szCs w:val="32"/>
                <w:highlight w:val="none"/>
              </w:rPr>
              <w:t>声环境质量现状</w:t>
            </w:r>
          </w:p>
          <w:p w14:paraId="477C0282">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default" w:ascii="Times New Roman" w:hAnsi="Times New Roman" w:cs="Times New Roman"/>
                <w:sz w:val="24"/>
                <w:szCs w:val="32"/>
                <w:highlight w:val="none"/>
                <w:lang w:val="en-US" w:eastAsia="zh-CN"/>
              </w:rPr>
            </w:pPr>
            <w:r>
              <w:rPr>
                <w:rFonts w:hint="default" w:ascii="Times New Roman" w:hAnsi="Times New Roman" w:cs="Times New Roman"/>
                <w:sz w:val="24"/>
                <w:szCs w:val="32"/>
                <w:highlight w:val="none"/>
              </w:rPr>
              <w:t>本项目厂界外50m范围内不存在声环境保护目标，不再进行声环境现状调查。</w:t>
            </w:r>
          </w:p>
          <w:p w14:paraId="45D6B7B0">
            <w:pPr>
              <w:keepNext w:val="0"/>
              <w:keepLines w:val="0"/>
              <w:pageBreakBefore w:val="0"/>
              <w:widowControl w:val="0"/>
              <w:tabs>
                <w:tab w:val="left" w:pos="355"/>
              </w:tabs>
              <w:kinsoku/>
              <w:wordWrap/>
              <w:overflowPunct/>
              <w:topLinePunct w:val="0"/>
              <w:autoSpaceDE/>
              <w:autoSpaceDN/>
              <w:bidi w:val="0"/>
              <w:adjustRightInd/>
              <w:snapToGrid/>
              <w:spacing w:line="500" w:lineRule="exact"/>
              <w:textAlignment w:val="auto"/>
              <w:rPr>
                <w:rFonts w:hint="default" w:ascii="Times New Roman" w:hAnsi="Times New Roman" w:eastAsia="宋体" w:cs="Times New Roman"/>
                <w:b/>
                <w:bCs/>
                <w:sz w:val="24"/>
                <w:szCs w:val="32"/>
                <w:highlight w:val="none"/>
                <w:lang w:eastAsia="zh-CN"/>
              </w:rPr>
            </w:pPr>
            <w:r>
              <w:rPr>
                <w:rFonts w:hint="default" w:ascii="Times New Roman" w:hAnsi="Times New Roman" w:cs="Times New Roman"/>
                <w:b/>
                <w:bCs/>
                <w:sz w:val="24"/>
                <w:szCs w:val="32"/>
                <w:highlight w:val="none"/>
                <w:lang w:val="en-US" w:eastAsia="zh-CN"/>
              </w:rPr>
              <w:t>4、</w:t>
            </w:r>
            <w:r>
              <w:rPr>
                <w:rFonts w:hint="default" w:ascii="Times New Roman" w:hAnsi="Times New Roman" w:cs="Times New Roman"/>
                <w:b/>
                <w:bCs/>
                <w:sz w:val="24"/>
                <w:szCs w:val="32"/>
                <w:highlight w:val="none"/>
              </w:rPr>
              <w:t>地下水</w:t>
            </w:r>
            <w:r>
              <w:rPr>
                <w:rFonts w:hint="default" w:ascii="Times New Roman" w:hAnsi="Times New Roman" w:cs="Times New Roman"/>
                <w:b/>
                <w:bCs/>
                <w:sz w:val="24"/>
                <w:szCs w:val="32"/>
                <w:highlight w:val="none"/>
                <w:lang w:eastAsia="zh-CN"/>
              </w:rPr>
              <w:t>、土壤</w:t>
            </w:r>
          </w:p>
          <w:p w14:paraId="477A9448">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jc w:val="left"/>
              <w:textAlignment w:val="auto"/>
              <w:rPr>
                <w:rFonts w:ascii="宋体" w:hAnsi="宋体" w:cs="宋体"/>
                <w:kern w:val="0"/>
                <w:szCs w:val="21"/>
                <w:highlight w:val="none"/>
              </w:rPr>
            </w:pPr>
            <w:r>
              <w:rPr>
                <w:rFonts w:hint="default" w:ascii="Times New Roman" w:hAnsi="Times New Roman" w:eastAsia="宋体" w:cs="Times New Roman"/>
                <w:b w:val="0"/>
                <w:bCs w:val="0"/>
                <w:color w:val="000000"/>
                <w:sz w:val="24"/>
                <w:szCs w:val="24"/>
                <w:highlight w:val="none"/>
              </w:rPr>
              <w:t>本项目厂界外500米范围内无地下水集中式饮用水水源和热水、矿泉水、温泉等特殊地下水资源</w:t>
            </w:r>
            <w:r>
              <w:rPr>
                <w:rFonts w:hint="default" w:ascii="Times New Roman" w:hAnsi="Times New Roman" w:cs="Times New Roman"/>
                <w:b w:val="0"/>
                <w:bCs w:val="0"/>
                <w:color w:val="000000"/>
                <w:sz w:val="24"/>
                <w:szCs w:val="24"/>
                <w:highlight w:val="none"/>
                <w:lang w:eastAsia="zh-CN"/>
              </w:rPr>
              <w:t>；</w:t>
            </w:r>
            <w:r>
              <w:rPr>
                <w:rFonts w:hint="default" w:ascii="Times New Roman" w:hAnsi="Times New Roman" w:eastAsia="宋体" w:cs="Times New Roman"/>
                <w:b w:val="0"/>
                <w:bCs w:val="0"/>
                <w:color w:val="000000"/>
                <w:sz w:val="24"/>
                <w:szCs w:val="24"/>
                <w:highlight w:val="none"/>
              </w:rPr>
              <w:t>项目厂区实施分区防渗处理，不存在地下水、土壤污染物途径，因此，本次评价不再开展地下水、土壤环境质量现状调查。</w:t>
            </w:r>
          </w:p>
        </w:tc>
      </w:tr>
      <w:tr w14:paraId="41EE823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65" w:hRule="atLeast"/>
          <w:jc w:val="center"/>
        </w:trPr>
        <w:tc>
          <w:tcPr>
            <w:tcW w:w="800" w:type="dxa"/>
            <w:noWrap w:val="0"/>
            <w:vAlign w:val="center"/>
          </w:tcPr>
          <w:p w14:paraId="3DB178AC">
            <w:pPr>
              <w:adjustRightInd w:val="0"/>
              <w:snapToGrid w:val="0"/>
              <w:jc w:val="center"/>
              <w:rPr>
                <w:rFonts w:hint="eastAsia" w:ascii="宋体" w:hAnsi="宋体" w:cs="宋体"/>
                <w:kern w:val="0"/>
                <w:szCs w:val="21"/>
                <w:highlight w:val="none"/>
              </w:rPr>
            </w:pPr>
            <w:r>
              <w:rPr>
                <w:rFonts w:hint="eastAsia" w:ascii="宋体" w:hAnsi="宋体" w:cs="宋体"/>
                <w:kern w:val="0"/>
                <w:szCs w:val="21"/>
                <w:highlight w:val="none"/>
              </w:rPr>
              <w:t>环境</w:t>
            </w:r>
          </w:p>
          <w:p w14:paraId="1E4E22EC">
            <w:pPr>
              <w:adjustRightInd w:val="0"/>
              <w:snapToGrid w:val="0"/>
              <w:jc w:val="center"/>
              <w:rPr>
                <w:rFonts w:hint="eastAsia" w:ascii="宋体" w:hAnsi="宋体" w:cs="宋体"/>
                <w:kern w:val="0"/>
                <w:szCs w:val="21"/>
                <w:highlight w:val="none"/>
              </w:rPr>
            </w:pPr>
            <w:r>
              <w:rPr>
                <w:rFonts w:hint="eastAsia" w:ascii="宋体" w:hAnsi="宋体" w:cs="宋体"/>
                <w:kern w:val="0"/>
                <w:szCs w:val="21"/>
                <w:highlight w:val="none"/>
              </w:rPr>
              <w:t>保护</w:t>
            </w:r>
          </w:p>
          <w:p w14:paraId="148A3A86">
            <w:pPr>
              <w:adjustRightInd w:val="0"/>
              <w:snapToGrid w:val="0"/>
              <w:jc w:val="center"/>
              <w:rPr>
                <w:rFonts w:hint="eastAsia" w:ascii="宋体" w:hAnsi="宋体" w:cs="宋体"/>
                <w:kern w:val="0"/>
                <w:szCs w:val="21"/>
                <w:highlight w:val="none"/>
              </w:rPr>
            </w:pPr>
            <w:r>
              <w:rPr>
                <w:rFonts w:hint="eastAsia" w:ascii="宋体" w:hAnsi="宋体" w:cs="宋体"/>
                <w:kern w:val="0"/>
                <w:szCs w:val="21"/>
                <w:highlight w:val="none"/>
              </w:rPr>
              <w:t>目标</w:t>
            </w:r>
          </w:p>
        </w:tc>
        <w:tc>
          <w:tcPr>
            <w:tcW w:w="8190" w:type="dxa"/>
            <w:noWrap w:val="0"/>
            <w:vAlign w:val="center"/>
          </w:tcPr>
          <w:p w14:paraId="06F78703">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jc w:val="left"/>
              <w:textAlignment w:val="auto"/>
              <w:rPr>
                <w:rFonts w:hint="default" w:ascii="Times New Roman" w:hAnsi="Times New Roman" w:eastAsia="宋体" w:cs="Times New Roman"/>
                <w:b/>
                <w:bCs/>
                <w:sz w:val="24"/>
                <w:szCs w:val="32"/>
                <w:highlight w:val="none"/>
                <w:lang w:val="en-US" w:eastAsia="zh-CN"/>
              </w:rPr>
            </w:pPr>
            <w:r>
              <w:rPr>
                <w:rFonts w:hint="default" w:ascii="Times New Roman" w:hAnsi="Times New Roman" w:eastAsia="宋体" w:cs="Times New Roman"/>
                <w:b/>
                <w:bCs/>
                <w:kern w:val="0"/>
                <w:sz w:val="24"/>
                <w:szCs w:val="21"/>
                <w:lang w:val="en-US" w:eastAsia="zh-CN" w:bidi="ar-SA"/>
              </w:rPr>
              <w:t>1</w:t>
            </w:r>
            <w:r>
              <w:rPr>
                <w:rFonts w:hint="default" w:ascii="Times New Roman" w:hAnsi="Times New Roman" w:eastAsia="宋体" w:cs="Times New Roman"/>
                <w:b/>
                <w:bCs/>
                <w:sz w:val="24"/>
                <w:szCs w:val="32"/>
                <w:highlight w:val="none"/>
                <w:lang w:val="en-US" w:eastAsia="zh-CN"/>
              </w:rPr>
              <w:t>、大气环境保护目标</w:t>
            </w:r>
          </w:p>
          <w:p w14:paraId="573E61F5">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jc w:val="left"/>
              <w:textAlignment w:val="auto"/>
              <w:rPr>
                <w:rFonts w:hint="default" w:ascii="Times New Roman" w:hAnsi="Times New Roman" w:cs="Times New Roman"/>
                <w:kern w:val="0"/>
                <w:szCs w:val="21"/>
                <w:highlight w:val="none"/>
              </w:rPr>
            </w:pPr>
            <w:r>
              <w:rPr>
                <w:rFonts w:hint="default" w:ascii="Times New Roman" w:hAnsi="Times New Roman" w:cs="Times New Roman"/>
                <w:kern w:val="0"/>
                <w:szCs w:val="21"/>
                <w:highlight w:val="none"/>
                <w:lang w:eastAsia="zh-CN"/>
              </w:rPr>
              <w:t>本</w:t>
            </w:r>
            <w:r>
              <w:rPr>
                <w:rFonts w:hint="default" w:ascii="Times New Roman" w:hAnsi="Times New Roman" w:cs="Times New Roman"/>
                <w:kern w:val="0"/>
                <w:szCs w:val="21"/>
                <w:highlight w:val="none"/>
              </w:rPr>
              <w:t>项目位于</w:t>
            </w:r>
            <w:r>
              <w:rPr>
                <w:rFonts w:hint="default" w:ascii="Times New Roman" w:hAnsi="Times New Roman" w:cs="Times New Roman"/>
                <w:sz w:val="24"/>
                <w:szCs w:val="24"/>
                <w:highlight w:val="none"/>
                <w:lang w:val="en-US" w:eastAsia="zh-CN"/>
              </w:rPr>
              <w:t>唐山市曹妃甸港口物流园区</w:t>
            </w:r>
            <w:r>
              <w:rPr>
                <w:rFonts w:hint="default" w:ascii="Times New Roman" w:hAnsi="Times New Roman" w:cs="Times New Roman"/>
                <w:kern w:val="0"/>
                <w:szCs w:val="21"/>
                <w:highlight w:val="none"/>
              </w:rPr>
              <w:t>，厂界外500m范围内无自然保护区、风景名胜区、居住区、文化区和农村地区中人群较集中的区域等保护目标。</w:t>
            </w:r>
          </w:p>
          <w:p w14:paraId="76E893D2">
            <w:pPr>
              <w:keepNext w:val="0"/>
              <w:keepLines w:val="0"/>
              <w:pageBreakBefore w:val="0"/>
              <w:widowControl w:val="0"/>
              <w:kinsoku/>
              <w:wordWrap/>
              <w:overflowPunct/>
              <w:topLinePunct w:val="0"/>
              <w:autoSpaceDE/>
              <w:autoSpaceDN/>
              <w:bidi w:val="0"/>
              <w:adjustRightInd w:val="0"/>
              <w:snapToGrid w:val="0"/>
              <w:spacing w:line="500" w:lineRule="exact"/>
              <w:jc w:val="left"/>
              <w:textAlignment w:val="auto"/>
              <w:rPr>
                <w:rFonts w:hint="default" w:ascii="Times New Roman" w:hAnsi="Times New Roman" w:cs="Times New Roman"/>
                <w:b/>
                <w:bCs/>
                <w:kern w:val="0"/>
                <w:szCs w:val="21"/>
                <w:highlight w:val="none"/>
              </w:rPr>
            </w:pPr>
            <w:r>
              <w:rPr>
                <w:rFonts w:hint="default" w:ascii="Times New Roman" w:hAnsi="Times New Roman" w:cs="Times New Roman"/>
                <w:b/>
                <w:bCs/>
                <w:kern w:val="0"/>
                <w:szCs w:val="21"/>
                <w:highlight w:val="none"/>
              </w:rPr>
              <w:t>2、声环境保护目标</w:t>
            </w:r>
          </w:p>
          <w:p w14:paraId="13BA788B">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jc w:val="left"/>
              <w:textAlignment w:val="auto"/>
              <w:rPr>
                <w:rFonts w:hint="default" w:ascii="Times New Roman" w:hAnsi="Times New Roman" w:cs="Times New Roman"/>
                <w:kern w:val="0"/>
                <w:szCs w:val="21"/>
                <w:highlight w:val="none"/>
              </w:rPr>
            </w:pPr>
            <w:r>
              <w:rPr>
                <w:rFonts w:hint="default" w:ascii="Times New Roman" w:hAnsi="Times New Roman" w:cs="Times New Roman"/>
                <w:kern w:val="0"/>
                <w:szCs w:val="21"/>
                <w:highlight w:val="none"/>
              </w:rPr>
              <w:t>建设项目厂界外50米范围内无声环境保护目标。</w:t>
            </w:r>
          </w:p>
          <w:p w14:paraId="7DCC00CE">
            <w:pPr>
              <w:keepNext w:val="0"/>
              <w:keepLines w:val="0"/>
              <w:pageBreakBefore w:val="0"/>
              <w:widowControl w:val="0"/>
              <w:kinsoku/>
              <w:wordWrap/>
              <w:overflowPunct/>
              <w:topLinePunct w:val="0"/>
              <w:autoSpaceDE/>
              <w:autoSpaceDN/>
              <w:bidi w:val="0"/>
              <w:adjustRightInd w:val="0"/>
              <w:snapToGrid w:val="0"/>
              <w:spacing w:line="500" w:lineRule="exact"/>
              <w:jc w:val="left"/>
              <w:textAlignment w:val="auto"/>
              <w:rPr>
                <w:rFonts w:hint="default" w:ascii="Times New Roman" w:hAnsi="Times New Roman" w:cs="Times New Roman"/>
                <w:b/>
                <w:bCs/>
                <w:kern w:val="0"/>
                <w:szCs w:val="21"/>
                <w:highlight w:val="none"/>
              </w:rPr>
            </w:pPr>
            <w:r>
              <w:rPr>
                <w:rFonts w:hint="default" w:ascii="Times New Roman" w:hAnsi="Times New Roman" w:cs="Times New Roman"/>
                <w:b/>
                <w:bCs/>
                <w:kern w:val="0"/>
                <w:szCs w:val="21"/>
                <w:highlight w:val="none"/>
              </w:rPr>
              <w:t>3、地下水环境保护目标</w:t>
            </w:r>
          </w:p>
          <w:p w14:paraId="6041F5B8">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eastAsia="zh-CN"/>
              </w:rPr>
            </w:pPr>
            <w:r>
              <w:rPr>
                <w:rFonts w:hint="default" w:ascii="Times New Roman" w:hAnsi="Times New Roman" w:cs="Times New Roman"/>
                <w:kern w:val="0"/>
                <w:szCs w:val="21"/>
                <w:highlight w:val="none"/>
              </w:rPr>
              <w:t>本项目厂界外500米范围内无地下水集中式饮用水水源和热水、矿泉水、</w:t>
            </w:r>
            <w:r>
              <w:rPr>
                <w:rFonts w:hint="default" w:ascii="Times New Roman" w:hAnsi="Times New Roman" w:eastAsia="宋体" w:cs="Times New Roman"/>
                <w:color w:val="auto"/>
                <w:sz w:val="24"/>
                <w:szCs w:val="24"/>
                <w:highlight w:val="none"/>
                <w:lang w:eastAsia="zh-CN"/>
              </w:rPr>
              <w:t>温泉等特殊地下水资源，不涉及地下水环境保护目标。</w:t>
            </w:r>
          </w:p>
          <w:p w14:paraId="0F6AC37D">
            <w:pPr>
              <w:pStyle w:val="53"/>
              <w:keepNext w:val="0"/>
              <w:keepLines w:val="0"/>
              <w:pageBreakBefore w:val="0"/>
              <w:widowControl w:val="0"/>
              <w:kinsoku/>
              <w:wordWrap/>
              <w:overflowPunct/>
              <w:topLinePunct w:val="0"/>
              <w:bidi w:val="0"/>
              <w:adjustRightInd w:val="0"/>
              <w:snapToGrid/>
              <w:spacing w:line="500" w:lineRule="exact"/>
              <w:jc w:val="both"/>
              <w:rPr>
                <w:rFonts w:hint="default" w:ascii="Times New Roman" w:hAnsi="Times New Roman" w:eastAsia="宋体" w:cs="Times New Roman"/>
                <w:b/>
                <w:bCs/>
                <w:color w:val="auto"/>
                <w:sz w:val="24"/>
                <w:szCs w:val="24"/>
                <w:highlight w:val="none"/>
                <w:lang w:eastAsia="zh-CN"/>
              </w:rPr>
            </w:pPr>
            <w:r>
              <w:rPr>
                <w:rFonts w:hint="default" w:ascii="Times New Roman" w:hAnsi="Times New Roman" w:eastAsia="宋体" w:cs="Times New Roman"/>
                <w:b/>
                <w:bCs/>
                <w:color w:val="auto"/>
                <w:sz w:val="24"/>
                <w:szCs w:val="24"/>
                <w:highlight w:val="none"/>
                <w:lang w:eastAsia="zh-CN"/>
              </w:rPr>
              <w:t>4、生态环境保护目标</w:t>
            </w:r>
          </w:p>
          <w:p w14:paraId="3464BF9B">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本项目位于唐山市曹妃甸港口物流园区，区域现状为空地，用地范围内无生态环境保护目标，故占地范围内不涉及生态环境保护目标。</w:t>
            </w:r>
          </w:p>
          <w:p w14:paraId="06E855C4">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val="en-US" w:eastAsia="zh-CN"/>
              </w:rPr>
            </w:pPr>
          </w:p>
          <w:p w14:paraId="2A8A315D">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val="en-US" w:eastAsia="zh-CN"/>
              </w:rPr>
            </w:pPr>
          </w:p>
          <w:p w14:paraId="739BDC47">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val="en-US" w:eastAsia="zh-CN"/>
              </w:rPr>
            </w:pPr>
          </w:p>
          <w:p w14:paraId="19F49CDA">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val="en-US" w:eastAsia="zh-CN"/>
              </w:rPr>
            </w:pPr>
          </w:p>
          <w:p w14:paraId="49E9906C">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val="en-US" w:eastAsia="zh-CN"/>
              </w:rPr>
            </w:pPr>
          </w:p>
          <w:p w14:paraId="4D5C8A0F">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val="en-US" w:eastAsia="zh-CN"/>
              </w:rPr>
            </w:pPr>
          </w:p>
          <w:p w14:paraId="20A5845C">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val="en-US" w:eastAsia="zh-CN"/>
              </w:rPr>
            </w:pPr>
          </w:p>
          <w:p w14:paraId="7D86EA1D">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val="en-US" w:eastAsia="zh-CN"/>
              </w:rPr>
            </w:pPr>
          </w:p>
          <w:p w14:paraId="3967B45C">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val="en-US" w:eastAsia="zh-CN"/>
              </w:rPr>
            </w:pPr>
          </w:p>
          <w:p w14:paraId="370FC1F1">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val="en-US" w:eastAsia="zh-CN"/>
              </w:rPr>
            </w:pPr>
          </w:p>
          <w:p w14:paraId="2046E366">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val="en-US" w:eastAsia="zh-CN"/>
              </w:rPr>
            </w:pPr>
          </w:p>
          <w:p w14:paraId="6617979A">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val="en-US" w:eastAsia="zh-CN"/>
              </w:rPr>
            </w:pPr>
          </w:p>
          <w:p w14:paraId="028A5F9C">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val="en-US" w:eastAsia="zh-CN"/>
              </w:rPr>
            </w:pPr>
          </w:p>
          <w:p w14:paraId="39B3615E">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val="en-US" w:eastAsia="zh-CN"/>
              </w:rPr>
            </w:pPr>
          </w:p>
          <w:p w14:paraId="37774BB5">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val="en-US" w:eastAsia="zh-CN"/>
              </w:rPr>
            </w:pPr>
          </w:p>
          <w:p w14:paraId="24282B73">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val="en-US" w:eastAsia="zh-CN"/>
              </w:rPr>
            </w:pPr>
          </w:p>
          <w:p w14:paraId="7CD80739">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val="en-US" w:eastAsia="zh-CN"/>
              </w:rPr>
            </w:pPr>
          </w:p>
          <w:p w14:paraId="35C6DF33">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val="en-US" w:eastAsia="zh-CN"/>
              </w:rPr>
            </w:pPr>
          </w:p>
          <w:p w14:paraId="1D040184">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val="en-US" w:eastAsia="zh-CN"/>
              </w:rPr>
            </w:pPr>
          </w:p>
          <w:p w14:paraId="661E3FE0">
            <w:pPr>
              <w:pStyle w:val="53"/>
              <w:keepNext w:val="0"/>
              <w:keepLines w:val="0"/>
              <w:pageBreakBefore w:val="0"/>
              <w:widowControl w:val="0"/>
              <w:kinsoku/>
              <w:wordWrap/>
              <w:overflowPunct/>
              <w:topLinePunct w:val="0"/>
              <w:bidi w:val="0"/>
              <w:adjustRightInd w:val="0"/>
              <w:snapToGrid/>
              <w:spacing w:line="500" w:lineRule="exact"/>
              <w:ind w:firstLine="480" w:firstLineChars="200"/>
              <w:jc w:val="both"/>
              <w:rPr>
                <w:rFonts w:hint="default" w:ascii="Times New Roman" w:hAnsi="Times New Roman" w:eastAsia="宋体" w:cs="Times New Roman"/>
                <w:color w:val="auto"/>
                <w:sz w:val="24"/>
                <w:szCs w:val="24"/>
                <w:highlight w:val="none"/>
                <w:lang w:val="en-US" w:eastAsia="zh-CN"/>
              </w:rPr>
            </w:pPr>
          </w:p>
          <w:p w14:paraId="05DEBEDD">
            <w:pPr>
              <w:pStyle w:val="53"/>
              <w:keepNext w:val="0"/>
              <w:keepLines w:val="0"/>
              <w:pageBreakBefore w:val="0"/>
              <w:widowControl w:val="0"/>
              <w:kinsoku/>
              <w:wordWrap/>
              <w:overflowPunct/>
              <w:topLinePunct w:val="0"/>
              <w:bidi w:val="0"/>
              <w:adjustRightInd w:val="0"/>
              <w:snapToGrid/>
              <w:spacing w:line="500" w:lineRule="exact"/>
              <w:jc w:val="both"/>
              <w:rPr>
                <w:rFonts w:hint="default" w:ascii="Times New Roman" w:hAnsi="Times New Roman" w:eastAsia="宋体" w:cs="Times New Roman"/>
                <w:color w:val="auto"/>
                <w:sz w:val="24"/>
                <w:szCs w:val="24"/>
                <w:highlight w:val="none"/>
                <w:lang w:val="en-US" w:eastAsia="zh-CN"/>
              </w:rPr>
            </w:pPr>
          </w:p>
        </w:tc>
      </w:tr>
      <w:tr w14:paraId="283E1E8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627" w:hRule="atLeast"/>
          <w:jc w:val="center"/>
        </w:trPr>
        <w:tc>
          <w:tcPr>
            <w:tcW w:w="800" w:type="dxa"/>
            <w:noWrap w:val="0"/>
            <w:tcMar>
              <w:left w:w="28" w:type="dxa"/>
              <w:right w:w="28" w:type="dxa"/>
            </w:tcMar>
            <w:vAlign w:val="center"/>
          </w:tcPr>
          <w:p w14:paraId="71235D0B">
            <w:pPr>
              <w:adjustRightInd w:val="0"/>
              <w:snapToGrid w:val="0"/>
              <w:jc w:val="center"/>
              <w:rPr>
                <w:rFonts w:hint="eastAsia" w:ascii="宋体" w:hAnsi="宋体" w:cs="宋体"/>
                <w:kern w:val="0"/>
                <w:szCs w:val="21"/>
                <w:highlight w:val="none"/>
              </w:rPr>
            </w:pPr>
            <w:r>
              <w:rPr>
                <w:rFonts w:hint="eastAsia" w:ascii="宋体" w:hAnsi="宋体" w:cs="宋体"/>
                <w:kern w:val="0"/>
                <w:szCs w:val="21"/>
                <w:highlight w:val="none"/>
              </w:rPr>
              <w:t>污染</w:t>
            </w:r>
          </w:p>
          <w:p w14:paraId="404835C7">
            <w:pPr>
              <w:adjustRightInd w:val="0"/>
              <w:snapToGrid w:val="0"/>
              <w:jc w:val="center"/>
              <w:rPr>
                <w:rFonts w:hint="eastAsia" w:ascii="宋体" w:hAnsi="宋体" w:cs="宋体"/>
                <w:kern w:val="0"/>
                <w:szCs w:val="21"/>
                <w:highlight w:val="none"/>
              </w:rPr>
            </w:pPr>
            <w:r>
              <w:rPr>
                <w:rFonts w:hint="eastAsia" w:ascii="宋体" w:hAnsi="宋体" w:cs="宋体"/>
                <w:kern w:val="0"/>
                <w:szCs w:val="21"/>
                <w:highlight w:val="none"/>
              </w:rPr>
              <w:t>物排</w:t>
            </w:r>
          </w:p>
          <w:p w14:paraId="4CA913C5">
            <w:pPr>
              <w:adjustRightInd w:val="0"/>
              <w:snapToGrid w:val="0"/>
              <w:jc w:val="center"/>
              <w:rPr>
                <w:rFonts w:hint="eastAsia" w:ascii="宋体" w:hAnsi="宋体" w:cs="宋体"/>
                <w:kern w:val="0"/>
                <w:szCs w:val="21"/>
                <w:highlight w:val="none"/>
              </w:rPr>
            </w:pPr>
            <w:r>
              <w:rPr>
                <w:rFonts w:hint="eastAsia" w:ascii="宋体" w:hAnsi="宋体" w:cs="宋体"/>
                <w:kern w:val="0"/>
                <w:szCs w:val="21"/>
                <w:highlight w:val="none"/>
              </w:rPr>
              <w:t>放控</w:t>
            </w:r>
          </w:p>
          <w:p w14:paraId="290F0587">
            <w:pPr>
              <w:adjustRightInd w:val="0"/>
              <w:snapToGrid w:val="0"/>
              <w:jc w:val="center"/>
              <w:rPr>
                <w:rFonts w:hint="eastAsia" w:ascii="宋体" w:hAnsi="宋体" w:cs="宋体"/>
                <w:kern w:val="0"/>
                <w:szCs w:val="21"/>
                <w:highlight w:val="none"/>
              </w:rPr>
            </w:pPr>
            <w:r>
              <w:rPr>
                <w:rFonts w:hint="eastAsia" w:ascii="宋体" w:hAnsi="宋体" w:cs="宋体"/>
                <w:kern w:val="0"/>
                <w:szCs w:val="21"/>
                <w:highlight w:val="none"/>
              </w:rPr>
              <w:t>制标</w:t>
            </w:r>
          </w:p>
          <w:p w14:paraId="28735DC7">
            <w:pPr>
              <w:adjustRightInd w:val="0"/>
              <w:snapToGrid w:val="0"/>
              <w:jc w:val="center"/>
              <w:rPr>
                <w:rFonts w:ascii="宋体" w:hAnsi="宋体" w:cs="宋体"/>
                <w:kern w:val="0"/>
                <w:szCs w:val="21"/>
                <w:highlight w:val="none"/>
              </w:rPr>
            </w:pPr>
            <w:r>
              <w:rPr>
                <w:rFonts w:hint="eastAsia" w:ascii="宋体" w:hAnsi="宋体" w:cs="宋体"/>
                <w:kern w:val="0"/>
                <w:szCs w:val="21"/>
                <w:highlight w:val="none"/>
              </w:rPr>
              <w:t>准</w:t>
            </w:r>
          </w:p>
        </w:tc>
        <w:tc>
          <w:tcPr>
            <w:tcW w:w="8190" w:type="dxa"/>
            <w:noWrap w:val="0"/>
            <w:vAlign w:val="center"/>
          </w:tcPr>
          <w:p w14:paraId="4553FA00">
            <w:pPr>
              <w:keepNext w:val="0"/>
              <w:keepLines w:val="0"/>
              <w:pageBreakBefore w:val="0"/>
              <w:widowControl w:val="0"/>
              <w:kinsoku/>
              <w:wordWrap/>
              <w:overflowPunct/>
              <w:topLinePunct w:val="0"/>
              <w:autoSpaceDE/>
              <w:autoSpaceDN/>
              <w:bidi w:val="0"/>
              <w:adjustRightInd/>
              <w:snapToGrid/>
              <w:spacing w:line="500" w:lineRule="exact"/>
              <w:textAlignment w:val="auto"/>
              <w:rPr>
                <w:rFonts w:hint="default"/>
                <w:b/>
                <w:color w:val="auto"/>
                <w:sz w:val="24"/>
                <w:highlight w:val="none"/>
                <w:lang w:val="en-US" w:eastAsia="zh-CN"/>
              </w:rPr>
            </w:pPr>
            <w:r>
              <w:rPr>
                <w:rFonts w:hint="eastAsia"/>
                <w:b/>
                <w:color w:val="auto"/>
                <w:sz w:val="24"/>
                <w:highlight w:val="none"/>
                <w:lang w:val="en-US" w:eastAsia="zh-CN"/>
              </w:rPr>
              <w:t>1、施工期</w:t>
            </w:r>
          </w:p>
          <w:p w14:paraId="7DBED96D">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b w:val="0"/>
                <w:bCs/>
                <w:color w:val="auto"/>
                <w:sz w:val="24"/>
                <w:highlight w:val="none"/>
                <w:lang w:val="en-US" w:eastAsia="zh-CN"/>
              </w:rPr>
            </w:pPr>
            <w:r>
              <w:rPr>
                <w:rFonts w:hint="eastAsia"/>
                <w:b w:val="0"/>
                <w:bCs/>
                <w:color w:val="auto"/>
                <w:sz w:val="24"/>
                <w:highlight w:val="none"/>
                <w:lang w:val="en-US" w:eastAsia="zh-CN"/>
              </w:rPr>
              <w:t>（1）废气</w:t>
            </w:r>
          </w:p>
          <w:p w14:paraId="0588E666">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Times New Roman" w:hAnsi="Times New Roman" w:eastAsia="宋体" w:cs="Times New Roman"/>
                <w:color w:val="auto"/>
                <w:kern w:val="2"/>
                <w:sz w:val="24"/>
                <w:szCs w:val="24"/>
                <w:highlight w:val="none"/>
                <w:lang w:val="en-US" w:eastAsia="zh-CN" w:bidi="ar-SA"/>
              </w:rPr>
            </w:pPr>
            <w:r>
              <w:rPr>
                <w:rFonts w:hint="eastAsia" w:ascii="Times New Roman" w:hAnsi="Times New Roman" w:eastAsia="宋体" w:cs="Times New Roman"/>
                <w:color w:val="auto"/>
                <w:kern w:val="2"/>
                <w:sz w:val="24"/>
                <w:szCs w:val="24"/>
                <w:highlight w:val="none"/>
                <w:lang w:val="en-US" w:eastAsia="zh-CN" w:bidi="ar-SA"/>
              </w:rPr>
              <w:t>施工期扬尘执行河北省地方标准《施工场地扬尘排放标准(DB13/2934-2019)表1中扬尘排放浓度限值</w:t>
            </w:r>
            <w:r>
              <w:rPr>
                <w:rFonts w:hint="eastAsia" w:cs="Times New Roman"/>
                <w:color w:val="auto"/>
                <w:kern w:val="2"/>
                <w:sz w:val="24"/>
                <w:szCs w:val="24"/>
                <w:highlight w:val="none"/>
                <w:lang w:val="en-US" w:eastAsia="zh-CN" w:bidi="ar-SA"/>
              </w:rPr>
              <w:t>。</w:t>
            </w:r>
          </w:p>
          <w:p w14:paraId="44870F4A">
            <w:pPr>
              <w:keepNext w:val="0"/>
              <w:keepLines w:val="0"/>
              <w:pageBreakBefore w:val="0"/>
              <w:widowControl w:val="0"/>
              <w:kinsoku/>
              <w:wordWrap/>
              <w:overflowPunct/>
              <w:topLinePunct w:val="0"/>
              <w:autoSpaceDE/>
              <w:autoSpaceDN/>
              <w:bidi w:val="0"/>
              <w:adjustRightInd/>
              <w:snapToGrid/>
              <w:spacing w:line="460" w:lineRule="exact"/>
              <w:ind w:firstLine="482" w:firstLineChars="200"/>
              <w:jc w:val="center"/>
              <w:textAlignment w:val="auto"/>
              <w:rPr>
                <w:rFonts w:hint="eastAsia"/>
                <w:b/>
                <w:color w:val="auto"/>
                <w:sz w:val="24"/>
                <w:highlight w:val="none"/>
                <w:lang w:val="en-US" w:eastAsia="zh-CN"/>
              </w:rPr>
            </w:pPr>
            <w:r>
              <w:rPr>
                <w:b/>
                <w:color w:val="auto"/>
                <w:sz w:val="24"/>
                <w:szCs w:val="24"/>
                <w:highlight w:val="none"/>
              </w:rPr>
              <w:t>表</w:t>
            </w:r>
            <w:r>
              <w:rPr>
                <w:rFonts w:hint="eastAsia"/>
                <w:b/>
                <w:color w:val="auto"/>
                <w:sz w:val="24"/>
                <w:szCs w:val="24"/>
                <w:highlight w:val="none"/>
                <w:lang w:val="en-US" w:eastAsia="zh-CN"/>
              </w:rPr>
              <w:t xml:space="preserve">3-4 </w:t>
            </w:r>
            <w:r>
              <w:rPr>
                <w:rFonts w:hint="eastAsia"/>
                <w:b/>
                <w:color w:val="auto"/>
                <w:sz w:val="24"/>
                <w:szCs w:val="24"/>
                <w:highlight w:val="none"/>
                <w:lang w:eastAsia="zh-CN"/>
              </w:rPr>
              <w:t>施工期</w:t>
            </w:r>
            <w:r>
              <w:rPr>
                <w:rFonts w:hint="eastAsia"/>
                <w:b/>
                <w:color w:val="auto"/>
                <w:sz w:val="24"/>
                <w:szCs w:val="24"/>
                <w:highlight w:val="none"/>
                <w:lang w:val="en-US" w:eastAsia="zh-CN"/>
              </w:rPr>
              <w:t>大气污染物排放标准限值</w:t>
            </w:r>
          </w:p>
          <w:tbl>
            <w:tblPr>
              <w:tblStyle w:val="2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31"/>
              <w:gridCol w:w="1549"/>
              <w:gridCol w:w="1545"/>
              <w:gridCol w:w="1533"/>
              <w:gridCol w:w="1826"/>
            </w:tblGrid>
            <w:tr w14:paraId="4147CC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31" w:type="dxa"/>
                  <w:noWrap w:val="0"/>
                  <w:vAlign w:val="center"/>
                </w:tcPr>
                <w:p w14:paraId="4717FC99">
                  <w:pPr>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leftChars="0" w:right="0" w:rightChars="0"/>
                    <w:jc w:val="center"/>
                    <w:rPr>
                      <w:rFonts w:hint="eastAsia" w:ascii="Times New Roman" w:hAnsi="Times New Roman" w:eastAsia="宋体" w:cs="Times New Roman"/>
                      <w:b w:val="0"/>
                      <w:bCs w:val="0"/>
                      <w:color w:val="000000"/>
                      <w:kern w:val="2"/>
                      <w:sz w:val="21"/>
                      <w:szCs w:val="21"/>
                      <w:highlight w:val="none"/>
                      <w:lang w:val="en-US" w:eastAsia="zh-CN" w:bidi="ar"/>
                    </w:rPr>
                  </w:pPr>
                  <w:r>
                    <w:rPr>
                      <w:rFonts w:hint="eastAsia" w:ascii="Times New Roman" w:hAnsi="Times New Roman" w:eastAsia="宋体" w:cs="Times New Roman"/>
                      <w:b w:val="0"/>
                      <w:bCs w:val="0"/>
                      <w:color w:val="000000"/>
                      <w:kern w:val="2"/>
                      <w:sz w:val="21"/>
                      <w:szCs w:val="21"/>
                      <w:highlight w:val="none"/>
                      <w:lang w:val="en-US" w:eastAsia="zh-CN" w:bidi="ar"/>
                    </w:rPr>
                    <w:t>污染源</w:t>
                  </w:r>
                </w:p>
              </w:tc>
              <w:tc>
                <w:tcPr>
                  <w:tcW w:w="1549" w:type="dxa"/>
                  <w:noWrap w:val="0"/>
                  <w:vAlign w:val="center"/>
                </w:tcPr>
                <w:p w14:paraId="489C96E9">
                  <w:pPr>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leftChars="0" w:right="0" w:rightChars="0"/>
                    <w:jc w:val="center"/>
                    <w:rPr>
                      <w:rFonts w:hint="eastAsia" w:ascii="Times New Roman" w:hAnsi="Times New Roman" w:eastAsia="宋体" w:cs="Times New Roman"/>
                      <w:b w:val="0"/>
                      <w:bCs w:val="0"/>
                      <w:color w:val="000000"/>
                      <w:kern w:val="2"/>
                      <w:sz w:val="21"/>
                      <w:szCs w:val="21"/>
                      <w:highlight w:val="none"/>
                      <w:lang w:val="en-US" w:eastAsia="zh-CN" w:bidi="ar"/>
                    </w:rPr>
                  </w:pPr>
                  <w:r>
                    <w:rPr>
                      <w:rFonts w:hint="eastAsia" w:ascii="Times New Roman" w:hAnsi="Times New Roman" w:eastAsia="宋体" w:cs="Times New Roman"/>
                      <w:b w:val="0"/>
                      <w:bCs w:val="0"/>
                      <w:color w:val="000000"/>
                      <w:kern w:val="2"/>
                      <w:sz w:val="21"/>
                      <w:szCs w:val="21"/>
                      <w:highlight w:val="none"/>
                      <w:lang w:val="en-US" w:eastAsia="zh-CN" w:bidi="ar"/>
                    </w:rPr>
                    <w:t>污染物</w:t>
                  </w:r>
                </w:p>
              </w:tc>
              <w:tc>
                <w:tcPr>
                  <w:tcW w:w="1545" w:type="dxa"/>
                  <w:noWrap w:val="0"/>
                  <w:vAlign w:val="center"/>
                </w:tcPr>
                <w:p w14:paraId="40376380">
                  <w:pPr>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leftChars="0" w:right="0" w:rightChars="0"/>
                    <w:jc w:val="center"/>
                    <w:rPr>
                      <w:rFonts w:hint="eastAsia" w:ascii="Times New Roman" w:hAnsi="Times New Roman" w:eastAsia="宋体" w:cs="Times New Roman"/>
                      <w:b w:val="0"/>
                      <w:bCs w:val="0"/>
                      <w:color w:val="000000"/>
                      <w:kern w:val="2"/>
                      <w:sz w:val="21"/>
                      <w:szCs w:val="21"/>
                      <w:highlight w:val="none"/>
                      <w:lang w:val="en-US" w:eastAsia="zh-CN" w:bidi="ar"/>
                    </w:rPr>
                  </w:pPr>
                  <w:r>
                    <w:rPr>
                      <w:rFonts w:hint="eastAsia" w:ascii="Times New Roman" w:hAnsi="Times New Roman" w:eastAsia="宋体" w:cs="Times New Roman"/>
                      <w:b w:val="0"/>
                      <w:bCs w:val="0"/>
                      <w:color w:val="000000"/>
                      <w:kern w:val="2"/>
                      <w:sz w:val="21"/>
                      <w:szCs w:val="21"/>
                      <w:highlight w:val="none"/>
                      <w:lang w:val="en-US" w:eastAsia="zh-CN" w:bidi="ar"/>
                    </w:rPr>
                    <w:t>执行标准</w:t>
                  </w:r>
                </w:p>
              </w:tc>
              <w:tc>
                <w:tcPr>
                  <w:tcW w:w="1533" w:type="dxa"/>
                  <w:noWrap w:val="0"/>
                  <w:vAlign w:val="center"/>
                </w:tcPr>
                <w:p w14:paraId="7FC4719E">
                  <w:pPr>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leftChars="0" w:right="0" w:rightChars="0"/>
                    <w:jc w:val="center"/>
                    <w:rPr>
                      <w:rFonts w:hint="eastAsia" w:ascii="Times New Roman" w:hAnsi="Times New Roman" w:eastAsia="宋体" w:cs="Times New Roman"/>
                      <w:b w:val="0"/>
                      <w:bCs w:val="0"/>
                      <w:color w:val="000000"/>
                      <w:kern w:val="2"/>
                      <w:sz w:val="21"/>
                      <w:szCs w:val="21"/>
                      <w:highlight w:val="none"/>
                      <w:lang w:val="en-US" w:eastAsia="zh-CN" w:bidi="ar"/>
                    </w:rPr>
                  </w:pPr>
                  <w:r>
                    <w:rPr>
                      <w:rFonts w:hint="eastAsia" w:ascii="Times New Roman" w:hAnsi="Times New Roman" w:eastAsia="宋体" w:cs="Times New Roman"/>
                      <w:b w:val="0"/>
                      <w:bCs w:val="0"/>
                      <w:color w:val="000000"/>
                      <w:kern w:val="2"/>
                      <w:sz w:val="21"/>
                      <w:szCs w:val="21"/>
                      <w:highlight w:val="none"/>
                      <w:lang w:val="en-US" w:eastAsia="zh-CN" w:bidi="ar"/>
                    </w:rPr>
                    <w:t>达标判定依据</w:t>
                  </w:r>
                </w:p>
              </w:tc>
              <w:tc>
                <w:tcPr>
                  <w:tcW w:w="1826" w:type="dxa"/>
                  <w:noWrap w:val="0"/>
                  <w:vAlign w:val="center"/>
                </w:tcPr>
                <w:p w14:paraId="582679F3">
                  <w:pPr>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leftChars="0" w:right="0" w:rightChars="0"/>
                    <w:jc w:val="center"/>
                    <w:rPr>
                      <w:rFonts w:hint="eastAsia" w:ascii="Times New Roman" w:hAnsi="Times New Roman" w:eastAsia="宋体" w:cs="Times New Roman"/>
                      <w:b w:val="0"/>
                      <w:bCs w:val="0"/>
                      <w:color w:val="000000"/>
                      <w:kern w:val="2"/>
                      <w:sz w:val="21"/>
                      <w:szCs w:val="21"/>
                      <w:highlight w:val="none"/>
                      <w:lang w:val="en-US" w:eastAsia="zh-CN" w:bidi="ar"/>
                    </w:rPr>
                  </w:pPr>
                  <w:r>
                    <w:rPr>
                      <w:rFonts w:hint="eastAsia" w:ascii="Times New Roman" w:hAnsi="Times New Roman" w:eastAsia="宋体" w:cs="Times New Roman"/>
                      <w:b w:val="0"/>
                      <w:bCs w:val="0"/>
                      <w:color w:val="000000"/>
                      <w:kern w:val="2"/>
                      <w:sz w:val="21"/>
                      <w:szCs w:val="21"/>
                      <w:highlight w:val="none"/>
                      <w:lang w:val="en-US" w:eastAsia="zh-CN" w:bidi="ar"/>
                    </w:rPr>
                    <w:t>标准来源</w:t>
                  </w:r>
                </w:p>
              </w:tc>
            </w:tr>
            <w:tr w14:paraId="01DD58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31" w:type="dxa"/>
                  <w:noWrap w:val="0"/>
                  <w:vAlign w:val="center"/>
                </w:tcPr>
                <w:p w14:paraId="6B3B6186">
                  <w:pPr>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leftChars="0" w:right="0" w:rightChars="0"/>
                    <w:jc w:val="center"/>
                    <w:rPr>
                      <w:rFonts w:hint="eastAsia" w:ascii="Times New Roman" w:hAnsi="Times New Roman" w:eastAsia="宋体" w:cs="Times New Roman"/>
                      <w:b w:val="0"/>
                      <w:bCs w:val="0"/>
                      <w:color w:val="000000"/>
                      <w:kern w:val="2"/>
                      <w:sz w:val="21"/>
                      <w:szCs w:val="21"/>
                      <w:highlight w:val="none"/>
                      <w:lang w:val="en-US" w:eastAsia="zh-CN" w:bidi="ar"/>
                    </w:rPr>
                  </w:pPr>
                  <w:r>
                    <w:rPr>
                      <w:rFonts w:hint="eastAsia" w:ascii="Times New Roman" w:hAnsi="Times New Roman" w:eastAsia="宋体" w:cs="Times New Roman"/>
                      <w:b w:val="0"/>
                      <w:bCs w:val="0"/>
                      <w:color w:val="000000"/>
                      <w:kern w:val="2"/>
                      <w:sz w:val="21"/>
                      <w:szCs w:val="21"/>
                      <w:highlight w:val="none"/>
                      <w:lang w:val="en-US" w:eastAsia="zh-CN" w:bidi="ar"/>
                    </w:rPr>
                    <w:t>施工期</w:t>
                  </w:r>
                </w:p>
              </w:tc>
              <w:tc>
                <w:tcPr>
                  <w:tcW w:w="1549" w:type="dxa"/>
                  <w:noWrap w:val="0"/>
                  <w:vAlign w:val="center"/>
                </w:tcPr>
                <w:p w14:paraId="7F6D70AA">
                  <w:pPr>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leftChars="0" w:right="0" w:rightChars="0"/>
                    <w:jc w:val="center"/>
                    <w:rPr>
                      <w:rFonts w:hint="eastAsia" w:ascii="Times New Roman" w:hAnsi="Times New Roman" w:eastAsia="宋体" w:cs="Times New Roman"/>
                      <w:b w:val="0"/>
                      <w:bCs w:val="0"/>
                      <w:color w:val="000000"/>
                      <w:kern w:val="2"/>
                      <w:sz w:val="21"/>
                      <w:szCs w:val="21"/>
                      <w:highlight w:val="none"/>
                      <w:lang w:val="en-US" w:eastAsia="zh-CN" w:bidi="ar"/>
                    </w:rPr>
                  </w:pPr>
                  <w:r>
                    <w:rPr>
                      <w:rFonts w:hint="eastAsia" w:ascii="Times New Roman" w:hAnsi="Times New Roman" w:eastAsia="宋体" w:cs="Times New Roman"/>
                      <w:b w:val="0"/>
                      <w:bCs w:val="0"/>
                      <w:color w:val="000000"/>
                      <w:kern w:val="2"/>
                      <w:sz w:val="21"/>
                      <w:szCs w:val="21"/>
                      <w:highlight w:val="none"/>
                      <w:lang w:val="en-US" w:eastAsia="zh-CN" w:bidi="ar"/>
                    </w:rPr>
                    <w:t>PM</w:t>
                  </w:r>
                  <w:r>
                    <w:rPr>
                      <w:rFonts w:hint="eastAsia" w:ascii="Times New Roman" w:hAnsi="Times New Roman" w:eastAsia="宋体" w:cs="Times New Roman"/>
                      <w:b w:val="0"/>
                      <w:bCs w:val="0"/>
                      <w:color w:val="000000"/>
                      <w:kern w:val="2"/>
                      <w:sz w:val="21"/>
                      <w:szCs w:val="21"/>
                      <w:highlight w:val="none"/>
                      <w:vertAlign w:val="subscript"/>
                      <w:lang w:val="en-US" w:eastAsia="zh-CN" w:bidi="ar"/>
                    </w:rPr>
                    <w:t>10</w:t>
                  </w:r>
                </w:p>
              </w:tc>
              <w:tc>
                <w:tcPr>
                  <w:tcW w:w="1545" w:type="dxa"/>
                  <w:noWrap w:val="0"/>
                  <w:vAlign w:val="center"/>
                </w:tcPr>
                <w:p w14:paraId="4DD2AC59">
                  <w:pPr>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leftChars="0" w:right="0" w:rightChars="0"/>
                    <w:jc w:val="center"/>
                    <w:rPr>
                      <w:rFonts w:hint="eastAsia" w:ascii="Times New Roman" w:hAnsi="Times New Roman" w:eastAsia="宋体" w:cs="Times New Roman"/>
                      <w:b w:val="0"/>
                      <w:bCs w:val="0"/>
                      <w:color w:val="000000"/>
                      <w:kern w:val="2"/>
                      <w:sz w:val="21"/>
                      <w:szCs w:val="21"/>
                      <w:highlight w:val="none"/>
                      <w:lang w:val="en-US" w:eastAsia="zh-CN" w:bidi="ar"/>
                    </w:rPr>
                  </w:pPr>
                  <w:r>
                    <w:rPr>
                      <w:rFonts w:hint="eastAsia" w:ascii="Times New Roman" w:hAnsi="Times New Roman" w:eastAsia="宋体" w:cs="Times New Roman"/>
                      <w:b w:val="0"/>
                      <w:bCs w:val="0"/>
                      <w:color w:val="000000"/>
                      <w:kern w:val="2"/>
                      <w:sz w:val="21"/>
                      <w:szCs w:val="21"/>
                      <w:highlight w:val="none"/>
                      <w:lang w:val="en-US" w:eastAsia="zh-CN" w:bidi="ar"/>
                    </w:rPr>
                    <w:t>监测点浓度限</w:t>
                  </w:r>
                </w:p>
                <w:p w14:paraId="72024695">
                  <w:pPr>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leftChars="0" w:right="0" w:rightChars="0"/>
                    <w:jc w:val="center"/>
                    <w:rPr>
                      <w:rFonts w:hint="eastAsia" w:ascii="Times New Roman" w:hAnsi="Times New Roman" w:eastAsia="宋体" w:cs="Times New Roman"/>
                      <w:b w:val="0"/>
                      <w:bCs w:val="0"/>
                      <w:color w:val="000000"/>
                      <w:kern w:val="2"/>
                      <w:sz w:val="21"/>
                      <w:szCs w:val="21"/>
                      <w:highlight w:val="none"/>
                      <w:lang w:val="en-US" w:eastAsia="zh-CN" w:bidi="ar"/>
                    </w:rPr>
                  </w:pPr>
                  <w:r>
                    <w:rPr>
                      <w:rFonts w:hint="eastAsia" w:ascii="Times New Roman" w:hAnsi="Times New Roman" w:eastAsia="宋体" w:cs="Times New Roman"/>
                      <w:b w:val="0"/>
                      <w:bCs w:val="0"/>
                      <w:color w:val="000000"/>
                      <w:kern w:val="2"/>
                      <w:sz w:val="21"/>
                      <w:szCs w:val="21"/>
                      <w:highlight w:val="none"/>
                      <w:lang w:val="en-US" w:eastAsia="zh-CN" w:bidi="ar"/>
                    </w:rPr>
                    <w:t>值≤80μg/m</w:t>
                  </w:r>
                  <w:r>
                    <w:rPr>
                      <w:rFonts w:hint="eastAsia" w:ascii="Times New Roman" w:hAnsi="Times New Roman" w:eastAsia="宋体" w:cs="Times New Roman"/>
                      <w:b w:val="0"/>
                      <w:bCs w:val="0"/>
                      <w:color w:val="000000"/>
                      <w:kern w:val="2"/>
                      <w:sz w:val="21"/>
                      <w:szCs w:val="21"/>
                      <w:highlight w:val="none"/>
                      <w:vertAlign w:val="superscript"/>
                      <w:lang w:val="en-US" w:eastAsia="zh-CN" w:bidi="ar"/>
                    </w:rPr>
                    <w:t>3</w:t>
                  </w:r>
                </w:p>
              </w:tc>
              <w:tc>
                <w:tcPr>
                  <w:tcW w:w="1533" w:type="dxa"/>
                  <w:noWrap w:val="0"/>
                  <w:vAlign w:val="center"/>
                </w:tcPr>
                <w:p w14:paraId="0A87F188">
                  <w:pPr>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leftChars="0" w:right="0" w:rightChars="0"/>
                    <w:jc w:val="center"/>
                    <w:rPr>
                      <w:rFonts w:hint="eastAsia" w:ascii="Times New Roman" w:hAnsi="Times New Roman" w:eastAsia="宋体" w:cs="Times New Roman"/>
                      <w:b w:val="0"/>
                      <w:bCs w:val="0"/>
                      <w:color w:val="000000"/>
                      <w:kern w:val="2"/>
                      <w:sz w:val="21"/>
                      <w:szCs w:val="21"/>
                      <w:highlight w:val="none"/>
                      <w:lang w:val="en-US" w:eastAsia="zh-CN" w:bidi="ar"/>
                    </w:rPr>
                  </w:pPr>
                  <w:r>
                    <w:rPr>
                      <w:rFonts w:hint="default" w:ascii="Times New Roman" w:hAnsi="Times New Roman" w:eastAsia="宋体" w:cs="Times New Roman"/>
                      <w:b w:val="0"/>
                      <w:bCs w:val="0"/>
                      <w:color w:val="000000"/>
                      <w:kern w:val="2"/>
                      <w:sz w:val="21"/>
                      <w:szCs w:val="21"/>
                      <w:highlight w:val="none"/>
                      <w:lang w:val="en-US" w:eastAsia="zh-CN" w:bidi="ar"/>
                    </w:rPr>
                    <w:t>≤</w:t>
                  </w:r>
                  <w:r>
                    <w:rPr>
                      <w:rFonts w:hint="eastAsia" w:ascii="Times New Roman" w:hAnsi="Times New Roman" w:eastAsia="宋体" w:cs="Times New Roman"/>
                      <w:b w:val="0"/>
                      <w:bCs w:val="0"/>
                      <w:color w:val="000000"/>
                      <w:kern w:val="2"/>
                      <w:sz w:val="21"/>
                      <w:szCs w:val="21"/>
                      <w:highlight w:val="none"/>
                      <w:lang w:val="en-US" w:eastAsia="zh-CN" w:bidi="ar"/>
                    </w:rPr>
                    <w:t>2次/天</w:t>
                  </w:r>
                </w:p>
              </w:tc>
              <w:tc>
                <w:tcPr>
                  <w:tcW w:w="1826" w:type="dxa"/>
                  <w:noWrap w:val="0"/>
                  <w:vAlign w:val="center"/>
                </w:tcPr>
                <w:p w14:paraId="0CCFAED3">
                  <w:pPr>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leftChars="0" w:right="0" w:rightChars="0"/>
                    <w:jc w:val="center"/>
                    <w:rPr>
                      <w:rFonts w:hint="eastAsia" w:ascii="Times New Roman" w:hAnsi="Times New Roman" w:eastAsia="宋体" w:cs="Times New Roman"/>
                      <w:b w:val="0"/>
                      <w:bCs w:val="0"/>
                      <w:color w:val="000000"/>
                      <w:kern w:val="2"/>
                      <w:sz w:val="21"/>
                      <w:szCs w:val="21"/>
                      <w:highlight w:val="none"/>
                      <w:lang w:val="en-US" w:eastAsia="zh-CN" w:bidi="ar"/>
                    </w:rPr>
                  </w:pPr>
                  <w:r>
                    <w:rPr>
                      <w:rFonts w:hint="eastAsia" w:ascii="Times New Roman" w:hAnsi="Times New Roman" w:eastAsia="宋体" w:cs="Times New Roman"/>
                      <w:b w:val="0"/>
                      <w:bCs w:val="0"/>
                      <w:color w:val="000000"/>
                      <w:kern w:val="2"/>
                      <w:sz w:val="21"/>
                      <w:szCs w:val="21"/>
                      <w:highlight w:val="none"/>
                      <w:lang w:val="en-US" w:eastAsia="zh-CN" w:bidi="ar"/>
                    </w:rPr>
                    <w:t>《施工场地扬尘排放标准》(DB13/2934-2019)中表1扬尘排放浓度限值</w:t>
                  </w:r>
                </w:p>
              </w:tc>
            </w:tr>
            <w:tr w14:paraId="43EBEC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84" w:type="dxa"/>
                  <w:gridSpan w:val="5"/>
                  <w:noWrap w:val="0"/>
                  <w:vAlign w:val="center"/>
                </w:tcPr>
                <w:p w14:paraId="23844DA4">
                  <w:pPr>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leftChars="0" w:right="0" w:rightChars="0"/>
                    <w:jc w:val="left"/>
                    <w:rPr>
                      <w:rFonts w:hint="eastAsia" w:ascii="Times New Roman" w:hAnsi="Times New Roman" w:eastAsia="宋体" w:cs="Times New Roman"/>
                      <w:b w:val="0"/>
                      <w:bCs w:val="0"/>
                      <w:color w:val="000000"/>
                      <w:kern w:val="2"/>
                      <w:sz w:val="21"/>
                      <w:szCs w:val="21"/>
                      <w:highlight w:val="none"/>
                      <w:lang w:val="en-US" w:eastAsia="zh-CN" w:bidi="ar"/>
                    </w:rPr>
                  </w:pPr>
                  <w:r>
                    <w:rPr>
                      <w:rFonts w:hint="eastAsia" w:ascii="Times New Roman" w:hAnsi="Times New Roman" w:eastAsia="宋体" w:cs="Times New Roman"/>
                      <w:b w:val="0"/>
                      <w:bCs w:val="0"/>
                      <w:color w:val="000000"/>
                      <w:kern w:val="2"/>
                      <w:sz w:val="21"/>
                      <w:szCs w:val="21"/>
                      <w:highlight w:val="none"/>
                      <w:lang w:val="en-US" w:eastAsia="zh-CN" w:bidi="ar"/>
                    </w:rPr>
                    <w:t>*指监测点PM</w:t>
                  </w:r>
                  <w:r>
                    <w:rPr>
                      <w:rFonts w:hint="eastAsia" w:ascii="Times New Roman" w:hAnsi="Times New Roman" w:eastAsia="宋体" w:cs="Times New Roman"/>
                      <w:b w:val="0"/>
                      <w:bCs w:val="0"/>
                      <w:color w:val="000000"/>
                      <w:kern w:val="2"/>
                      <w:sz w:val="21"/>
                      <w:szCs w:val="21"/>
                      <w:highlight w:val="none"/>
                      <w:vertAlign w:val="subscript"/>
                      <w:lang w:val="en-US" w:eastAsia="zh-CN" w:bidi="ar"/>
                    </w:rPr>
                    <w:t>10</w:t>
                  </w:r>
                  <w:r>
                    <w:rPr>
                      <w:rFonts w:hint="eastAsia" w:ascii="Times New Roman" w:hAnsi="Times New Roman" w:eastAsia="宋体" w:cs="Times New Roman"/>
                      <w:b w:val="0"/>
                      <w:bCs w:val="0"/>
                      <w:color w:val="000000"/>
                      <w:kern w:val="2"/>
                      <w:sz w:val="21"/>
                      <w:szCs w:val="21"/>
                      <w:highlight w:val="none"/>
                      <w:lang w:val="en-US" w:eastAsia="zh-CN" w:bidi="ar"/>
                    </w:rPr>
                    <w:t>小时平均浓度实测值与同时段所属县(市、区)PM</w:t>
                  </w:r>
                  <w:r>
                    <w:rPr>
                      <w:rFonts w:hint="eastAsia" w:ascii="Times New Roman" w:hAnsi="Times New Roman" w:eastAsia="宋体" w:cs="Times New Roman"/>
                      <w:b w:val="0"/>
                      <w:bCs w:val="0"/>
                      <w:color w:val="000000"/>
                      <w:kern w:val="2"/>
                      <w:sz w:val="21"/>
                      <w:szCs w:val="21"/>
                      <w:highlight w:val="none"/>
                      <w:vertAlign w:val="subscript"/>
                      <w:lang w:val="en-US" w:eastAsia="zh-CN" w:bidi="ar"/>
                    </w:rPr>
                    <w:t>10</w:t>
                  </w:r>
                  <w:r>
                    <w:rPr>
                      <w:rFonts w:hint="eastAsia" w:ascii="Times New Roman" w:hAnsi="Times New Roman" w:eastAsia="宋体" w:cs="Times New Roman"/>
                      <w:b w:val="0"/>
                      <w:bCs w:val="0"/>
                      <w:color w:val="000000"/>
                      <w:kern w:val="2"/>
                      <w:sz w:val="21"/>
                      <w:szCs w:val="21"/>
                      <w:highlight w:val="none"/>
                      <w:lang w:val="en-US" w:eastAsia="zh-CN" w:bidi="ar"/>
                    </w:rPr>
                    <w:t>小时平均浓度的差值。</w:t>
                  </w:r>
                </w:p>
                <w:p w14:paraId="40F2F0D5">
                  <w:pPr>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leftChars="0" w:right="0" w:rightChars="0"/>
                    <w:jc w:val="left"/>
                    <w:rPr>
                      <w:rFonts w:hint="eastAsia" w:ascii="Times New Roman" w:hAnsi="Times New Roman" w:eastAsia="宋体" w:cs="Times New Roman"/>
                      <w:b w:val="0"/>
                      <w:bCs w:val="0"/>
                      <w:color w:val="000000"/>
                      <w:kern w:val="2"/>
                      <w:sz w:val="21"/>
                      <w:szCs w:val="21"/>
                      <w:highlight w:val="none"/>
                      <w:lang w:val="en-US" w:eastAsia="zh-CN" w:bidi="ar"/>
                    </w:rPr>
                  </w:pPr>
                  <w:r>
                    <w:rPr>
                      <w:rFonts w:hint="eastAsia" w:ascii="Times New Roman" w:hAnsi="Times New Roman" w:eastAsia="宋体" w:cs="Times New Roman"/>
                      <w:b w:val="0"/>
                      <w:bCs w:val="0"/>
                      <w:color w:val="000000"/>
                      <w:kern w:val="2"/>
                      <w:sz w:val="21"/>
                      <w:szCs w:val="21"/>
                      <w:highlight w:val="none"/>
                      <w:lang w:val="en-US" w:eastAsia="zh-CN" w:bidi="ar"/>
                    </w:rPr>
                    <w:t>当县(市、区)PM</w:t>
                  </w:r>
                  <w:r>
                    <w:rPr>
                      <w:rFonts w:hint="eastAsia" w:ascii="Times New Roman" w:hAnsi="Times New Roman" w:eastAsia="宋体" w:cs="Times New Roman"/>
                      <w:b w:val="0"/>
                      <w:bCs w:val="0"/>
                      <w:color w:val="000000"/>
                      <w:kern w:val="2"/>
                      <w:sz w:val="21"/>
                      <w:szCs w:val="21"/>
                      <w:highlight w:val="none"/>
                      <w:vertAlign w:val="subscript"/>
                      <w:lang w:val="en-US" w:eastAsia="zh-CN" w:bidi="ar"/>
                    </w:rPr>
                    <w:t>10</w:t>
                  </w:r>
                  <w:r>
                    <w:rPr>
                      <w:rFonts w:hint="eastAsia" w:ascii="Times New Roman" w:hAnsi="Times New Roman" w:eastAsia="宋体" w:cs="Times New Roman"/>
                      <w:b w:val="0"/>
                      <w:bCs w:val="0"/>
                      <w:color w:val="000000"/>
                      <w:kern w:val="2"/>
                      <w:sz w:val="21"/>
                      <w:szCs w:val="21"/>
                      <w:highlight w:val="none"/>
                      <w:lang w:val="en-US" w:eastAsia="zh-CN" w:bidi="ar"/>
                    </w:rPr>
                    <w:t>小时平均浓度值大于150μg/m</w:t>
                  </w:r>
                  <w:r>
                    <w:rPr>
                      <w:rFonts w:hint="eastAsia" w:ascii="Times New Roman" w:hAnsi="Times New Roman" w:eastAsia="宋体" w:cs="Times New Roman"/>
                      <w:b w:val="0"/>
                      <w:bCs w:val="0"/>
                      <w:color w:val="000000"/>
                      <w:kern w:val="2"/>
                      <w:sz w:val="21"/>
                      <w:szCs w:val="21"/>
                      <w:highlight w:val="none"/>
                      <w:vertAlign w:val="superscript"/>
                      <w:lang w:val="en-US" w:eastAsia="zh-CN" w:bidi="ar"/>
                    </w:rPr>
                    <w:t>3</w:t>
                  </w:r>
                  <w:r>
                    <w:rPr>
                      <w:rFonts w:hint="eastAsia" w:ascii="Times New Roman" w:hAnsi="Times New Roman" w:eastAsia="宋体" w:cs="Times New Roman"/>
                      <w:b w:val="0"/>
                      <w:bCs w:val="0"/>
                      <w:color w:val="000000"/>
                      <w:kern w:val="2"/>
                      <w:sz w:val="21"/>
                      <w:szCs w:val="21"/>
                      <w:highlight w:val="none"/>
                      <w:lang w:val="en-US" w:eastAsia="zh-CN" w:bidi="ar"/>
                    </w:rPr>
                    <w:t>时，以150μg/m</w:t>
                  </w:r>
                  <w:r>
                    <w:rPr>
                      <w:rFonts w:hint="eastAsia" w:ascii="Times New Roman" w:hAnsi="Times New Roman" w:eastAsia="宋体" w:cs="Times New Roman"/>
                      <w:b w:val="0"/>
                      <w:bCs w:val="0"/>
                      <w:color w:val="000000"/>
                      <w:kern w:val="2"/>
                      <w:sz w:val="21"/>
                      <w:szCs w:val="21"/>
                      <w:highlight w:val="none"/>
                      <w:vertAlign w:val="superscript"/>
                      <w:lang w:val="en-US" w:eastAsia="zh-CN" w:bidi="ar"/>
                    </w:rPr>
                    <w:t>3</w:t>
                  </w:r>
                  <w:r>
                    <w:rPr>
                      <w:rFonts w:hint="eastAsia" w:ascii="Times New Roman" w:hAnsi="Times New Roman" w:eastAsia="宋体" w:cs="Times New Roman"/>
                      <w:b w:val="0"/>
                      <w:bCs w:val="0"/>
                      <w:color w:val="000000"/>
                      <w:kern w:val="2"/>
                      <w:sz w:val="21"/>
                      <w:szCs w:val="21"/>
                      <w:highlight w:val="none"/>
                      <w:lang w:val="en-US" w:eastAsia="zh-CN" w:bidi="ar"/>
                    </w:rPr>
                    <w:t>计。</w:t>
                  </w:r>
                </w:p>
              </w:tc>
            </w:tr>
          </w:tbl>
          <w:p w14:paraId="2621E088">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b w:val="0"/>
                <w:bCs/>
                <w:color w:val="auto"/>
                <w:sz w:val="24"/>
                <w:highlight w:val="none"/>
                <w:lang w:val="en-US" w:eastAsia="zh-CN"/>
              </w:rPr>
            </w:pPr>
            <w:r>
              <w:rPr>
                <w:rFonts w:hint="eastAsia"/>
                <w:b w:val="0"/>
                <w:bCs/>
                <w:color w:val="auto"/>
                <w:sz w:val="24"/>
                <w:highlight w:val="none"/>
                <w:lang w:val="en-US" w:eastAsia="zh-CN"/>
              </w:rPr>
              <w:t>（2）噪声</w:t>
            </w:r>
          </w:p>
          <w:p w14:paraId="677525A2">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Times New Roman" w:hAnsi="Times New Roman" w:eastAsia="宋体" w:cs="Times New Roman"/>
                <w:color w:val="auto"/>
                <w:kern w:val="2"/>
                <w:sz w:val="24"/>
                <w:szCs w:val="24"/>
                <w:highlight w:val="none"/>
                <w:lang w:val="en-US" w:eastAsia="zh-CN" w:bidi="ar-SA"/>
              </w:rPr>
            </w:pPr>
            <w:r>
              <w:rPr>
                <w:rFonts w:hint="eastAsia" w:ascii="Times New Roman" w:hAnsi="Times New Roman" w:eastAsia="宋体" w:cs="Times New Roman"/>
                <w:b w:val="0"/>
                <w:bCs/>
                <w:color w:val="auto"/>
                <w:kern w:val="2"/>
                <w:sz w:val="24"/>
                <w:szCs w:val="24"/>
                <w:highlight w:val="none"/>
                <w:lang w:val="en-US" w:eastAsia="zh-CN" w:bidi="ar-SA"/>
              </w:rPr>
              <w:t>施工期噪</w:t>
            </w:r>
            <w:r>
              <w:rPr>
                <w:rFonts w:hint="eastAsia" w:ascii="Times New Roman" w:hAnsi="Times New Roman" w:eastAsia="宋体" w:cs="Times New Roman"/>
                <w:color w:val="auto"/>
                <w:kern w:val="2"/>
                <w:sz w:val="24"/>
                <w:szCs w:val="24"/>
                <w:highlight w:val="none"/>
                <w:lang w:val="en-US" w:eastAsia="zh-CN" w:bidi="ar-SA"/>
              </w:rPr>
              <w:t>声执行《建筑施工场界环境噪声排放标准》(GB12523-2011)中噪声标准限值。</w:t>
            </w:r>
          </w:p>
          <w:p w14:paraId="6C384CAD">
            <w:pPr>
              <w:keepNext w:val="0"/>
              <w:keepLines w:val="0"/>
              <w:pageBreakBefore w:val="0"/>
              <w:widowControl w:val="0"/>
              <w:kinsoku/>
              <w:wordWrap/>
              <w:overflowPunct/>
              <w:topLinePunct w:val="0"/>
              <w:autoSpaceDE/>
              <w:autoSpaceDN/>
              <w:bidi w:val="0"/>
              <w:adjustRightInd/>
              <w:snapToGrid/>
              <w:spacing w:line="460" w:lineRule="exact"/>
              <w:ind w:firstLine="482" w:firstLineChars="200"/>
              <w:jc w:val="center"/>
              <w:textAlignment w:val="auto"/>
              <w:rPr>
                <w:rFonts w:hint="eastAsia" w:ascii="Times New Roman" w:hAnsi="Times New Roman" w:eastAsia="宋体" w:cs="Times New Roman"/>
                <w:b/>
                <w:color w:val="auto"/>
                <w:sz w:val="24"/>
                <w:szCs w:val="24"/>
                <w:highlight w:val="none"/>
                <w:lang w:val="en-US" w:eastAsia="zh-CN"/>
              </w:rPr>
            </w:pPr>
            <w:r>
              <w:rPr>
                <w:rFonts w:hint="eastAsia" w:ascii="Times New Roman" w:hAnsi="Times New Roman" w:eastAsia="宋体" w:cs="Times New Roman"/>
                <w:b/>
                <w:color w:val="auto"/>
                <w:sz w:val="24"/>
                <w:szCs w:val="24"/>
                <w:highlight w:val="none"/>
                <w:lang w:val="en-US" w:eastAsia="zh-CN"/>
              </w:rPr>
              <w:t>表3-</w:t>
            </w:r>
            <w:r>
              <w:rPr>
                <w:rFonts w:hint="eastAsia" w:cs="Times New Roman"/>
                <w:b/>
                <w:color w:val="auto"/>
                <w:sz w:val="24"/>
                <w:szCs w:val="24"/>
                <w:highlight w:val="none"/>
                <w:lang w:val="en-US" w:eastAsia="zh-CN"/>
              </w:rPr>
              <w:t>5</w:t>
            </w:r>
            <w:r>
              <w:rPr>
                <w:rFonts w:hint="eastAsia" w:ascii="Times New Roman" w:hAnsi="Times New Roman" w:eastAsia="宋体" w:cs="Times New Roman"/>
                <w:b/>
                <w:color w:val="auto"/>
                <w:sz w:val="24"/>
                <w:szCs w:val="24"/>
                <w:highlight w:val="none"/>
                <w:lang w:val="en-US" w:eastAsia="zh-CN"/>
              </w:rPr>
              <w:t xml:space="preserve"> 施工期噪声排放标准 单位：dB(A)</w:t>
            </w:r>
          </w:p>
          <w:tbl>
            <w:tblPr>
              <w:tblStyle w:val="2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64"/>
              <w:gridCol w:w="2665"/>
              <w:gridCol w:w="2665"/>
            </w:tblGrid>
            <w:tr w14:paraId="6E1BE6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64" w:type="dxa"/>
                  <w:noWrap w:val="0"/>
                  <w:vAlign w:val="center"/>
                </w:tcPr>
                <w:p w14:paraId="0BD65345">
                  <w:pPr>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leftChars="0" w:right="0" w:rightChars="0"/>
                    <w:jc w:val="center"/>
                    <w:rPr>
                      <w:rFonts w:hint="eastAsia" w:ascii="Times New Roman" w:hAnsi="Times New Roman" w:eastAsia="宋体" w:cs="Times New Roman"/>
                      <w:b w:val="0"/>
                      <w:bCs w:val="0"/>
                      <w:color w:val="000000"/>
                      <w:kern w:val="2"/>
                      <w:sz w:val="21"/>
                      <w:szCs w:val="21"/>
                      <w:highlight w:val="none"/>
                      <w:lang w:val="en-US" w:eastAsia="zh-CN" w:bidi="ar"/>
                    </w:rPr>
                  </w:pPr>
                  <w:r>
                    <w:rPr>
                      <w:rFonts w:hint="eastAsia" w:ascii="Times New Roman" w:hAnsi="Times New Roman" w:eastAsia="宋体" w:cs="Times New Roman"/>
                      <w:b w:val="0"/>
                      <w:bCs w:val="0"/>
                      <w:color w:val="000000"/>
                      <w:kern w:val="2"/>
                      <w:sz w:val="21"/>
                      <w:szCs w:val="21"/>
                      <w:highlight w:val="none"/>
                      <w:lang w:val="en-US" w:eastAsia="zh-CN" w:bidi="ar"/>
                    </w:rPr>
                    <w:t>期间</w:t>
                  </w:r>
                </w:p>
              </w:tc>
              <w:tc>
                <w:tcPr>
                  <w:tcW w:w="2665" w:type="dxa"/>
                  <w:noWrap w:val="0"/>
                  <w:vAlign w:val="center"/>
                </w:tcPr>
                <w:p w14:paraId="2692A681">
                  <w:pPr>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leftChars="0" w:right="0" w:rightChars="0"/>
                    <w:jc w:val="center"/>
                    <w:rPr>
                      <w:rFonts w:hint="eastAsia" w:ascii="Times New Roman" w:hAnsi="Times New Roman" w:eastAsia="宋体" w:cs="Times New Roman"/>
                      <w:b w:val="0"/>
                      <w:bCs w:val="0"/>
                      <w:color w:val="000000"/>
                      <w:kern w:val="2"/>
                      <w:sz w:val="21"/>
                      <w:szCs w:val="21"/>
                      <w:highlight w:val="none"/>
                      <w:lang w:val="en-US" w:eastAsia="zh-CN" w:bidi="ar"/>
                    </w:rPr>
                  </w:pPr>
                  <w:r>
                    <w:rPr>
                      <w:rFonts w:hint="eastAsia" w:ascii="Times New Roman" w:hAnsi="Times New Roman" w:eastAsia="宋体" w:cs="Times New Roman"/>
                      <w:b w:val="0"/>
                      <w:bCs w:val="0"/>
                      <w:color w:val="000000"/>
                      <w:kern w:val="2"/>
                      <w:sz w:val="21"/>
                      <w:szCs w:val="21"/>
                      <w:highlight w:val="none"/>
                      <w:lang w:val="en-US" w:eastAsia="zh-CN" w:bidi="ar"/>
                    </w:rPr>
                    <w:t>噪声限值</w:t>
                  </w:r>
                </w:p>
              </w:tc>
              <w:tc>
                <w:tcPr>
                  <w:tcW w:w="2665" w:type="dxa"/>
                  <w:noWrap w:val="0"/>
                  <w:vAlign w:val="center"/>
                </w:tcPr>
                <w:p w14:paraId="62AC2368">
                  <w:pPr>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leftChars="0" w:right="0" w:rightChars="0"/>
                    <w:jc w:val="center"/>
                    <w:rPr>
                      <w:rFonts w:hint="eastAsia" w:ascii="Times New Roman" w:hAnsi="Times New Roman" w:eastAsia="宋体" w:cs="Times New Roman"/>
                      <w:b w:val="0"/>
                      <w:bCs w:val="0"/>
                      <w:color w:val="000000"/>
                      <w:kern w:val="2"/>
                      <w:sz w:val="21"/>
                      <w:szCs w:val="21"/>
                      <w:highlight w:val="none"/>
                      <w:lang w:val="en-US" w:eastAsia="zh-CN" w:bidi="ar"/>
                    </w:rPr>
                  </w:pPr>
                  <w:r>
                    <w:rPr>
                      <w:rFonts w:hint="eastAsia" w:ascii="Times New Roman" w:hAnsi="Times New Roman" w:eastAsia="宋体" w:cs="Times New Roman"/>
                      <w:b w:val="0"/>
                      <w:bCs w:val="0"/>
                      <w:color w:val="000000"/>
                      <w:kern w:val="2"/>
                      <w:sz w:val="21"/>
                      <w:szCs w:val="21"/>
                      <w:highlight w:val="none"/>
                      <w:lang w:val="en-US" w:eastAsia="zh-CN" w:bidi="ar"/>
                    </w:rPr>
                    <w:t>执行标准</w:t>
                  </w:r>
                </w:p>
              </w:tc>
            </w:tr>
            <w:tr w14:paraId="31FB87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64" w:type="dxa"/>
                  <w:noWrap w:val="0"/>
                  <w:vAlign w:val="center"/>
                </w:tcPr>
                <w:p w14:paraId="49DB2E2F">
                  <w:pPr>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leftChars="0" w:right="0" w:rightChars="0"/>
                    <w:jc w:val="center"/>
                    <w:rPr>
                      <w:rFonts w:hint="eastAsia" w:ascii="Times New Roman" w:hAnsi="Times New Roman" w:eastAsia="宋体" w:cs="Times New Roman"/>
                      <w:b w:val="0"/>
                      <w:bCs w:val="0"/>
                      <w:color w:val="000000"/>
                      <w:kern w:val="2"/>
                      <w:sz w:val="21"/>
                      <w:szCs w:val="21"/>
                      <w:highlight w:val="none"/>
                      <w:lang w:val="en-US" w:eastAsia="zh-CN" w:bidi="ar"/>
                    </w:rPr>
                  </w:pPr>
                  <w:r>
                    <w:rPr>
                      <w:rFonts w:hint="eastAsia" w:ascii="Times New Roman" w:hAnsi="Times New Roman" w:eastAsia="宋体" w:cs="Times New Roman"/>
                      <w:b w:val="0"/>
                      <w:bCs w:val="0"/>
                      <w:color w:val="000000"/>
                      <w:kern w:val="2"/>
                      <w:sz w:val="21"/>
                      <w:szCs w:val="21"/>
                      <w:highlight w:val="none"/>
                      <w:lang w:val="en-US" w:eastAsia="zh-CN" w:bidi="ar"/>
                    </w:rPr>
                    <w:t>施工期</w:t>
                  </w:r>
                </w:p>
              </w:tc>
              <w:tc>
                <w:tcPr>
                  <w:tcW w:w="2665" w:type="dxa"/>
                  <w:noWrap w:val="0"/>
                  <w:vAlign w:val="center"/>
                </w:tcPr>
                <w:p w14:paraId="49F11841">
                  <w:pPr>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leftChars="0" w:right="0" w:rightChars="0"/>
                    <w:jc w:val="center"/>
                    <w:rPr>
                      <w:rFonts w:hint="eastAsia" w:ascii="Times New Roman" w:hAnsi="Times New Roman" w:eastAsia="宋体" w:cs="Times New Roman"/>
                      <w:b w:val="0"/>
                      <w:bCs w:val="0"/>
                      <w:color w:val="000000"/>
                      <w:kern w:val="2"/>
                      <w:sz w:val="21"/>
                      <w:szCs w:val="21"/>
                      <w:highlight w:val="none"/>
                      <w:lang w:val="en-US" w:eastAsia="zh-CN" w:bidi="ar"/>
                    </w:rPr>
                  </w:pPr>
                  <w:r>
                    <w:rPr>
                      <w:rFonts w:hint="eastAsia" w:ascii="Times New Roman" w:hAnsi="Times New Roman" w:eastAsia="宋体" w:cs="Times New Roman"/>
                      <w:b w:val="0"/>
                      <w:bCs w:val="0"/>
                      <w:color w:val="000000"/>
                      <w:kern w:val="2"/>
                      <w:sz w:val="21"/>
                      <w:szCs w:val="21"/>
                      <w:highlight w:val="none"/>
                      <w:lang w:val="en-US" w:eastAsia="zh-CN" w:bidi="ar"/>
                    </w:rPr>
                    <w:t>昼间：70，夜间：55</w:t>
                  </w:r>
                </w:p>
              </w:tc>
              <w:tc>
                <w:tcPr>
                  <w:tcW w:w="2665" w:type="dxa"/>
                  <w:noWrap w:val="0"/>
                  <w:vAlign w:val="center"/>
                </w:tcPr>
                <w:p w14:paraId="0270901B">
                  <w:pPr>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leftChars="0" w:right="0" w:rightChars="0"/>
                    <w:jc w:val="center"/>
                    <w:rPr>
                      <w:rFonts w:hint="eastAsia" w:ascii="Times New Roman" w:hAnsi="Times New Roman" w:eastAsia="宋体" w:cs="Times New Roman"/>
                      <w:b w:val="0"/>
                      <w:bCs w:val="0"/>
                      <w:color w:val="000000"/>
                      <w:kern w:val="2"/>
                      <w:sz w:val="21"/>
                      <w:szCs w:val="21"/>
                      <w:highlight w:val="none"/>
                      <w:lang w:val="en-US" w:eastAsia="zh-CN" w:bidi="ar"/>
                    </w:rPr>
                  </w:pPr>
                  <w:r>
                    <w:rPr>
                      <w:rFonts w:hint="eastAsia" w:ascii="Times New Roman" w:hAnsi="Times New Roman" w:eastAsia="宋体" w:cs="Times New Roman"/>
                      <w:b w:val="0"/>
                      <w:bCs w:val="0"/>
                      <w:color w:val="000000"/>
                      <w:kern w:val="2"/>
                      <w:sz w:val="21"/>
                      <w:szCs w:val="21"/>
                      <w:highlight w:val="none"/>
                      <w:lang w:val="en-US" w:eastAsia="zh-CN" w:bidi="ar"/>
                    </w:rPr>
                    <w:t>《建筑施工场界环境噪声排放标准》(GB12523-2011)中噪声标准限值</w:t>
                  </w:r>
                </w:p>
              </w:tc>
            </w:tr>
          </w:tbl>
          <w:p w14:paraId="66CB65A4">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default"/>
                <w:b w:val="0"/>
                <w:bCs/>
                <w:color w:val="auto"/>
                <w:sz w:val="24"/>
                <w:highlight w:val="none"/>
                <w:lang w:val="en-US" w:eastAsia="zh-CN"/>
              </w:rPr>
            </w:pPr>
            <w:r>
              <w:rPr>
                <w:rFonts w:hint="eastAsia"/>
                <w:b w:val="0"/>
                <w:bCs/>
                <w:color w:val="auto"/>
                <w:sz w:val="24"/>
                <w:highlight w:val="none"/>
                <w:lang w:val="en-US" w:eastAsia="zh-CN"/>
              </w:rPr>
              <w:t>（3）</w:t>
            </w:r>
            <w:r>
              <w:rPr>
                <w:rFonts w:hint="default"/>
                <w:b w:val="0"/>
                <w:bCs/>
                <w:color w:val="auto"/>
                <w:sz w:val="24"/>
                <w:highlight w:val="none"/>
                <w:lang w:val="en-US" w:eastAsia="zh-CN"/>
              </w:rPr>
              <w:t>固体废物</w:t>
            </w:r>
          </w:p>
          <w:p w14:paraId="64FFAAB4">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b w:val="0"/>
                <w:bCs/>
                <w:color w:val="auto"/>
                <w:sz w:val="24"/>
                <w:highlight w:val="none"/>
                <w:lang w:val="en-US" w:eastAsia="zh-CN"/>
              </w:rPr>
            </w:pPr>
            <w:r>
              <w:rPr>
                <w:rFonts w:hint="default"/>
                <w:b w:val="0"/>
                <w:bCs/>
                <w:color w:val="auto"/>
                <w:sz w:val="24"/>
                <w:highlight w:val="none"/>
                <w:lang w:val="en-US" w:eastAsia="zh-CN"/>
              </w:rPr>
              <w:t>施工期固体废物参照执行《中华人民共和国固体废物污染环境防治法》、</w:t>
            </w:r>
            <w:r>
              <w:rPr>
                <w:rFonts w:hint="eastAsia"/>
                <w:b w:val="0"/>
                <w:bCs/>
                <w:color w:val="auto"/>
                <w:sz w:val="24"/>
                <w:highlight w:val="none"/>
                <w:lang w:val="en-US" w:eastAsia="zh-CN"/>
              </w:rPr>
              <w:t>《</w:t>
            </w:r>
            <w:r>
              <w:rPr>
                <w:rFonts w:hint="default"/>
                <w:b w:val="0"/>
                <w:bCs/>
                <w:color w:val="auto"/>
                <w:sz w:val="24"/>
                <w:highlight w:val="none"/>
                <w:lang w:val="en-US" w:eastAsia="zh-CN"/>
              </w:rPr>
              <w:t>排污许可证申请</w:t>
            </w:r>
            <w:r>
              <w:rPr>
                <w:rFonts w:hint="eastAsia"/>
                <w:b w:val="0"/>
                <w:bCs/>
                <w:color w:val="auto"/>
                <w:sz w:val="24"/>
                <w:highlight w:val="none"/>
                <w:lang w:val="en-US" w:eastAsia="zh-CN"/>
              </w:rPr>
              <w:t>与核发技术规范 工业固体废物（试行）》（HJ1200-2021）、</w:t>
            </w:r>
            <w:r>
              <w:rPr>
                <w:rFonts w:hint="default"/>
                <w:b w:val="0"/>
                <w:bCs/>
                <w:color w:val="auto"/>
                <w:sz w:val="24"/>
                <w:highlight w:val="none"/>
                <w:lang w:val="en-US" w:eastAsia="zh-CN"/>
              </w:rPr>
              <w:t>《一般工业固体废物贮存和填埋污染控制标准》(GB18599-2020)相关要求。</w:t>
            </w:r>
          </w:p>
          <w:p w14:paraId="2E3D6734">
            <w:pPr>
              <w:keepNext w:val="0"/>
              <w:keepLines w:val="0"/>
              <w:pageBreakBefore w:val="0"/>
              <w:widowControl w:val="0"/>
              <w:kinsoku/>
              <w:wordWrap/>
              <w:overflowPunct/>
              <w:topLinePunct w:val="0"/>
              <w:autoSpaceDE/>
              <w:autoSpaceDN/>
              <w:bidi w:val="0"/>
              <w:adjustRightInd/>
              <w:snapToGrid/>
              <w:spacing w:line="500" w:lineRule="exact"/>
              <w:textAlignment w:val="auto"/>
              <w:rPr>
                <w:rFonts w:hint="default"/>
                <w:b/>
                <w:color w:val="auto"/>
                <w:sz w:val="24"/>
                <w:highlight w:val="none"/>
                <w:lang w:val="en-US" w:eastAsia="zh-CN"/>
              </w:rPr>
            </w:pPr>
            <w:r>
              <w:rPr>
                <w:rFonts w:hint="eastAsia"/>
                <w:b/>
                <w:color w:val="auto"/>
                <w:sz w:val="24"/>
                <w:highlight w:val="none"/>
                <w:lang w:val="en-US" w:eastAsia="zh-CN"/>
              </w:rPr>
              <w:t>2、运营期</w:t>
            </w:r>
          </w:p>
          <w:p w14:paraId="467503D4">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Times New Roman" w:hAnsi="Times New Roman" w:eastAsia="宋体" w:cs="Times New Roman"/>
                <w:color w:val="auto"/>
                <w:kern w:val="2"/>
                <w:sz w:val="24"/>
                <w:szCs w:val="24"/>
                <w:highlight w:val="none"/>
                <w:lang w:val="en-US" w:eastAsia="zh-CN" w:bidi="ar-SA"/>
              </w:rPr>
            </w:pPr>
            <w:r>
              <w:rPr>
                <w:rFonts w:hint="eastAsia" w:ascii="Times New Roman" w:hAnsi="Times New Roman" w:eastAsia="宋体" w:cs="Times New Roman"/>
                <w:color w:val="auto"/>
                <w:kern w:val="2"/>
                <w:sz w:val="24"/>
                <w:szCs w:val="24"/>
                <w:highlight w:val="none"/>
                <w:lang w:val="en-US" w:eastAsia="zh-CN" w:bidi="ar-SA"/>
              </w:rPr>
              <w:t>（1）废气排放标准</w:t>
            </w:r>
          </w:p>
          <w:p w14:paraId="159ACB4B">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hAnsi="宋体"/>
                <w:color w:val="auto"/>
                <w:kern w:val="0"/>
                <w:sz w:val="24"/>
                <w:highlight w:val="none"/>
              </w:rPr>
            </w:pPr>
            <w:r>
              <w:rPr>
                <w:rFonts w:hint="eastAsia" w:cs="Times New Roman"/>
                <w:color w:val="auto"/>
                <w:kern w:val="2"/>
                <w:sz w:val="24"/>
                <w:szCs w:val="24"/>
                <w:highlight w:val="none"/>
                <w:lang w:val="en-US" w:eastAsia="zh-CN" w:bidi="ar-SA"/>
              </w:rPr>
              <w:t>项目运营期有组织颗粒物排放参照执行《炼焦化学工业大气污染物超低排放标准》(DB13/2863-2018)表1大气污染物排放限值；无</w:t>
            </w:r>
            <w:r>
              <w:rPr>
                <w:rFonts w:hint="eastAsia" w:ascii="Times New Roman" w:hAnsi="Times New Roman" w:eastAsia="宋体" w:cs="Times New Roman"/>
                <w:color w:val="auto"/>
                <w:kern w:val="2"/>
                <w:sz w:val="24"/>
                <w:szCs w:val="24"/>
                <w:highlight w:val="none"/>
                <w:lang w:val="en-US" w:eastAsia="zh-CN" w:bidi="ar-SA"/>
              </w:rPr>
              <w:t>组织废气执行</w:t>
            </w:r>
            <w:r>
              <w:rPr>
                <w:rFonts w:hint="eastAsia" w:cs="Times New Roman"/>
                <w:color w:val="auto"/>
                <w:kern w:val="2"/>
                <w:sz w:val="24"/>
                <w:szCs w:val="24"/>
                <w:highlight w:val="none"/>
                <w:lang w:val="en-US" w:eastAsia="zh-CN" w:bidi="ar-SA"/>
              </w:rPr>
              <w:t>《炼焦化学工业大气污染物超低排放标准》(DB13/2863-2018)</w:t>
            </w:r>
            <w:r>
              <w:rPr>
                <w:rFonts w:hint="eastAsia" w:ascii="Times New Roman" w:hAnsi="Times New Roman" w:eastAsia="宋体" w:cs="Times New Roman"/>
                <w:color w:val="auto"/>
                <w:kern w:val="2"/>
                <w:sz w:val="24"/>
                <w:szCs w:val="24"/>
                <w:highlight w:val="none"/>
                <w:lang w:val="en-US" w:eastAsia="zh-CN" w:bidi="ar-SA"/>
              </w:rPr>
              <w:t>表</w:t>
            </w:r>
            <w:r>
              <w:rPr>
                <w:rFonts w:hint="eastAsia" w:cs="Times New Roman"/>
                <w:color w:val="auto"/>
                <w:kern w:val="2"/>
                <w:sz w:val="24"/>
                <w:szCs w:val="24"/>
                <w:highlight w:val="none"/>
                <w:lang w:val="en-US" w:eastAsia="zh-CN" w:bidi="ar-SA"/>
              </w:rPr>
              <w:t>2企业边界大气污染物排放限值；</w:t>
            </w:r>
            <w:r>
              <w:rPr>
                <w:rFonts w:hint="eastAsia"/>
                <w:kern w:val="24"/>
                <w:lang w:bidi="ar"/>
              </w:rPr>
              <w:t>油烟排放执行《餐饮业大气污染物排放标准》（DB13/5808</w:t>
            </w:r>
            <w:r>
              <w:rPr>
                <w:sz w:val="24"/>
              </w:rPr>
              <w:t>-</w:t>
            </w:r>
            <w:r>
              <w:rPr>
                <w:rFonts w:hint="eastAsia"/>
                <w:kern w:val="24"/>
                <w:lang w:bidi="ar"/>
              </w:rPr>
              <w:t>2023），同时满足《唐山市餐饮油烟污染治理专项方案》（唐气领办〔2021〕58号）要求</w:t>
            </w:r>
            <w:r>
              <w:rPr>
                <w:rFonts w:hint="eastAsia"/>
              </w:rPr>
              <w:t>。</w:t>
            </w:r>
            <w:r>
              <w:rPr>
                <w:rFonts w:hint="eastAsia" w:hAnsi="宋体"/>
                <w:color w:val="auto"/>
                <w:kern w:val="0"/>
                <w:sz w:val="24"/>
                <w:highlight w:val="none"/>
              </w:rPr>
              <w:t>标准限值见</w:t>
            </w:r>
            <w:r>
              <w:rPr>
                <w:rFonts w:hint="eastAsia" w:hAnsi="宋体"/>
                <w:color w:val="auto"/>
                <w:kern w:val="0"/>
                <w:sz w:val="24"/>
                <w:highlight w:val="none"/>
                <w:lang w:val="en-US" w:eastAsia="zh-CN"/>
              </w:rPr>
              <w:t>下</w:t>
            </w:r>
            <w:r>
              <w:rPr>
                <w:rFonts w:hint="eastAsia" w:hAnsi="宋体"/>
                <w:color w:val="auto"/>
                <w:kern w:val="0"/>
                <w:sz w:val="24"/>
                <w:highlight w:val="none"/>
              </w:rPr>
              <w:t>表。</w:t>
            </w:r>
          </w:p>
          <w:p w14:paraId="4FE5D9D3">
            <w:pPr>
              <w:keepNext w:val="0"/>
              <w:keepLines w:val="0"/>
              <w:pageBreakBefore w:val="0"/>
              <w:widowControl w:val="0"/>
              <w:kinsoku/>
              <w:wordWrap/>
              <w:overflowPunct/>
              <w:topLinePunct w:val="0"/>
              <w:autoSpaceDE/>
              <w:autoSpaceDN/>
              <w:bidi w:val="0"/>
              <w:adjustRightInd/>
              <w:snapToGrid/>
              <w:spacing w:line="480" w:lineRule="exact"/>
              <w:ind w:left="0" w:leftChars="0" w:right="0" w:rightChars="0" w:firstLine="0" w:firstLineChars="0"/>
              <w:jc w:val="center"/>
              <w:textAlignment w:val="auto"/>
              <w:outlineLvl w:val="9"/>
              <w:rPr>
                <w:rFonts w:hint="default"/>
                <w:color w:val="auto"/>
                <w:sz w:val="24"/>
                <w:szCs w:val="24"/>
                <w:highlight w:val="none"/>
                <w:lang w:val="en-US"/>
              </w:rPr>
            </w:pPr>
            <w:r>
              <w:rPr>
                <w:b/>
                <w:color w:val="auto"/>
                <w:sz w:val="24"/>
                <w:szCs w:val="24"/>
                <w:highlight w:val="none"/>
              </w:rPr>
              <w:t>表</w:t>
            </w:r>
            <w:r>
              <w:rPr>
                <w:rFonts w:hint="eastAsia"/>
                <w:b/>
                <w:color w:val="auto"/>
                <w:sz w:val="24"/>
                <w:szCs w:val="24"/>
                <w:highlight w:val="none"/>
                <w:lang w:val="en-US" w:eastAsia="zh-CN"/>
              </w:rPr>
              <w:t>3-6 大气污染物排放标准限值</w:t>
            </w:r>
          </w:p>
          <w:tbl>
            <w:tblPr>
              <w:tblStyle w:val="25"/>
              <w:tblW w:w="4998"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230"/>
              <w:gridCol w:w="1153"/>
              <w:gridCol w:w="1297"/>
              <w:gridCol w:w="4271"/>
            </w:tblGrid>
            <w:tr w14:paraId="0FEC529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498" w:type="pct"/>
                  <w:gridSpan w:val="2"/>
                  <w:tcBorders>
                    <w:tl2br w:val="nil"/>
                    <w:tr2bl w:val="nil"/>
                  </w:tcBorders>
                  <w:noWrap w:val="0"/>
                  <w:vAlign w:val="center"/>
                </w:tcPr>
                <w:p w14:paraId="1C236FB6">
                  <w:pPr>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leftChars="0" w:right="0" w:rightChars="0"/>
                    <w:jc w:val="center"/>
                    <w:rPr>
                      <w:rFonts w:hint="default" w:ascii="Times New Roman" w:hAnsi="Times New Roman" w:eastAsia="宋体" w:cs="Times New Roman"/>
                      <w:b w:val="0"/>
                      <w:bCs/>
                      <w:color w:val="000000"/>
                      <w:kern w:val="2"/>
                      <w:sz w:val="21"/>
                      <w:szCs w:val="21"/>
                      <w:highlight w:val="none"/>
                      <w:lang w:val="en-US" w:eastAsia="zh-CN" w:bidi="ar-SA"/>
                    </w:rPr>
                  </w:pPr>
                  <w:r>
                    <w:rPr>
                      <w:rFonts w:hint="default" w:ascii="Times New Roman" w:hAnsi="Times New Roman" w:eastAsia="宋体" w:cs="Times New Roman"/>
                      <w:b w:val="0"/>
                      <w:bCs w:val="0"/>
                      <w:color w:val="000000"/>
                      <w:kern w:val="2"/>
                      <w:sz w:val="21"/>
                      <w:szCs w:val="21"/>
                      <w:highlight w:val="none"/>
                      <w:lang w:val="en-US" w:eastAsia="zh-CN" w:bidi="ar"/>
                    </w:rPr>
                    <w:t>控制项目</w:t>
                  </w:r>
                </w:p>
              </w:tc>
              <w:tc>
                <w:tcPr>
                  <w:tcW w:w="815" w:type="pct"/>
                  <w:tcBorders>
                    <w:tl2br w:val="nil"/>
                    <w:tr2bl w:val="nil"/>
                  </w:tcBorders>
                  <w:noWrap w:val="0"/>
                  <w:vAlign w:val="center"/>
                </w:tcPr>
                <w:p w14:paraId="0F7CCC23">
                  <w:pPr>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leftChars="0" w:right="0" w:rightChars="0"/>
                    <w:jc w:val="center"/>
                    <w:rPr>
                      <w:rFonts w:hint="eastAsia" w:ascii="Times New Roman" w:hAnsi="Times New Roman" w:eastAsia="宋体" w:cs="Times New Roman"/>
                      <w:b w:val="0"/>
                      <w:bCs/>
                      <w:color w:val="000000"/>
                      <w:kern w:val="2"/>
                      <w:sz w:val="21"/>
                      <w:szCs w:val="21"/>
                      <w:highlight w:val="none"/>
                      <w:lang w:val="en-US" w:eastAsia="zh-CN" w:bidi="ar-SA"/>
                    </w:rPr>
                  </w:pPr>
                  <w:r>
                    <w:rPr>
                      <w:rFonts w:hint="default" w:ascii="Times New Roman" w:hAnsi="Times New Roman" w:eastAsia="宋体" w:cs="Times New Roman"/>
                      <w:b w:val="0"/>
                      <w:bCs w:val="0"/>
                      <w:color w:val="000000"/>
                      <w:kern w:val="2"/>
                      <w:sz w:val="21"/>
                      <w:szCs w:val="21"/>
                      <w:highlight w:val="none"/>
                      <w:lang w:val="en-US" w:eastAsia="zh-CN" w:bidi="ar"/>
                    </w:rPr>
                    <w:t>标准值</w:t>
                  </w:r>
                </w:p>
              </w:tc>
              <w:tc>
                <w:tcPr>
                  <w:tcW w:w="2685" w:type="pct"/>
                  <w:tcBorders>
                    <w:tl2br w:val="nil"/>
                    <w:tr2bl w:val="nil"/>
                  </w:tcBorders>
                  <w:noWrap w:val="0"/>
                  <w:vAlign w:val="center"/>
                </w:tcPr>
                <w:p w14:paraId="77EEDD9D">
                  <w:pPr>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leftChars="0" w:right="0" w:rightChars="0"/>
                    <w:jc w:val="center"/>
                    <w:rPr>
                      <w:rFonts w:hint="eastAsia" w:ascii="Times New Roman" w:hAnsi="Times New Roman" w:eastAsia="宋体" w:cs="Times New Roman"/>
                      <w:b w:val="0"/>
                      <w:bCs/>
                      <w:color w:val="000000"/>
                      <w:kern w:val="2"/>
                      <w:sz w:val="21"/>
                      <w:szCs w:val="21"/>
                      <w:highlight w:val="none"/>
                      <w:lang w:val="en-US" w:eastAsia="zh-CN" w:bidi="ar-SA"/>
                    </w:rPr>
                  </w:pPr>
                  <w:r>
                    <w:rPr>
                      <w:rFonts w:hint="default" w:ascii="Times New Roman" w:hAnsi="Times New Roman" w:eastAsia="宋体" w:cs="Times New Roman"/>
                      <w:b w:val="0"/>
                      <w:bCs w:val="0"/>
                      <w:color w:val="000000"/>
                      <w:kern w:val="2"/>
                      <w:sz w:val="21"/>
                      <w:szCs w:val="21"/>
                      <w:highlight w:val="none"/>
                      <w:lang w:val="en-US" w:eastAsia="zh-CN" w:bidi="ar"/>
                    </w:rPr>
                    <w:t>标准名称</w:t>
                  </w:r>
                </w:p>
              </w:tc>
            </w:tr>
            <w:tr w14:paraId="7445D74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773" w:type="pct"/>
                  <w:vMerge w:val="restart"/>
                  <w:tcBorders>
                    <w:tl2br w:val="nil"/>
                    <w:tr2bl w:val="nil"/>
                  </w:tcBorders>
                  <w:noWrap w:val="0"/>
                  <w:vAlign w:val="center"/>
                </w:tcPr>
                <w:p w14:paraId="0B0BFD2D">
                  <w:pPr>
                    <w:keepNext w:val="0"/>
                    <w:keepLines w:val="0"/>
                    <w:pageBreakBefore w:val="0"/>
                    <w:widowControl w:val="0"/>
                    <w:kinsoku/>
                    <w:wordWrap/>
                    <w:overflowPunct/>
                    <w:topLinePunct w:val="0"/>
                    <w:autoSpaceDE/>
                    <w:autoSpaceDN/>
                    <w:bidi w:val="0"/>
                    <w:adjustRightInd/>
                    <w:snapToGrid/>
                    <w:spacing w:line="240" w:lineRule="auto"/>
                    <w:jc w:val="center"/>
                    <w:textAlignment w:val="baseline"/>
                    <w:rPr>
                      <w:rFonts w:hint="eastAsia" w:ascii="Times New Roman" w:hAnsi="Times New Roman" w:eastAsia="宋体" w:cs="Times New Roman"/>
                      <w:color w:val="000000"/>
                      <w:sz w:val="21"/>
                      <w:szCs w:val="21"/>
                      <w:highlight w:val="none"/>
                      <w:lang w:val="en-US" w:eastAsia="zh-CN"/>
                    </w:rPr>
                  </w:pPr>
                  <w:r>
                    <w:rPr>
                      <w:rFonts w:hint="eastAsia" w:cs="Times New Roman"/>
                      <w:color w:val="000000"/>
                      <w:sz w:val="21"/>
                      <w:szCs w:val="21"/>
                      <w:highlight w:val="none"/>
                      <w:lang w:val="en-US" w:eastAsia="zh-CN"/>
                    </w:rPr>
                    <w:t>有组织</w:t>
                  </w:r>
                </w:p>
              </w:tc>
              <w:tc>
                <w:tcPr>
                  <w:tcW w:w="725" w:type="pct"/>
                  <w:tcBorders>
                    <w:tl2br w:val="nil"/>
                    <w:tr2bl w:val="nil"/>
                  </w:tcBorders>
                  <w:noWrap w:val="0"/>
                  <w:vAlign w:val="center"/>
                </w:tcPr>
                <w:p w14:paraId="6101376C">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eastAsia" w:ascii="Times New Roman" w:hAnsi="Times New Roman" w:eastAsia="宋体" w:cs="Times New Roman"/>
                      <w:b w:val="0"/>
                      <w:bCs w:val="0"/>
                      <w:color w:val="000000"/>
                      <w:kern w:val="0"/>
                      <w:sz w:val="21"/>
                      <w:szCs w:val="21"/>
                      <w:highlight w:val="none"/>
                      <w:lang w:val="en-US" w:eastAsia="zh-CN" w:bidi="ar"/>
                    </w:rPr>
                  </w:pPr>
                  <w:r>
                    <w:rPr>
                      <w:rFonts w:hint="eastAsia" w:ascii="Times New Roman" w:hAnsi="Times New Roman" w:eastAsia="宋体" w:cs="Times New Roman"/>
                      <w:b w:val="0"/>
                      <w:bCs w:val="0"/>
                      <w:color w:val="000000"/>
                      <w:kern w:val="0"/>
                      <w:sz w:val="21"/>
                      <w:szCs w:val="21"/>
                      <w:highlight w:val="none"/>
                      <w:lang w:val="en-US" w:eastAsia="zh-CN" w:bidi="ar"/>
                    </w:rPr>
                    <w:t>颗粒物</w:t>
                  </w:r>
                </w:p>
              </w:tc>
              <w:tc>
                <w:tcPr>
                  <w:tcW w:w="815" w:type="pct"/>
                  <w:tcBorders>
                    <w:tl2br w:val="nil"/>
                    <w:tr2bl w:val="nil"/>
                  </w:tcBorders>
                  <w:noWrap w:val="0"/>
                  <w:vAlign w:val="center"/>
                </w:tcPr>
                <w:p w14:paraId="22DC7126">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eastAsia" w:ascii="Times New Roman" w:hAnsi="Times New Roman" w:eastAsia="宋体" w:cs="Times New Roman"/>
                      <w:b w:val="0"/>
                      <w:bCs w:val="0"/>
                      <w:color w:val="000000"/>
                      <w:kern w:val="0"/>
                      <w:sz w:val="21"/>
                      <w:szCs w:val="21"/>
                      <w:highlight w:val="none"/>
                      <w:lang w:val="en-US" w:eastAsia="zh-CN" w:bidi="ar"/>
                    </w:rPr>
                  </w:pPr>
                  <w:r>
                    <w:rPr>
                      <w:rFonts w:hint="default" w:ascii="Times New Roman" w:hAnsi="Times New Roman" w:eastAsia="宋体" w:cs="Times New Roman"/>
                      <w:b w:val="0"/>
                      <w:bCs w:val="0"/>
                      <w:color w:val="000000"/>
                      <w:kern w:val="0"/>
                      <w:sz w:val="21"/>
                      <w:szCs w:val="21"/>
                      <w:highlight w:val="none"/>
                      <w:lang w:val="en-US" w:eastAsia="zh-CN" w:bidi="ar"/>
                    </w:rPr>
                    <w:t>1</w:t>
                  </w:r>
                  <w:r>
                    <w:rPr>
                      <w:rFonts w:hint="eastAsia" w:ascii="Times New Roman" w:hAnsi="Times New Roman" w:eastAsia="宋体" w:cs="Times New Roman"/>
                      <w:b w:val="0"/>
                      <w:bCs w:val="0"/>
                      <w:color w:val="000000"/>
                      <w:kern w:val="0"/>
                      <w:sz w:val="21"/>
                      <w:szCs w:val="21"/>
                      <w:highlight w:val="none"/>
                      <w:lang w:val="en-US" w:eastAsia="zh-CN" w:bidi="ar"/>
                    </w:rPr>
                    <w:t>0</w:t>
                  </w:r>
                  <w:r>
                    <w:rPr>
                      <w:rFonts w:hint="default" w:ascii="Times New Roman" w:hAnsi="Times New Roman" w:eastAsia="宋体" w:cs="Times New Roman"/>
                      <w:b w:val="0"/>
                      <w:bCs w:val="0"/>
                      <w:color w:val="000000"/>
                      <w:kern w:val="0"/>
                      <w:sz w:val="21"/>
                      <w:szCs w:val="21"/>
                      <w:highlight w:val="none"/>
                      <w:lang w:val="en-US" w:eastAsia="zh-CN" w:bidi="ar"/>
                    </w:rPr>
                    <w:t>mg/m</w:t>
                  </w:r>
                  <w:r>
                    <w:rPr>
                      <w:rFonts w:hint="eastAsia"/>
                      <w:bCs/>
                      <w:color w:val="auto"/>
                      <w:sz w:val="21"/>
                      <w:szCs w:val="21"/>
                      <w:highlight w:val="none"/>
                      <w:vertAlign w:val="superscript"/>
                      <w:lang w:val="en-US" w:eastAsia="zh-CN"/>
                    </w:rPr>
                    <w:t>3</w:t>
                  </w:r>
                </w:p>
              </w:tc>
              <w:tc>
                <w:tcPr>
                  <w:tcW w:w="2685" w:type="pct"/>
                  <w:tcBorders>
                    <w:tl2br w:val="nil"/>
                    <w:tr2bl w:val="nil"/>
                  </w:tcBorders>
                  <w:noWrap w:val="0"/>
                  <w:vAlign w:val="center"/>
                </w:tcPr>
                <w:p w14:paraId="0585BC55">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Times New Roman" w:hAnsi="宋体" w:eastAsia="宋体" w:cs="Times New Roman"/>
                      <w:color w:val="auto"/>
                      <w:kern w:val="0"/>
                      <w:sz w:val="21"/>
                      <w:szCs w:val="21"/>
                      <w:highlight w:val="none"/>
                      <w:lang w:val="en-US" w:eastAsia="zh-CN"/>
                    </w:rPr>
                  </w:pPr>
                  <w:r>
                    <w:rPr>
                      <w:rFonts w:hint="eastAsia" w:ascii="Times New Roman" w:hAnsi="宋体" w:eastAsia="宋体" w:cs="Times New Roman"/>
                      <w:color w:val="auto"/>
                      <w:kern w:val="0"/>
                      <w:sz w:val="21"/>
                      <w:szCs w:val="21"/>
                      <w:highlight w:val="none"/>
                      <w:lang w:val="en-US" w:eastAsia="zh-CN"/>
                    </w:rPr>
                    <w:t>《炼焦化学工业大气污染物超低排放标准》(DB13/2863-2018)表1大气污染物排放限值</w:t>
                  </w:r>
                </w:p>
              </w:tc>
            </w:tr>
            <w:tr w14:paraId="61BEE4F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773" w:type="pct"/>
                  <w:vMerge w:val="continue"/>
                  <w:tcBorders>
                    <w:tl2br w:val="nil"/>
                    <w:tr2bl w:val="nil"/>
                  </w:tcBorders>
                  <w:noWrap w:val="0"/>
                  <w:vAlign w:val="center"/>
                </w:tcPr>
                <w:p w14:paraId="68A35E21">
                  <w:pPr>
                    <w:keepNext w:val="0"/>
                    <w:keepLines w:val="0"/>
                    <w:pageBreakBefore w:val="0"/>
                    <w:widowControl w:val="0"/>
                    <w:kinsoku/>
                    <w:wordWrap/>
                    <w:overflowPunct/>
                    <w:topLinePunct w:val="0"/>
                    <w:autoSpaceDE/>
                    <w:autoSpaceDN/>
                    <w:bidi w:val="0"/>
                    <w:adjustRightInd/>
                    <w:snapToGrid/>
                    <w:spacing w:line="240" w:lineRule="auto"/>
                    <w:jc w:val="center"/>
                    <w:textAlignment w:val="baseline"/>
                    <w:rPr>
                      <w:rFonts w:hint="eastAsia" w:cs="Times New Roman"/>
                      <w:color w:val="000000"/>
                      <w:sz w:val="21"/>
                      <w:szCs w:val="21"/>
                      <w:highlight w:val="none"/>
                      <w:lang w:val="en-US" w:eastAsia="zh-CN"/>
                    </w:rPr>
                  </w:pPr>
                </w:p>
              </w:tc>
              <w:tc>
                <w:tcPr>
                  <w:tcW w:w="725" w:type="pct"/>
                  <w:tcBorders>
                    <w:tl2br w:val="nil"/>
                    <w:tr2bl w:val="nil"/>
                  </w:tcBorders>
                  <w:noWrap w:val="0"/>
                  <w:vAlign w:val="center"/>
                </w:tcPr>
                <w:p w14:paraId="3EF09BE3">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eastAsia" w:ascii="Times New Roman" w:hAnsi="Times New Roman" w:eastAsia="宋体" w:cs="Times New Roman"/>
                      <w:b w:val="0"/>
                      <w:bCs w:val="0"/>
                      <w:color w:val="000000"/>
                      <w:kern w:val="0"/>
                      <w:sz w:val="21"/>
                      <w:szCs w:val="21"/>
                      <w:highlight w:val="none"/>
                      <w:lang w:val="en-US" w:eastAsia="zh-CN" w:bidi="ar"/>
                    </w:rPr>
                  </w:pPr>
                  <w:r>
                    <w:rPr>
                      <w:rFonts w:hint="eastAsia" w:cs="Times New Roman"/>
                      <w:b w:val="0"/>
                      <w:bCs w:val="0"/>
                      <w:color w:val="000000"/>
                      <w:kern w:val="0"/>
                      <w:sz w:val="21"/>
                      <w:szCs w:val="21"/>
                      <w:highlight w:val="none"/>
                      <w:lang w:val="en-US" w:eastAsia="zh-CN" w:bidi="ar"/>
                    </w:rPr>
                    <w:t>油烟</w:t>
                  </w:r>
                </w:p>
              </w:tc>
              <w:tc>
                <w:tcPr>
                  <w:tcW w:w="815" w:type="pct"/>
                  <w:tcBorders>
                    <w:tl2br w:val="nil"/>
                    <w:tr2bl w:val="nil"/>
                  </w:tcBorders>
                  <w:noWrap w:val="0"/>
                  <w:vAlign w:val="center"/>
                </w:tcPr>
                <w:p w14:paraId="3A612125">
                  <w:pPr>
                    <w:jc w:val="center"/>
                    <w:rPr>
                      <w:rFonts w:hint="default" w:ascii="Times New Roman" w:hAnsi="Times New Roman" w:eastAsia="宋体" w:cs="Times New Roman"/>
                      <w:kern w:val="2"/>
                      <w:sz w:val="21"/>
                      <w:szCs w:val="21"/>
                      <w:lang w:val="en-US" w:eastAsia="zh-CN" w:bidi="ar-SA"/>
                    </w:rPr>
                  </w:pPr>
                  <w:r>
                    <w:rPr>
                      <w:rFonts w:hint="eastAsia"/>
                      <w:sz w:val="21"/>
                      <w:szCs w:val="21"/>
                    </w:rPr>
                    <w:t>1.0mg/m</w:t>
                  </w:r>
                  <w:r>
                    <w:rPr>
                      <w:rFonts w:hint="eastAsia"/>
                      <w:sz w:val="21"/>
                      <w:szCs w:val="21"/>
                      <w:vertAlign w:val="superscript"/>
                    </w:rPr>
                    <w:t>3</w:t>
                  </w:r>
                </w:p>
              </w:tc>
              <w:tc>
                <w:tcPr>
                  <w:tcW w:w="2685" w:type="pct"/>
                  <w:tcBorders>
                    <w:tl2br w:val="nil"/>
                    <w:tr2bl w:val="nil"/>
                  </w:tcBorders>
                  <w:noWrap w:val="0"/>
                  <w:vAlign w:val="center"/>
                </w:tcPr>
                <w:p w14:paraId="6587A728">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Times New Roman" w:hAnsi="宋体" w:eastAsia="宋体" w:cs="Times New Roman"/>
                      <w:color w:val="auto"/>
                      <w:kern w:val="0"/>
                      <w:sz w:val="21"/>
                      <w:szCs w:val="21"/>
                      <w:highlight w:val="none"/>
                      <w:lang w:val="en-US" w:eastAsia="zh-CN"/>
                    </w:rPr>
                  </w:pPr>
                  <w:r>
                    <w:rPr>
                      <w:rFonts w:hint="eastAsia" w:ascii="Times New Roman" w:hAnsi="宋体" w:eastAsia="宋体" w:cs="Times New Roman"/>
                      <w:color w:val="auto"/>
                      <w:kern w:val="0"/>
                      <w:sz w:val="21"/>
                      <w:szCs w:val="21"/>
                      <w:highlight w:val="none"/>
                      <w:lang w:val="en-US" w:eastAsia="zh-CN"/>
                    </w:rPr>
                    <w:t>《餐饮业大气污染物排放标准》（DB13/5808-2023）/《唐山市餐饮油烟污染治理专项方案》（唐气领办〔2021〕58号）</w:t>
                  </w:r>
                </w:p>
              </w:tc>
            </w:tr>
            <w:tr w14:paraId="2FD9872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773" w:type="pct"/>
                  <w:tcBorders>
                    <w:tl2br w:val="nil"/>
                    <w:tr2bl w:val="nil"/>
                  </w:tcBorders>
                  <w:noWrap w:val="0"/>
                  <w:vAlign w:val="center"/>
                </w:tcPr>
                <w:p w14:paraId="09FA8418">
                  <w:pPr>
                    <w:keepNext w:val="0"/>
                    <w:keepLines w:val="0"/>
                    <w:pageBreakBefore w:val="0"/>
                    <w:widowControl w:val="0"/>
                    <w:kinsoku/>
                    <w:wordWrap/>
                    <w:overflowPunct/>
                    <w:topLinePunct w:val="0"/>
                    <w:autoSpaceDE/>
                    <w:autoSpaceDN/>
                    <w:bidi w:val="0"/>
                    <w:adjustRightInd/>
                    <w:snapToGrid/>
                    <w:spacing w:line="240" w:lineRule="auto"/>
                    <w:jc w:val="center"/>
                    <w:textAlignment w:val="baseline"/>
                    <w:rPr>
                      <w:rFonts w:hint="eastAsia" w:ascii="Times New Roman" w:hAnsi="Times New Roman" w:eastAsia="宋体" w:cs="Times New Roman"/>
                      <w:color w:val="000000"/>
                      <w:kern w:val="2"/>
                      <w:sz w:val="21"/>
                      <w:szCs w:val="21"/>
                      <w:highlight w:val="none"/>
                      <w:lang w:val="en-US" w:eastAsia="zh-CN" w:bidi="ar-SA"/>
                    </w:rPr>
                  </w:pPr>
                  <w:r>
                    <w:rPr>
                      <w:rFonts w:hint="eastAsia" w:ascii="Times New Roman" w:hAnsi="Times New Roman" w:eastAsia="宋体" w:cs="Times New Roman"/>
                      <w:color w:val="000000"/>
                      <w:sz w:val="21"/>
                      <w:szCs w:val="21"/>
                      <w:highlight w:val="none"/>
                      <w:lang w:val="en-US" w:eastAsia="zh-CN"/>
                    </w:rPr>
                    <w:t>厂界无组织</w:t>
                  </w:r>
                </w:p>
              </w:tc>
              <w:tc>
                <w:tcPr>
                  <w:tcW w:w="725" w:type="pct"/>
                  <w:tcBorders>
                    <w:tl2br w:val="nil"/>
                    <w:tr2bl w:val="nil"/>
                  </w:tcBorders>
                  <w:noWrap w:val="0"/>
                  <w:vAlign w:val="center"/>
                </w:tcPr>
                <w:p w14:paraId="1F62B811">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eastAsia" w:ascii="Times New Roman" w:hAnsi="Times New Roman" w:eastAsia="宋体" w:cs="Times New Roman"/>
                      <w:b w:val="0"/>
                      <w:bCs w:val="0"/>
                      <w:color w:val="000000"/>
                      <w:kern w:val="0"/>
                      <w:sz w:val="21"/>
                      <w:szCs w:val="21"/>
                      <w:highlight w:val="none"/>
                      <w:lang w:val="en-US" w:eastAsia="zh-CN" w:bidi="ar"/>
                    </w:rPr>
                  </w:pPr>
                  <w:r>
                    <w:rPr>
                      <w:rFonts w:hint="eastAsia" w:ascii="Times New Roman" w:hAnsi="Times New Roman" w:eastAsia="宋体" w:cs="Times New Roman"/>
                      <w:b w:val="0"/>
                      <w:bCs w:val="0"/>
                      <w:color w:val="000000"/>
                      <w:kern w:val="0"/>
                      <w:sz w:val="21"/>
                      <w:szCs w:val="21"/>
                      <w:highlight w:val="none"/>
                      <w:lang w:val="en-US" w:eastAsia="zh-CN" w:bidi="ar"/>
                    </w:rPr>
                    <w:t>颗粒物</w:t>
                  </w:r>
                </w:p>
              </w:tc>
              <w:tc>
                <w:tcPr>
                  <w:tcW w:w="815" w:type="pct"/>
                  <w:tcBorders>
                    <w:tl2br w:val="nil"/>
                    <w:tr2bl w:val="nil"/>
                  </w:tcBorders>
                  <w:noWrap w:val="0"/>
                  <w:vAlign w:val="center"/>
                </w:tcPr>
                <w:p w14:paraId="460B77EE">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eastAsia" w:ascii="Times New Roman" w:hAnsi="Times New Roman" w:eastAsia="宋体" w:cs="Times New Roman"/>
                      <w:b w:val="0"/>
                      <w:bCs w:val="0"/>
                      <w:color w:val="000000"/>
                      <w:kern w:val="0"/>
                      <w:sz w:val="21"/>
                      <w:szCs w:val="21"/>
                      <w:highlight w:val="none"/>
                      <w:lang w:val="en-US" w:eastAsia="zh-CN" w:bidi="ar"/>
                    </w:rPr>
                  </w:pPr>
                  <w:r>
                    <w:rPr>
                      <w:rFonts w:hint="default" w:ascii="Times New Roman" w:hAnsi="Times New Roman" w:eastAsia="宋体" w:cs="Times New Roman"/>
                      <w:b w:val="0"/>
                      <w:bCs w:val="0"/>
                      <w:color w:val="000000"/>
                      <w:kern w:val="0"/>
                      <w:sz w:val="21"/>
                      <w:szCs w:val="21"/>
                      <w:highlight w:val="none"/>
                      <w:lang w:val="en-US" w:eastAsia="zh-CN" w:bidi="ar"/>
                    </w:rPr>
                    <w:t>1.0mg/m</w:t>
                  </w:r>
                  <w:r>
                    <w:rPr>
                      <w:rFonts w:hint="eastAsia"/>
                      <w:bCs/>
                      <w:color w:val="auto"/>
                      <w:sz w:val="21"/>
                      <w:szCs w:val="21"/>
                      <w:highlight w:val="none"/>
                      <w:vertAlign w:val="superscript"/>
                      <w:lang w:val="en-US" w:eastAsia="zh-CN"/>
                    </w:rPr>
                    <w:t>3</w:t>
                  </w:r>
                </w:p>
              </w:tc>
              <w:tc>
                <w:tcPr>
                  <w:tcW w:w="2685" w:type="pct"/>
                  <w:tcBorders>
                    <w:tl2br w:val="nil"/>
                    <w:tr2bl w:val="nil"/>
                  </w:tcBorders>
                  <w:noWrap w:val="0"/>
                  <w:vAlign w:val="center"/>
                </w:tcPr>
                <w:p w14:paraId="0CEFC930">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default" w:ascii="Times New Roman" w:hAnsi="宋体" w:eastAsia="宋体" w:cs="Times New Roman"/>
                      <w:color w:val="auto"/>
                      <w:kern w:val="0"/>
                      <w:sz w:val="21"/>
                      <w:szCs w:val="21"/>
                      <w:highlight w:val="none"/>
                      <w:lang w:val="en-US" w:eastAsia="zh-CN"/>
                    </w:rPr>
                  </w:pPr>
                  <w:r>
                    <w:rPr>
                      <w:rFonts w:hint="eastAsia" w:ascii="Times New Roman" w:hAnsi="宋体" w:eastAsia="宋体" w:cs="Times New Roman"/>
                      <w:color w:val="auto"/>
                      <w:kern w:val="0"/>
                      <w:sz w:val="21"/>
                      <w:szCs w:val="21"/>
                      <w:highlight w:val="none"/>
                      <w:lang w:val="en-US" w:eastAsia="zh-CN"/>
                    </w:rPr>
                    <w:t>《炼焦化学工业大气污染物超低排放标准》(DB13/2863-2018)表2企业边界大气污染物排放限值</w:t>
                  </w:r>
                </w:p>
              </w:tc>
            </w:tr>
          </w:tbl>
          <w:p w14:paraId="71007EF6">
            <w:pPr>
              <w:keepNext w:val="0"/>
              <w:keepLines w:val="0"/>
              <w:pageBreakBefore w:val="0"/>
              <w:widowControl w:val="0"/>
              <w:kinsoku/>
              <w:wordWrap/>
              <w:overflowPunct/>
              <w:topLinePunct w:val="0"/>
              <w:autoSpaceDE/>
              <w:autoSpaceDN/>
              <w:bidi w:val="0"/>
              <w:adjustRightInd w:val="0"/>
              <w:snapToGrid w:val="0"/>
              <w:spacing w:line="480" w:lineRule="exact"/>
              <w:ind w:firstLine="480" w:firstLineChars="200"/>
              <w:jc w:val="both"/>
              <w:textAlignment w:val="auto"/>
              <w:rPr>
                <w:rFonts w:hint="eastAsia" w:ascii="Times New Roman" w:hAnsi="Times New Roman" w:eastAsia="宋体" w:cs="Times New Roman"/>
                <w:b w:val="0"/>
                <w:bCs w:val="0"/>
                <w:kern w:val="0"/>
                <w:szCs w:val="21"/>
                <w:highlight w:val="none"/>
                <w:lang w:eastAsia="zh-CN"/>
              </w:rPr>
            </w:pPr>
            <w:r>
              <w:rPr>
                <w:rFonts w:hint="eastAsia" w:ascii="Times New Roman" w:hAnsi="Times New Roman" w:eastAsia="宋体" w:cs="Times New Roman"/>
                <w:b w:val="0"/>
                <w:bCs w:val="0"/>
                <w:kern w:val="0"/>
                <w:szCs w:val="21"/>
                <w:highlight w:val="none"/>
                <w:lang w:val="en-US" w:eastAsia="zh-CN"/>
              </w:rPr>
              <w:t>（2）</w:t>
            </w:r>
            <w:r>
              <w:rPr>
                <w:rFonts w:hint="eastAsia" w:ascii="Times New Roman" w:hAnsi="Times New Roman" w:eastAsia="宋体" w:cs="Times New Roman"/>
                <w:b w:val="0"/>
                <w:bCs w:val="0"/>
                <w:kern w:val="0"/>
                <w:szCs w:val="21"/>
                <w:highlight w:val="none"/>
                <w:lang w:eastAsia="zh-CN"/>
              </w:rPr>
              <w:t>废水</w:t>
            </w:r>
          </w:p>
          <w:p w14:paraId="140C60D5">
            <w:pPr>
              <w:keepNext w:val="0"/>
              <w:keepLines w:val="0"/>
              <w:pageBreakBefore w:val="0"/>
              <w:widowControl w:val="0"/>
              <w:kinsoku/>
              <w:wordWrap/>
              <w:overflowPunct/>
              <w:topLinePunct w:val="0"/>
              <w:autoSpaceDE/>
              <w:autoSpaceDN/>
              <w:bidi w:val="0"/>
              <w:adjustRightInd w:val="0"/>
              <w:snapToGrid w:val="0"/>
              <w:spacing w:line="480" w:lineRule="exact"/>
              <w:ind w:firstLine="480" w:firstLineChars="200"/>
              <w:jc w:val="both"/>
              <w:textAlignment w:val="auto"/>
              <w:rPr>
                <w:rFonts w:hint="default" w:ascii="Times New Roman" w:hAnsi="Times New Roman" w:eastAsia="宋体" w:cs="Times New Roman"/>
                <w:b w:val="0"/>
                <w:bCs w:val="0"/>
                <w:color w:val="auto"/>
                <w:kern w:val="0"/>
                <w:szCs w:val="21"/>
                <w:highlight w:val="none"/>
                <w:lang w:val="en-US" w:eastAsia="zh-CN"/>
              </w:rPr>
            </w:pPr>
            <w:r>
              <w:rPr>
                <w:rFonts w:hint="eastAsia" w:ascii="Times New Roman" w:hAnsi="Times New Roman" w:eastAsia="宋体" w:cs="Times New Roman"/>
                <w:b w:val="0"/>
                <w:bCs w:val="0"/>
                <w:kern w:val="0"/>
                <w:szCs w:val="21"/>
                <w:highlight w:val="none"/>
                <w:lang w:val="en-US" w:eastAsia="zh-CN"/>
              </w:rPr>
              <w:t>本项目</w:t>
            </w:r>
            <w:r>
              <w:rPr>
                <w:rFonts w:hint="eastAsia"/>
                <w:lang w:val="en-US" w:eastAsia="zh-CN"/>
              </w:rPr>
              <w:t>生产废水不外排</w:t>
            </w:r>
            <w:r>
              <w:rPr>
                <w:rFonts w:hint="eastAsia" w:ascii="Times New Roman" w:hAnsi="Times New Roman" w:eastAsia="宋体" w:cs="Times New Roman"/>
                <w:b w:val="0"/>
                <w:bCs w:val="0"/>
                <w:kern w:val="0"/>
                <w:szCs w:val="21"/>
                <w:highlight w:val="none"/>
                <w:lang w:val="en-US" w:eastAsia="zh-CN"/>
              </w:rPr>
              <w:t>，生活污水排放执行《污水综合排放标准》（</w:t>
            </w:r>
            <w:r>
              <w:rPr>
                <w:rFonts w:hint="default" w:ascii="Times New Roman" w:hAnsi="Times New Roman" w:eastAsia="宋体" w:cs="Times New Roman"/>
                <w:b w:val="0"/>
                <w:bCs w:val="0"/>
                <w:kern w:val="0"/>
                <w:szCs w:val="21"/>
                <w:highlight w:val="none"/>
                <w:lang w:val="en-US" w:eastAsia="zh-CN"/>
              </w:rPr>
              <w:t>GB8978</w:t>
            </w:r>
            <w:r>
              <w:rPr>
                <w:rFonts w:hint="default" w:ascii="Times New Roman" w:hAnsi="Times New Roman" w:eastAsia="宋体" w:cs="Times New Roman"/>
                <w:b w:val="0"/>
                <w:bCs w:val="0"/>
                <w:color w:val="auto"/>
                <w:kern w:val="0"/>
                <w:szCs w:val="21"/>
                <w:highlight w:val="none"/>
                <w:lang w:val="en-US" w:eastAsia="zh-CN"/>
              </w:rPr>
              <w:t>-1996</w:t>
            </w:r>
            <w:r>
              <w:rPr>
                <w:rFonts w:hint="eastAsia" w:ascii="Times New Roman" w:hAnsi="Times New Roman" w:eastAsia="宋体" w:cs="Times New Roman"/>
                <w:b w:val="0"/>
                <w:bCs w:val="0"/>
                <w:color w:val="auto"/>
                <w:kern w:val="0"/>
                <w:szCs w:val="21"/>
                <w:highlight w:val="none"/>
                <w:lang w:val="en-US" w:eastAsia="zh-CN"/>
              </w:rPr>
              <w:t>）表</w:t>
            </w:r>
            <w:r>
              <w:rPr>
                <w:rFonts w:hint="default" w:ascii="Times New Roman" w:hAnsi="Times New Roman" w:eastAsia="宋体" w:cs="Times New Roman"/>
                <w:b w:val="0"/>
                <w:bCs w:val="0"/>
                <w:color w:val="auto"/>
                <w:kern w:val="0"/>
                <w:szCs w:val="21"/>
                <w:highlight w:val="none"/>
                <w:lang w:val="en-US" w:eastAsia="zh-CN"/>
              </w:rPr>
              <w:t>4</w:t>
            </w:r>
            <w:r>
              <w:rPr>
                <w:rFonts w:hint="eastAsia" w:ascii="Times New Roman" w:hAnsi="Times New Roman" w:eastAsia="宋体" w:cs="Times New Roman"/>
                <w:b w:val="0"/>
                <w:bCs w:val="0"/>
                <w:color w:val="auto"/>
                <w:kern w:val="0"/>
                <w:szCs w:val="21"/>
                <w:highlight w:val="none"/>
                <w:lang w:val="en-US" w:eastAsia="zh-CN"/>
              </w:rPr>
              <w:t>中第二类污染物最高允许排放浓度的三级标准，</w:t>
            </w:r>
            <w:r>
              <w:rPr>
                <w:color w:val="auto"/>
                <w:sz w:val="24"/>
              </w:rPr>
              <w:t>NH</w:t>
            </w:r>
            <w:r>
              <w:rPr>
                <w:color w:val="auto"/>
                <w:sz w:val="24"/>
                <w:vertAlign w:val="subscript"/>
              </w:rPr>
              <w:t>3</w:t>
            </w:r>
            <w:r>
              <w:rPr>
                <w:color w:val="auto"/>
                <w:sz w:val="24"/>
              </w:rPr>
              <w:t>-N满足《污水排入城镇下水道水质标准》（GB/T31962-2015）</w:t>
            </w:r>
            <w:r>
              <w:rPr>
                <w:rFonts w:hint="eastAsia"/>
                <w:color w:val="auto"/>
                <w:sz w:val="24"/>
              </w:rPr>
              <w:t>中</w:t>
            </w:r>
            <w:r>
              <w:rPr>
                <w:color w:val="auto"/>
                <w:sz w:val="24"/>
              </w:rPr>
              <w:t>NH</w:t>
            </w:r>
            <w:r>
              <w:rPr>
                <w:color w:val="auto"/>
                <w:sz w:val="24"/>
                <w:vertAlign w:val="subscript"/>
              </w:rPr>
              <w:t>3</w:t>
            </w:r>
            <w:r>
              <w:rPr>
                <w:color w:val="auto"/>
                <w:sz w:val="24"/>
              </w:rPr>
              <w:t>-N：</w:t>
            </w:r>
            <w:r>
              <w:rPr>
                <w:rFonts w:hint="eastAsia"/>
                <w:color w:val="auto"/>
                <w:sz w:val="24"/>
                <w:lang w:val="en-US" w:eastAsia="zh-CN"/>
              </w:rPr>
              <w:t>45</w:t>
            </w:r>
            <w:r>
              <w:rPr>
                <w:color w:val="auto"/>
                <w:sz w:val="24"/>
              </w:rPr>
              <w:t>mg/L要求</w:t>
            </w:r>
            <w:r>
              <w:rPr>
                <w:rFonts w:hint="eastAsia"/>
                <w:color w:val="auto"/>
                <w:sz w:val="24"/>
                <w:lang w:eastAsia="zh-CN"/>
              </w:rPr>
              <w:t>，同时还应满足</w:t>
            </w:r>
            <w:r>
              <w:rPr>
                <w:rFonts w:hint="default" w:ascii="Times New Roman" w:hAnsi="Times New Roman" w:cs="Times New Roman"/>
                <w:b w:val="0"/>
                <w:i w:val="0"/>
                <w:smallCaps w:val="0"/>
                <w:color w:val="auto"/>
                <w:spacing w:val="0"/>
                <w:kern w:val="0"/>
                <w:sz w:val="24"/>
                <w:szCs w:val="24"/>
                <w:highlight w:val="none"/>
                <w:lang w:val="en-US" w:eastAsia="zh-CN" w:bidi="ar"/>
              </w:rPr>
              <w:t>曹妃甸工业区起步区（北区）污水处理厂</w:t>
            </w:r>
            <w:r>
              <w:rPr>
                <w:rFonts w:hint="default" w:ascii="Times New Roman" w:hAnsi="Times New Roman" w:eastAsia="宋体" w:cs="Times New Roman"/>
                <w:b w:val="0"/>
                <w:i w:val="0"/>
                <w:smallCaps w:val="0"/>
                <w:color w:val="auto"/>
                <w:spacing w:val="0"/>
                <w:kern w:val="0"/>
                <w:sz w:val="24"/>
                <w:szCs w:val="24"/>
                <w:highlight w:val="none"/>
                <w:lang w:val="en-US" w:eastAsia="zh-CN" w:bidi="ar"/>
              </w:rPr>
              <w:t>进水水质要求</w:t>
            </w:r>
            <w:r>
              <w:rPr>
                <w:rFonts w:hint="eastAsia" w:ascii="Times New Roman" w:hAnsi="Times New Roman" w:eastAsia="宋体" w:cs="Times New Roman"/>
                <w:b w:val="0"/>
                <w:i w:val="0"/>
                <w:smallCaps w:val="0"/>
                <w:color w:val="auto"/>
                <w:spacing w:val="0"/>
                <w:kern w:val="0"/>
                <w:sz w:val="24"/>
                <w:szCs w:val="24"/>
                <w:highlight w:val="none"/>
                <w:lang w:val="en-US" w:eastAsia="zh-CN" w:bidi="ar"/>
              </w:rPr>
              <w:t>。</w:t>
            </w:r>
            <w:r>
              <w:rPr>
                <w:color w:val="auto"/>
                <w:sz w:val="24"/>
              </w:rPr>
              <w:t>具体标准见</w:t>
            </w:r>
            <w:r>
              <w:rPr>
                <w:rFonts w:hint="eastAsia"/>
                <w:color w:val="auto"/>
                <w:sz w:val="24"/>
                <w:lang w:eastAsia="zh-CN"/>
              </w:rPr>
              <w:t>下</w:t>
            </w:r>
            <w:r>
              <w:rPr>
                <w:color w:val="auto"/>
                <w:sz w:val="24"/>
              </w:rPr>
              <w:t>表</w:t>
            </w:r>
            <w:r>
              <w:rPr>
                <w:rFonts w:hint="eastAsia"/>
                <w:color w:val="auto"/>
                <w:sz w:val="24"/>
                <w:lang w:val="en-US" w:eastAsia="zh-CN"/>
              </w:rPr>
              <w:t>。</w:t>
            </w:r>
          </w:p>
          <w:p w14:paraId="6FDA8B9C">
            <w:pPr>
              <w:keepNext w:val="0"/>
              <w:keepLines w:val="0"/>
              <w:pageBreakBefore w:val="0"/>
              <w:widowControl w:val="0"/>
              <w:kinsoku/>
              <w:wordWrap/>
              <w:overflowPunct/>
              <w:topLinePunct w:val="0"/>
              <w:autoSpaceDE/>
              <w:autoSpaceDN/>
              <w:bidi w:val="0"/>
              <w:adjustRightInd/>
              <w:snapToGrid/>
              <w:spacing w:line="480" w:lineRule="exact"/>
              <w:ind w:left="0" w:leftChars="0" w:right="0" w:rightChars="0" w:firstLine="0" w:firstLineChars="0"/>
              <w:jc w:val="center"/>
              <w:textAlignment w:val="auto"/>
              <w:outlineLvl w:val="9"/>
              <w:rPr>
                <w:rFonts w:hint="eastAsia" w:ascii="Times New Roman" w:hAnsi="Times New Roman" w:eastAsia="宋体" w:cs="Times New Roman"/>
                <w:b/>
                <w:color w:val="auto"/>
                <w:sz w:val="24"/>
                <w:szCs w:val="24"/>
                <w:highlight w:val="none"/>
                <w:lang w:val="en-US" w:eastAsia="zh-CN"/>
              </w:rPr>
            </w:pPr>
            <w:r>
              <w:rPr>
                <w:rFonts w:hint="eastAsia" w:ascii="Times New Roman" w:hAnsi="Times New Roman" w:eastAsia="宋体" w:cs="Times New Roman"/>
                <w:b/>
                <w:color w:val="auto"/>
                <w:sz w:val="24"/>
                <w:szCs w:val="24"/>
                <w:highlight w:val="none"/>
                <w:lang w:val="en-US" w:eastAsia="zh-CN"/>
              </w:rPr>
              <w:t>表</w:t>
            </w:r>
            <w:r>
              <w:rPr>
                <w:rFonts w:hint="default" w:ascii="Times New Roman" w:hAnsi="Times New Roman" w:eastAsia="宋体" w:cs="Times New Roman"/>
                <w:b/>
                <w:color w:val="auto"/>
                <w:sz w:val="24"/>
                <w:szCs w:val="24"/>
                <w:highlight w:val="none"/>
                <w:lang w:val="en-US" w:eastAsia="zh-CN"/>
              </w:rPr>
              <w:t>3-</w:t>
            </w:r>
            <w:r>
              <w:rPr>
                <w:rFonts w:hint="eastAsia" w:cs="Times New Roman"/>
                <w:b/>
                <w:color w:val="auto"/>
                <w:sz w:val="24"/>
                <w:szCs w:val="24"/>
                <w:highlight w:val="none"/>
                <w:lang w:val="en-US" w:eastAsia="zh-CN"/>
              </w:rPr>
              <w:t>7</w:t>
            </w:r>
            <w:r>
              <w:rPr>
                <w:rFonts w:hint="default" w:ascii="Times New Roman" w:hAnsi="Times New Roman" w:eastAsia="宋体" w:cs="Times New Roman"/>
                <w:b/>
                <w:color w:val="auto"/>
                <w:sz w:val="24"/>
                <w:szCs w:val="24"/>
                <w:highlight w:val="none"/>
                <w:lang w:val="en-US" w:eastAsia="zh-CN"/>
              </w:rPr>
              <w:t xml:space="preserve"> </w:t>
            </w:r>
            <w:r>
              <w:rPr>
                <w:rFonts w:hint="eastAsia" w:ascii="Times New Roman" w:hAnsi="Times New Roman" w:eastAsia="宋体" w:cs="Times New Roman"/>
                <w:b/>
                <w:color w:val="auto"/>
                <w:sz w:val="24"/>
                <w:szCs w:val="24"/>
                <w:highlight w:val="none"/>
                <w:lang w:val="en-US" w:eastAsia="zh-CN"/>
              </w:rPr>
              <w:t>废水污染物排放标准 单位：</w:t>
            </w:r>
            <w:r>
              <w:rPr>
                <w:rFonts w:hint="default" w:ascii="Times New Roman" w:hAnsi="Times New Roman" w:eastAsia="宋体" w:cs="Times New Roman"/>
                <w:b/>
                <w:color w:val="auto"/>
                <w:sz w:val="24"/>
                <w:szCs w:val="24"/>
                <w:highlight w:val="none"/>
                <w:lang w:val="en-US" w:eastAsia="zh-CN"/>
              </w:rPr>
              <w:t>mg/L</w:t>
            </w:r>
          </w:p>
          <w:tbl>
            <w:tblPr>
              <w:tblStyle w:val="25"/>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619"/>
              <w:gridCol w:w="913"/>
              <w:gridCol w:w="1978"/>
              <w:gridCol w:w="1923"/>
              <w:gridCol w:w="1772"/>
              <w:gridCol w:w="756"/>
            </w:tblGrid>
            <w:tr w14:paraId="7D30F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388" w:type="pct"/>
                  <w:tcBorders>
                    <w:tl2br w:val="nil"/>
                    <w:tr2bl w:val="nil"/>
                  </w:tcBorders>
                  <w:noWrap w:val="0"/>
                  <w:vAlign w:val="center"/>
                </w:tcPr>
                <w:p w14:paraId="50138D82">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序号</w:t>
                  </w:r>
                </w:p>
              </w:tc>
              <w:tc>
                <w:tcPr>
                  <w:tcW w:w="573" w:type="pct"/>
                  <w:tcBorders>
                    <w:tl2br w:val="nil"/>
                    <w:tr2bl w:val="nil"/>
                  </w:tcBorders>
                  <w:noWrap w:val="0"/>
                  <w:vAlign w:val="center"/>
                </w:tcPr>
                <w:p w14:paraId="61157AD8">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主要污染物</w:t>
                  </w:r>
                </w:p>
              </w:tc>
              <w:tc>
                <w:tcPr>
                  <w:tcW w:w="1242" w:type="pct"/>
                  <w:tcBorders>
                    <w:tl2br w:val="nil"/>
                    <w:tr2bl w:val="nil"/>
                  </w:tcBorders>
                  <w:noWrap w:val="0"/>
                  <w:vAlign w:val="center"/>
                </w:tcPr>
                <w:p w14:paraId="462521A5">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《污水综合排放标准》（GB8978-1996）表4中三级标准</w:t>
                  </w:r>
                </w:p>
              </w:tc>
              <w:tc>
                <w:tcPr>
                  <w:tcW w:w="1207" w:type="pct"/>
                  <w:tcBorders>
                    <w:tl2br w:val="nil"/>
                    <w:tr2bl w:val="nil"/>
                  </w:tcBorders>
                  <w:noWrap w:val="0"/>
                  <w:vAlign w:val="center"/>
                </w:tcPr>
                <w:p w14:paraId="235E66BD">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《污水排入城镇下水道水质标准》（GB/T31962-2015）</w:t>
                  </w:r>
                </w:p>
              </w:tc>
              <w:tc>
                <w:tcPr>
                  <w:tcW w:w="1112" w:type="pct"/>
                  <w:tcBorders>
                    <w:tl2br w:val="nil"/>
                    <w:tr2bl w:val="nil"/>
                  </w:tcBorders>
                  <w:noWrap w:val="0"/>
                  <w:vAlign w:val="center"/>
                </w:tcPr>
                <w:p w14:paraId="324C8F31">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default" w:ascii="Times New Roman" w:hAnsi="Times New Roman" w:cs="Times New Roman"/>
                      <w:b w:val="0"/>
                      <w:bCs w:val="0"/>
                      <w:color w:val="auto"/>
                      <w:kern w:val="24"/>
                      <w:sz w:val="21"/>
                      <w:szCs w:val="21"/>
                      <w:highlight w:val="none"/>
                    </w:rPr>
                    <w:t>曹妃甸工业区起步区（北区）污水处理厂进水水质</w:t>
                  </w:r>
                </w:p>
              </w:tc>
              <w:tc>
                <w:tcPr>
                  <w:tcW w:w="474" w:type="pct"/>
                  <w:tcBorders>
                    <w:tl2br w:val="nil"/>
                    <w:tr2bl w:val="nil"/>
                  </w:tcBorders>
                  <w:noWrap w:val="0"/>
                  <w:vAlign w:val="center"/>
                </w:tcPr>
                <w:p w14:paraId="6CA164DF">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污水排放限值</w:t>
                  </w:r>
                </w:p>
              </w:tc>
            </w:tr>
            <w:tr w14:paraId="04608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388" w:type="pct"/>
                  <w:tcBorders>
                    <w:tl2br w:val="nil"/>
                    <w:tr2bl w:val="nil"/>
                  </w:tcBorders>
                  <w:noWrap w:val="0"/>
                  <w:vAlign w:val="center"/>
                </w:tcPr>
                <w:p w14:paraId="2AF0F8E7">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1</w:t>
                  </w:r>
                </w:p>
              </w:tc>
              <w:tc>
                <w:tcPr>
                  <w:tcW w:w="573" w:type="pct"/>
                  <w:tcBorders>
                    <w:tl2br w:val="nil"/>
                    <w:tr2bl w:val="nil"/>
                  </w:tcBorders>
                  <w:noWrap w:val="0"/>
                  <w:vAlign w:val="center"/>
                </w:tcPr>
                <w:p w14:paraId="696EFA33">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pH</w:t>
                  </w:r>
                </w:p>
              </w:tc>
              <w:tc>
                <w:tcPr>
                  <w:tcW w:w="1242" w:type="pct"/>
                  <w:tcBorders>
                    <w:tl2br w:val="nil"/>
                    <w:tr2bl w:val="nil"/>
                  </w:tcBorders>
                  <w:noWrap w:val="0"/>
                  <w:vAlign w:val="center"/>
                </w:tcPr>
                <w:p w14:paraId="42A57637">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6~9</w:t>
                  </w:r>
                </w:p>
              </w:tc>
              <w:tc>
                <w:tcPr>
                  <w:tcW w:w="1207" w:type="pct"/>
                  <w:tcBorders>
                    <w:tl2br w:val="nil"/>
                    <w:tr2bl w:val="nil"/>
                  </w:tcBorders>
                  <w:noWrap w:val="0"/>
                  <w:vAlign w:val="center"/>
                </w:tcPr>
                <w:p w14:paraId="14E13DC5">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6</w:t>
                  </w:r>
                  <w:r>
                    <w:rPr>
                      <w:rFonts w:hint="eastAsia" w:cs="Times New Roman"/>
                      <w:b w:val="0"/>
                      <w:bCs w:val="0"/>
                      <w:color w:val="auto"/>
                      <w:kern w:val="0"/>
                      <w:sz w:val="21"/>
                      <w:szCs w:val="21"/>
                      <w:highlight w:val="none"/>
                      <w:lang w:val="en-US" w:eastAsia="zh-CN" w:bidi="ar"/>
                    </w:rPr>
                    <w:t>.5</w:t>
                  </w:r>
                  <w:r>
                    <w:rPr>
                      <w:rFonts w:hint="eastAsia" w:ascii="Times New Roman" w:hAnsi="Times New Roman" w:eastAsia="宋体" w:cs="Times New Roman"/>
                      <w:b w:val="0"/>
                      <w:bCs w:val="0"/>
                      <w:color w:val="auto"/>
                      <w:kern w:val="0"/>
                      <w:sz w:val="21"/>
                      <w:szCs w:val="21"/>
                      <w:highlight w:val="none"/>
                      <w:lang w:val="en-US" w:eastAsia="zh-CN" w:bidi="ar"/>
                    </w:rPr>
                    <w:t>~9</w:t>
                  </w:r>
                  <w:r>
                    <w:rPr>
                      <w:rFonts w:hint="eastAsia" w:cs="Times New Roman"/>
                      <w:b w:val="0"/>
                      <w:bCs w:val="0"/>
                      <w:color w:val="auto"/>
                      <w:kern w:val="0"/>
                      <w:sz w:val="21"/>
                      <w:szCs w:val="21"/>
                      <w:highlight w:val="none"/>
                      <w:lang w:val="en-US" w:eastAsia="zh-CN" w:bidi="ar"/>
                    </w:rPr>
                    <w:t>.5</w:t>
                  </w:r>
                </w:p>
              </w:tc>
              <w:tc>
                <w:tcPr>
                  <w:tcW w:w="1112" w:type="pct"/>
                  <w:tcBorders>
                    <w:tl2br w:val="nil"/>
                    <w:tr2bl w:val="nil"/>
                  </w:tcBorders>
                  <w:noWrap w:val="0"/>
                  <w:vAlign w:val="center"/>
                </w:tcPr>
                <w:p w14:paraId="2A35515D">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default" w:ascii="Times New Roman" w:hAnsi="Times New Roman" w:cs="Times New Roman"/>
                      <w:b w:val="0"/>
                      <w:bCs w:val="0"/>
                      <w:color w:val="auto"/>
                      <w:sz w:val="21"/>
                      <w:szCs w:val="21"/>
                      <w:highlight w:val="none"/>
                      <w:lang w:eastAsia="zh-CN"/>
                    </w:rPr>
                    <w:t>—</w:t>
                  </w:r>
                </w:p>
              </w:tc>
              <w:tc>
                <w:tcPr>
                  <w:tcW w:w="474" w:type="pct"/>
                  <w:tcBorders>
                    <w:tl2br w:val="nil"/>
                    <w:tr2bl w:val="nil"/>
                  </w:tcBorders>
                  <w:noWrap w:val="0"/>
                  <w:vAlign w:val="center"/>
                </w:tcPr>
                <w:p w14:paraId="14FB9CEA">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6~9</w:t>
                  </w:r>
                </w:p>
              </w:tc>
            </w:tr>
            <w:tr w14:paraId="6F9C71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388" w:type="pct"/>
                  <w:tcBorders>
                    <w:tl2br w:val="nil"/>
                    <w:tr2bl w:val="nil"/>
                  </w:tcBorders>
                  <w:noWrap w:val="0"/>
                  <w:vAlign w:val="center"/>
                </w:tcPr>
                <w:p w14:paraId="4826613A">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2</w:t>
                  </w:r>
                </w:p>
              </w:tc>
              <w:tc>
                <w:tcPr>
                  <w:tcW w:w="573" w:type="pct"/>
                  <w:tcBorders>
                    <w:tl2br w:val="nil"/>
                    <w:tr2bl w:val="nil"/>
                  </w:tcBorders>
                  <w:noWrap w:val="0"/>
                  <w:vAlign w:val="center"/>
                </w:tcPr>
                <w:p w14:paraId="04D431A7">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COD</w:t>
                  </w:r>
                </w:p>
              </w:tc>
              <w:tc>
                <w:tcPr>
                  <w:tcW w:w="1242" w:type="pct"/>
                  <w:tcBorders>
                    <w:tl2br w:val="nil"/>
                    <w:tr2bl w:val="nil"/>
                  </w:tcBorders>
                  <w:noWrap w:val="0"/>
                  <w:vAlign w:val="center"/>
                </w:tcPr>
                <w:p w14:paraId="10AD2F22">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500</w:t>
                  </w:r>
                </w:p>
              </w:tc>
              <w:tc>
                <w:tcPr>
                  <w:tcW w:w="1207" w:type="pct"/>
                  <w:tcBorders>
                    <w:tl2br w:val="nil"/>
                    <w:tr2bl w:val="nil"/>
                  </w:tcBorders>
                  <w:noWrap w:val="0"/>
                  <w:vAlign w:val="center"/>
                </w:tcPr>
                <w:p w14:paraId="45862494">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b w:val="0"/>
                      <w:bCs w:val="0"/>
                      <w:color w:val="auto"/>
                      <w:kern w:val="0"/>
                      <w:sz w:val="21"/>
                      <w:szCs w:val="21"/>
                      <w:highlight w:val="none"/>
                      <w:lang w:val="en-US" w:eastAsia="zh-CN" w:bidi="ar"/>
                    </w:rPr>
                  </w:pPr>
                  <w:r>
                    <w:rPr>
                      <w:rFonts w:hint="eastAsia" w:cs="Times New Roman"/>
                      <w:b w:val="0"/>
                      <w:bCs w:val="0"/>
                      <w:color w:val="auto"/>
                      <w:kern w:val="0"/>
                      <w:sz w:val="21"/>
                      <w:szCs w:val="21"/>
                      <w:highlight w:val="none"/>
                      <w:lang w:val="en-US" w:eastAsia="zh-CN" w:bidi="ar"/>
                    </w:rPr>
                    <w:t>500</w:t>
                  </w:r>
                </w:p>
              </w:tc>
              <w:tc>
                <w:tcPr>
                  <w:tcW w:w="1112" w:type="pct"/>
                  <w:tcBorders>
                    <w:tl2br w:val="nil"/>
                    <w:tr2bl w:val="nil"/>
                  </w:tcBorders>
                  <w:shd w:val="clear" w:color="auto" w:fill="auto"/>
                  <w:noWrap w:val="0"/>
                  <w:vAlign w:val="center"/>
                </w:tcPr>
                <w:p w14:paraId="76094C14">
                  <w:pPr>
                    <w:keepNext w:val="0"/>
                    <w:keepLines w:val="0"/>
                    <w:pageBreakBefore w:val="0"/>
                    <w:widowControl w:val="0"/>
                    <w:kinsoku/>
                    <w:wordWrap/>
                    <w:overflowPunct/>
                    <w:topLinePunct w:val="0"/>
                    <w:autoSpaceDE/>
                    <w:autoSpaceDN/>
                    <w:bidi w:val="0"/>
                    <w:adjustRightInd w:val="0"/>
                    <w:snapToGrid w:val="0"/>
                    <w:spacing w:line="0" w:lineRule="atLeast"/>
                    <w:ind w:firstLine="0" w:firstLineChars="0"/>
                    <w:jc w:val="center"/>
                    <w:textAlignment w:val="auto"/>
                    <w:rPr>
                      <w:rFonts w:hint="eastAsia"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cs="Times New Roman"/>
                      <w:b w:val="0"/>
                      <w:bCs w:val="0"/>
                      <w:color w:val="auto"/>
                      <w:sz w:val="21"/>
                      <w:szCs w:val="21"/>
                      <w:highlight w:val="none"/>
                      <w:lang w:bidi="ar"/>
                    </w:rPr>
                    <w:t>350</w:t>
                  </w:r>
                </w:p>
              </w:tc>
              <w:tc>
                <w:tcPr>
                  <w:tcW w:w="756" w:type="dxa"/>
                  <w:tcBorders>
                    <w:tl2br w:val="nil"/>
                    <w:tr2bl w:val="nil"/>
                  </w:tcBorders>
                  <w:noWrap w:val="0"/>
                  <w:vAlign w:val="center"/>
                </w:tcPr>
                <w:p w14:paraId="415A156D">
                  <w:pPr>
                    <w:keepNext w:val="0"/>
                    <w:keepLines w:val="0"/>
                    <w:pageBreakBefore w:val="0"/>
                    <w:widowControl w:val="0"/>
                    <w:kinsoku/>
                    <w:wordWrap/>
                    <w:overflowPunct/>
                    <w:topLinePunct w:val="0"/>
                    <w:autoSpaceDE/>
                    <w:autoSpaceDN/>
                    <w:bidi w:val="0"/>
                    <w:adjustRightInd w:val="0"/>
                    <w:snapToGrid w:val="0"/>
                    <w:spacing w:line="0" w:lineRule="atLeast"/>
                    <w:ind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default" w:ascii="Times New Roman" w:hAnsi="Times New Roman" w:cs="Times New Roman"/>
                      <w:b w:val="0"/>
                      <w:bCs w:val="0"/>
                      <w:color w:val="auto"/>
                      <w:sz w:val="21"/>
                      <w:szCs w:val="21"/>
                      <w:highlight w:val="none"/>
                      <w:lang w:bidi="ar"/>
                    </w:rPr>
                    <w:t>350</w:t>
                  </w:r>
                </w:p>
              </w:tc>
            </w:tr>
            <w:tr w14:paraId="5CE667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388" w:type="pct"/>
                  <w:tcBorders>
                    <w:tl2br w:val="nil"/>
                    <w:tr2bl w:val="nil"/>
                  </w:tcBorders>
                  <w:noWrap w:val="0"/>
                  <w:vAlign w:val="center"/>
                </w:tcPr>
                <w:p w14:paraId="69DBFD9A">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3</w:t>
                  </w:r>
                </w:p>
              </w:tc>
              <w:tc>
                <w:tcPr>
                  <w:tcW w:w="573" w:type="pct"/>
                  <w:tcBorders>
                    <w:tl2br w:val="nil"/>
                    <w:tr2bl w:val="nil"/>
                  </w:tcBorders>
                  <w:noWrap w:val="0"/>
                  <w:vAlign w:val="center"/>
                </w:tcPr>
                <w:p w14:paraId="132F9B9C">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BOD</w:t>
                  </w:r>
                  <w:r>
                    <w:rPr>
                      <w:rFonts w:hint="eastAsia" w:ascii="Times New Roman" w:hAnsi="Times New Roman" w:eastAsia="宋体" w:cs="Times New Roman"/>
                      <w:b w:val="0"/>
                      <w:bCs w:val="0"/>
                      <w:color w:val="auto"/>
                      <w:kern w:val="0"/>
                      <w:sz w:val="21"/>
                      <w:szCs w:val="21"/>
                      <w:highlight w:val="none"/>
                      <w:vertAlign w:val="subscript"/>
                      <w:lang w:val="en-US" w:eastAsia="zh-CN" w:bidi="ar"/>
                    </w:rPr>
                    <w:t>5</w:t>
                  </w:r>
                </w:p>
              </w:tc>
              <w:tc>
                <w:tcPr>
                  <w:tcW w:w="1242" w:type="pct"/>
                  <w:tcBorders>
                    <w:tl2br w:val="nil"/>
                    <w:tr2bl w:val="nil"/>
                  </w:tcBorders>
                  <w:noWrap w:val="0"/>
                  <w:vAlign w:val="center"/>
                </w:tcPr>
                <w:p w14:paraId="0B98F057">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300</w:t>
                  </w:r>
                </w:p>
              </w:tc>
              <w:tc>
                <w:tcPr>
                  <w:tcW w:w="1207" w:type="pct"/>
                  <w:tcBorders>
                    <w:tl2br w:val="nil"/>
                    <w:tr2bl w:val="nil"/>
                  </w:tcBorders>
                  <w:noWrap w:val="0"/>
                  <w:vAlign w:val="center"/>
                </w:tcPr>
                <w:p w14:paraId="41C477AB">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b w:val="0"/>
                      <w:bCs w:val="0"/>
                      <w:color w:val="auto"/>
                      <w:kern w:val="0"/>
                      <w:sz w:val="21"/>
                      <w:szCs w:val="21"/>
                      <w:highlight w:val="none"/>
                      <w:lang w:val="en-US" w:eastAsia="zh-CN" w:bidi="ar"/>
                    </w:rPr>
                  </w:pPr>
                  <w:r>
                    <w:rPr>
                      <w:rFonts w:hint="eastAsia" w:cs="Times New Roman"/>
                      <w:b w:val="0"/>
                      <w:bCs w:val="0"/>
                      <w:color w:val="auto"/>
                      <w:kern w:val="0"/>
                      <w:sz w:val="21"/>
                      <w:szCs w:val="21"/>
                      <w:highlight w:val="none"/>
                      <w:lang w:val="en-US" w:eastAsia="zh-CN" w:bidi="ar"/>
                    </w:rPr>
                    <w:t>350</w:t>
                  </w:r>
                </w:p>
              </w:tc>
              <w:tc>
                <w:tcPr>
                  <w:tcW w:w="1112" w:type="pct"/>
                  <w:tcBorders>
                    <w:tl2br w:val="nil"/>
                    <w:tr2bl w:val="nil"/>
                  </w:tcBorders>
                  <w:shd w:val="clear" w:color="auto" w:fill="auto"/>
                  <w:noWrap w:val="0"/>
                  <w:vAlign w:val="center"/>
                </w:tcPr>
                <w:p w14:paraId="29BACAA8">
                  <w:pPr>
                    <w:keepNext w:val="0"/>
                    <w:keepLines w:val="0"/>
                    <w:pageBreakBefore w:val="0"/>
                    <w:widowControl w:val="0"/>
                    <w:kinsoku/>
                    <w:wordWrap/>
                    <w:overflowPunct/>
                    <w:topLinePunct w:val="0"/>
                    <w:autoSpaceDE/>
                    <w:autoSpaceDN/>
                    <w:bidi w:val="0"/>
                    <w:adjustRightInd w:val="0"/>
                    <w:snapToGrid w:val="0"/>
                    <w:spacing w:line="0" w:lineRule="atLeast"/>
                    <w:ind w:firstLine="0" w:firstLineChars="0"/>
                    <w:jc w:val="center"/>
                    <w:textAlignment w:val="auto"/>
                    <w:rPr>
                      <w:rFonts w:hint="eastAsia"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cs="Times New Roman"/>
                      <w:b w:val="0"/>
                      <w:bCs w:val="0"/>
                      <w:color w:val="auto"/>
                      <w:sz w:val="21"/>
                      <w:szCs w:val="21"/>
                      <w:highlight w:val="none"/>
                      <w:lang w:bidi="ar"/>
                    </w:rPr>
                    <w:t>180</w:t>
                  </w:r>
                </w:p>
              </w:tc>
              <w:tc>
                <w:tcPr>
                  <w:tcW w:w="756" w:type="dxa"/>
                  <w:tcBorders>
                    <w:tl2br w:val="nil"/>
                    <w:tr2bl w:val="nil"/>
                  </w:tcBorders>
                  <w:noWrap w:val="0"/>
                  <w:vAlign w:val="center"/>
                </w:tcPr>
                <w:p w14:paraId="38A94EF6">
                  <w:pPr>
                    <w:keepNext w:val="0"/>
                    <w:keepLines w:val="0"/>
                    <w:pageBreakBefore w:val="0"/>
                    <w:widowControl w:val="0"/>
                    <w:kinsoku/>
                    <w:wordWrap/>
                    <w:overflowPunct/>
                    <w:topLinePunct w:val="0"/>
                    <w:autoSpaceDE/>
                    <w:autoSpaceDN/>
                    <w:bidi w:val="0"/>
                    <w:adjustRightInd w:val="0"/>
                    <w:snapToGrid w:val="0"/>
                    <w:spacing w:line="0" w:lineRule="atLeast"/>
                    <w:ind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default" w:ascii="Times New Roman" w:hAnsi="Times New Roman" w:cs="Times New Roman"/>
                      <w:b w:val="0"/>
                      <w:bCs w:val="0"/>
                      <w:color w:val="auto"/>
                      <w:sz w:val="21"/>
                      <w:szCs w:val="21"/>
                      <w:highlight w:val="none"/>
                      <w:lang w:bidi="ar"/>
                    </w:rPr>
                    <w:t>180</w:t>
                  </w:r>
                </w:p>
              </w:tc>
            </w:tr>
            <w:tr w14:paraId="1560D6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388" w:type="pct"/>
                  <w:tcBorders>
                    <w:tl2br w:val="nil"/>
                    <w:tr2bl w:val="nil"/>
                  </w:tcBorders>
                  <w:noWrap w:val="0"/>
                  <w:vAlign w:val="center"/>
                </w:tcPr>
                <w:p w14:paraId="39D133F9">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4</w:t>
                  </w:r>
                </w:p>
              </w:tc>
              <w:tc>
                <w:tcPr>
                  <w:tcW w:w="573" w:type="pct"/>
                  <w:tcBorders>
                    <w:tl2br w:val="nil"/>
                    <w:tr2bl w:val="nil"/>
                  </w:tcBorders>
                  <w:noWrap w:val="0"/>
                  <w:vAlign w:val="center"/>
                </w:tcPr>
                <w:p w14:paraId="3BF258FC">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SS</w:t>
                  </w:r>
                </w:p>
              </w:tc>
              <w:tc>
                <w:tcPr>
                  <w:tcW w:w="1242" w:type="pct"/>
                  <w:tcBorders>
                    <w:tl2br w:val="nil"/>
                    <w:tr2bl w:val="nil"/>
                  </w:tcBorders>
                  <w:noWrap w:val="0"/>
                  <w:vAlign w:val="center"/>
                </w:tcPr>
                <w:p w14:paraId="1CCC7AE8">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400</w:t>
                  </w:r>
                </w:p>
              </w:tc>
              <w:tc>
                <w:tcPr>
                  <w:tcW w:w="1207" w:type="pct"/>
                  <w:tcBorders>
                    <w:tl2br w:val="nil"/>
                    <w:tr2bl w:val="nil"/>
                  </w:tcBorders>
                  <w:noWrap w:val="0"/>
                  <w:vAlign w:val="center"/>
                </w:tcPr>
                <w:p w14:paraId="1270C624">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b w:val="0"/>
                      <w:bCs w:val="0"/>
                      <w:color w:val="auto"/>
                      <w:kern w:val="0"/>
                      <w:sz w:val="21"/>
                      <w:szCs w:val="21"/>
                      <w:highlight w:val="none"/>
                      <w:lang w:val="en-US" w:eastAsia="zh-CN" w:bidi="ar"/>
                    </w:rPr>
                  </w:pPr>
                  <w:r>
                    <w:rPr>
                      <w:rFonts w:hint="eastAsia" w:cs="Times New Roman"/>
                      <w:b w:val="0"/>
                      <w:bCs w:val="0"/>
                      <w:color w:val="auto"/>
                      <w:kern w:val="0"/>
                      <w:sz w:val="21"/>
                      <w:szCs w:val="21"/>
                      <w:highlight w:val="none"/>
                      <w:lang w:val="en-US" w:eastAsia="zh-CN" w:bidi="ar"/>
                    </w:rPr>
                    <w:t>400</w:t>
                  </w:r>
                </w:p>
              </w:tc>
              <w:tc>
                <w:tcPr>
                  <w:tcW w:w="1112" w:type="pct"/>
                  <w:tcBorders>
                    <w:tl2br w:val="nil"/>
                    <w:tr2bl w:val="nil"/>
                  </w:tcBorders>
                  <w:noWrap w:val="0"/>
                  <w:vAlign w:val="center"/>
                </w:tcPr>
                <w:p w14:paraId="55BFDB46">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cs="Times New Roman"/>
                      <w:b w:val="0"/>
                      <w:bCs w:val="0"/>
                      <w:color w:val="auto"/>
                      <w:kern w:val="0"/>
                      <w:sz w:val="21"/>
                      <w:szCs w:val="21"/>
                      <w:highlight w:val="none"/>
                      <w:lang w:val="en-US" w:eastAsia="zh-CN" w:bidi="ar"/>
                    </w:rPr>
                  </w:pPr>
                  <w:r>
                    <w:rPr>
                      <w:rFonts w:hint="default" w:ascii="Times New Roman" w:hAnsi="Times New Roman" w:cs="Times New Roman"/>
                      <w:b w:val="0"/>
                      <w:bCs w:val="0"/>
                      <w:color w:val="auto"/>
                      <w:sz w:val="21"/>
                      <w:szCs w:val="21"/>
                      <w:highlight w:val="none"/>
                      <w:lang w:bidi="ar"/>
                    </w:rPr>
                    <w:t>300</w:t>
                  </w:r>
                </w:p>
              </w:tc>
              <w:tc>
                <w:tcPr>
                  <w:tcW w:w="474" w:type="pct"/>
                  <w:tcBorders>
                    <w:tl2br w:val="nil"/>
                    <w:tr2bl w:val="nil"/>
                  </w:tcBorders>
                  <w:noWrap w:val="0"/>
                  <w:vAlign w:val="center"/>
                </w:tcPr>
                <w:p w14:paraId="382AE7EB">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b w:val="0"/>
                      <w:bCs w:val="0"/>
                      <w:color w:val="auto"/>
                      <w:kern w:val="0"/>
                      <w:sz w:val="21"/>
                      <w:szCs w:val="21"/>
                      <w:highlight w:val="none"/>
                      <w:lang w:val="en-US" w:eastAsia="zh-CN" w:bidi="ar"/>
                    </w:rPr>
                  </w:pPr>
                  <w:r>
                    <w:rPr>
                      <w:rFonts w:hint="eastAsia" w:cs="Times New Roman"/>
                      <w:b w:val="0"/>
                      <w:bCs w:val="0"/>
                      <w:color w:val="auto"/>
                      <w:kern w:val="0"/>
                      <w:sz w:val="21"/>
                      <w:szCs w:val="21"/>
                      <w:highlight w:val="none"/>
                      <w:lang w:val="en-US" w:eastAsia="zh-CN" w:bidi="ar"/>
                    </w:rPr>
                    <w:t>300</w:t>
                  </w:r>
                </w:p>
              </w:tc>
            </w:tr>
            <w:tr w14:paraId="2796D1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388" w:type="pct"/>
                  <w:tcBorders>
                    <w:tl2br w:val="nil"/>
                    <w:tr2bl w:val="nil"/>
                  </w:tcBorders>
                  <w:noWrap w:val="0"/>
                  <w:vAlign w:val="center"/>
                </w:tcPr>
                <w:p w14:paraId="749251CB">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5</w:t>
                  </w:r>
                </w:p>
              </w:tc>
              <w:tc>
                <w:tcPr>
                  <w:tcW w:w="573" w:type="pct"/>
                  <w:tcBorders>
                    <w:tl2br w:val="nil"/>
                    <w:tr2bl w:val="nil"/>
                  </w:tcBorders>
                  <w:noWrap w:val="0"/>
                  <w:vAlign w:val="center"/>
                </w:tcPr>
                <w:p w14:paraId="23E2675B">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NH</w:t>
                  </w:r>
                  <w:r>
                    <w:rPr>
                      <w:rFonts w:hint="eastAsia" w:ascii="Times New Roman" w:hAnsi="Times New Roman" w:eastAsia="宋体" w:cs="Times New Roman"/>
                      <w:b w:val="0"/>
                      <w:bCs w:val="0"/>
                      <w:color w:val="auto"/>
                      <w:kern w:val="0"/>
                      <w:sz w:val="21"/>
                      <w:szCs w:val="21"/>
                      <w:highlight w:val="none"/>
                      <w:vertAlign w:val="subscript"/>
                      <w:lang w:val="en-US" w:eastAsia="zh-CN" w:bidi="ar"/>
                    </w:rPr>
                    <w:t>3</w:t>
                  </w:r>
                  <w:r>
                    <w:rPr>
                      <w:rFonts w:hint="eastAsia" w:ascii="Times New Roman" w:hAnsi="Times New Roman" w:eastAsia="宋体" w:cs="Times New Roman"/>
                      <w:b w:val="0"/>
                      <w:bCs w:val="0"/>
                      <w:color w:val="auto"/>
                      <w:kern w:val="0"/>
                      <w:sz w:val="21"/>
                      <w:szCs w:val="21"/>
                      <w:highlight w:val="none"/>
                      <w:lang w:val="en-US" w:eastAsia="zh-CN" w:bidi="ar"/>
                    </w:rPr>
                    <w:t>-N</w:t>
                  </w:r>
                </w:p>
              </w:tc>
              <w:tc>
                <w:tcPr>
                  <w:tcW w:w="1242" w:type="pct"/>
                  <w:tcBorders>
                    <w:tl2br w:val="nil"/>
                    <w:tr2bl w:val="nil"/>
                  </w:tcBorders>
                  <w:noWrap w:val="0"/>
                  <w:vAlign w:val="center"/>
                </w:tcPr>
                <w:p w14:paraId="689C9251">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w:t>
                  </w:r>
                </w:p>
              </w:tc>
              <w:tc>
                <w:tcPr>
                  <w:tcW w:w="1207" w:type="pct"/>
                  <w:tcBorders>
                    <w:tl2br w:val="nil"/>
                    <w:tr2bl w:val="nil"/>
                  </w:tcBorders>
                  <w:noWrap w:val="0"/>
                  <w:vAlign w:val="center"/>
                </w:tcPr>
                <w:p w14:paraId="70102E53">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b w:val="0"/>
                      <w:bCs w:val="0"/>
                      <w:color w:val="auto"/>
                      <w:kern w:val="0"/>
                      <w:sz w:val="21"/>
                      <w:szCs w:val="21"/>
                      <w:highlight w:val="none"/>
                      <w:lang w:val="en-US" w:eastAsia="zh-CN" w:bidi="ar"/>
                    </w:rPr>
                  </w:pPr>
                  <w:r>
                    <w:rPr>
                      <w:rFonts w:hint="eastAsia" w:cs="Times New Roman"/>
                      <w:b w:val="0"/>
                      <w:bCs w:val="0"/>
                      <w:color w:val="auto"/>
                      <w:kern w:val="0"/>
                      <w:sz w:val="21"/>
                      <w:szCs w:val="21"/>
                      <w:highlight w:val="none"/>
                      <w:lang w:val="en-US" w:eastAsia="zh-CN" w:bidi="ar"/>
                    </w:rPr>
                    <w:t>45</w:t>
                  </w:r>
                </w:p>
              </w:tc>
              <w:tc>
                <w:tcPr>
                  <w:tcW w:w="1112" w:type="pct"/>
                  <w:tcBorders>
                    <w:tl2br w:val="nil"/>
                    <w:tr2bl w:val="nil"/>
                  </w:tcBorders>
                  <w:noWrap w:val="0"/>
                  <w:vAlign w:val="center"/>
                </w:tcPr>
                <w:p w14:paraId="2DA778B9">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cs="Times New Roman"/>
                      <w:b w:val="0"/>
                      <w:bCs w:val="0"/>
                      <w:color w:val="auto"/>
                      <w:kern w:val="0"/>
                      <w:sz w:val="21"/>
                      <w:szCs w:val="21"/>
                      <w:highlight w:val="none"/>
                      <w:lang w:val="en-US" w:eastAsia="zh-CN" w:bidi="ar"/>
                    </w:rPr>
                  </w:pPr>
                  <w:r>
                    <w:rPr>
                      <w:rFonts w:hint="default" w:ascii="Times New Roman" w:hAnsi="Times New Roman" w:cs="Times New Roman"/>
                      <w:b w:val="0"/>
                      <w:bCs w:val="0"/>
                      <w:color w:val="auto"/>
                      <w:sz w:val="21"/>
                      <w:szCs w:val="21"/>
                      <w:highlight w:val="none"/>
                      <w:lang w:bidi="ar"/>
                    </w:rPr>
                    <w:t>35</w:t>
                  </w:r>
                </w:p>
              </w:tc>
              <w:tc>
                <w:tcPr>
                  <w:tcW w:w="474" w:type="pct"/>
                  <w:tcBorders>
                    <w:tl2br w:val="nil"/>
                    <w:tr2bl w:val="nil"/>
                  </w:tcBorders>
                  <w:noWrap w:val="0"/>
                  <w:vAlign w:val="center"/>
                </w:tcPr>
                <w:p w14:paraId="4FC3598D">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b w:val="0"/>
                      <w:bCs w:val="0"/>
                      <w:color w:val="auto"/>
                      <w:kern w:val="0"/>
                      <w:sz w:val="21"/>
                      <w:szCs w:val="21"/>
                      <w:highlight w:val="none"/>
                      <w:lang w:val="en-US" w:eastAsia="zh-CN" w:bidi="ar"/>
                    </w:rPr>
                  </w:pPr>
                  <w:r>
                    <w:rPr>
                      <w:rFonts w:hint="eastAsia" w:cs="Times New Roman"/>
                      <w:b w:val="0"/>
                      <w:bCs w:val="0"/>
                      <w:color w:val="auto"/>
                      <w:kern w:val="0"/>
                      <w:sz w:val="21"/>
                      <w:szCs w:val="21"/>
                      <w:highlight w:val="none"/>
                      <w:lang w:val="en-US" w:eastAsia="zh-CN" w:bidi="ar"/>
                    </w:rPr>
                    <w:t>35</w:t>
                  </w:r>
                </w:p>
              </w:tc>
            </w:tr>
            <w:tr w14:paraId="7B7923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388" w:type="pct"/>
                  <w:tcBorders>
                    <w:tl2br w:val="nil"/>
                    <w:tr2bl w:val="nil"/>
                  </w:tcBorders>
                  <w:noWrap w:val="0"/>
                  <w:vAlign w:val="center"/>
                </w:tcPr>
                <w:p w14:paraId="174B7573">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b w:val="0"/>
                      <w:bCs w:val="0"/>
                      <w:color w:val="auto"/>
                      <w:kern w:val="0"/>
                      <w:sz w:val="21"/>
                      <w:szCs w:val="21"/>
                      <w:highlight w:val="none"/>
                      <w:lang w:val="en-US" w:eastAsia="zh-CN" w:bidi="ar"/>
                    </w:rPr>
                  </w:pPr>
                  <w:r>
                    <w:rPr>
                      <w:rFonts w:hint="eastAsia" w:cs="Times New Roman"/>
                      <w:b w:val="0"/>
                      <w:bCs w:val="0"/>
                      <w:color w:val="auto"/>
                      <w:kern w:val="0"/>
                      <w:sz w:val="21"/>
                      <w:szCs w:val="21"/>
                      <w:highlight w:val="none"/>
                      <w:lang w:val="en-US" w:eastAsia="zh-CN" w:bidi="ar"/>
                    </w:rPr>
                    <w:t>6</w:t>
                  </w:r>
                </w:p>
              </w:tc>
              <w:tc>
                <w:tcPr>
                  <w:tcW w:w="573" w:type="pct"/>
                  <w:tcBorders>
                    <w:tl2br w:val="nil"/>
                    <w:tr2bl w:val="nil"/>
                  </w:tcBorders>
                  <w:noWrap w:val="0"/>
                  <w:vAlign w:val="center"/>
                </w:tcPr>
                <w:p w14:paraId="00F59A57">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cs="Times New Roman"/>
                      <w:b w:val="0"/>
                      <w:bCs w:val="0"/>
                      <w:color w:val="auto"/>
                      <w:kern w:val="0"/>
                      <w:sz w:val="21"/>
                      <w:szCs w:val="21"/>
                      <w:highlight w:val="none"/>
                      <w:lang w:val="en-US" w:eastAsia="zh-CN" w:bidi="ar"/>
                    </w:rPr>
                    <w:t>动植物油</w:t>
                  </w:r>
                </w:p>
              </w:tc>
              <w:tc>
                <w:tcPr>
                  <w:tcW w:w="1242" w:type="pct"/>
                  <w:tcBorders>
                    <w:tl2br w:val="nil"/>
                    <w:tr2bl w:val="nil"/>
                  </w:tcBorders>
                  <w:noWrap w:val="0"/>
                  <w:vAlign w:val="center"/>
                </w:tcPr>
                <w:p w14:paraId="68F2CBFA">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color w:val="auto"/>
                      <w:sz w:val="21"/>
                      <w:szCs w:val="21"/>
                    </w:rPr>
                    <w:t>100</w:t>
                  </w:r>
                </w:p>
              </w:tc>
              <w:tc>
                <w:tcPr>
                  <w:tcW w:w="1207" w:type="pct"/>
                  <w:tcBorders>
                    <w:tl2br w:val="nil"/>
                    <w:tr2bl w:val="nil"/>
                  </w:tcBorders>
                  <w:noWrap w:val="0"/>
                  <w:vAlign w:val="center"/>
                </w:tcPr>
                <w:p w14:paraId="16CC16C1">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cs="Times New Roman"/>
                      <w:b w:val="0"/>
                      <w:bCs w:val="0"/>
                      <w:color w:val="auto"/>
                      <w:kern w:val="0"/>
                      <w:sz w:val="21"/>
                      <w:szCs w:val="21"/>
                      <w:highlight w:val="none"/>
                      <w:lang w:val="en-US" w:eastAsia="zh-CN" w:bidi="ar"/>
                    </w:rPr>
                  </w:pPr>
                  <w:r>
                    <w:rPr>
                      <w:rFonts w:hint="eastAsia"/>
                      <w:color w:val="auto"/>
                      <w:sz w:val="21"/>
                      <w:szCs w:val="21"/>
                    </w:rPr>
                    <w:t>100</w:t>
                  </w:r>
                </w:p>
              </w:tc>
              <w:tc>
                <w:tcPr>
                  <w:tcW w:w="1112" w:type="pct"/>
                  <w:tcBorders>
                    <w:tl2br w:val="nil"/>
                    <w:tr2bl w:val="nil"/>
                  </w:tcBorders>
                  <w:noWrap w:val="0"/>
                  <w:vAlign w:val="center"/>
                </w:tcPr>
                <w:p w14:paraId="76CEB434">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color w:val="auto"/>
                      <w:sz w:val="21"/>
                      <w:szCs w:val="21"/>
                    </w:rPr>
                  </w:pPr>
                  <w:r>
                    <w:rPr>
                      <w:rFonts w:hint="eastAsia" w:ascii="Times New Roman" w:hAnsi="Times New Roman" w:eastAsia="宋体" w:cs="Times New Roman"/>
                      <w:b w:val="0"/>
                      <w:bCs w:val="0"/>
                      <w:color w:val="auto"/>
                      <w:kern w:val="0"/>
                      <w:sz w:val="21"/>
                      <w:szCs w:val="21"/>
                      <w:highlight w:val="none"/>
                      <w:lang w:val="en-US" w:eastAsia="zh-CN" w:bidi="ar"/>
                    </w:rPr>
                    <w:t>/</w:t>
                  </w:r>
                </w:p>
              </w:tc>
              <w:tc>
                <w:tcPr>
                  <w:tcW w:w="474" w:type="pct"/>
                  <w:tcBorders>
                    <w:tl2br w:val="nil"/>
                    <w:tr2bl w:val="nil"/>
                  </w:tcBorders>
                  <w:noWrap w:val="0"/>
                  <w:vAlign w:val="center"/>
                </w:tcPr>
                <w:p w14:paraId="612D618D">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cs="Times New Roman"/>
                      <w:b w:val="0"/>
                      <w:bCs w:val="0"/>
                      <w:color w:val="auto"/>
                      <w:kern w:val="0"/>
                      <w:sz w:val="21"/>
                      <w:szCs w:val="21"/>
                      <w:highlight w:val="none"/>
                      <w:lang w:val="en-US" w:eastAsia="zh-CN" w:bidi="ar"/>
                    </w:rPr>
                  </w:pPr>
                  <w:r>
                    <w:rPr>
                      <w:rFonts w:hint="eastAsia"/>
                      <w:color w:val="auto"/>
                      <w:sz w:val="21"/>
                      <w:szCs w:val="21"/>
                    </w:rPr>
                    <w:t>100</w:t>
                  </w:r>
                </w:p>
              </w:tc>
            </w:tr>
          </w:tbl>
          <w:p w14:paraId="11F8D732">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jc w:val="both"/>
              <w:textAlignment w:val="auto"/>
              <w:rPr>
                <w:rFonts w:hint="default" w:ascii="Times New Roman" w:hAnsi="Times New Roman" w:eastAsia="宋体" w:cs="Times New Roman"/>
                <w:b w:val="0"/>
                <w:bCs w:val="0"/>
                <w:kern w:val="0"/>
                <w:szCs w:val="21"/>
                <w:highlight w:val="none"/>
              </w:rPr>
            </w:pPr>
            <w:r>
              <w:rPr>
                <w:rFonts w:hint="eastAsia" w:ascii="Times New Roman" w:hAnsi="Times New Roman" w:eastAsia="宋体" w:cs="Times New Roman"/>
                <w:b w:val="0"/>
                <w:bCs w:val="0"/>
                <w:kern w:val="0"/>
                <w:szCs w:val="21"/>
                <w:highlight w:val="none"/>
                <w:lang w:eastAsia="zh-CN"/>
              </w:rPr>
              <w:t>（</w:t>
            </w:r>
            <w:r>
              <w:rPr>
                <w:rFonts w:hint="eastAsia" w:ascii="Times New Roman" w:hAnsi="Times New Roman" w:eastAsia="宋体" w:cs="Times New Roman"/>
                <w:b w:val="0"/>
                <w:bCs w:val="0"/>
                <w:kern w:val="0"/>
                <w:szCs w:val="21"/>
                <w:highlight w:val="none"/>
                <w:lang w:val="en-US" w:eastAsia="zh-CN"/>
              </w:rPr>
              <w:t>3</w:t>
            </w:r>
            <w:r>
              <w:rPr>
                <w:rFonts w:hint="eastAsia" w:ascii="Times New Roman" w:hAnsi="Times New Roman" w:eastAsia="宋体" w:cs="Times New Roman"/>
                <w:b w:val="0"/>
                <w:bCs w:val="0"/>
                <w:kern w:val="0"/>
                <w:szCs w:val="21"/>
                <w:highlight w:val="none"/>
                <w:lang w:eastAsia="zh-CN"/>
              </w:rPr>
              <w:t>）</w:t>
            </w:r>
            <w:r>
              <w:rPr>
                <w:rFonts w:hint="default" w:ascii="Times New Roman" w:hAnsi="Times New Roman" w:eastAsia="宋体" w:cs="Times New Roman"/>
                <w:b w:val="0"/>
                <w:bCs w:val="0"/>
                <w:kern w:val="0"/>
                <w:szCs w:val="21"/>
                <w:highlight w:val="none"/>
              </w:rPr>
              <w:t>噪声</w:t>
            </w:r>
          </w:p>
          <w:p w14:paraId="34B6D1F6">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jc w:val="both"/>
              <w:textAlignment w:val="auto"/>
              <w:rPr>
                <w:rFonts w:hint="default" w:ascii="Times New Roman" w:hAnsi="Times New Roman" w:cs="Times New Roman"/>
                <w:kern w:val="0"/>
                <w:szCs w:val="21"/>
                <w:highlight w:val="none"/>
              </w:rPr>
            </w:pPr>
            <w:r>
              <w:rPr>
                <w:rFonts w:hint="default" w:ascii="Times New Roman" w:hAnsi="Times New Roman" w:eastAsia="宋体" w:cs="Times New Roman"/>
                <w:b w:val="0"/>
                <w:bCs w:val="0"/>
                <w:kern w:val="0"/>
                <w:szCs w:val="21"/>
                <w:highlight w:val="none"/>
              </w:rPr>
              <w:t>本项目厂界噪声执行《工业企业厂界环境噪声排放标准》（GB12348-2008）中</w:t>
            </w:r>
            <w:r>
              <w:rPr>
                <w:rFonts w:hint="eastAsia" w:ascii="Times New Roman" w:hAnsi="Times New Roman" w:eastAsia="宋体" w:cs="Times New Roman"/>
                <w:b w:val="0"/>
                <w:bCs w:val="0"/>
                <w:kern w:val="0"/>
                <w:szCs w:val="21"/>
                <w:highlight w:val="none"/>
                <w:lang w:val="en-US" w:eastAsia="zh-CN"/>
              </w:rPr>
              <w:t>3</w:t>
            </w:r>
            <w:r>
              <w:rPr>
                <w:rFonts w:hint="default" w:ascii="Times New Roman" w:hAnsi="Times New Roman" w:eastAsia="宋体" w:cs="Times New Roman"/>
                <w:b w:val="0"/>
                <w:bCs w:val="0"/>
                <w:kern w:val="0"/>
                <w:szCs w:val="21"/>
                <w:highlight w:val="none"/>
              </w:rPr>
              <w:t>类标准</w:t>
            </w:r>
            <w:r>
              <w:rPr>
                <w:rFonts w:hint="eastAsia" w:ascii="Times New Roman" w:hAnsi="Times New Roman" w:eastAsia="宋体" w:cs="Times New Roman"/>
                <w:b w:val="0"/>
                <w:bCs w:val="0"/>
                <w:kern w:val="0"/>
                <w:szCs w:val="21"/>
                <w:highlight w:val="none"/>
                <w:lang w:eastAsia="zh-CN"/>
              </w:rPr>
              <w:t>：</w:t>
            </w:r>
            <w:r>
              <w:rPr>
                <w:rFonts w:hint="default" w:ascii="Times New Roman" w:hAnsi="Times New Roman" w:cs="Times New Roman"/>
                <w:kern w:val="0"/>
                <w:szCs w:val="21"/>
                <w:highlight w:val="none"/>
              </w:rPr>
              <w:t>昼间</w:t>
            </w:r>
            <w:r>
              <w:rPr>
                <w:rFonts w:hint="eastAsia" w:cs="Times New Roman"/>
                <w:kern w:val="0"/>
                <w:szCs w:val="21"/>
                <w:highlight w:val="none"/>
                <w:lang w:val="en-US" w:eastAsia="zh-CN"/>
              </w:rPr>
              <w:t>65</w:t>
            </w:r>
            <w:r>
              <w:rPr>
                <w:rFonts w:hint="default" w:ascii="Times New Roman" w:hAnsi="Times New Roman" w:cs="Times New Roman"/>
                <w:kern w:val="0"/>
                <w:szCs w:val="21"/>
                <w:highlight w:val="none"/>
              </w:rPr>
              <w:t>dB(A)、夜间5</w:t>
            </w:r>
            <w:r>
              <w:rPr>
                <w:rFonts w:hint="eastAsia" w:cs="Times New Roman"/>
                <w:kern w:val="0"/>
                <w:szCs w:val="21"/>
                <w:highlight w:val="none"/>
                <w:lang w:val="en-US" w:eastAsia="zh-CN"/>
              </w:rPr>
              <w:t>5</w:t>
            </w:r>
            <w:r>
              <w:rPr>
                <w:rFonts w:hint="default" w:ascii="Times New Roman" w:hAnsi="Times New Roman" w:cs="Times New Roman"/>
                <w:kern w:val="0"/>
                <w:szCs w:val="21"/>
                <w:highlight w:val="none"/>
              </w:rPr>
              <w:t>dB(A)。</w:t>
            </w:r>
          </w:p>
          <w:p w14:paraId="01F6ABBD">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jc w:val="both"/>
              <w:textAlignment w:val="auto"/>
              <w:rPr>
                <w:rFonts w:hint="default" w:ascii="Times New Roman" w:hAnsi="Times New Roman" w:cs="Times New Roman"/>
                <w:b w:val="0"/>
                <w:bCs w:val="0"/>
                <w:kern w:val="0"/>
                <w:szCs w:val="21"/>
                <w:highlight w:val="none"/>
              </w:rPr>
            </w:pPr>
            <w:r>
              <w:rPr>
                <w:rFonts w:hint="eastAsia" w:cs="Times New Roman"/>
                <w:b w:val="0"/>
                <w:bCs w:val="0"/>
                <w:kern w:val="0"/>
                <w:szCs w:val="21"/>
                <w:highlight w:val="none"/>
                <w:lang w:eastAsia="zh-CN"/>
              </w:rPr>
              <w:t>（</w:t>
            </w:r>
            <w:r>
              <w:rPr>
                <w:rFonts w:hint="eastAsia" w:cs="Times New Roman"/>
                <w:b w:val="0"/>
                <w:bCs w:val="0"/>
                <w:kern w:val="0"/>
                <w:szCs w:val="21"/>
                <w:highlight w:val="none"/>
                <w:lang w:val="en-US" w:eastAsia="zh-CN"/>
              </w:rPr>
              <w:t>4</w:t>
            </w:r>
            <w:r>
              <w:rPr>
                <w:rFonts w:hint="eastAsia" w:cs="Times New Roman"/>
                <w:b w:val="0"/>
                <w:bCs w:val="0"/>
                <w:kern w:val="0"/>
                <w:szCs w:val="21"/>
                <w:highlight w:val="none"/>
                <w:lang w:eastAsia="zh-CN"/>
              </w:rPr>
              <w:t>）</w:t>
            </w:r>
            <w:r>
              <w:rPr>
                <w:rFonts w:hint="default" w:ascii="Times New Roman" w:hAnsi="Times New Roman" w:cs="Times New Roman"/>
                <w:b w:val="0"/>
                <w:bCs w:val="0"/>
                <w:kern w:val="0"/>
                <w:szCs w:val="21"/>
                <w:highlight w:val="none"/>
              </w:rPr>
              <w:t>固废</w:t>
            </w:r>
          </w:p>
          <w:p w14:paraId="2528D829">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jc w:val="both"/>
              <w:textAlignment w:val="auto"/>
              <w:rPr>
                <w:rFonts w:hint="default" w:ascii="Times New Roman" w:hAnsi="Times New Roman" w:cs="Times New Roman"/>
                <w:kern w:val="0"/>
                <w:szCs w:val="21"/>
                <w:highlight w:val="none"/>
              </w:rPr>
            </w:pPr>
            <w:r>
              <w:rPr>
                <w:rFonts w:hint="default" w:ascii="Times New Roman" w:hAnsi="Times New Roman" w:eastAsia="宋体" w:cs="Times New Roman"/>
                <w:kern w:val="0"/>
                <w:szCs w:val="21"/>
                <w:highlight w:val="none"/>
              </w:rPr>
              <w:t>一般固废临时贮存满足《中华人民共和国固体废物污染环境防治法》(2020年修订)</w:t>
            </w:r>
            <w:r>
              <w:rPr>
                <w:rFonts w:hint="eastAsia" w:cs="Times New Roman"/>
                <w:kern w:val="0"/>
                <w:szCs w:val="21"/>
                <w:highlight w:val="none"/>
                <w:lang w:eastAsia="zh-CN"/>
              </w:rPr>
              <w:t>、</w:t>
            </w:r>
            <w:r>
              <w:rPr>
                <w:rFonts w:hint="eastAsia"/>
                <w:b w:val="0"/>
                <w:bCs/>
                <w:color w:val="auto"/>
                <w:sz w:val="24"/>
                <w:highlight w:val="none"/>
                <w:lang w:val="en-US" w:eastAsia="zh-CN"/>
              </w:rPr>
              <w:t>《</w:t>
            </w:r>
            <w:r>
              <w:rPr>
                <w:rFonts w:hint="default"/>
                <w:b w:val="0"/>
                <w:bCs/>
                <w:color w:val="auto"/>
                <w:sz w:val="24"/>
                <w:highlight w:val="none"/>
                <w:lang w:val="en-US" w:eastAsia="zh-CN"/>
              </w:rPr>
              <w:t>排污许可证申请</w:t>
            </w:r>
            <w:r>
              <w:rPr>
                <w:rFonts w:hint="eastAsia"/>
                <w:b w:val="0"/>
                <w:bCs/>
                <w:color w:val="auto"/>
                <w:sz w:val="24"/>
                <w:highlight w:val="none"/>
                <w:lang w:val="en-US" w:eastAsia="zh-CN"/>
              </w:rPr>
              <w:t>与核发技术规范 工业固体废物（试行）》（HJ1200-2021）</w:t>
            </w:r>
            <w:r>
              <w:rPr>
                <w:rFonts w:hint="eastAsia" w:ascii="Times New Roman" w:hAnsi="Times New Roman" w:eastAsia="宋体" w:cs="Times New Roman"/>
                <w:kern w:val="0"/>
                <w:szCs w:val="21"/>
                <w:highlight w:val="none"/>
                <w:lang w:val="en-US" w:eastAsia="zh-CN"/>
              </w:rPr>
              <w:t>《一般工业固体废物贮存和填埋污染控制标准》（</w:t>
            </w:r>
            <w:r>
              <w:rPr>
                <w:rFonts w:hint="default" w:ascii="Times New Roman" w:hAnsi="Times New Roman" w:eastAsia="宋体" w:cs="Times New Roman"/>
                <w:kern w:val="0"/>
                <w:szCs w:val="21"/>
                <w:highlight w:val="none"/>
                <w:lang w:val="en-US" w:eastAsia="zh-CN"/>
              </w:rPr>
              <w:t>GB18599-2020</w:t>
            </w:r>
            <w:r>
              <w:rPr>
                <w:rFonts w:hint="eastAsia" w:ascii="Times New Roman" w:hAnsi="Times New Roman" w:eastAsia="宋体" w:cs="Times New Roman"/>
                <w:kern w:val="0"/>
                <w:szCs w:val="21"/>
                <w:highlight w:val="none"/>
                <w:lang w:val="en-US" w:eastAsia="zh-CN"/>
              </w:rPr>
              <w:t>）</w:t>
            </w:r>
            <w:r>
              <w:rPr>
                <w:rFonts w:hint="default" w:ascii="Times New Roman" w:hAnsi="Times New Roman" w:cs="Times New Roman"/>
                <w:kern w:val="0"/>
                <w:szCs w:val="21"/>
                <w:highlight w:val="none"/>
              </w:rPr>
              <w:t>相关要求。</w:t>
            </w:r>
          </w:p>
          <w:p w14:paraId="3EAC572E">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jc w:val="both"/>
              <w:textAlignment w:val="auto"/>
              <w:rPr>
                <w:color w:val="auto"/>
                <w:sz w:val="24"/>
              </w:rPr>
            </w:pPr>
            <w:r>
              <w:rPr>
                <w:color w:val="auto"/>
                <w:sz w:val="24"/>
              </w:rPr>
              <w:t>危险废物处置执行《危险废物贮存污染控制标准》（GB18597-2023）、《危险废物收集、贮存、运输技术规范》（HJ2025-2012）相关规定。</w:t>
            </w:r>
          </w:p>
          <w:p w14:paraId="3B5D7017">
            <w:pPr>
              <w:keepNext w:val="0"/>
              <w:keepLines w:val="0"/>
              <w:pageBreakBefore w:val="0"/>
              <w:widowControl w:val="0"/>
              <w:kinsoku/>
              <w:wordWrap/>
              <w:overflowPunct/>
              <w:topLinePunct w:val="0"/>
              <w:autoSpaceDE/>
              <w:autoSpaceDN/>
              <w:bidi w:val="0"/>
              <w:adjustRightInd w:val="0"/>
              <w:snapToGrid w:val="0"/>
              <w:spacing w:line="480" w:lineRule="exact"/>
              <w:ind w:firstLine="480" w:firstLineChars="200"/>
              <w:jc w:val="both"/>
              <w:textAlignment w:val="auto"/>
              <w:rPr>
                <w:color w:val="auto"/>
                <w:sz w:val="24"/>
              </w:rPr>
            </w:pPr>
          </w:p>
          <w:p w14:paraId="16997D6E">
            <w:pPr>
              <w:keepNext w:val="0"/>
              <w:keepLines w:val="0"/>
              <w:pageBreakBefore w:val="0"/>
              <w:widowControl w:val="0"/>
              <w:kinsoku/>
              <w:wordWrap/>
              <w:overflowPunct/>
              <w:topLinePunct w:val="0"/>
              <w:autoSpaceDE/>
              <w:autoSpaceDN/>
              <w:bidi w:val="0"/>
              <w:adjustRightInd w:val="0"/>
              <w:snapToGrid w:val="0"/>
              <w:spacing w:line="480" w:lineRule="exact"/>
              <w:ind w:firstLine="480" w:firstLineChars="200"/>
              <w:jc w:val="both"/>
              <w:textAlignment w:val="auto"/>
              <w:rPr>
                <w:color w:val="auto"/>
                <w:sz w:val="24"/>
              </w:rPr>
            </w:pPr>
          </w:p>
          <w:p w14:paraId="49F744AD">
            <w:pPr>
              <w:keepNext w:val="0"/>
              <w:keepLines w:val="0"/>
              <w:pageBreakBefore w:val="0"/>
              <w:widowControl w:val="0"/>
              <w:kinsoku/>
              <w:wordWrap/>
              <w:overflowPunct/>
              <w:topLinePunct w:val="0"/>
              <w:autoSpaceDE/>
              <w:autoSpaceDN/>
              <w:bidi w:val="0"/>
              <w:adjustRightInd w:val="0"/>
              <w:snapToGrid w:val="0"/>
              <w:spacing w:line="480" w:lineRule="exact"/>
              <w:ind w:firstLine="480" w:firstLineChars="200"/>
              <w:jc w:val="both"/>
              <w:textAlignment w:val="auto"/>
              <w:rPr>
                <w:color w:val="auto"/>
                <w:sz w:val="24"/>
              </w:rPr>
            </w:pPr>
          </w:p>
          <w:p w14:paraId="4D73C3B9">
            <w:pPr>
              <w:keepNext w:val="0"/>
              <w:keepLines w:val="0"/>
              <w:pageBreakBefore w:val="0"/>
              <w:widowControl w:val="0"/>
              <w:kinsoku/>
              <w:wordWrap/>
              <w:overflowPunct/>
              <w:topLinePunct w:val="0"/>
              <w:autoSpaceDE/>
              <w:autoSpaceDN/>
              <w:bidi w:val="0"/>
              <w:adjustRightInd w:val="0"/>
              <w:snapToGrid w:val="0"/>
              <w:spacing w:line="480" w:lineRule="exact"/>
              <w:ind w:firstLine="480" w:firstLineChars="200"/>
              <w:jc w:val="both"/>
              <w:textAlignment w:val="auto"/>
              <w:rPr>
                <w:color w:val="auto"/>
                <w:sz w:val="24"/>
              </w:rPr>
            </w:pPr>
          </w:p>
          <w:p w14:paraId="57929A28">
            <w:pPr>
              <w:keepNext w:val="0"/>
              <w:keepLines w:val="0"/>
              <w:pageBreakBefore w:val="0"/>
              <w:widowControl w:val="0"/>
              <w:kinsoku/>
              <w:wordWrap/>
              <w:overflowPunct/>
              <w:topLinePunct w:val="0"/>
              <w:autoSpaceDE/>
              <w:autoSpaceDN/>
              <w:bidi w:val="0"/>
              <w:adjustRightInd w:val="0"/>
              <w:snapToGrid w:val="0"/>
              <w:spacing w:line="480" w:lineRule="exact"/>
              <w:ind w:firstLine="480" w:firstLineChars="200"/>
              <w:jc w:val="both"/>
              <w:textAlignment w:val="auto"/>
              <w:rPr>
                <w:color w:val="auto"/>
                <w:sz w:val="24"/>
              </w:rPr>
            </w:pPr>
          </w:p>
          <w:p w14:paraId="00FBEEDD">
            <w:pPr>
              <w:keepNext w:val="0"/>
              <w:keepLines w:val="0"/>
              <w:pageBreakBefore w:val="0"/>
              <w:widowControl w:val="0"/>
              <w:kinsoku/>
              <w:wordWrap/>
              <w:overflowPunct/>
              <w:topLinePunct w:val="0"/>
              <w:autoSpaceDE/>
              <w:autoSpaceDN/>
              <w:bidi w:val="0"/>
              <w:adjustRightInd w:val="0"/>
              <w:snapToGrid w:val="0"/>
              <w:spacing w:line="480" w:lineRule="exact"/>
              <w:ind w:firstLine="480" w:firstLineChars="200"/>
              <w:jc w:val="both"/>
              <w:textAlignment w:val="auto"/>
              <w:rPr>
                <w:rFonts w:hint="eastAsia"/>
                <w:color w:val="auto"/>
                <w:sz w:val="24"/>
                <w:lang w:eastAsia="zh-CN"/>
              </w:rPr>
            </w:pPr>
          </w:p>
          <w:p w14:paraId="1191E7E0">
            <w:pPr>
              <w:keepNext w:val="0"/>
              <w:keepLines w:val="0"/>
              <w:pageBreakBefore w:val="0"/>
              <w:widowControl w:val="0"/>
              <w:kinsoku/>
              <w:wordWrap/>
              <w:overflowPunct/>
              <w:topLinePunct w:val="0"/>
              <w:autoSpaceDE/>
              <w:autoSpaceDN/>
              <w:bidi w:val="0"/>
              <w:adjustRightInd w:val="0"/>
              <w:snapToGrid w:val="0"/>
              <w:spacing w:line="480" w:lineRule="exact"/>
              <w:ind w:firstLine="480" w:firstLineChars="200"/>
              <w:jc w:val="both"/>
              <w:textAlignment w:val="auto"/>
              <w:rPr>
                <w:rFonts w:hint="eastAsia"/>
                <w:color w:val="auto"/>
                <w:sz w:val="24"/>
                <w:lang w:eastAsia="zh-CN"/>
              </w:rPr>
            </w:pPr>
          </w:p>
          <w:p w14:paraId="037816F5">
            <w:pPr>
              <w:keepNext w:val="0"/>
              <w:keepLines w:val="0"/>
              <w:pageBreakBefore w:val="0"/>
              <w:widowControl w:val="0"/>
              <w:kinsoku/>
              <w:wordWrap/>
              <w:overflowPunct/>
              <w:topLinePunct w:val="0"/>
              <w:autoSpaceDE/>
              <w:autoSpaceDN/>
              <w:bidi w:val="0"/>
              <w:adjustRightInd w:val="0"/>
              <w:snapToGrid w:val="0"/>
              <w:spacing w:line="480" w:lineRule="exact"/>
              <w:ind w:firstLine="480" w:firstLineChars="200"/>
              <w:jc w:val="both"/>
              <w:textAlignment w:val="auto"/>
              <w:rPr>
                <w:rFonts w:hint="eastAsia"/>
                <w:color w:val="auto"/>
                <w:sz w:val="24"/>
                <w:lang w:eastAsia="zh-CN"/>
              </w:rPr>
            </w:pPr>
          </w:p>
          <w:p w14:paraId="4F5A326B">
            <w:pPr>
              <w:keepNext w:val="0"/>
              <w:keepLines w:val="0"/>
              <w:pageBreakBefore w:val="0"/>
              <w:widowControl w:val="0"/>
              <w:kinsoku/>
              <w:wordWrap/>
              <w:overflowPunct/>
              <w:topLinePunct w:val="0"/>
              <w:autoSpaceDE/>
              <w:autoSpaceDN/>
              <w:bidi w:val="0"/>
              <w:adjustRightInd w:val="0"/>
              <w:snapToGrid w:val="0"/>
              <w:spacing w:line="480" w:lineRule="exact"/>
              <w:ind w:firstLine="480" w:firstLineChars="200"/>
              <w:jc w:val="both"/>
              <w:textAlignment w:val="auto"/>
              <w:rPr>
                <w:rFonts w:hint="eastAsia"/>
                <w:color w:val="auto"/>
                <w:sz w:val="24"/>
                <w:lang w:eastAsia="zh-CN"/>
              </w:rPr>
            </w:pPr>
          </w:p>
          <w:p w14:paraId="55852733">
            <w:pPr>
              <w:keepNext w:val="0"/>
              <w:keepLines w:val="0"/>
              <w:pageBreakBefore w:val="0"/>
              <w:widowControl w:val="0"/>
              <w:kinsoku/>
              <w:wordWrap/>
              <w:overflowPunct/>
              <w:topLinePunct w:val="0"/>
              <w:autoSpaceDE/>
              <w:autoSpaceDN/>
              <w:bidi w:val="0"/>
              <w:adjustRightInd w:val="0"/>
              <w:snapToGrid w:val="0"/>
              <w:spacing w:line="480" w:lineRule="exact"/>
              <w:ind w:firstLine="480" w:firstLineChars="200"/>
              <w:jc w:val="both"/>
              <w:textAlignment w:val="auto"/>
              <w:rPr>
                <w:rFonts w:hint="eastAsia"/>
                <w:color w:val="auto"/>
                <w:sz w:val="24"/>
                <w:lang w:eastAsia="zh-CN"/>
              </w:rPr>
            </w:pPr>
          </w:p>
          <w:p w14:paraId="29800244">
            <w:pPr>
              <w:keepNext w:val="0"/>
              <w:keepLines w:val="0"/>
              <w:pageBreakBefore w:val="0"/>
              <w:widowControl w:val="0"/>
              <w:kinsoku/>
              <w:wordWrap/>
              <w:overflowPunct/>
              <w:topLinePunct w:val="0"/>
              <w:autoSpaceDE/>
              <w:autoSpaceDN/>
              <w:bidi w:val="0"/>
              <w:adjustRightInd w:val="0"/>
              <w:snapToGrid w:val="0"/>
              <w:spacing w:line="480" w:lineRule="exact"/>
              <w:jc w:val="both"/>
              <w:textAlignment w:val="auto"/>
              <w:rPr>
                <w:rFonts w:hint="eastAsia"/>
                <w:color w:val="auto"/>
                <w:sz w:val="24"/>
                <w:lang w:eastAsia="zh-CN"/>
              </w:rPr>
            </w:pPr>
          </w:p>
        </w:tc>
      </w:tr>
      <w:tr w14:paraId="32F7FFE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330" w:hRule="atLeast"/>
          <w:jc w:val="center"/>
        </w:trPr>
        <w:tc>
          <w:tcPr>
            <w:tcW w:w="800" w:type="dxa"/>
            <w:noWrap w:val="0"/>
            <w:vAlign w:val="center"/>
          </w:tcPr>
          <w:p w14:paraId="432E62AD">
            <w:pPr>
              <w:adjustRightInd w:val="0"/>
              <w:snapToGrid w:val="0"/>
              <w:jc w:val="center"/>
              <w:rPr>
                <w:rFonts w:hint="eastAsia" w:ascii="宋体" w:hAnsi="宋体" w:cs="宋体"/>
                <w:kern w:val="0"/>
                <w:szCs w:val="21"/>
                <w:highlight w:val="none"/>
              </w:rPr>
            </w:pPr>
            <w:r>
              <w:rPr>
                <w:rFonts w:hint="eastAsia" w:ascii="宋体" w:hAnsi="宋体" w:cs="宋体"/>
                <w:kern w:val="0"/>
                <w:szCs w:val="21"/>
                <w:highlight w:val="none"/>
              </w:rPr>
              <w:t>总量</w:t>
            </w:r>
          </w:p>
          <w:p w14:paraId="14D1AFA6">
            <w:pPr>
              <w:adjustRightInd w:val="0"/>
              <w:snapToGrid w:val="0"/>
              <w:jc w:val="center"/>
              <w:rPr>
                <w:rFonts w:hint="eastAsia" w:ascii="宋体" w:hAnsi="宋体" w:cs="宋体"/>
                <w:kern w:val="0"/>
                <w:szCs w:val="21"/>
                <w:highlight w:val="none"/>
              </w:rPr>
            </w:pPr>
            <w:r>
              <w:rPr>
                <w:rFonts w:hint="eastAsia" w:ascii="宋体" w:hAnsi="宋体" w:cs="宋体"/>
                <w:kern w:val="0"/>
                <w:szCs w:val="21"/>
                <w:highlight w:val="none"/>
              </w:rPr>
              <w:t>控制</w:t>
            </w:r>
          </w:p>
          <w:p w14:paraId="3914265A">
            <w:pPr>
              <w:adjustRightInd w:val="0"/>
              <w:snapToGrid w:val="0"/>
              <w:jc w:val="center"/>
              <w:rPr>
                <w:rFonts w:ascii="宋体" w:hAnsi="宋体" w:cs="宋体"/>
                <w:kern w:val="0"/>
                <w:szCs w:val="21"/>
                <w:highlight w:val="none"/>
              </w:rPr>
            </w:pPr>
            <w:r>
              <w:rPr>
                <w:rFonts w:hint="eastAsia" w:ascii="宋体" w:hAnsi="宋体" w:cs="宋体"/>
                <w:kern w:val="0"/>
                <w:szCs w:val="21"/>
                <w:highlight w:val="none"/>
              </w:rPr>
              <w:t>指标</w:t>
            </w:r>
          </w:p>
        </w:tc>
        <w:tc>
          <w:tcPr>
            <w:tcW w:w="8190" w:type="dxa"/>
            <w:noWrap w:val="0"/>
            <w:vAlign w:val="center"/>
          </w:tcPr>
          <w:p w14:paraId="44E134A4">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ascii="宋体" w:hAnsi="宋体" w:eastAsia="宋体" w:cs="宋体"/>
                <w:b w:val="0"/>
                <w:bCs w:val="0"/>
                <w:color w:val="000000"/>
                <w:kern w:val="0"/>
                <w:sz w:val="24"/>
                <w:szCs w:val="24"/>
                <w:highlight w:val="none"/>
                <w:lang w:val="en-US" w:eastAsia="zh-CN" w:bidi="ar"/>
              </w:rPr>
            </w:pPr>
            <w:r>
              <w:rPr>
                <w:rFonts w:ascii="宋体" w:hAnsi="宋体" w:eastAsia="宋体" w:cs="宋体"/>
                <w:b w:val="0"/>
                <w:bCs w:val="0"/>
                <w:color w:val="000000"/>
                <w:kern w:val="0"/>
                <w:sz w:val="24"/>
                <w:szCs w:val="24"/>
                <w:highlight w:val="none"/>
                <w:lang w:val="en-US" w:eastAsia="zh-CN" w:bidi="ar"/>
              </w:rPr>
              <w:t>根据《国务院关于印发</w:t>
            </w:r>
            <w:r>
              <w:rPr>
                <w:rFonts w:hint="eastAsia" w:ascii="宋体" w:hAnsi="宋体" w:eastAsia="宋体" w:cs="宋体"/>
                <w:b w:val="0"/>
                <w:bCs w:val="0"/>
                <w:color w:val="000000"/>
                <w:kern w:val="0"/>
                <w:sz w:val="24"/>
                <w:szCs w:val="24"/>
                <w:highlight w:val="none"/>
                <w:lang w:val="en-US" w:eastAsia="zh-CN" w:bidi="ar"/>
              </w:rPr>
              <w:t>“十三五”</w:t>
            </w:r>
            <w:r>
              <w:rPr>
                <w:rFonts w:ascii="宋体" w:hAnsi="宋体" w:eastAsia="宋体" w:cs="宋体"/>
                <w:b w:val="0"/>
                <w:bCs w:val="0"/>
                <w:color w:val="000000"/>
                <w:kern w:val="0"/>
                <w:sz w:val="24"/>
                <w:szCs w:val="24"/>
                <w:highlight w:val="none"/>
                <w:lang w:val="en-US" w:eastAsia="zh-CN" w:bidi="ar"/>
              </w:rPr>
              <w:t>节能减排综合工作方案的通知》（国发〔</w:t>
            </w:r>
            <w:r>
              <w:rPr>
                <w:rFonts w:hint="default" w:ascii="TimesNewRomanPSMT" w:hAnsi="TimesNewRomanPSMT" w:eastAsia="TimesNewRomanPSMT" w:cs="TimesNewRomanPSMT"/>
                <w:b w:val="0"/>
                <w:bCs w:val="0"/>
                <w:color w:val="000000"/>
                <w:kern w:val="0"/>
                <w:sz w:val="24"/>
                <w:szCs w:val="24"/>
                <w:highlight w:val="none"/>
                <w:lang w:val="en-US" w:eastAsia="zh-CN" w:bidi="ar"/>
              </w:rPr>
              <w:t>2016</w:t>
            </w:r>
            <w:r>
              <w:rPr>
                <w:rFonts w:ascii="宋体" w:hAnsi="宋体" w:eastAsia="宋体" w:cs="宋体"/>
                <w:b w:val="0"/>
                <w:bCs w:val="0"/>
                <w:color w:val="000000"/>
                <w:kern w:val="0"/>
                <w:sz w:val="24"/>
                <w:szCs w:val="24"/>
                <w:highlight w:val="none"/>
                <w:lang w:val="en-US" w:eastAsia="zh-CN" w:bidi="ar"/>
              </w:rPr>
              <w:t>〕</w:t>
            </w:r>
            <w:r>
              <w:rPr>
                <w:rFonts w:hint="default" w:ascii="TimesNewRomanPSMT" w:hAnsi="TimesNewRomanPSMT" w:eastAsia="TimesNewRomanPSMT" w:cs="TimesNewRomanPSMT"/>
                <w:b w:val="0"/>
                <w:bCs w:val="0"/>
                <w:color w:val="000000"/>
                <w:kern w:val="0"/>
                <w:sz w:val="24"/>
                <w:szCs w:val="24"/>
                <w:highlight w:val="none"/>
                <w:lang w:val="en-US" w:eastAsia="zh-CN" w:bidi="ar"/>
              </w:rPr>
              <w:t>74</w:t>
            </w:r>
            <w:r>
              <w:rPr>
                <w:rFonts w:ascii="宋体" w:hAnsi="宋体" w:eastAsia="宋体" w:cs="宋体"/>
                <w:b w:val="0"/>
                <w:bCs w:val="0"/>
                <w:color w:val="000000"/>
                <w:kern w:val="0"/>
                <w:sz w:val="24"/>
                <w:szCs w:val="24"/>
                <w:highlight w:val="none"/>
                <w:lang w:val="en-US" w:eastAsia="zh-CN" w:bidi="ar"/>
              </w:rPr>
              <w:t>号）及河北省环境保护厅《关于启动做好</w:t>
            </w:r>
            <w:r>
              <w:rPr>
                <w:rFonts w:hint="eastAsia" w:ascii="宋体" w:hAnsi="宋体" w:eastAsia="宋体" w:cs="宋体"/>
                <w:b w:val="0"/>
                <w:bCs w:val="0"/>
                <w:color w:val="000000"/>
                <w:kern w:val="0"/>
                <w:sz w:val="24"/>
                <w:szCs w:val="24"/>
                <w:highlight w:val="none"/>
                <w:lang w:val="en-US" w:eastAsia="zh-CN" w:bidi="ar"/>
              </w:rPr>
              <w:t>“十三五”</w:t>
            </w:r>
            <w:r>
              <w:rPr>
                <w:rFonts w:ascii="宋体" w:hAnsi="宋体" w:eastAsia="宋体" w:cs="宋体"/>
                <w:b w:val="0"/>
                <w:bCs w:val="0"/>
                <w:color w:val="000000"/>
                <w:kern w:val="0"/>
                <w:sz w:val="24"/>
                <w:szCs w:val="24"/>
                <w:highlight w:val="none"/>
                <w:lang w:val="en-US" w:eastAsia="zh-CN" w:bidi="ar"/>
              </w:rPr>
              <w:t>主要污染物总量控制规划编制工作的通知》（冀节减办〔</w:t>
            </w:r>
            <w:r>
              <w:rPr>
                <w:rFonts w:hint="default" w:ascii="TimesNewRomanPSMT" w:hAnsi="TimesNewRomanPSMT" w:eastAsia="TimesNewRomanPSMT" w:cs="TimesNewRomanPSMT"/>
                <w:b w:val="0"/>
                <w:bCs w:val="0"/>
                <w:color w:val="000000"/>
                <w:kern w:val="0"/>
                <w:sz w:val="24"/>
                <w:szCs w:val="24"/>
                <w:highlight w:val="none"/>
                <w:lang w:val="en-US" w:eastAsia="zh-CN" w:bidi="ar"/>
              </w:rPr>
              <w:t>2016</w:t>
            </w:r>
            <w:r>
              <w:rPr>
                <w:rFonts w:ascii="宋体" w:hAnsi="宋体" w:eastAsia="宋体" w:cs="宋体"/>
                <w:b w:val="0"/>
                <w:bCs w:val="0"/>
                <w:color w:val="000000"/>
                <w:kern w:val="0"/>
                <w:sz w:val="24"/>
                <w:szCs w:val="24"/>
                <w:highlight w:val="none"/>
                <w:lang w:val="en-US" w:eastAsia="zh-CN" w:bidi="ar"/>
              </w:rPr>
              <w:t>〕</w:t>
            </w:r>
            <w:r>
              <w:rPr>
                <w:rFonts w:hint="default" w:ascii="TimesNewRomanPSMT" w:hAnsi="TimesNewRomanPSMT" w:eastAsia="TimesNewRomanPSMT" w:cs="TimesNewRomanPSMT"/>
                <w:b w:val="0"/>
                <w:bCs w:val="0"/>
                <w:color w:val="000000"/>
                <w:kern w:val="0"/>
                <w:sz w:val="24"/>
                <w:szCs w:val="24"/>
                <w:highlight w:val="none"/>
                <w:lang w:val="en-US" w:eastAsia="zh-CN" w:bidi="ar"/>
              </w:rPr>
              <w:t>2</w:t>
            </w:r>
            <w:r>
              <w:rPr>
                <w:rFonts w:ascii="宋体" w:hAnsi="宋体" w:eastAsia="宋体" w:cs="宋体"/>
                <w:b w:val="0"/>
                <w:bCs w:val="0"/>
                <w:color w:val="000000"/>
                <w:kern w:val="0"/>
                <w:sz w:val="24"/>
                <w:szCs w:val="24"/>
                <w:highlight w:val="none"/>
                <w:lang w:val="en-US" w:eastAsia="zh-CN" w:bidi="ar"/>
              </w:rPr>
              <w:t>号）要求，并结合该项目的污染源及污染物排放特征，将</w:t>
            </w:r>
            <w:r>
              <w:rPr>
                <w:rFonts w:hint="default" w:ascii="TimesNewRomanPSMT" w:hAnsi="TimesNewRomanPSMT" w:eastAsia="TimesNewRomanPSMT" w:cs="TimesNewRomanPSMT"/>
                <w:b w:val="0"/>
                <w:bCs w:val="0"/>
                <w:color w:val="000000"/>
                <w:kern w:val="0"/>
                <w:sz w:val="24"/>
                <w:szCs w:val="24"/>
                <w:highlight w:val="none"/>
                <w:lang w:val="en-US" w:eastAsia="zh-CN" w:bidi="ar"/>
              </w:rPr>
              <w:t>COD</w:t>
            </w:r>
            <w:r>
              <w:rPr>
                <w:rFonts w:ascii="宋体" w:hAnsi="宋体" w:eastAsia="宋体" w:cs="宋体"/>
                <w:b w:val="0"/>
                <w:bCs w:val="0"/>
                <w:color w:val="000000"/>
                <w:kern w:val="0"/>
                <w:sz w:val="24"/>
                <w:szCs w:val="24"/>
                <w:highlight w:val="none"/>
                <w:lang w:val="en-US" w:eastAsia="zh-CN" w:bidi="ar"/>
              </w:rPr>
              <w:t>、</w:t>
            </w:r>
            <w:r>
              <w:rPr>
                <w:rFonts w:hint="default" w:ascii="TimesNewRomanPSMT" w:hAnsi="TimesNewRomanPSMT" w:eastAsia="TimesNewRomanPSMT" w:cs="TimesNewRomanPSMT"/>
                <w:b w:val="0"/>
                <w:bCs w:val="0"/>
                <w:color w:val="000000"/>
                <w:kern w:val="0"/>
                <w:sz w:val="24"/>
                <w:szCs w:val="24"/>
                <w:highlight w:val="none"/>
                <w:lang w:val="en-US" w:eastAsia="zh-CN" w:bidi="ar"/>
              </w:rPr>
              <w:t>NH</w:t>
            </w:r>
            <w:r>
              <w:rPr>
                <w:rFonts w:hint="default" w:ascii="TimesNewRomanPSMT" w:hAnsi="TimesNewRomanPSMT" w:eastAsia="TimesNewRomanPSMT" w:cs="TimesNewRomanPSMT"/>
                <w:b w:val="0"/>
                <w:bCs w:val="0"/>
                <w:color w:val="000000"/>
                <w:kern w:val="0"/>
                <w:sz w:val="24"/>
                <w:szCs w:val="24"/>
                <w:highlight w:val="none"/>
                <w:vertAlign w:val="subscript"/>
                <w:lang w:val="en-US" w:eastAsia="zh-CN" w:bidi="ar"/>
              </w:rPr>
              <w:t>3</w:t>
            </w:r>
            <w:r>
              <w:rPr>
                <w:rFonts w:hint="default" w:ascii="TimesNewRomanPSMT" w:hAnsi="TimesNewRomanPSMT" w:eastAsia="TimesNewRomanPSMT" w:cs="TimesNewRomanPSMT"/>
                <w:b w:val="0"/>
                <w:bCs w:val="0"/>
                <w:color w:val="000000"/>
                <w:kern w:val="0"/>
                <w:sz w:val="24"/>
                <w:szCs w:val="24"/>
                <w:highlight w:val="none"/>
                <w:lang w:val="en-US" w:eastAsia="zh-CN" w:bidi="ar"/>
              </w:rPr>
              <w:t>-N</w:t>
            </w:r>
            <w:r>
              <w:rPr>
                <w:rFonts w:ascii="宋体" w:hAnsi="宋体" w:eastAsia="宋体" w:cs="宋体"/>
                <w:b w:val="0"/>
                <w:bCs w:val="0"/>
                <w:color w:val="000000"/>
                <w:kern w:val="0"/>
                <w:sz w:val="24"/>
                <w:szCs w:val="24"/>
                <w:highlight w:val="none"/>
                <w:lang w:val="en-US" w:eastAsia="zh-CN" w:bidi="ar"/>
              </w:rPr>
              <w:t>、</w:t>
            </w:r>
            <w:r>
              <w:rPr>
                <w:rFonts w:hint="default" w:ascii="TimesNewRomanPSMT" w:hAnsi="TimesNewRomanPSMT" w:eastAsia="TimesNewRomanPSMT" w:cs="TimesNewRomanPSMT"/>
                <w:b w:val="0"/>
                <w:bCs w:val="0"/>
                <w:color w:val="000000"/>
                <w:kern w:val="0"/>
                <w:sz w:val="24"/>
                <w:szCs w:val="24"/>
                <w:highlight w:val="none"/>
                <w:lang w:val="en-US" w:eastAsia="zh-CN" w:bidi="ar"/>
              </w:rPr>
              <w:t>SO</w:t>
            </w:r>
            <w:r>
              <w:rPr>
                <w:rFonts w:hint="default" w:ascii="TimesNewRomanPSMT" w:hAnsi="TimesNewRomanPSMT" w:eastAsia="TimesNewRomanPSMT" w:cs="TimesNewRomanPSMT"/>
                <w:b w:val="0"/>
                <w:bCs w:val="0"/>
                <w:color w:val="000000"/>
                <w:kern w:val="0"/>
                <w:sz w:val="24"/>
                <w:szCs w:val="24"/>
                <w:highlight w:val="none"/>
                <w:vertAlign w:val="subscript"/>
                <w:lang w:val="en-US" w:eastAsia="zh-CN" w:bidi="ar"/>
              </w:rPr>
              <w:t>2</w:t>
            </w:r>
            <w:r>
              <w:rPr>
                <w:rFonts w:ascii="宋体" w:hAnsi="宋体" w:eastAsia="宋体" w:cs="宋体"/>
                <w:b w:val="0"/>
                <w:bCs w:val="0"/>
                <w:color w:val="000000"/>
                <w:kern w:val="0"/>
                <w:sz w:val="24"/>
                <w:szCs w:val="24"/>
                <w:highlight w:val="none"/>
                <w:lang w:val="en-US" w:eastAsia="zh-CN" w:bidi="ar"/>
              </w:rPr>
              <w:t>、</w:t>
            </w:r>
            <w:r>
              <w:rPr>
                <w:rFonts w:hint="default" w:ascii="TimesNewRomanPSMT" w:hAnsi="TimesNewRomanPSMT" w:eastAsia="TimesNewRomanPSMT" w:cs="TimesNewRomanPSMT"/>
                <w:b w:val="0"/>
                <w:bCs w:val="0"/>
                <w:color w:val="000000"/>
                <w:kern w:val="0"/>
                <w:sz w:val="24"/>
                <w:szCs w:val="24"/>
                <w:highlight w:val="none"/>
                <w:lang w:val="en-US" w:eastAsia="zh-CN" w:bidi="ar"/>
              </w:rPr>
              <w:t>NO</w:t>
            </w:r>
            <w:r>
              <w:rPr>
                <w:rFonts w:hint="default" w:ascii="TimesNewRomanPSMT" w:hAnsi="TimesNewRomanPSMT" w:eastAsia="TimesNewRomanPSMT" w:cs="TimesNewRomanPSMT"/>
                <w:b w:val="0"/>
                <w:bCs w:val="0"/>
                <w:color w:val="000000"/>
                <w:kern w:val="0"/>
                <w:sz w:val="24"/>
                <w:szCs w:val="24"/>
                <w:highlight w:val="none"/>
                <w:vertAlign w:val="subscript"/>
                <w:lang w:val="en-US" w:eastAsia="zh-CN" w:bidi="ar"/>
              </w:rPr>
              <w:t>x</w:t>
            </w:r>
            <w:r>
              <w:rPr>
                <w:rFonts w:ascii="宋体" w:hAnsi="宋体" w:eastAsia="宋体" w:cs="宋体"/>
                <w:b w:val="0"/>
                <w:bCs w:val="0"/>
                <w:color w:val="000000"/>
                <w:kern w:val="0"/>
                <w:sz w:val="24"/>
                <w:szCs w:val="24"/>
                <w:highlight w:val="none"/>
                <w:lang w:val="en-US" w:eastAsia="zh-CN" w:bidi="ar"/>
              </w:rPr>
              <w:t>、颗粒物作为污染物总量控制因子。</w:t>
            </w:r>
          </w:p>
          <w:p w14:paraId="2A6E9B60">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ascii="宋体" w:hAnsi="宋体" w:eastAsia="宋体" w:cs="宋体"/>
                <w:b w:val="0"/>
                <w:bCs w:val="0"/>
                <w:color w:val="000000"/>
                <w:kern w:val="0"/>
                <w:sz w:val="24"/>
                <w:szCs w:val="24"/>
                <w:highlight w:val="none"/>
                <w:lang w:val="en-US" w:eastAsia="zh-CN" w:bidi="ar"/>
              </w:rPr>
            </w:pPr>
            <w:r>
              <w:rPr>
                <w:rFonts w:ascii="宋体" w:hAnsi="宋体" w:eastAsia="宋体" w:cs="宋体"/>
                <w:b w:val="0"/>
                <w:bCs w:val="0"/>
                <w:color w:val="000000"/>
                <w:kern w:val="0"/>
                <w:sz w:val="24"/>
                <w:szCs w:val="24"/>
                <w:highlight w:val="none"/>
                <w:lang w:val="en-US" w:eastAsia="zh-CN" w:bidi="ar"/>
              </w:rPr>
              <w:t>（</w:t>
            </w:r>
            <w:r>
              <w:rPr>
                <w:rFonts w:hint="default" w:ascii="TimesNewRomanPSMT" w:hAnsi="TimesNewRomanPSMT" w:eastAsia="TimesNewRomanPSMT" w:cs="TimesNewRomanPSMT"/>
                <w:b w:val="0"/>
                <w:bCs w:val="0"/>
                <w:color w:val="000000"/>
                <w:kern w:val="0"/>
                <w:sz w:val="24"/>
                <w:szCs w:val="24"/>
                <w:highlight w:val="none"/>
                <w:lang w:val="en-US" w:eastAsia="zh-CN" w:bidi="ar"/>
              </w:rPr>
              <w:t>1</w:t>
            </w:r>
            <w:r>
              <w:rPr>
                <w:rFonts w:ascii="宋体" w:hAnsi="宋体" w:eastAsia="宋体" w:cs="宋体"/>
                <w:b w:val="0"/>
                <w:bCs w:val="0"/>
                <w:color w:val="000000"/>
                <w:kern w:val="0"/>
                <w:sz w:val="24"/>
                <w:szCs w:val="24"/>
                <w:highlight w:val="none"/>
                <w:lang w:val="en-US" w:eastAsia="zh-CN" w:bidi="ar"/>
              </w:rPr>
              <w:t>）废水</w:t>
            </w:r>
          </w:p>
          <w:p w14:paraId="18D04A06">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vertAlign w:val="baseline"/>
                <w:lang w:val="en-US" w:eastAsia="zh-CN" w:bidi="ar"/>
              </w:rPr>
            </w:pPr>
            <w:r>
              <w:rPr>
                <w:rFonts w:hint="default" w:ascii="Times New Roman" w:hAnsi="Times New Roman" w:eastAsia="宋体" w:cs="Times New Roman"/>
                <w:b w:val="0"/>
                <w:bCs w:val="0"/>
                <w:color w:val="000000"/>
                <w:kern w:val="0"/>
                <w:sz w:val="24"/>
                <w:szCs w:val="24"/>
                <w:highlight w:val="none"/>
                <w:vertAlign w:val="baseline"/>
                <w:lang w:val="en-US" w:eastAsia="zh-CN" w:bidi="ar"/>
              </w:rPr>
              <w:t>本项目无生产</w:t>
            </w:r>
            <w:r>
              <w:rPr>
                <w:rFonts w:hint="eastAsia" w:ascii="Times New Roman" w:hAnsi="Times New Roman" w:eastAsia="宋体" w:cs="Times New Roman"/>
                <w:b w:val="0"/>
                <w:bCs w:val="0"/>
                <w:color w:val="000000"/>
                <w:kern w:val="0"/>
                <w:sz w:val="24"/>
                <w:szCs w:val="24"/>
                <w:highlight w:val="none"/>
                <w:lang w:val="en-US" w:eastAsia="zh-CN" w:bidi="ar"/>
              </w:rPr>
              <w:t>废水</w:t>
            </w:r>
            <w:r>
              <w:rPr>
                <w:rFonts w:hint="default" w:ascii="Times New Roman" w:hAnsi="Times New Roman" w:eastAsia="宋体" w:cs="Times New Roman"/>
                <w:b w:val="0"/>
                <w:bCs w:val="0"/>
                <w:color w:val="000000"/>
                <w:kern w:val="0"/>
                <w:sz w:val="24"/>
                <w:szCs w:val="24"/>
                <w:highlight w:val="none"/>
                <w:lang w:val="en-US" w:eastAsia="zh-CN" w:bidi="ar"/>
              </w:rPr>
              <w:t>外排，生活污水</w:t>
            </w:r>
            <w:r>
              <w:rPr>
                <w:rFonts w:hint="eastAsia" w:ascii="Times New Roman" w:hAnsi="Times New Roman" w:eastAsia="宋体" w:cs="Times New Roman"/>
                <w:b w:val="0"/>
                <w:bCs w:val="0"/>
                <w:color w:val="000000"/>
                <w:kern w:val="0"/>
                <w:sz w:val="24"/>
                <w:szCs w:val="24"/>
                <w:highlight w:val="none"/>
                <w:lang w:val="en-US" w:eastAsia="zh-CN" w:bidi="ar"/>
              </w:rPr>
              <w:t>直接排入市政污水管网，食堂废水</w:t>
            </w:r>
            <w:r>
              <w:rPr>
                <w:rFonts w:hint="default" w:ascii="Times New Roman" w:hAnsi="Times New Roman" w:eastAsia="宋体" w:cs="Times New Roman"/>
                <w:b w:val="0"/>
                <w:bCs w:val="0"/>
                <w:color w:val="000000"/>
                <w:kern w:val="0"/>
                <w:sz w:val="24"/>
                <w:szCs w:val="24"/>
                <w:highlight w:val="none"/>
                <w:lang w:val="en-US" w:eastAsia="zh-CN" w:bidi="ar"/>
              </w:rPr>
              <w:t>经</w:t>
            </w:r>
            <w:r>
              <w:rPr>
                <w:rFonts w:hint="eastAsia" w:ascii="Times New Roman" w:hAnsi="Times New Roman" w:eastAsia="宋体" w:cs="Times New Roman"/>
                <w:b w:val="0"/>
                <w:bCs w:val="0"/>
                <w:color w:val="000000"/>
                <w:kern w:val="0"/>
                <w:sz w:val="24"/>
                <w:szCs w:val="24"/>
                <w:highlight w:val="none"/>
                <w:lang w:val="en-US" w:eastAsia="zh-CN" w:bidi="ar"/>
              </w:rPr>
              <w:t>油水分离器处理后排入市政污水管网</w:t>
            </w:r>
            <w:r>
              <w:rPr>
                <w:rFonts w:hint="default" w:ascii="Times New Roman" w:hAnsi="Times New Roman" w:eastAsia="宋体" w:cs="Times New Roman"/>
                <w:b w:val="0"/>
                <w:bCs w:val="0"/>
                <w:color w:val="000000"/>
                <w:kern w:val="0"/>
                <w:sz w:val="24"/>
                <w:szCs w:val="24"/>
                <w:highlight w:val="none"/>
                <w:lang w:val="en-US" w:eastAsia="zh-CN" w:bidi="ar"/>
              </w:rPr>
              <w:t>，</w:t>
            </w:r>
            <w:r>
              <w:rPr>
                <w:rFonts w:hint="eastAsia" w:ascii="Times New Roman" w:hAnsi="Times New Roman" w:eastAsia="宋体" w:cs="Times New Roman"/>
                <w:b w:val="0"/>
                <w:bCs w:val="0"/>
                <w:color w:val="000000"/>
                <w:kern w:val="0"/>
                <w:sz w:val="24"/>
                <w:szCs w:val="24"/>
                <w:highlight w:val="none"/>
                <w:lang w:val="en-US" w:eastAsia="zh-CN" w:bidi="ar"/>
              </w:rPr>
              <w:t>因此</w:t>
            </w:r>
            <w:r>
              <w:rPr>
                <w:rFonts w:hint="default" w:ascii="Times New Roman" w:hAnsi="Times New Roman" w:eastAsia="宋体" w:cs="Times New Roman"/>
                <w:b w:val="0"/>
                <w:bCs w:val="0"/>
                <w:color w:val="000000"/>
                <w:kern w:val="0"/>
                <w:sz w:val="24"/>
                <w:szCs w:val="24"/>
                <w:highlight w:val="none"/>
                <w:lang w:val="en-US" w:eastAsia="zh-CN" w:bidi="ar"/>
              </w:rPr>
              <w:t>COD、氨氮总量控制指标为0t/a。</w:t>
            </w:r>
          </w:p>
          <w:p w14:paraId="511A31E0">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w:t>
            </w:r>
            <w:r>
              <w:rPr>
                <w:rFonts w:hint="default" w:ascii="Times New Roman" w:hAnsi="Times New Roman" w:eastAsia="TimesNewRomanPSMT" w:cs="Times New Roman"/>
                <w:b w:val="0"/>
                <w:bCs w:val="0"/>
                <w:color w:val="000000"/>
                <w:kern w:val="0"/>
                <w:sz w:val="24"/>
                <w:szCs w:val="24"/>
                <w:highlight w:val="none"/>
                <w:lang w:val="en-US" w:eastAsia="zh-CN" w:bidi="ar"/>
              </w:rPr>
              <w:t>2</w:t>
            </w:r>
            <w:r>
              <w:rPr>
                <w:rFonts w:hint="default" w:ascii="Times New Roman" w:hAnsi="Times New Roman" w:eastAsia="宋体" w:cs="Times New Roman"/>
                <w:b w:val="0"/>
                <w:bCs w:val="0"/>
                <w:color w:val="000000"/>
                <w:kern w:val="0"/>
                <w:sz w:val="24"/>
                <w:szCs w:val="24"/>
                <w:highlight w:val="none"/>
                <w:lang w:val="en-US" w:eastAsia="zh-CN" w:bidi="ar"/>
              </w:rPr>
              <w:t>）废气</w:t>
            </w:r>
          </w:p>
          <w:p w14:paraId="2F2A77AA">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 New Roman" w:hAnsi="Times New Roman" w:eastAsia="宋体" w:cs="Times New Roman"/>
                <w:b w:val="0"/>
                <w:bCs w:val="0"/>
                <w:color w:val="000000"/>
                <w:kern w:val="0"/>
                <w:sz w:val="24"/>
                <w:szCs w:val="24"/>
                <w:highlight w:val="none"/>
                <w:vertAlign w:val="baseline"/>
                <w:lang w:val="en-US" w:eastAsia="zh-CN" w:bidi="ar"/>
              </w:rPr>
            </w:pPr>
            <w:r>
              <w:rPr>
                <w:rFonts w:hint="eastAsia" w:ascii="Times New Roman" w:hAnsi="Times New Roman" w:eastAsia="宋体" w:cs="Times New Roman"/>
                <w:b w:val="0"/>
                <w:bCs w:val="0"/>
                <w:color w:val="000000"/>
                <w:kern w:val="0"/>
                <w:sz w:val="24"/>
                <w:szCs w:val="24"/>
                <w:highlight w:val="none"/>
                <w:vertAlign w:val="baseline"/>
                <w:lang w:val="en-US" w:eastAsia="zh-CN" w:bidi="ar"/>
              </w:rPr>
              <w:t>本项目不涉及</w:t>
            </w:r>
            <w:r>
              <w:rPr>
                <w:rFonts w:hint="default" w:ascii="Times New Roman" w:hAnsi="Times New Roman" w:eastAsia="宋体" w:cs="Times New Roman"/>
                <w:b w:val="0"/>
                <w:bCs w:val="0"/>
                <w:color w:val="000000"/>
                <w:kern w:val="0"/>
                <w:sz w:val="24"/>
                <w:szCs w:val="24"/>
                <w:highlight w:val="none"/>
                <w:vertAlign w:val="baseline"/>
                <w:lang w:val="en-US" w:eastAsia="zh-CN" w:bidi="ar"/>
              </w:rPr>
              <w:t>SO</w:t>
            </w:r>
            <w:r>
              <w:rPr>
                <w:rFonts w:hint="default" w:ascii="Times New Roman" w:hAnsi="Times New Roman" w:eastAsia="宋体" w:cs="Times New Roman"/>
                <w:b w:val="0"/>
                <w:bCs w:val="0"/>
                <w:color w:val="000000"/>
                <w:kern w:val="0"/>
                <w:sz w:val="24"/>
                <w:szCs w:val="24"/>
                <w:highlight w:val="none"/>
                <w:vertAlign w:val="subscript"/>
                <w:lang w:val="en-US" w:eastAsia="zh-CN" w:bidi="ar"/>
              </w:rPr>
              <w:t>2</w:t>
            </w:r>
            <w:r>
              <w:rPr>
                <w:rFonts w:hint="eastAsia" w:ascii="Times New Roman" w:hAnsi="Times New Roman" w:eastAsia="宋体" w:cs="Times New Roman"/>
                <w:b w:val="0"/>
                <w:bCs w:val="0"/>
                <w:color w:val="000000"/>
                <w:kern w:val="0"/>
                <w:sz w:val="24"/>
                <w:szCs w:val="24"/>
                <w:highlight w:val="none"/>
                <w:vertAlign w:val="baseline"/>
                <w:lang w:val="en-US" w:eastAsia="zh-CN" w:bidi="ar"/>
              </w:rPr>
              <w:t>、</w:t>
            </w:r>
            <w:r>
              <w:rPr>
                <w:rFonts w:hint="default" w:ascii="Times New Roman" w:hAnsi="Times New Roman" w:eastAsia="宋体" w:cs="Times New Roman"/>
                <w:b w:val="0"/>
                <w:bCs w:val="0"/>
                <w:color w:val="000000"/>
                <w:kern w:val="0"/>
                <w:sz w:val="24"/>
                <w:szCs w:val="24"/>
                <w:highlight w:val="none"/>
                <w:vertAlign w:val="baseline"/>
                <w:lang w:val="en-US" w:eastAsia="zh-CN" w:bidi="ar"/>
              </w:rPr>
              <w:t>NOx</w:t>
            </w:r>
            <w:r>
              <w:rPr>
                <w:rFonts w:hint="eastAsia" w:ascii="Times New Roman" w:hAnsi="Times New Roman" w:eastAsia="宋体" w:cs="Times New Roman"/>
                <w:b w:val="0"/>
                <w:bCs w:val="0"/>
                <w:color w:val="000000"/>
                <w:kern w:val="0"/>
                <w:sz w:val="24"/>
                <w:szCs w:val="24"/>
                <w:highlight w:val="none"/>
                <w:vertAlign w:val="baseline"/>
                <w:lang w:val="en-US" w:eastAsia="zh-CN" w:bidi="ar"/>
              </w:rPr>
              <w:t>排放，因此</w:t>
            </w:r>
            <w:r>
              <w:rPr>
                <w:rFonts w:hint="default" w:ascii="Times New Roman" w:hAnsi="Times New Roman" w:eastAsia="宋体" w:cs="Times New Roman"/>
                <w:b w:val="0"/>
                <w:bCs w:val="0"/>
                <w:color w:val="000000"/>
                <w:kern w:val="0"/>
                <w:sz w:val="24"/>
                <w:szCs w:val="24"/>
                <w:highlight w:val="none"/>
                <w:vertAlign w:val="baseline"/>
                <w:lang w:val="en-US" w:eastAsia="zh-CN" w:bidi="ar"/>
              </w:rPr>
              <w:t>SO</w:t>
            </w:r>
            <w:r>
              <w:rPr>
                <w:rFonts w:hint="default" w:ascii="Times New Roman" w:hAnsi="Times New Roman" w:eastAsia="宋体" w:cs="Times New Roman"/>
                <w:b w:val="0"/>
                <w:bCs w:val="0"/>
                <w:color w:val="000000"/>
                <w:kern w:val="0"/>
                <w:sz w:val="24"/>
                <w:szCs w:val="24"/>
                <w:highlight w:val="none"/>
                <w:vertAlign w:val="subscript"/>
                <w:lang w:val="en-US" w:eastAsia="zh-CN" w:bidi="ar"/>
              </w:rPr>
              <w:t>2</w:t>
            </w:r>
            <w:r>
              <w:rPr>
                <w:rFonts w:hint="eastAsia" w:ascii="Times New Roman" w:hAnsi="Times New Roman" w:eastAsia="宋体" w:cs="Times New Roman"/>
                <w:b w:val="0"/>
                <w:bCs w:val="0"/>
                <w:color w:val="000000"/>
                <w:kern w:val="0"/>
                <w:sz w:val="24"/>
                <w:szCs w:val="24"/>
                <w:highlight w:val="none"/>
                <w:vertAlign w:val="baseline"/>
                <w:lang w:val="en-US" w:eastAsia="zh-CN" w:bidi="ar"/>
              </w:rPr>
              <w:t>、</w:t>
            </w:r>
            <w:r>
              <w:rPr>
                <w:rFonts w:hint="default" w:ascii="Times New Roman" w:hAnsi="Times New Roman" w:eastAsia="宋体" w:cs="Times New Roman"/>
                <w:b w:val="0"/>
                <w:bCs w:val="0"/>
                <w:color w:val="000000"/>
                <w:kern w:val="0"/>
                <w:sz w:val="24"/>
                <w:szCs w:val="24"/>
                <w:highlight w:val="none"/>
                <w:vertAlign w:val="baseline"/>
                <w:lang w:val="en-US" w:eastAsia="zh-CN" w:bidi="ar"/>
              </w:rPr>
              <w:t>NOx</w:t>
            </w:r>
            <w:r>
              <w:rPr>
                <w:rFonts w:hint="eastAsia" w:ascii="Times New Roman" w:hAnsi="Times New Roman" w:eastAsia="宋体" w:cs="Times New Roman"/>
                <w:b w:val="0"/>
                <w:bCs w:val="0"/>
                <w:color w:val="000000"/>
                <w:kern w:val="0"/>
                <w:sz w:val="24"/>
                <w:szCs w:val="24"/>
                <w:highlight w:val="none"/>
                <w:vertAlign w:val="baseline"/>
                <w:lang w:val="en-US" w:eastAsia="zh-CN" w:bidi="ar"/>
              </w:rPr>
              <w:t>总量控制指标均为</w:t>
            </w:r>
            <w:r>
              <w:rPr>
                <w:rFonts w:hint="default" w:ascii="Times New Roman" w:hAnsi="Times New Roman" w:eastAsia="宋体" w:cs="Times New Roman"/>
                <w:b w:val="0"/>
                <w:bCs w:val="0"/>
                <w:color w:val="000000"/>
                <w:kern w:val="0"/>
                <w:sz w:val="24"/>
                <w:szCs w:val="24"/>
                <w:highlight w:val="none"/>
                <w:vertAlign w:val="baseline"/>
                <w:lang w:val="en-US" w:eastAsia="zh-CN" w:bidi="ar"/>
              </w:rPr>
              <w:t>0t/a</w:t>
            </w:r>
            <w:r>
              <w:rPr>
                <w:rFonts w:hint="eastAsia" w:ascii="Times New Roman" w:hAnsi="Times New Roman" w:eastAsia="宋体" w:cs="Times New Roman"/>
                <w:b w:val="0"/>
                <w:bCs w:val="0"/>
                <w:color w:val="000000"/>
                <w:kern w:val="0"/>
                <w:sz w:val="24"/>
                <w:szCs w:val="24"/>
                <w:highlight w:val="none"/>
                <w:vertAlign w:val="baseline"/>
                <w:lang w:val="en-US" w:eastAsia="zh-CN" w:bidi="ar"/>
              </w:rPr>
              <w:t>。</w:t>
            </w:r>
          </w:p>
          <w:p w14:paraId="23C2B75F">
            <w:pPr>
              <w:keepNext w:val="0"/>
              <w:keepLines w:val="0"/>
              <w:pageBreakBefore w:val="0"/>
              <w:widowControl/>
              <w:suppressLineNumbers w:val="0"/>
              <w:kinsoku/>
              <w:wordWrap/>
              <w:overflowPunct/>
              <w:topLinePunct w:val="0"/>
              <w:autoSpaceDE/>
              <w:autoSpaceDN/>
              <w:bidi w:val="0"/>
              <w:adjustRightInd/>
              <w:snapToGrid/>
              <w:spacing w:line="480" w:lineRule="atLeast"/>
              <w:ind w:firstLine="480" w:firstLineChars="200"/>
              <w:jc w:val="left"/>
              <w:textAlignment w:val="auto"/>
              <w:rPr>
                <w:rFonts w:hint="eastAsia" w:ascii="宋体" w:hAnsi="宋体" w:cs="宋体"/>
                <w:b w:val="0"/>
                <w:bCs w:val="0"/>
                <w:color w:val="000000"/>
                <w:kern w:val="0"/>
                <w:sz w:val="24"/>
                <w:szCs w:val="24"/>
                <w:highlight w:val="none"/>
                <w:lang w:val="en-US" w:eastAsia="zh-CN" w:bidi="ar"/>
              </w:rPr>
            </w:pPr>
            <w:r>
              <w:rPr>
                <w:rFonts w:hint="eastAsia" w:ascii="宋体" w:hAnsi="宋体" w:cs="宋体"/>
                <w:b w:val="0"/>
                <w:bCs w:val="0"/>
                <w:color w:val="000000"/>
                <w:kern w:val="0"/>
                <w:sz w:val="24"/>
                <w:szCs w:val="24"/>
                <w:highlight w:val="none"/>
                <w:lang w:val="en-US" w:eastAsia="zh-CN" w:bidi="ar"/>
              </w:rPr>
              <w:t>颗粒物总量控制指标核算见下表：</w:t>
            </w:r>
          </w:p>
          <w:p w14:paraId="66E688E4">
            <w:pPr>
              <w:adjustRightInd w:val="0"/>
              <w:spacing w:line="480" w:lineRule="exact"/>
              <w:jc w:val="center"/>
              <w:rPr>
                <w:b/>
                <w:bCs/>
                <w:color w:val="auto"/>
                <w:szCs w:val="21"/>
                <w:highlight w:val="yellow"/>
              </w:rPr>
            </w:pPr>
            <w:r>
              <w:rPr>
                <w:b/>
                <w:bCs/>
                <w:color w:val="auto"/>
                <w:szCs w:val="21"/>
                <w:highlight w:val="none"/>
              </w:rPr>
              <w:t>表3-</w:t>
            </w:r>
            <w:r>
              <w:rPr>
                <w:rFonts w:hint="eastAsia"/>
                <w:b/>
                <w:bCs/>
                <w:color w:val="auto"/>
                <w:szCs w:val="21"/>
                <w:highlight w:val="none"/>
                <w:lang w:val="en-US" w:eastAsia="zh-CN"/>
              </w:rPr>
              <w:t>8</w:t>
            </w:r>
            <w:r>
              <w:rPr>
                <w:b/>
                <w:bCs/>
                <w:color w:val="auto"/>
                <w:szCs w:val="21"/>
                <w:highlight w:val="none"/>
              </w:rPr>
              <w:t xml:space="preserve"> 本项目</w:t>
            </w:r>
            <w:r>
              <w:rPr>
                <w:rFonts w:hint="eastAsia"/>
                <w:b/>
                <w:bCs/>
                <w:color w:val="auto"/>
                <w:szCs w:val="21"/>
                <w:highlight w:val="none"/>
                <w:lang w:eastAsia="zh-CN"/>
              </w:rPr>
              <w:t>颗粒物</w:t>
            </w:r>
            <w:r>
              <w:rPr>
                <w:b/>
                <w:bCs/>
                <w:color w:val="auto"/>
                <w:szCs w:val="21"/>
                <w:highlight w:val="none"/>
              </w:rPr>
              <w:t>总量控制指标一览表</w:t>
            </w:r>
          </w:p>
          <w:tbl>
            <w:tblPr>
              <w:tblStyle w:val="25"/>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2320"/>
              <w:gridCol w:w="1380"/>
              <w:gridCol w:w="985"/>
              <w:gridCol w:w="985"/>
              <w:gridCol w:w="1106"/>
              <w:gridCol w:w="1168"/>
            </w:tblGrid>
            <w:tr w14:paraId="3CDD5D4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02" w:hRule="atLeast"/>
                <w:jc w:val="center"/>
              </w:trPr>
              <w:tc>
                <w:tcPr>
                  <w:tcW w:w="2320" w:type="dxa"/>
                  <w:noWrap w:val="0"/>
                  <w:vAlign w:val="center"/>
                </w:tcPr>
                <w:p w14:paraId="5C9AEBD7">
                  <w:pPr>
                    <w:pStyle w:val="12"/>
                    <w:ind w:left="-24" w:leftChars="-10" w:right="-24" w:rightChars="-10" w:firstLine="0"/>
                    <w:jc w:val="center"/>
                    <w:rPr>
                      <w:color w:val="auto"/>
                      <w:sz w:val="21"/>
                      <w:szCs w:val="21"/>
                      <w:highlight w:val="none"/>
                    </w:rPr>
                  </w:pPr>
                  <w:r>
                    <w:rPr>
                      <w:color w:val="auto"/>
                      <w:sz w:val="21"/>
                      <w:szCs w:val="21"/>
                      <w:highlight w:val="none"/>
                    </w:rPr>
                    <w:t>项目</w:t>
                  </w:r>
                </w:p>
              </w:tc>
              <w:tc>
                <w:tcPr>
                  <w:tcW w:w="1380" w:type="dxa"/>
                  <w:noWrap w:val="0"/>
                  <w:vAlign w:val="center"/>
                </w:tcPr>
                <w:p w14:paraId="52B53B53">
                  <w:pPr>
                    <w:pStyle w:val="12"/>
                    <w:ind w:left="-24" w:leftChars="-10" w:right="-24" w:rightChars="-10" w:firstLine="0"/>
                    <w:jc w:val="center"/>
                    <w:rPr>
                      <w:color w:val="auto"/>
                      <w:sz w:val="21"/>
                      <w:szCs w:val="21"/>
                      <w:highlight w:val="none"/>
                    </w:rPr>
                  </w:pPr>
                  <w:r>
                    <w:rPr>
                      <w:color w:val="auto"/>
                      <w:sz w:val="21"/>
                      <w:szCs w:val="21"/>
                      <w:highlight w:val="none"/>
                    </w:rPr>
                    <w:t>污染物</w:t>
                  </w:r>
                </w:p>
              </w:tc>
              <w:tc>
                <w:tcPr>
                  <w:tcW w:w="985" w:type="dxa"/>
                  <w:noWrap w:val="0"/>
                  <w:vAlign w:val="center"/>
                </w:tcPr>
                <w:p w14:paraId="2D8C8693">
                  <w:pPr>
                    <w:pStyle w:val="12"/>
                    <w:ind w:left="-24" w:leftChars="-10" w:right="-24" w:rightChars="-10" w:firstLine="0"/>
                    <w:jc w:val="center"/>
                    <w:rPr>
                      <w:color w:val="auto"/>
                      <w:sz w:val="21"/>
                      <w:szCs w:val="21"/>
                      <w:highlight w:val="none"/>
                    </w:rPr>
                  </w:pPr>
                  <w:r>
                    <w:rPr>
                      <w:color w:val="auto"/>
                      <w:sz w:val="21"/>
                      <w:szCs w:val="21"/>
                      <w:highlight w:val="none"/>
                    </w:rPr>
                    <w:t>废气量（m</w:t>
                  </w:r>
                  <w:r>
                    <w:rPr>
                      <w:color w:val="auto"/>
                      <w:sz w:val="21"/>
                      <w:szCs w:val="21"/>
                      <w:highlight w:val="none"/>
                      <w:vertAlign w:val="superscript"/>
                    </w:rPr>
                    <w:t>3</w:t>
                  </w:r>
                  <w:r>
                    <w:rPr>
                      <w:color w:val="auto"/>
                      <w:sz w:val="21"/>
                      <w:szCs w:val="21"/>
                      <w:highlight w:val="none"/>
                    </w:rPr>
                    <w:t>/h）</w:t>
                  </w:r>
                </w:p>
              </w:tc>
              <w:tc>
                <w:tcPr>
                  <w:tcW w:w="985" w:type="dxa"/>
                  <w:noWrap w:val="0"/>
                  <w:vAlign w:val="center"/>
                </w:tcPr>
                <w:p w14:paraId="36CC59DE">
                  <w:pPr>
                    <w:pStyle w:val="12"/>
                    <w:ind w:left="-24" w:leftChars="-10" w:right="-24" w:rightChars="-10" w:firstLine="0"/>
                    <w:jc w:val="center"/>
                    <w:rPr>
                      <w:color w:val="auto"/>
                      <w:sz w:val="21"/>
                      <w:szCs w:val="21"/>
                      <w:highlight w:val="none"/>
                    </w:rPr>
                  </w:pPr>
                  <w:r>
                    <w:rPr>
                      <w:color w:val="auto"/>
                      <w:sz w:val="21"/>
                      <w:szCs w:val="21"/>
                      <w:highlight w:val="none"/>
                    </w:rPr>
                    <w:t>工作时间（h/a）</w:t>
                  </w:r>
                </w:p>
              </w:tc>
              <w:tc>
                <w:tcPr>
                  <w:tcW w:w="1106" w:type="dxa"/>
                  <w:noWrap w:val="0"/>
                  <w:vAlign w:val="center"/>
                </w:tcPr>
                <w:p w14:paraId="2D18C4EF">
                  <w:pPr>
                    <w:pStyle w:val="12"/>
                    <w:ind w:left="-24" w:leftChars="-10" w:right="-24" w:rightChars="-10" w:firstLine="0"/>
                    <w:jc w:val="center"/>
                    <w:rPr>
                      <w:color w:val="auto"/>
                      <w:sz w:val="21"/>
                      <w:szCs w:val="21"/>
                      <w:highlight w:val="none"/>
                    </w:rPr>
                  </w:pPr>
                  <w:r>
                    <w:rPr>
                      <w:color w:val="auto"/>
                      <w:sz w:val="21"/>
                      <w:szCs w:val="21"/>
                      <w:highlight w:val="none"/>
                    </w:rPr>
                    <w:t>排放限值（mg/m</w:t>
                  </w:r>
                  <w:r>
                    <w:rPr>
                      <w:color w:val="auto"/>
                      <w:sz w:val="21"/>
                      <w:szCs w:val="21"/>
                      <w:highlight w:val="none"/>
                      <w:vertAlign w:val="superscript"/>
                    </w:rPr>
                    <w:t>3</w:t>
                  </w:r>
                  <w:r>
                    <w:rPr>
                      <w:color w:val="auto"/>
                      <w:sz w:val="21"/>
                      <w:szCs w:val="21"/>
                      <w:highlight w:val="none"/>
                    </w:rPr>
                    <w:t>）</w:t>
                  </w:r>
                </w:p>
              </w:tc>
              <w:tc>
                <w:tcPr>
                  <w:tcW w:w="1168" w:type="dxa"/>
                  <w:noWrap w:val="0"/>
                  <w:vAlign w:val="center"/>
                </w:tcPr>
                <w:p w14:paraId="0B2E7155">
                  <w:pPr>
                    <w:pStyle w:val="12"/>
                    <w:ind w:left="-24" w:leftChars="-10" w:right="-24" w:rightChars="-10" w:firstLine="0"/>
                    <w:jc w:val="center"/>
                    <w:rPr>
                      <w:color w:val="auto"/>
                      <w:sz w:val="21"/>
                      <w:szCs w:val="21"/>
                      <w:highlight w:val="none"/>
                    </w:rPr>
                  </w:pPr>
                  <w:r>
                    <w:rPr>
                      <w:color w:val="auto"/>
                      <w:sz w:val="21"/>
                      <w:szCs w:val="21"/>
                      <w:highlight w:val="none"/>
                    </w:rPr>
                    <w:t>总量控制指标（t/a）</w:t>
                  </w:r>
                </w:p>
              </w:tc>
            </w:tr>
            <w:tr w14:paraId="7FA5BB4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5" w:hRule="atLeast"/>
                <w:jc w:val="center"/>
              </w:trPr>
              <w:tc>
                <w:tcPr>
                  <w:tcW w:w="2320" w:type="dxa"/>
                  <w:noWrap w:val="0"/>
                  <w:vAlign w:val="center"/>
                </w:tcPr>
                <w:p w14:paraId="77787C85">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eastAsia" w:ascii="Times New Roman" w:hAnsi="Times New Roman" w:eastAsia="宋体" w:cs="Times New Roman"/>
                      <w:b w:val="0"/>
                      <w:bCs w:val="0"/>
                      <w:color w:val="000000"/>
                      <w:kern w:val="0"/>
                      <w:sz w:val="21"/>
                      <w:szCs w:val="21"/>
                      <w:highlight w:val="none"/>
                      <w:lang w:val="en-US" w:eastAsia="zh-CN" w:bidi="ar"/>
                    </w:rPr>
                  </w:pPr>
                  <w:r>
                    <w:rPr>
                      <w:rFonts w:hint="eastAsia" w:ascii="Times New Roman" w:hAnsi="Times New Roman" w:eastAsia="宋体" w:cs="Times New Roman"/>
                      <w:b w:val="0"/>
                      <w:bCs w:val="0"/>
                      <w:color w:val="000000"/>
                      <w:kern w:val="0"/>
                      <w:sz w:val="21"/>
                      <w:szCs w:val="21"/>
                      <w:highlight w:val="none"/>
                      <w:lang w:val="en-US" w:eastAsia="zh-CN" w:bidi="ar"/>
                    </w:rPr>
                    <w:t>上料、筛分、</w:t>
                  </w:r>
                  <w:r>
                    <w:rPr>
                      <w:rFonts w:hint="eastAsia" w:cs="Times New Roman"/>
                      <w:b w:val="0"/>
                      <w:bCs w:val="0"/>
                      <w:color w:val="000000"/>
                      <w:kern w:val="0"/>
                      <w:sz w:val="21"/>
                      <w:szCs w:val="21"/>
                      <w:highlight w:val="none"/>
                      <w:lang w:val="en-US" w:eastAsia="zh-CN" w:bidi="ar"/>
                    </w:rPr>
                    <w:t>固定</w:t>
                  </w:r>
                  <w:r>
                    <w:rPr>
                      <w:rFonts w:hint="eastAsia" w:ascii="Times New Roman" w:hAnsi="Times New Roman" w:eastAsia="宋体" w:cs="Times New Roman"/>
                      <w:b w:val="0"/>
                      <w:bCs w:val="0"/>
                      <w:color w:val="000000"/>
                      <w:kern w:val="0"/>
                      <w:sz w:val="21"/>
                      <w:szCs w:val="21"/>
                      <w:highlight w:val="none"/>
                      <w:lang w:val="en-US" w:eastAsia="zh-CN" w:bidi="ar"/>
                    </w:rPr>
                    <w:t>破碎工序废气</w:t>
                  </w:r>
                </w:p>
              </w:tc>
              <w:tc>
                <w:tcPr>
                  <w:tcW w:w="1380" w:type="dxa"/>
                  <w:noWrap w:val="0"/>
                  <w:vAlign w:val="center"/>
                </w:tcPr>
                <w:p w14:paraId="08D03601">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eastAsia" w:ascii="Times New Roman" w:hAnsi="Times New Roman" w:eastAsia="宋体" w:cs="Times New Roman"/>
                      <w:b w:val="0"/>
                      <w:bCs w:val="0"/>
                      <w:color w:val="000000"/>
                      <w:kern w:val="0"/>
                      <w:sz w:val="21"/>
                      <w:szCs w:val="21"/>
                      <w:highlight w:val="none"/>
                      <w:lang w:val="en-US" w:eastAsia="zh-CN" w:bidi="ar"/>
                    </w:rPr>
                  </w:pPr>
                  <w:r>
                    <w:rPr>
                      <w:rFonts w:hint="eastAsia" w:ascii="Times New Roman" w:hAnsi="Times New Roman" w:eastAsia="宋体" w:cs="Times New Roman"/>
                      <w:b w:val="0"/>
                      <w:bCs w:val="0"/>
                      <w:color w:val="000000"/>
                      <w:kern w:val="0"/>
                      <w:sz w:val="21"/>
                      <w:szCs w:val="21"/>
                      <w:highlight w:val="none"/>
                      <w:lang w:val="en-US" w:eastAsia="zh-CN" w:bidi="ar"/>
                    </w:rPr>
                    <w:t>颗粒物</w:t>
                  </w:r>
                </w:p>
              </w:tc>
              <w:tc>
                <w:tcPr>
                  <w:tcW w:w="985" w:type="dxa"/>
                  <w:noWrap w:val="0"/>
                  <w:vAlign w:val="center"/>
                </w:tcPr>
                <w:p w14:paraId="11BC34B9">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b w:val="0"/>
                      <w:bCs w:val="0"/>
                      <w:color w:val="000000"/>
                      <w:kern w:val="0"/>
                      <w:sz w:val="21"/>
                      <w:szCs w:val="21"/>
                      <w:highlight w:val="none"/>
                      <w:lang w:val="en-US" w:eastAsia="zh-CN" w:bidi="ar"/>
                    </w:rPr>
                  </w:pPr>
                  <w:r>
                    <w:rPr>
                      <w:rFonts w:hint="eastAsia" w:eastAsia="宋体" w:cs="Times New Roman"/>
                      <w:b w:val="0"/>
                      <w:bCs w:val="0"/>
                      <w:color w:val="000000"/>
                      <w:kern w:val="0"/>
                      <w:sz w:val="21"/>
                      <w:szCs w:val="21"/>
                      <w:highlight w:val="none"/>
                      <w:lang w:val="en-US" w:eastAsia="zh-CN" w:bidi="ar"/>
                    </w:rPr>
                    <w:t>75000</w:t>
                  </w:r>
                </w:p>
              </w:tc>
              <w:tc>
                <w:tcPr>
                  <w:tcW w:w="985" w:type="dxa"/>
                  <w:noWrap w:val="0"/>
                  <w:vAlign w:val="center"/>
                </w:tcPr>
                <w:p w14:paraId="32DF2832">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b w:val="0"/>
                      <w:bCs w:val="0"/>
                      <w:color w:val="000000"/>
                      <w:kern w:val="0"/>
                      <w:sz w:val="21"/>
                      <w:szCs w:val="21"/>
                      <w:highlight w:val="none"/>
                      <w:lang w:val="en-US" w:eastAsia="zh-CN" w:bidi="ar"/>
                    </w:rPr>
                  </w:pPr>
                  <w:r>
                    <w:rPr>
                      <w:rFonts w:hint="eastAsia" w:eastAsia="宋体" w:cs="Times New Roman"/>
                      <w:b w:val="0"/>
                      <w:bCs w:val="0"/>
                      <w:color w:val="000000"/>
                      <w:kern w:val="0"/>
                      <w:sz w:val="21"/>
                      <w:szCs w:val="21"/>
                      <w:highlight w:val="none"/>
                      <w:lang w:val="en-US" w:eastAsia="zh-CN" w:bidi="ar"/>
                    </w:rPr>
                    <w:t>7200</w:t>
                  </w:r>
                </w:p>
              </w:tc>
              <w:tc>
                <w:tcPr>
                  <w:tcW w:w="1106" w:type="dxa"/>
                  <w:noWrap w:val="0"/>
                  <w:vAlign w:val="center"/>
                </w:tcPr>
                <w:p w14:paraId="54952CC5">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b w:val="0"/>
                      <w:bCs w:val="0"/>
                      <w:color w:val="000000"/>
                      <w:kern w:val="0"/>
                      <w:sz w:val="21"/>
                      <w:szCs w:val="21"/>
                      <w:highlight w:val="none"/>
                      <w:lang w:val="en-US" w:eastAsia="zh-CN" w:bidi="ar"/>
                    </w:rPr>
                  </w:pPr>
                  <w:r>
                    <w:rPr>
                      <w:rFonts w:hint="eastAsia" w:ascii="Times New Roman" w:hAnsi="Times New Roman" w:eastAsia="宋体" w:cs="Times New Roman"/>
                      <w:b w:val="0"/>
                      <w:bCs w:val="0"/>
                      <w:color w:val="000000"/>
                      <w:kern w:val="0"/>
                      <w:sz w:val="21"/>
                      <w:szCs w:val="21"/>
                      <w:highlight w:val="none"/>
                      <w:lang w:val="en-US" w:eastAsia="zh-CN" w:bidi="ar"/>
                    </w:rPr>
                    <w:t>10</w:t>
                  </w:r>
                </w:p>
              </w:tc>
              <w:tc>
                <w:tcPr>
                  <w:tcW w:w="1168" w:type="dxa"/>
                  <w:noWrap w:val="0"/>
                  <w:vAlign w:val="center"/>
                </w:tcPr>
                <w:p w14:paraId="6AF35164">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b w:val="0"/>
                      <w:bCs w:val="0"/>
                      <w:color w:val="000000"/>
                      <w:kern w:val="0"/>
                      <w:sz w:val="21"/>
                      <w:szCs w:val="21"/>
                      <w:highlight w:val="none"/>
                      <w:lang w:val="en-US" w:eastAsia="zh-CN" w:bidi="ar"/>
                    </w:rPr>
                  </w:pPr>
                  <w:r>
                    <w:rPr>
                      <w:rFonts w:hint="eastAsia" w:eastAsia="宋体" w:cs="Times New Roman"/>
                      <w:b w:val="0"/>
                      <w:bCs w:val="0"/>
                      <w:color w:val="000000"/>
                      <w:kern w:val="0"/>
                      <w:sz w:val="21"/>
                      <w:szCs w:val="21"/>
                      <w:highlight w:val="none"/>
                      <w:lang w:val="en-US" w:eastAsia="zh-CN" w:bidi="ar"/>
                    </w:rPr>
                    <w:t>5.40</w:t>
                  </w:r>
                </w:p>
              </w:tc>
            </w:tr>
            <w:tr w14:paraId="4F4FD96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5" w:hRule="atLeast"/>
                <w:jc w:val="center"/>
              </w:trPr>
              <w:tc>
                <w:tcPr>
                  <w:tcW w:w="2320" w:type="dxa"/>
                  <w:noWrap w:val="0"/>
                  <w:vAlign w:val="center"/>
                </w:tcPr>
                <w:p w14:paraId="7C6EC8A8">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eastAsia" w:ascii="Times New Roman" w:hAnsi="Times New Roman" w:eastAsia="宋体" w:cs="Times New Roman"/>
                      <w:b w:val="0"/>
                      <w:bCs w:val="0"/>
                      <w:color w:val="000000"/>
                      <w:kern w:val="0"/>
                      <w:sz w:val="21"/>
                      <w:szCs w:val="21"/>
                      <w:highlight w:val="none"/>
                      <w:lang w:val="en-US" w:eastAsia="zh-CN" w:bidi="ar"/>
                    </w:rPr>
                  </w:pPr>
                  <w:r>
                    <w:rPr>
                      <w:rFonts w:hint="eastAsia" w:eastAsia="宋体" w:cs="Times New Roman"/>
                      <w:b w:val="0"/>
                      <w:bCs w:val="0"/>
                      <w:color w:val="000000"/>
                      <w:kern w:val="0"/>
                      <w:sz w:val="21"/>
                      <w:szCs w:val="21"/>
                      <w:highlight w:val="none"/>
                      <w:lang w:val="en-US" w:eastAsia="zh-CN" w:bidi="ar"/>
                    </w:rPr>
                    <w:t>移动破碎机工序</w:t>
                  </w:r>
                </w:p>
              </w:tc>
              <w:tc>
                <w:tcPr>
                  <w:tcW w:w="1380" w:type="dxa"/>
                  <w:noWrap w:val="0"/>
                  <w:vAlign w:val="center"/>
                </w:tcPr>
                <w:p w14:paraId="6A770EE9">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eastAsia" w:ascii="Times New Roman" w:hAnsi="Times New Roman" w:eastAsia="宋体" w:cs="Times New Roman"/>
                      <w:b w:val="0"/>
                      <w:bCs w:val="0"/>
                      <w:color w:val="000000"/>
                      <w:kern w:val="0"/>
                      <w:sz w:val="21"/>
                      <w:szCs w:val="21"/>
                      <w:highlight w:val="none"/>
                      <w:lang w:val="en-US" w:eastAsia="zh-CN" w:bidi="ar"/>
                    </w:rPr>
                  </w:pPr>
                  <w:r>
                    <w:rPr>
                      <w:rFonts w:hint="eastAsia" w:ascii="Times New Roman" w:hAnsi="Times New Roman" w:eastAsia="宋体" w:cs="Times New Roman"/>
                      <w:b w:val="0"/>
                      <w:bCs w:val="0"/>
                      <w:color w:val="000000"/>
                      <w:kern w:val="0"/>
                      <w:sz w:val="21"/>
                      <w:szCs w:val="21"/>
                      <w:highlight w:val="none"/>
                      <w:lang w:val="en-US" w:eastAsia="zh-CN" w:bidi="ar"/>
                    </w:rPr>
                    <w:t>颗粒物</w:t>
                  </w:r>
                </w:p>
              </w:tc>
              <w:tc>
                <w:tcPr>
                  <w:tcW w:w="985" w:type="dxa"/>
                  <w:noWrap w:val="0"/>
                  <w:vAlign w:val="center"/>
                </w:tcPr>
                <w:p w14:paraId="1331D3C4">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b w:val="0"/>
                      <w:bCs w:val="0"/>
                      <w:color w:val="000000"/>
                      <w:kern w:val="0"/>
                      <w:sz w:val="21"/>
                      <w:szCs w:val="21"/>
                      <w:highlight w:val="none"/>
                      <w:lang w:val="en-US" w:eastAsia="zh-CN" w:bidi="ar"/>
                    </w:rPr>
                  </w:pPr>
                  <w:r>
                    <w:rPr>
                      <w:rFonts w:hint="eastAsia" w:eastAsia="宋体" w:cs="Times New Roman"/>
                      <w:b w:val="0"/>
                      <w:bCs w:val="0"/>
                      <w:color w:val="000000"/>
                      <w:kern w:val="0"/>
                      <w:sz w:val="21"/>
                      <w:szCs w:val="21"/>
                      <w:highlight w:val="none"/>
                      <w:lang w:val="en-US" w:eastAsia="zh-CN" w:bidi="ar"/>
                    </w:rPr>
                    <w:t>55000</w:t>
                  </w:r>
                </w:p>
              </w:tc>
              <w:tc>
                <w:tcPr>
                  <w:tcW w:w="985" w:type="dxa"/>
                  <w:noWrap w:val="0"/>
                  <w:vAlign w:val="center"/>
                </w:tcPr>
                <w:p w14:paraId="4398B41E">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b w:val="0"/>
                      <w:bCs w:val="0"/>
                      <w:color w:val="000000"/>
                      <w:kern w:val="0"/>
                      <w:sz w:val="21"/>
                      <w:szCs w:val="21"/>
                      <w:highlight w:val="none"/>
                      <w:lang w:val="en-US" w:eastAsia="zh-CN" w:bidi="ar"/>
                    </w:rPr>
                  </w:pPr>
                  <w:r>
                    <w:rPr>
                      <w:rFonts w:hint="eastAsia" w:eastAsia="宋体" w:cs="Times New Roman"/>
                      <w:b w:val="0"/>
                      <w:bCs w:val="0"/>
                      <w:color w:val="000000"/>
                      <w:kern w:val="0"/>
                      <w:sz w:val="21"/>
                      <w:szCs w:val="21"/>
                      <w:highlight w:val="none"/>
                      <w:lang w:val="en-US" w:eastAsia="zh-CN" w:bidi="ar"/>
                    </w:rPr>
                    <w:t>7200</w:t>
                  </w:r>
                </w:p>
              </w:tc>
              <w:tc>
                <w:tcPr>
                  <w:tcW w:w="1106" w:type="dxa"/>
                  <w:noWrap w:val="0"/>
                  <w:vAlign w:val="center"/>
                </w:tcPr>
                <w:p w14:paraId="578A3309">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b w:val="0"/>
                      <w:bCs w:val="0"/>
                      <w:color w:val="000000"/>
                      <w:kern w:val="0"/>
                      <w:sz w:val="21"/>
                      <w:szCs w:val="21"/>
                      <w:highlight w:val="none"/>
                      <w:lang w:val="en-US" w:eastAsia="zh-CN" w:bidi="ar"/>
                    </w:rPr>
                  </w:pPr>
                  <w:r>
                    <w:rPr>
                      <w:rFonts w:hint="eastAsia" w:ascii="Times New Roman" w:hAnsi="Times New Roman" w:eastAsia="宋体" w:cs="Times New Roman"/>
                      <w:b w:val="0"/>
                      <w:bCs w:val="0"/>
                      <w:color w:val="000000"/>
                      <w:kern w:val="0"/>
                      <w:sz w:val="21"/>
                      <w:szCs w:val="21"/>
                      <w:highlight w:val="none"/>
                      <w:lang w:val="en-US" w:eastAsia="zh-CN" w:bidi="ar"/>
                    </w:rPr>
                    <w:t>10</w:t>
                  </w:r>
                </w:p>
              </w:tc>
              <w:tc>
                <w:tcPr>
                  <w:tcW w:w="1168" w:type="dxa"/>
                  <w:noWrap w:val="0"/>
                  <w:vAlign w:val="center"/>
                </w:tcPr>
                <w:p w14:paraId="30BDCB63">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b w:val="0"/>
                      <w:bCs w:val="0"/>
                      <w:color w:val="000000"/>
                      <w:kern w:val="0"/>
                      <w:sz w:val="21"/>
                      <w:szCs w:val="21"/>
                      <w:highlight w:val="none"/>
                      <w:lang w:val="en-US" w:eastAsia="zh-CN" w:bidi="ar"/>
                    </w:rPr>
                  </w:pPr>
                  <w:r>
                    <w:rPr>
                      <w:rFonts w:hint="eastAsia" w:eastAsia="宋体" w:cs="Times New Roman"/>
                      <w:b w:val="0"/>
                      <w:bCs w:val="0"/>
                      <w:color w:val="000000"/>
                      <w:kern w:val="0"/>
                      <w:sz w:val="21"/>
                      <w:szCs w:val="21"/>
                      <w:highlight w:val="none"/>
                      <w:lang w:val="en-US" w:eastAsia="zh-CN" w:bidi="ar"/>
                    </w:rPr>
                    <w:t>3.96</w:t>
                  </w:r>
                </w:p>
              </w:tc>
            </w:tr>
            <w:tr w14:paraId="247B841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5" w:hRule="atLeast"/>
                <w:jc w:val="center"/>
              </w:trPr>
              <w:tc>
                <w:tcPr>
                  <w:tcW w:w="2320" w:type="dxa"/>
                  <w:noWrap w:val="0"/>
                  <w:vAlign w:val="center"/>
                </w:tcPr>
                <w:p w14:paraId="3B9656FA">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eastAsia" w:eastAsia="宋体" w:cs="Times New Roman"/>
                      <w:b w:val="0"/>
                      <w:bCs w:val="0"/>
                      <w:color w:val="000000"/>
                      <w:kern w:val="0"/>
                      <w:sz w:val="21"/>
                      <w:szCs w:val="21"/>
                      <w:highlight w:val="none"/>
                      <w:lang w:val="en-US" w:eastAsia="zh-CN" w:bidi="ar"/>
                    </w:rPr>
                  </w:pPr>
                  <w:r>
                    <w:rPr>
                      <w:rFonts w:hint="eastAsia" w:eastAsia="宋体" w:cs="Times New Roman"/>
                      <w:b w:val="0"/>
                      <w:bCs w:val="0"/>
                      <w:color w:val="000000"/>
                      <w:kern w:val="0"/>
                      <w:sz w:val="21"/>
                      <w:szCs w:val="21"/>
                      <w:highlight w:val="none"/>
                      <w:lang w:val="en-US" w:eastAsia="zh-CN" w:bidi="ar"/>
                    </w:rPr>
                    <w:t>合计</w:t>
                  </w:r>
                </w:p>
              </w:tc>
              <w:tc>
                <w:tcPr>
                  <w:tcW w:w="1380" w:type="dxa"/>
                  <w:noWrap w:val="0"/>
                  <w:vAlign w:val="center"/>
                </w:tcPr>
                <w:p w14:paraId="6EF6C6D8">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eastAsia" w:ascii="Times New Roman" w:hAnsi="Times New Roman" w:eastAsia="宋体" w:cs="Times New Roman"/>
                      <w:b w:val="0"/>
                      <w:bCs w:val="0"/>
                      <w:color w:val="000000"/>
                      <w:kern w:val="0"/>
                      <w:sz w:val="21"/>
                      <w:szCs w:val="21"/>
                      <w:highlight w:val="none"/>
                      <w:lang w:val="en-US" w:eastAsia="zh-CN" w:bidi="ar"/>
                    </w:rPr>
                  </w:pPr>
                  <w:r>
                    <w:rPr>
                      <w:rFonts w:hint="eastAsia" w:ascii="Times New Roman" w:hAnsi="Times New Roman" w:eastAsia="宋体" w:cs="Times New Roman"/>
                      <w:b w:val="0"/>
                      <w:bCs w:val="0"/>
                      <w:color w:val="000000"/>
                      <w:kern w:val="0"/>
                      <w:sz w:val="21"/>
                      <w:szCs w:val="21"/>
                      <w:highlight w:val="none"/>
                      <w:lang w:val="en-US" w:eastAsia="zh-CN" w:bidi="ar"/>
                    </w:rPr>
                    <w:t>颗粒物</w:t>
                  </w:r>
                </w:p>
              </w:tc>
              <w:tc>
                <w:tcPr>
                  <w:tcW w:w="985" w:type="dxa"/>
                  <w:noWrap w:val="0"/>
                  <w:vAlign w:val="center"/>
                </w:tcPr>
                <w:p w14:paraId="7E96133C">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default" w:eastAsia="宋体" w:cs="Times New Roman"/>
                      <w:b w:val="0"/>
                      <w:bCs w:val="0"/>
                      <w:color w:val="000000"/>
                      <w:kern w:val="0"/>
                      <w:sz w:val="21"/>
                      <w:szCs w:val="21"/>
                      <w:highlight w:val="none"/>
                      <w:lang w:val="en-US" w:eastAsia="zh-CN" w:bidi="ar"/>
                    </w:rPr>
                  </w:pPr>
                  <w:r>
                    <w:rPr>
                      <w:rFonts w:hint="eastAsia" w:eastAsia="宋体" w:cs="Times New Roman"/>
                      <w:b w:val="0"/>
                      <w:bCs w:val="0"/>
                      <w:color w:val="000000"/>
                      <w:kern w:val="0"/>
                      <w:sz w:val="21"/>
                      <w:szCs w:val="21"/>
                      <w:highlight w:val="none"/>
                      <w:lang w:val="en-US" w:eastAsia="zh-CN" w:bidi="ar"/>
                    </w:rPr>
                    <w:t>-</w:t>
                  </w:r>
                </w:p>
              </w:tc>
              <w:tc>
                <w:tcPr>
                  <w:tcW w:w="985" w:type="dxa"/>
                  <w:noWrap w:val="0"/>
                  <w:vAlign w:val="center"/>
                </w:tcPr>
                <w:p w14:paraId="3488167E">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default" w:eastAsia="宋体" w:cs="Times New Roman"/>
                      <w:b w:val="0"/>
                      <w:bCs w:val="0"/>
                      <w:color w:val="000000"/>
                      <w:kern w:val="0"/>
                      <w:sz w:val="21"/>
                      <w:szCs w:val="21"/>
                      <w:highlight w:val="none"/>
                      <w:lang w:val="en-US" w:eastAsia="zh-CN" w:bidi="ar"/>
                    </w:rPr>
                  </w:pPr>
                  <w:r>
                    <w:rPr>
                      <w:rFonts w:hint="eastAsia" w:eastAsia="宋体" w:cs="Times New Roman"/>
                      <w:b w:val="0"/>
                      <w:bCs w:val="0"/>
                      <w:color w:val="000000"/>
                      <w:kern w:val="0"/>
                      <w:sz w:val="21"/>
                      <w:szCs w:val="21"/>
                      <w:highlight w:val="none"/>
                      <w:lang w:val="en-US" w:eastAsia="zh-CN" w:bidi="ar"/>
                    </w:rPr>
                    <w:t>-</w:t>
                  </w:r>
                </w:p>
              </w:tc>
              <w:tc>
                <w:tcPr>
                  <w:tcW w:w="1106" w:type="dxa"/>
                  <w:noWrap w:val="0"/>
                  <w:vAlign w:val="center"/>
                </w:tcPr>
                <w:p w14:paraId="39E0BC21">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b w:val="0"/>
                      <w:bCs w:val="0"/>
                      <w:color w:val="000000"/>
                      <w:kern w:val="0"/>
                      <w:sz w:val="21"/>
                      <w:szCs w:val="21"/>
                      <w:highlight w:val="none"/>
                      <w:lang w:val="en-US" w:eastAsia="zh-CN" w:bidi="ar"/>
                    </w:rPr>
                  </w:pPr>
                  <w:r>
                    <w:rPr>
                      <w:rFonts w:hint="eastAsia" w:eastAsia="宋体" w:cs="Times New Roman"/>
                      <w:b w:val="0"/>
                      <w:bCs w:val="0"/>
                      <w:color w:val="000000"/>
                      <w:kern w:val="0"/>
                      <w:sz w:val="21"/>
                      <w:szCs w:val="21"/>
                      <w:highlight w:val="none"/>
                      <w:lang w:val="en-US" w:eastAsia="zh-CN" w:bidi="ar"/>
                    </w:rPr>
                    <w:t>-</w:t>
                  </w:r>
                </w:p>
              </w:tc>
              <w:tc>
                <w:tcPr>
                  <w:tcW w:w="1168" w:type="dxa"/>
                  <w:noWrap w:val="0"/>
                  <w:vAlign w:val="center"/>
                </w:tcPr>
                <w:p w14:paraId="1E3E269A">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default" w:eastAsia="宋体" w:cs="Times New Roman"/>
                      <w:b w:val="0"/>
                      <w:bCs w:val="0"/>
                      <w:color w:val="000000"/>
                      <w:kern w:val="0"/>
                      <w:sz w:val="21"/>
                      <w:szCs w:val="21"/>
                      <w:highlight w:val="none"/>
                      <w:lang w:val="en-US" w:eastAsia="zh-CN" w:bidi="ar"/>
                    </w:rPr>
                  </w:pPr>
                  <w:r>
                    <w:rPr>
                      <w:rFonts w:hint="eastAsia" w:eastAsia="宋体" w:cs="Times New Roman"/>
                      <w:b w:val="0"/>
                      <w:bCs w:val="0"/>
                      <w:color w:val="000000"/>
                      <w:kern w:val="0"/>
                      <w:sz w:val="21"/>
                      <w:szCs w:val="21"/>
                      <w:highlight w:val="none"/>
                      <w:lang w:val="en-US" w:eastAsia="zh-CN" w:bidi="ar"/>
                    </w:rPr>
                    <w:t>9.36</w:t>
                  </w:r>
                </w:p>
              </w:tc>
            </w:tr>
          </w:tbl>
          <w:p w14:paraId="067C4F5A">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default" w:ascii="TimesNewRomanPSMT" w:hAnsi="TimesNewRomanPSMT" w:eastAsia="TimesNewRomanPSMT" w:cs="TimesNewRomanPSMT"/>
                <w:b w:val="0"/>
                <w:bCs w:val="0"/>
                <w:color w:val="000000"/>
                <w:kern w:val="0"/>
                <w:sz w:val="24"/>
                <w:szCs w:val="24"/>
                <w:highlight w:val="none"/>
                <w:lang w:val="en-US" w:eastAsia="zh-CN" w:bidi="ar"/>
              </w:rPr>
            </w:pPr>
            <w:r>
              <w:rPr>
                <w:rFonts w:hint="eastAsia" w:ascii="宋体" w:hAnsi="宋体" w:cs="宋体"/>
                <w:b w:val="0"/>
                <w:bCs w:val="0"/>
                <w:color w:val="000000"/>
                <w:kern w:val="0"/>
                <w:sz w:val="24"/>
                <w:szCs w:val="24"/>
                <w:highlight w:val="none"/>
                <w:lang w:val="en-US" w:eastAsia="zh-CN" w:bidi="ar"/>
              </w:rPr>
              <w:t>综上所述，</w:t>
            </w:r>
            <w:r>
              <w:rPr>
                <w:rFonts w:ascii="宋体" w:hAnsi="宋体" w:eastAsia="宋体" w:cs="宋体"/>
                <w:b w:val="0"/>
                <w:bCs w:val="0"/>
                <w:color w:val="000000"/>
                <w:kern w:val="0"/>
                <w:sz w:val="24"/>
                <w:szCs w:val="24"/>
                <w:highlight w:val="none"/>
                <w:lang w:val="en-US" w:eastAsia="zh-CN" w:bidi="ar"/>
              </w:rPr>
              <w:t>本项目总量控制指标为</w:t>
            </w:r>
            <w:r>
              <w:rPr>
                <w:rFonts w:hint="default" w:ascii="TimesNewRomanPSMT" w:hAnsi="TimesNewRomanPSMT" w:eastAsia="TimesNewRomanPSMT" w:cs="TimesNewRomanPSMT"/>
                <w:b w:val="0"/>
                <w:bCs w:val="0"/>
                <w:color w:val="000000"/>
                <w:kern w:val="0"/>
                <w:sz w:val="24"/>
                <w:szCs w:val="24"/>
                <w:highlight w:val="none"/>
                <w:lang w:val="en-US" w:eastAsia="zh-CN" w:bidi="ar"/>
              </w:rPr>
              <w:t>COD</w:t>
            </w:r>
            <w:r>
              <w:rPr>
                <w:rFonts w:hint="eastAsia" w:ascii="TimesNewRomanPSMT" w:hAnsi="TimesNewRomanPSMT" w:eastAsia="TimesNewRomanPSMT" w:cs="TimesNewRomanPSMT"/>
                <w:b w:val="0"/>
                <w:bCs w:val="0"/>
                <w:color w:val="000000"/>
                <w:kern w:val="0"/>
                <w:sz w:val="24"/>
                <w:szCs w:val="24"/>
                <w:highlight w:val="none"/>
                <w:lang w:val="en-US" w:eastAsia="zh-CN" w:bidi="ar"/>
              </w:rPr>
              <w:t>：</w:t>
            </w:r>
            <w:r>
              <w:rPr>
                <w:rFonts w:hint="default" w:ascii="TimesNewRomanPSMT" w:hAnsi="TimesNewRomanPSMT" w:eastAsia="TimesNewRomanPSMT" w:cs="TimesNewRomanPSMT"/>
                <w:b w:val="0"/>
                <w:bCs w:val="0"/>
                <w:color w:val="000000"/>
                <w:kern w:val="0"/>
                <w:sz w:val="24"/>
                <w:szCs w:val="24"/>
                <w:highlight w:val="none"/>
                <w:lang w:val="en-US" w:eastAsia="zh-CN" w:bidi="ar"/>
              </w:rPr>
              <w:t>0t/a</w:t>
            </w:r>
            <w:r>
              <w:rPr>
                <w:rFonts w:ascii="宋体" w:hAnsi="宋体" w:eastAsia="宋体" w:cs="宋体"/>
                <w:b w:val="0"/>
                <w:bCs w:val="0"/>
                <w:color w:val="000000"/>
                <w:kern w:val="0"/>
                <w:sz w:val="24"/>
                <w:szCs w:val="24"/>
                <w:highlight w:val="none"/>
                <w:lang w:val="en-US" w:eastAsia="zh-CN" w:bidi="ar"/>
              </w:rPr>
              <w:t>、</w:t>
            </w:r>
            <w:r>
              <w:rPr>
                <w:rFonts w:hint="default" w:ascii="TimesNewRomanPSMT" w:hAnsi="TimesNewRomanPSMT" w:eastAsia="TimesNewRomanPSMT" w:cs="TimesNewRomanPSMT"/>
                <w:b w:val="0"/>
                <w:bCs w:val="0"/>
                <w:color w:val="000000"/>
                <w:kern w:val="0"/>
                <w:sz w:val="24"/>
                <w:szCs w:val="24"/>
                <w:highlight w:val="none"/>
                <w:lang w:val="en-US" w:eastAsia="zh-CN" w:bidi="ar"/>
              </w:rPr>
              <w:t>NH</w:t>
            </w:r>
            <w:r>
              <w:rPr>
                <w:rFonts w:hint="default" w:ascii="TimesNewRomanPSMT" w:hAnsi="TimesNewRomanPSMT" w:eastAsia="TimesNewRomanPSMT" w:cs="TimesNewRomanPSMT"/>
                <w:b w:val="0"/>
                <w:bCs w:val="0"/>
                <w:color w:val="000000"/>
                <w:kern w:val="0"/>
                <w:sz w:val="24"/>
                <w:szCs w:val="24"/>
                <w:highlight w:val="none"/>
                <w:vertAlign w:val="subscript"/>
                <w:lang w:val="en-US" w:eastAsia="zh-CN" w:bidi="ar"/>
              </w:rPr>
              <w:t>3</w:t>
            </w:r>
            <w:r>
              <w:rPr>
                <w:rFonts w:hint="default" w:ascii="TimesNewRomanPSMT" w:hAnsi="TimesNewRomanPSMT" w:eastAsia="TimesNewRomanPSMT" w:cs="TimesNewRomanPSMT"/>
                <w:b w:val="0"/>
                <w:bCs w:val="0"/>
                <w:color w:val="000000"/>
                <w:kern w:val="0"/>
                <w:sz w:val="24"/>
                <w:szCs w:val="24"/>
                <w:highlight w:val="none"/>
                <w:lang w:val="en-US" w:eastAsia="zh-CN" w:bidi="ar"/>
              </w:rPr>
              <w:t>-N</w:t>
            </w:r>
            <w:r>
              <w:rPr>
                <w:rFonts w:hint="eastAsia" w:ascii="TimesNewRomanPSMT" w:hAnsi="TimesNewRomanPSMT" w:eastAsia="TimesNewRomanPSMT" w:cs="TimesNewRomanPSMT"/>
                <w:b w:val="0"/>
                <w:bCs w:val="0"/>
                <w:color w:val="000000"/>
                <w:kern w:val="0"/>
                <w:sz w:val="24"/>
                <w:szCs w:val="24"/>
                <w:highlight w:val="none"/>
                <w:lang w:val="en-US" w:eastAsia="zh-CN" w:bidi="ar"/>
              </w:rPr>
              <w:t>：</w:t>
            </w:r>
            <w:r>
              <w:rPr>
                <w:rFonts w:hint="default" w:ascii="TimesNewRomanPSMT" w:hAnsi="TimesNewRomanPSMT" w:eastAsia="TimesNewRomanPSMT" w:cs="TimesNewRomanPSMT"/>
                <w:b w:val="0"/>
                <w:bCs w:val="0"/>
                <w:color w:val="000000"/>
                <w:kern w:val="0"/>
                <w:sz w:val="24"/>
                <w:szCs w:val="24"/>
                <w:highlight w:val="none"/>
                <w:lang w:val="en-US" w:eastAsia="zh-CN" w:bidi="ar"/>
              </w:rPr>
              <w:t>0t/a</w:t>
            </w:r>
            <w:r>
              <w:rPr>
                <w:rFonts w:ascii="宋体" w:hAnsi="宋体" w:eastAsia="宋体" w:cs="宋体"/>
                <w:b w:val="0"/>
                <w:bCs w:val="0"/>
                <w:color w:val="000000"/>
                <w:kern w:val="0"/>
                <w:sz w:val="24"/>
                <w:szCs w:val="24"/>
                <w:highlight w:val="none"/>
                <w:lang w:val="en-US" w:eastAsia="zh-CN" w:bidi="ar"/>
              </w:rPr>
              <w:t>、</w:t>
            </w:r>
            <w:r>
              <w:rPr>
                <w:rFonts w:hint="default" w:ascii="TimesNewRomanPSMT" w:hAnsi="TimesNewRomanPSMT" w:eastAsia="TimesNewRomanPSMT" w:cs="TimesNewRomanPSMT"/>
                <w:b w:val="0"/>
                <w:bCs w:val="0"/>
                <w:color w:val="000000"/>
                <w:kern w:val="0"/>
                <w:sz w:val="24"/>
                <w:szCs w:val="24"/>
                <w:highlight w:val="none"/>
                <w:lang w:val="en-US" w:eastAsia="zh-CN" w:bidi="ar"/>
              </w:rPr>
              <w:t>SO</w:t>
            </w:r>
            <w:r>
              <w:rPr>
                <w:rFonts w:hint="default" w:ascii="TimesNewRomanPSMT" w:hAnsi="TimesNewRomanPSMT" w:eastAsia="TimesNewRomanPSMT" w:cs="TimesNewRomanPSMT"/>
                <w:b w:val="0"/>
                <w:bCs w:val="0"/>
                <w:color w:val="000000"/>
                <w:kern w:val="0"/>
                <w:sz w:val="24"/>
                <w:szCs w:val="24"/>
                <w:highlight w:val="none"/>
                <w:vertAlign w:val="subscript"/>
                <w:lang w:val="en-US" w:eastAsia="zh-CN" w:bidi="ar"/>
              </w:rPr>
              <w:t>2</w:t>
            </w:r>
            <w:r>
              <w:rPr>
                <w:rFonts w:hint="eastAsia" w:ascii="TimesNewRomanPSMT" w:hAnsi="TimesNewRomanPSMT" w:eastAsia="TimesNewRomanPSMT" w:cs="TimesNewRomanPSMT"/>
                <w:b w:val="0"/>
                <w:bCs w:val="0"/>
                <w:color w:val="000000"/>
                <w:kern w:val="0"/>
                <w:sz w:val="24"/>
                <w:szCs w:val="24"/>
                <w:highlight w:val="none"/>
                <w:vertAlign w:val="baseline"/>
                <w:lang w:val="en-US" w:eastAsia="zh-CN" w:bidi="ar"/>
              </w:rPr>
              <w:t>：0</w:t>
            </w:r>
            <w:r>
              <w:rPr>
                <w:rFonts w:hint="default" w:ascii="TimesNewRomanPSMT" w:hAnsi="TimesNewRomanPSMT" w:eastAsia="TimesNewRomanPSMT" w:cs="TimesNewRomanPSMT"/>
                <w:b w:val="0"/>
                <w:bCs w:val="0"/>
                <w:color w:val="000000"/>
                <w:kern w:val="0"/>
                <w:sz w:val="24"/>
                <w:szCs w:val="24"/>
                <w:highlight w:val="none"/>
                <w:lang w:val="en-US" w:eastAsia="zh-CN" w:bidi="ar"/>
              </w:rPr>
              <w:t>t/a</w:t>
            </w:r>
            <w:r>
              <w:rPr>
                <w:rFonts w:ascii="宋体" w:hAnsi="宋体" w:eastAsia="宋体" w:cs="宋体"/>
                <w:b w:val="0"/>
                <w:bCs w:val="0"/>
                <w:color w:val="000000"/>
                <w:kern w:val="0"/>
                <w:sz w:val="24"/>
                <w:szCs w:val="24"/>
                <w:highlight w:val="none"/>
                <w:lang w:val="en-US" w:eastAsia="zh-CN" w:bidi="ar"/>
              </w:rPr>
              <w:t>、</w:t>
            </w:r>
            <w:r>
              <w:rPr>
                <w:rFonts w:hint="default" w:ascii="TimesNewRomanPSMT" w:hAnsi="TimesNewRomanPSMT" w:eastAsia="TimesNewRomanPSMT" w:cs="TimesNewRomanPSMT"/>
                <w:b w:val="0"/>
                <w:bCs w:val="0"/>
                <w:color w:val="000000"/>
                <w:kern w:val="0"/>
                <w:sz w:val="24"/>
                <w:szCs w:val="24"/>
                <w:highlight w:val="none"/>
                <w:lang w:val="en-US" w:eastAsia="zh-CN" w:bidi="ar"/>
              </w:rPr>
              <w:t>NO</w:t>
            </w:r>
            <w:r>
              <w:rPr>
                <w:rFonts w:hint="eastAsia" w:ascii="TimesNewRomanPSMT" w:hAnsi="TimesNewRomanPSMT" w:eastAsia="TimesNewRomanPSMT" w:cs="TimesNewRomanPSMT"/>
                <w:b w:val="0"/>
                <w:bCs w:val="0"/>
                <w:color w:val="000000"/>
                <w:kern w:val="0"/>
                <w:sz w:val="24"/>
                <w:szCs w:val="24"/>
                <w:highlight w:val="none"/>
                <w:vertAlign w:val="subscript"/>
                <w:lang w:val="en-US" w:eastAsia="zh-CN" w:bidi="ar"/>
              </w:rPr>
              <w:t>x</w:t>
            </w:r>
            <w:r>
              <w:rPr>
                <w:rFonts w:hint="eastAsia" w:ascii="TimesNewRomanPSMT" w:hAnsi="TimesNewRomanPSMT" w:eastAsia="TimesNewRomanPSMT" w:cs="TimesNewRomanPSMT"/>
                <w:b w:val="0"/>
                <w:bCs w:val="0"/>
                <w:color w:val="000000"/>
                <w:kern w:val="0"/>
                <w:sz w:val="24"/>
                <w:szCs w:val="24"/>
                <w:highlight w:val="none"/>
                <w:vertAlign w:val="baseline"/>
                <w:lang w:val="en-US" w:eastAsia="zh-CN" w:bidi="ar"/>
              </w:rPr>
              <w:t>：0</w:t>
            </w:r>
            <w:r>
              <w:rPr>
                <w:rFonts w:hint="default" w:ascii="TimesNewRomanPSMT" w:hAnsi="TimesNewRomanPSMT" w:eastAsia="TimesNewRomanPSMT" w:cs="TimesNewRomanPSMT"/>
                <w:b w:val="0"/>
                <w:bCs w:val="0"/>
                <w:color w:val="000000"/>
                <w:kern w:val="0"/>
                <w:sz w:val="24"/>
                <w:szCs w:val="24"/>
                <w:highlight w:val="none"/>
                <w:lang w:val="en-US" w:eastAsia="zh-CN" w:bidi="ar"/>
              </w:rPr>
              <w:t>t/a</w:t>
            </w:r>
            <w:r>
              <w:rPr>
                <w:rFonts w:ascii="宋体" w:hAnsi="宋体" w:eastAsia="宋体" w:cs="宋体"/>
                <w:b w:val="0"/>
                <w:bCs w:val="0"/>
                <w:color w:val="000000"/>
                <w:kern w:val="0"/>
                <w:sz w:val="24"/>
                <w:szCs w:val="24"/>
                <w:highlight w:val="none"/>
                <w:lang w:val="en-US" w:eastAsia="zh-CN" w:bidi="ar"/>
              </w:rPr>
              <w:t>、</w:t>
            </w:r>
            <w:r>
              <w:rPr>
                <w:rFonts w:hint="default" w:ascii="TimesNewRomanPSMT" w:hAnsi="TimesNewRomanPSMT" w:eastAsia="TimesNewRomanPSMT" w:cs="TimesNewRomanPSMT"/>
                <w:b w:val="0"/>
                <w:bCs w:val="0"/>
                <w:color w:val="000000"/>
                <w:kern w:val="0"/>
                <w:sz w:val="24"/>
                <w:szCs w:val="24"/>
                <w:highlight w:val="none"/>
                <w:lang w:val="en-US" w:eastAsia="zh-CN" w:bidi="ar"/>
              </w:rPr>
              <w:t>颗粒物</w:t>
            </w:r>
            <w:r>
              <w:rPr>
                <w:rFonts w:hint="eastAsia" w:ascii="TimesNewRomanPSMT" w:hAnsi="TimesNewRomanPSMT" w:eastAsia="TimesNewRomanPSMT" w:cs="TimesNewRomanPSMT"/>
                <w:b w:val="0"/>
                <w:bCs w:val="0"/>
                <w:color w:val="000000"/>
                <w:kern w:val="0"/>
                <w:sz w:val="24"/>
                <w:szCs w:val="24"/>
                <w:highlight w:val="none"/>
                <w:lang w:val="en-US" w:eastAsia="zh-CN" w:bidi="ar"/>
              </w:rPr>
              <w:t>：9.36</w:t>
            </w:r>
            <w:r>
              <w:rPr>
                <w:rFonts w:hint="default" w:ascii="TimesNewRomanPSMT" w:hAnsi="TimesNewRomanPSMT" w:eastAsia="TimesNewRomanPSMT" w:cs="TimesNewRomanPSMT"/>
                <w:b w:val="0"/>
                <w:bCs w:val="0"/>
                <w:color w:val="000000"/>
                <w:kern w:val="0"/>
                <w:sz w:val="24"/>
                <w:szCs w:val="24"/>
                <w:highlight w:val="none"/>
                <w:lang w:val="en-US" w:eastAsia="zh-CN" w:bidi="ar"/>
              </w:rPr>
              <w:t>t/a。</w:t>
            </w:r>
          </w:p>
          <w:p w14:paraId="504BAD33">
            <w:pPr>
              <w:keepNext w:val="0"/>
              <w:keepLines w:val="0"/>
              <w:pageBreakBefore w:val="0"/>
              <w:widowControl/>
              <w:suppressLineNumbers w:val="0"/>
              <w:kinsoku/>
              <w:wordWrap/>
              <w:overflowPunct/>
              <w:topLinePunct w:val="0"/>
              <w:autoSpaceDE/>
              <w:autoSpaceDN/>
              <w:bidi w:val="0"/>
              <w:adjustRightInd/>
              <w:snapToGrid/>
              <w:spacing w:line="480" w:lineRule="atLeast"/>
              <w:jc w:val="left"/>
              <w:textAlignment w:val="auto"/>
              <w:rPr>
                <w:rFonts w:ascii="宋体" w:hAnsi="宋体" w:eastAsia="宋体" w:cs="宋体"/>
                <w:b w:val="0"/>
                <w:bCs w:val="0"/>
                <w:color w:val="000000"/>
                <w:kern w:val="0"/>
                <w:sz w:val="24"/>
                <w:szCs w:val="24"/>
                <w:highlight w:val="none"/>
                <w:lang w:val="en-US" w:eastAsia="zh-CN" w:bidi="ar"/>
              </w:rPr>
            </w:pPr>
          </w:p>
          <w:p w14:paraId="1C287404">
            <w:pPr>
              <w:keepNext w:val="0"/>
              <w:keepLines w:val="0"/>
              <w:pageBreakBefore w:val="0"/>
              <w:widowControl/>
              <w:suppressLineNumbers w:val="0"/>
              <w:kinsoku/>
              <w:wordWrap/>
              <w:overflowPunct/>
              <w:topLinePunct w:val="0"/>
              <w:autoSpaceDE/>
              <w:autoSpaceDN/>
              <w:bidi w:val="0"/>
              <w:adjustRightInd/>
              <w:snapToGrid/>
              <w:spacing w:line="480" w:lineRule="atLeast"/>
              <w:jc w:val="left"/>
              <w:textAlignment w:val="auto"/>
              <w:rPr>
                <w:rFonts w:ascii="宋体" w:hAnsi="宋体" w:eastAsia="宋体" w:cs="宋体"/>
                <w:b w:val="0"/>
                <w:bCs w:val="0"/>
                <w:color w:val="000000"/>
                <w:kern w:val="0"/>
                <w:sz w:val="24"/>
                <w:szCs w:val="24"/>
                <w:highlight w:val="none"/>
                <w:lang w:val="en-US" w:eastAsia="zh-CN" w:bidi="ar"/>
              </w:rPr>
            </w:pPr>
          </w:p>
          <w:p w14:paraId="0EDB2B66">
            <w:pPr>
              <w:keepNext w:val="0"/>
              <w:keepLines w:val="0"/>
              <w:pageBreakBefore w:val="0"/>
              <w:widowControl/>
              <w:suppressLineNumbers w:val="0"/>
              <w:kinsoku/>
              <w:wordWrap/>
              <w:overflowPunct/>
              <w:topLinePunct w:val="0"/>
              <w:autoSpaceDE/>
              <w:autoSpaceDN/>
              <w:bidi w:val="0"/>
              <w:adjustRightInd/>
              <w:snapToGrid/>
              <w:spacing w:line="480" w:lineRule="atLeast"/>
              <w:jc w:val="left"/>
              <w:textAlignment w:val="auto"/>
              <w:rPr>
                <w:rFonts w:ascii="宋体" w:hAnsi="宋体" w:eastAsia="宋体" w:cs="宋体"/>
                <w:b w:val="0"/>
                <w:bCs w:val="0"/>
                <w:color w:val="000000"/>
                <w:kern w:val="0"/>
                <w:sz w:val="24"/>
                <w:szCs w:val="24"/>
                <w:highlight w:val="none"/>
                <w:lang w:val="en-US" w:eastAsia="zh-CN" w:bidi="ar"/>
              </w:rPr>
            </w:pPr>
          </w:p>
          <w:p w14:paraId="3E525F23">
            <w:pPr>
              <w:keepNext w:val="0"/>
              <w:keepLines w:val="0"/>
              <w:pageBreakBefore w:val="0"/>
              <w:widowControl/>
              <w:suppressLineNumbers w:val="0"/>
              <w:kinsoku/>
              <w:wordWrap/>
              <w:overflowPunct/>
              <w:topLinePunct w:val="0"/>
              <w:autoSpaceDE/>
              <w:autoSpaceDN/>
              <w:bidi w:val="0"/>
              <w:adjustRightInd/>
              <w:snapToGrid/>
              <w:spacing w:line="480" w:lineRule="atLeast"/>
              <w:jc w:val="left"/>
              <w:textAlignment w:val="auto"/>
              <w:rPr>
                <w:rFonts w:ascii="宋体" w:hAnsi="宋体" w:eastAsia="宋体" w:cs="宋体"/>
                <w:b w:val="0"/>
                <w:bCs w:val="0"/>
                <w:color w:val="000000"/>
                <w:kern w:val="0"/>
                <w:sz w:val="24"/>
                <w:szCs w:val="24"/>
                <w:highlight w:val="none"/>
                <w:lang w:val="en-US" w:eastAsia="zh-CN" w:bidi="ar"/>
              </w:rPr>
            </w:pPr>
          </w:p>
          <w:p w14:paraId="6FA2EC18">
            <w:pPr>
              <w:keepNext w:val="0"/>
              <w:keepLines w:val="0"/>
              <w:pageBreakBefore w:val="0"/>
              <w:widowControl/>
              <w:suppressLineNumbers w:val="0"/>
              <w:kinsoku/>
              <w:wordWrap/>
              <w:overflowPunct/>
              <w:topLinePunct w:val="0"/>
              <w:autoSpaceDE/>
              <w:autoSpaceDN/>
              <w:bidi w:val="0"/>
              <w:adjustRightInd/>
              <w:snapToGrid/>
              <w:spacing w:line="480" w:lineRule="atLeast"/>
              <w:jc w:val="left"/>
              <w:textAlignment w:val="auto"/>
              <w:rPr>
                <w:rFonts w:ascii="宋体" w:hAnsi="宋体" w:eastAsia="宋体" w:cs="宋体"/>
                <w:b w:val="0"/>
                <w:bCs w:val="0"/>
                <w:color w:val="000000"/>
                <w:kern w:val="0"/>
                <w:sz w:val="24"/>
                <w:szCs w:val="24"/>
                <w:highlight w:val="none"/>
                <w:lang w:val="en-US" w:eastAsia="zh-CN" w:bidi="ar"/>
              </w:rPr>
            </w:pPr>
          </w:p>
          <w:p w14:paraId="1AF59FCD">
            <w:pPr>
              <w:keepNext w:val="0"/>
              <w:keepLines w:val="0"/>
              <w:pageBreakBefore w:val="0"/>
              <w:widowControl/>
              <w:suppressLineNumbers w:val="0"/>
              <w:kinsoku/>
              <w:wordWrap/>
              <w:overflowPunct/>
              <w:topLinePunct w:val="0"/>
              <w:autoSpaceDE/>
              <w:autoSpaceDN/>
              <w:bidi w:val="0"/>
              <w:adjustRightInd/>
              <w:snapToGrid/>
              <w:spacing w:line="480" w:lineRule="atLeast"/>
              <w:jc w:val="left"/>
              <w:textAlignment w:val="auto"/>
              <w:rPr>
                <w:rFonts w:ascii="宋体" w:hAnsi="宋体" w:eastAsia="宋体" w:cs="宋体"/>
                <w:b w:val="0"/>
                <w:bCs w:val="0"/>
                <w:color w:val="000000"/>
                <w:kern w:val="0"/>
                <w:sz w:val="24"/>
                <w:szCs w:val="24"/>
                <w:highlight w:val="none"/>
                <w:lang w:val="en-US" w:eastAsia="zh-CN" w:bidi="ar"/>
              </w:rPr>
            </w:pPr>
          </w:p>
          <w:p w14:paraId="0D87673C">
            <w:pPr>
              <w:keepNext w:val="0"/>
              <w:keepLines w:val="0"/>
              <w:pageBreakBefore w:val="0"/>
              <w:widowControl/>
              <w:suppressLineNumbers w:val="0"/>
              <w:kinsoku/>
              <w:wordWrap/>
              <w:overflowPunct/>
              <w:topLinePunct w:val="0"/>
              <w:autoSpaceDE/>
              <w:autoSpaceDN/>
              <w:bidi w:val="0"/>
              <w:adjustRightInd/>
              <w:snapToGrid/>
              <w:spacing w:line="480" w:lineRule="atLeast"/>
              <w:jc w:val="left"/>
              <w:textAlignment w:val="auto"/>
              <w:rPr>
                <w:rFonts w:ascii="宋体" w:hAnsi="宋体" w:eastAsia="宋体" w:cs="宋体"/>
                <w:b w:val="0"/>
                <w:bCs w:val="0"/>
                <w:color w:val="000000"/>
                <w:kern w:val="0"/>
                <w:sz w:val="24"/>
                <w:szCs w:val="24"/>
                <w:highlight w:val="none"/>
                <w:lang w:val="en-US" w:eastAsia="zh-CN" w:bidi="ar"/>
              </w:rPr>
            </w:pPr>
          </w:p>
          <w:p w14:paraId="5A4490F2">
            <w:pPr>
              <w:keepNext w:val="0"/>
              <w:keepLines w:val="0"/>
              <w:pageBreakBefore w:val="0"/>
              <w:widowControl/>
              <w:suppressLineNumbers w:val="0"/>
              <w:kinsoku/>
              <w:wordWrap/>
              <w:overflowPunct/>
              <w:topLinePunct w:val="0"/>
              <w:autoSpaceDE/>
              <w:autoSpaceDN/>
              <w:bidi w:val="0"/>
              <w:adjustRightInd/>
              <w:snapToGrid/>
              <w:spacing w:line="480" w:lineRule="atLeast"/>
              <w:jc w:val="left"/>
              <w:textAlignment w:val="auto"/>
              <w:rPr>
                <w:rFonts w:ascii="宋体" w:hAnsi="宋体" w:eastAsia="宋体" w:cs="宋体"/>
                <w:b w:val="0"/>
                <w:bCs w:val="0"/>
                <w:color w:val="000000"/>
                <w:kern w:val="0"/>
                <w:sz w:val="24"/>
                <w:szCs w:val="24"/>
                <w:highlight w:val="none"/>
                <w:lang w:val="en-US" w:eastAsia="zh-CN" w:bidi="ar"/>
              </w:rPr>
            </w:pPr>
          </w:p>
        </w:tc>
      </w:tr>
    </w:tbl>
    <w:p w14:paraId="184DCA54">
      <w:pPr>
        <w:pStyle w:val="22"/>
        <w:jc w:val="center"/>
        <w:outlineLvl w:val="0"/>
        <w:rPr>
          <w:rFonts w:ascii="黑体" w:hAnsi="黑体" w:eastAsia="黑体"/>
          <w:snapToGrid w:val="0"/>
          <w:sz w:val="30"/>
          <w:szCs w:val="30"/>
          <w:highlight w:val="none"/>
        </w:rPr>
      </w:pPr>
      <w:r>
        <w:rPr>
          <w:rFonts w:ascii="黑体" w:hAnsi="黑体" w:eastAsia="黑体"/>
          <w:snapToGrid w:val="0"/>
          <w:sz w:val="36"/>
          <w:szCs w:val="36"/>
          <w:highlight w:val="none"/>
        </w:rPr>
        <w:br w:type="page"/>
      </w:r>
      <w:bookmarkStart w:id="6" w:name="_Toc16695"/>
      <w:r>
        <w:rPr>
          <w:rFonts w:hint="eastAsia" w:ascii="黑体" w:hAnsi="黑体" w:eastAsia="黑体"/>
          <w:snapToGrid w:val="0"/>
          <w:sz w:val="30"/>
          <w:szCs w:val="30"/>
          <w:highlight w:val="none"/>
        </w:rPr>
        <w:t>四、主要环境影响和保护措施</w:t>
      </w:r>
      <w:bookmarkEnd w:id="6"/>
    </w:p>
    <w:tbl>
      <w:tblPr>
        <w:tblStyle w:val="25"/>
        <w:tblW w:w="8908"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746"/>
        <w:gridCol w:w="8162"/>
      </w:tblGrid>
      <w:tr w14:paraId="1A8C4DF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1935" w:hRule="atLeast"/>
          <w:jc w:val="center"/>
        </w:trPr>
        <w:tc>
          <w:tcPr>
            <w:tcW w:w="746" w:type="dxa"/>
            <w:noWrap w:val="0"/>
            <w:tcMar>
              <w:left w:w="28" w:type="dxa"/>
              <w:right w:w="28" w:type="dxa"/>
            </w:tcMar>
            <w:vAlign w:val="center"/>
          </w:tcPr>
          <w:p w14:paraId="188879FE">
            <w:pPr>
              <w:pStyle w:val="22"/>
              <w:adjustRightInd w:val="0"/>
              <w:snapToGrid w:val="0"/>
              <w:spacing w:before="0" w:beforeAutospacing="0" w:after="0" w:afterAutospacing="0"/>
              <w:jc w:val="center"/>
              <w:rPr>
                <w:rFonts w:hint="eastAsia" w:cs="宋体"/>
                <w:kern w:val="2"/>
                <w:sz w:val="24"/>
                <w:szCs w:val="24"/>
                <w:highlight w:val="none"/>
              </w:rPr>
            </w:pPr>
            <w:r>
              <w:rPr>
                <w:rFonts w:hint="eastAsia" w:cs="宋体"/>
                <w:kern w:val="2"/>
                <w:sz w:val="24"/>
                <w:szCs w:val="24"/>
                <w:highlight w:val="none"/>
              </w:rPr>
              <w:t>施工</w:t>
            </w:r>
          </w:p>
          <w:p w14:paraId="14B82848">
            <w:pPr>
              <w:pStyle w:val="22"/>
              <w:adjustRightInd w:val="0"/>
              <w:snapToGrid w:val="0"/>
              <w:spacing w:before="0" w:beforeAutospacing="0" w:after="0" w:afterAutospacing="0"/>
              <w:jc w:val="center"/>
              <w:rPr>
                <w:rFonts w:hint="eastAsia" w:cs="宋体"/>
                <w:kern w:val="2"/>
                <w:sz w:val="24"/>
                <w:szCs w:val="24"/>
                <w:highlight w:val="none"/>
              </w:rPr>
            </w:pPr>
            <w:r>
              <w:rPr>
                <w:rFonts w:hint="eastAsia" w:cs="宋体"/>
                <w:kern w:val="2"/>
                <w:sz w:val="24"/>
                <w:szCs w:val="24"/>
                <w:highlight w:val="none"/>
              </w:rPr>
              <w:t>期环</w:t>
            </w:r>
          </w:p>
          <w:p w14:paraId="032A2DAD">
            <w:pPr>
              <w:pStyle w:val="22"/>
              <w:adjustRightInd w:val="0"/>
              <w:snapToGrid w:val="0"/>
              <w:spacing w:before="0" w:beforeAutospacing="0" w:after="0" w:afterAutospacing="0"/>
              <w:jc w:val="center"/>
              <w:rPr>
                <w:rFonts w:hint="eastAsia" w:cs="宋体"/>
                <w:kern w:val="2"/>
                <w:sz w:val="24"/>
                <w:szCs w:val="24"/>
                <w:highlight w:val="none"/>
              </w:rPr>
            </w:pPr>
            <w:r>
              <w:rPr>
                <w:rFonts w:hint="eastAsia" w:cs="宋体"/>
                <w:kern w:val="2"/>
                <w:sz w:val="24"/>
                <w:szCs w:val="24"/>
                <w:highlight w:val="none"/>
              </w:rPr>
              <w:t>境保</w:t>
            </w:r>
          </w:p>
          <w:p w14:paraId="46809941">
            <w:pPr>
              <w:pStyle w:val="22"/>
              <w:adjustRightInd w:val="0"/>
              <w:snapToGrid w:val="0"/>
              <w:spacing w:before="0" w:beforeAutospacing="0" w:after="0" w:afterAutospacing="0"/>
              <w:jc w:val="center"/>
              <w:rPr>
                <w:rFonts w:hint="eastAsia" w:cs="宋体"/>
                <w:kern w:val="2"/>
                <w:sz w:val="24"/>
                <w:szCs w:val="24"/>
                <w:highlight w:val="none"/>
              </w:rPr>
            </w:pPr>
            <w:r>
              <w:rPr>
                <w:rFonts w:hint="eastAsia" w:cs="宋体"/>
                <w:kern w:val="2"/>
                <w:sz w:val="24"/>
                <w:szCs w:val="24"/>
                <w:highlight w:val="none"/>
              </w:rPr>
              <w:t>护措</w:t>
            </w:r>
          </w:p>
          <w:p w14:paraId="1011873C">
            <w:pPr>
              <w:pStyle w:val="22"/>
              <w:adjustRightInd w:val="0"/>
              <w:snapToGrid w:val="0"/>
              <w:spacing w:before="0" w:beforeAutospacing="0" w:after="0" w:afterAutospacing="0"/>
              <w:jc w:val="center"/>
              <w:rPr>
                <w:rFonts w:hint="eastAsia" w:cs="宋体"/>
                <w:bCs/>
                <w:kern w:val="2"/>
                <w:sz w:val="21"/>
                <w:szCs w:val="21"/>
                <w:highlight w:val="none"/>
              </w:rPr>
            </w:pPr>
            <w:r>
              <w:rPr>
                <w:rFonts w:hint="eastAsia" w:cs="宋体"/>
                <w:kern w:val="2"/>
                <w:sz w:val="24"/>
                <w:szCs w:val="24"/>
                <w:highlight w:val="none"/>
              </w:rPr>
              <w:t>施</w:t>
            </w:r>
          </w:p>
        </w:tc>
        <w:tc>
          <w:tcPr>
            <w:tcW w:w="8162" w:type="dxa"/>
            <w:noWrap w:val="0"/>
            <w:vAlign w:val="center"/>
          </w:tcPr>
          <w:p w14:paraId="44C7B4A0">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拟建工程在施工期建设过程中，对环境的影响，一是由于厂区地基的开挖、建筑材料的装卸运输、挖掘泥土堆放的裸露对大气的影响，主要污染物为TSP；二是施工中所使用的挖掘机、推土机、混凝土搅拌机、振捣机等设备的安装及运输车辆发动机的轰鸣对声环境的影响；三是在施工中，排放的施工设备清洗水、水泥养护水及施工人员的生活污水及生活垃圾。虽然施工期对环境的影响是暂时的，如措施不到位，会对周围居民生活造成较大的影响。</w:t>
            </w:r>
          </w:p>
          <w:p w14:paraId="0FB7A080">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1、施工期扬尘影响分析</w:t>
            </w:r>
          </w:p>
          <w:p w14:paraId="60CEDA93">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①施工期扬尘治理措施</w:t>
            </w:r>
          </w:p>
          <w:p w14:paraId="2D2F5FCD">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在施工中产生的废气污染物主要是施工机械排放的少量废气、地基处理、材料堆存及运输过程产生的颗粒物，均属无组织排放，在时间和空间上较零散，难以定量计算。</w:t>
            </w:r>
          </w:p>
          <w:p w14:paraId="5ED91B4F">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在施工中作业场地应设有硬质围挡以减少扬尘扩散，该措施可以将施工扬尘影响距离缩短40%；施工中定期洒水，可根据天气状况，安排洒水次数；施工场地设车轮冲洗点，防止施工车辆带泥上路。洒水时对抑制扬尘具有显著作用，可将扬尘量降低28%-75%；同时施工期间按要求在施工区域围栏安全范围内设置监测点，可直接监控施工场地主要施工活动。</w:t>
            </w:r>
          </w:p>
          <w:p w14:paraId="6C7597DF">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建筑垃圾和废土及时处理、清运、减少占地、防止扬尘污染、清运车辆保持清洁。</w:t>
            </w:r>
          </w:p>
          <w:p w14:paraId="347F115F">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采取以上措施后，施工场地扬尘能够满足河北省地方标准《施工场地扬尘排放标准》（DB13/2934-2019）中PM</w:t>
            </w:r>
            <w:r>
              <w:rPr>
                <w:rFonts w:hint="default" w:ascii="Times New Roman" w:hAnsi="Times New Roman" w:eastAsia="宋体" w:cs="Times New Roman"/>
                <w:color w:val="auto"/>
                <w:kern w:val="0"/>
                <w:szCs w:val="21"/>
                <w:highlight w:val="none"/>
                <w:vertAlign w:val="subscript"/>
                <w:lang w:val="en-US" w:eastAsia="zh-CN"/>
              </w:rPr>
              <w:t>10</w:t>
            </w:r>
            <w:r>
              <w:rPr>
                <w:rFonts w:hint="default" w:ascii="Times New Roman" w:hAnsi="Times New Roman" w:eastAsia="宋体" w:cs="Times New Roman"/>
                <w:color w:val="auto"/>
                <w:kern w:val="0"/>
                <w:szCs w:val="21"/>
                <w:highlight w:val="none"/>
                <w:lang w:val="en-US" w:eastAsia="zh-CN"/>
              </w:rPr>
              <w:t xml:space="preserve"> 80ug/m</w:t>
            </w:r>
            <w:r>
              <w:rPr>
                <w:rFonts w:hint="default" w:ascii="Times New Roman" w:hAnsi="Times New Roman" w:eastAsia="宋体" w:cs="Times New Roman"/>
                <w:color w:val="auto"/>
                <w:kern w:val="0"/>
                <w:szCs w:val="21"/>
                <w:highlight w:val="none"/>
                <w:vertAlign w:val="superscript"/>
                <w:lang w:val="en-US" w:eastAsia="zh-CN"/>
              </w:rPr>
              <w:t>3</w:t>
            </w:r>
            <w:r>
              <w:rPr>
                <w:rFonts w:hint="default" w:ascii="Times New Roman" w:hAnsi="Times New Roman" w:eastAsia="宋体" w:cs="Times New Roman"/>
                <w:color w:val="auto"/>
                <w:kern w:val="0"/>
                <w:szCs w:val="21"/>
                <w:highlight w:val="none"/>
                <w:lang w:val="en-US" w:eastAsia="zh-CN"/>
              </w:rPr>
              <w:t>（≤2次/天）的要求。</w:t>
            </w:r>
          </w:p>
          <w:p w14:paraId="0D18A58F">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②施工场地扬尘监测布点方案</w:t>
            </w:r>
          </w:p>
          <w:p w14:paraId="1C0CA6E3">
            <w:pPr>
              <w:keepNext w:val="0"/>
              <w:keepLines w:val="0"/>
              <w:pageBreakBefore w:val="0"/>
              <w:widowControl w:val="0"/>
              <w:kinsoku/>
              <w:wordWrap/>
              <w:overflowPunct/>
              <w:topLinePunct w:val="0"/>
              <w:bidi w:val="0"/>
              <w:spacing w:beforeLines="0" w:afterLines="0" w:line="500" w:lineRule="exact"/>
              <w:ind w:firstLine="480"/>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本项目应在施工期在厂区内设置扬尘监测点，根据《施工</w:t>
            </w:r>
            <w:r>
              <w:rPr>
                <w:rFonts w:hint="eastAsia" w:cs="Times New Roman"/>
                <w:color w:val="auto"/>
                <w:kern w:val="0"/>
                <w:szCs w:val="21"/>
                <w:highlight w:val="none"/>
                <w:lang w:val="en-US" w:eastAsia="zh-CN"/>
              </w:rPr>
              <w:t>场</w:t>
            </w:r>
            <w:r>
              <w:rPr>
                <w:rFonts w:hint="default" w:ascii="Times New Roman" w:hAnsi="Times New Roman" w:eastAsia="宋体" w:cs="Times New Roman"/>
                <w:color w:val="auto"/>
                <w:kern w:val="0"/>
                <w:szCs w:val="21"/>
                <w:highlight w:val="none"/>
                <w:lang w:val="en-US" w:eastAsia="zh-CN"/>
              </w:rPr>
              <w:t>地扬尘排放标准》（DB13/2934-2019）5.5.2中要求：面积</w:t>
            </w:r>
            <w:r>
              <w:rPr>
                <w:rFonts w:hint="eastAsia" w:ascii="Times New Roman" w:hAnsi="Times New Roman" w:eastAsia="宋体" w:cs="Times New Roman"/>
                <w:color w:val="auto"/>
                <w:kern w:val="0"/>
                <w:szCs w:val="21"/>
                <w:highlight w:val="none"/>
                <w:lang w:val="en-US" w:eastAsia="zh-CN"/>
              </w:rPr>
              <w:t>＞</w:t>
            </w:r>
            <w:r>
              <w:rPr>
                <w:rFonts w:hint="default" w:ascii="Times New Roman" w:hAnsi="Times New Roman" w:cs="Times New Roman"/>
                <w:color w:val="auto"/>
                <w:kern w:val="0"/>
                <w:szCs w:val="21"/>
                <w:highlight w:val="none"/>
                <w:lang w:val="en-US" w:eastAsia="zh-CN"/>
              </w:rPr>
              <w:t>100</w:t>
            </w:r>
            <w:r>
              <w:rPr>
                <w:rFonts w:hint="default" w:ascii="Times New Roman" w:hAnsi="Times New Roman" w:eastAsia="宋体" w:cs="Times New Roman"/>
                <w:color w:val="auto"/>
                <w:kern w:val="0"/>
                <w:szCs w:val="21"/>
                <w:highlight w:val="none"/>
                <w:lang w:val="en-US" w:eastAsia="zh-CN"/>
              </w:rPr>
              <w:t>000m</w:t>
            </w:r>
            <w:r>
              <w:rPr>
                <w:rFonts w:hint="default" w:ascii="Times New Roman" w:hAnsi="Times New Roman" w:eastAsia="宋体" w:cs="Times New Roman"/>
                <w:color w:val="auto"/>
                <w:kern w:val="0"/>
                <w:szCs w:val="21"/>
                <w:highlight w:val="none"/>
                <w:vertAlign w:val="superscript"/>
                <w:lang w:val="en-US" w:eastAsia="zh-CN"/>
              </w:rPr>
              <w:t>2</w:t>
            </w:r>
            <w:r>
              <w:rPr>
                <w:rFonts w:hint="default" w:ascii="Times New Roman" w:hAnsi="Times New Roman" w:eastAsia="宋体" w:cs="Times New Roman"/>
                <w:color w:val="auto"/>
                <w:kern w:val="0"/>
                <w:szCs w:val="21"/>
                <w:highlight w:val="none"/>
                <w:lang w:val="en-US" w:eastAsia="zh-CN"/>
              </w:rPr>
              <w:t>，</w:t>
            </w:r>
            <w:r>
              <w:rPr>
                <w:rFonts w:hint="default" w:ascii="Times New Roman" w:hAnsi="Times New Roman" w:eastAsia="Times New Roman" w:cs="Times New Roman"/>
                <w:sz w:val="24"/>
                <w:szCs w:val="24"/>
                <w:lang w:val="zh-CN"/>
              </w:rPr>
              <w:t>在10万平方米最少设置4个监测点的基础上，每增加10万平方米最少增设1个监测点（不足10万平方米的部分按10万平方米计）</w:t>
            </w:r>
            <w:r>
              <w:rPr>
                <w:rFonts w:hint="default" w:ascii="Times New Roman" w:hAnsi="Times New Roman" w:eastAsia="宋体" w:cs="Times New Roman"/>
                <w:color w:val="auto"/>
                <w:kern w:val="0"/>
                <w:szCs w:val="21"/>
                <w:highlight w:val="none"/>
                <w:lang w:val="en-US" w:eastAsia="zh-CN"/>
              </w:rPr>
              <w:t>，本项目占地</w:t>
            </w:r>
            <w:r>
              <w:rPr>
                <w:rFonts w:hint="eastAsia" w:cs="Times New Roman"/>
                <w:color w:val="auto"/>
                <w:kern w:val="0"/>
                <w:szCs w:val="21"/>
                <w:highlight w:val="none"/>
                <w:lang w:val="en-US" w:eastAsia="zh-CN"/>
              </w:rPr>
              <w:t>238668.22</w:t>
            </w:r>
            <w:r>
              <w:rPr>
                <w:rFonts w:hint="default" w:ascii="Times New Roman" w:hAnsi="Times New Roman" w:eastAsia="宋体" w:cs="Times New Roman"/>
                <w:color w:val="auto"/>
                <w:kern w:val="0"/>
                <w:szCs w:val="21"/>
                <w:highlight w:val="none"/>
                <w:lang w:val="en-US" w:eastAsia="zh-CN"/>
              </w:rPr>
              <w:t>m</w:t>
            </w:r>
            <w:r>
              <w:rPr>
                <w:rFonts w:hint="default" w:ascii="Times New Roman" w:hAnsi="Times New Roman" w:eastAsia="宋体" w:cs="Times New Roman"/>
                <w:color w:val="auto"/>
                <w:kern w:val="0"/>
                <w:szCs w:val="21"/>
                <w:highlight w:val="none"/>
                <w:vertAlign w:val="superscript"/>
                <w:lang w:val="en-US" w:eastAsia="zh-CN"/>
              </w:rPr>
              <w:t>2</w:t>
            </w:r>
            <w:r>
              <w:rPr>
                <w:rFonts w:hint="default" w:ascii="Times New Roman" w:hAnsi="Times New Roman" w:eastAsia="宋体" w:cs="Times New Roman"/>
                <w:color w:val="auto"/>
                <w:kern w:val="0"/>
                <w:szCs w:val="21"/>
                <w:highlight w:val="none"/>
                <w:lang w:val="en-US" w:eastAsia="zh-CN"/>
              </w:rPr>
              <w:t>，因此，本项目设置</w:t>
            </w:r>
            <w:r>
              <w:rPr>
                <w:rFonts w:hint="default" w:ascii="Times New Roman" w:hAnsi="Times New Roman" w:cs="Times New Roman"/>
                <w:color w:val="auto"/>
                <w:kern w:val="0"/>
                <w:szCs w:val="21"/>
                <w:highlight w:val="none"/>
                <w:lang w:val="en-US" w:eastAsia="zh-CN"/>
              </w:rPr>
              <w:t>6</w:t>
            </w:r>
            <w:r>
              <w:rPr>
                <w:rFonts w:hint="default" w:ascii="Times New Roman" w:hAnsi="Times New Roman" w:eastAsia="宋体" w:cs="Times New Roman"/>
                <w:color w:val="auto"/>
                <w:kern w:val="0"/>
                <w:szCs w:val="21"/>
                <w:highlight w:val="none"/>
                <w:lang w:val="en-US" w:eastAsia="zh-CN"/>
              </w:rPr>
              <w:t>个监测点位，根据《施工</w:t>
            </w:r>
            <w:r>
              <w:rPr>
                <w:rFonts w:hint="eastAsia" w:cs="Times New Roman"/>
                <w:color w:val="auto"/>
                <w:kern w:val="0"/>
                <w:szCs w:val="21"/>
                <w:highlight w:val="none"/>
                <w:lang w:val="en-US" w:eastAsia="zh-CN"/>
              </w:rPr>
              <w:t>场</w:t>
            </w:r>
            <w:r>
              <w:rPr>
                <w:rFonts w:hint="default" w:ascii="Times New Roman" w:hAnsi="Times New Roman" w:eastAsia="宋体" w:cs="Times New Roman"/>
                <w:color w:val="auto"/>
                <w:kern w:val="0"/>
                <w:szCs w:val="21"/>
                <w:highlight w:val="none"/>
                <w:lang w:val="en-US" w:eastAsia="zh-CN"/>
              </w:rPr>
              <w:t>地扬尘排放标准》5.5.4中要求，监测点位宜优先设置于车辆进出口处，其他监测点应结合项目所在地常年主导风向设置在下风向施工场地边界，因此，本项目</w:t>
            </w:r>
            <w:r>
              <w:rPr>
                <w:rFonts w:hint="default" w:ascii="Times New Roman" w:hAnsi="Times New Roman" w:cs="Times New Roman"/>
                <w:color w:val="000000"/>
              </w:rPr>
              <w:t>在厂界四周</w:t>
            </w:r>
            <w:r>
              <w:rPr>
                <w:rFonts w:hint="default" w:ascii="Times New Roman" w:hAnsi="Times New Roman" w:cs="Times New Roman"/>
                <w:color w:val="000000"/>
                <w:lang w:eastAsia="zh-CN"/>
              </w:rPr>
              <w:t>及厂区出入口</w:t>
            </w:r>
            <w:r>
              <w:rPr>
                <w:rFonts w:hint="default" w:ascii="Times New Roman" w:hAnsi="Times New Roman" w:cs="Times New Roman"/>
                <w:color w:val="000000"/>
              </w:rPr>
              <w:t>各设置一个监测点位</w:t>
            </w:r>
            <w:r>
              <w:rPr>
                <w:rFonts w:hint="default" w:ascii="Times New Roman" w:hAnsi="Times New Roman" w:eastAsia="宋体" w:cs="Times New Roman"/>
                <w:color w:val="auto"/>
                <w:kern w:val="0"/>
                <w:szCs w:val="21"/>
                <w:highlight w:val="none"/>
                <w:lang w:val="en-US" w:eastAsia="zh-CN"/>
              </w:rPr>
              <w:t>。</w:t>
            </w:r>
          </w:p>
          <w:p w14:paraId="015CB010">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2、施工期噪声影响分析</w:t>
            </w:r>
          </w:p>
          <w:p w14:paraId="519538E2">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eastAsia" w:cs="Times New Roman"/>
                <w:color w:val="auto"/>
                <w:kern w:val="0"/>
                <w:szCs w:val="21"/>
                <w:highlight w:val="none"/>
                <w:lang w:val="en-US" w:eastAsia="zh-CN"/>
              </w:rPr>
              <w:t>（1）</w:t>
            </w:r>
            <w:r>
              <w:rPr>
                <w:rFonts w:hint="default" w:ascii="Times New Roman" w:hAnsi="Times New Roman" w:eastAsia="宋体" w:cs="Times New Roman"/>
                <w:color w:val="auto"/>
                <w:kern w:val="0"/>
                <w:szCs w:val="21"/>
                <w:highlight w:val="none"/>
                <w:lang w:val="en-US" w:eastAsia="zh-CN"/>
              </w:rPr>
              <w:t>施工期噪声源</w:t>
            </w:r>
          </w:p>
          <w:p w14:paraId="29DE7FA3">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施工噪声主要来自建筑工地及建筑物建设过程中，施工机械中主要的噪声设备为</w:t>
            </w:r>
            <w:r>
              <w:rPr>
                <w:rFonts w:hint="eastAsia" w:cs="Times New Roman"/>
                <w:color w:val="auto"/>
                <w:kern w:val="0"/>
                <w:szCs w:val="21"/>
                <w:highlight w:val="none"/>
                <w:lang w:val="en-US" w:eastAsia="zh-CN"/>
              </w:rPr>
              <w:t>装载机</w:t>
            </w:r>
            <w:r>
              <w:rPr>
                <w:rFonts w:hint="default" w:ascii="Times New Roman" w:hAnsi="Times New Roman" w:eastAsia="宋体" w:cs="Times New Roman"/>
                <w:color w:val="auto"/>
                <w:kern w:val="0"/>
                <w:szCs w:val="21"/>
                <w:highlight w:val="none"/>
                <w:lang w:val="en-US" w:eastAsia="zh-CN"/>
              </w:rPr>
              <w:t>、推土机、挖掘机、振捣机及建筑材料运输车辆运行过程中产生的噪声，以及在设备的安装过程中，机械的碰撞等所发出的噪声等。由于在施工过程中设备的交替作业，会使周围噪声值增高，因此而影响居民的生活和工作环境。</w:t>
            </w:r>
          </w:p>
          <w:p w14:paraId="5C721899">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根据类比调查和资料分析，各类建筑施工机械产噪值见下表。</w:t>
            </w:r>
          </w:p>
          <w:p w14:paraId="078E5292">
            <w:pPr>
              <w:keepNext w:val="0"/>
              <w:keepLines w:val="0"/>
              <w:pageBreakBefore w:val="0"/>
              <w:widowControl w:val="0"/>
              <w:kinsoku/>
              <w:wordWrap/>
              <w:overflowPunct/>
              <w:topLinePunct w:val="0"/>
              <w:autoSpaceDE/>
              <w:autoSpaceDN/>
              <w:bidi w:val="0"/>
              <w:adjustRightInd w:val="0"/>
              <w:snapToGrid w:val="0"/>
              <w:spacing w:line="480" w:lineRule="exact"/>
              <w:ind w:right="0"/>
              <w:jc w:val="center"/>
              <w:textAlignment w:val="auto"/>
              <w:rPr>
                <w:rFonts w:hint="default" w:ascii="Times New Roman" w:hAnsi="Times New Roman" w:eastAsia="宋体" w:cs="Times New Roman"/>
                <w:b/>
                <w:bCs/>
                <w:color w:val="auto"/>
                <w:sz w:val="24"/>
                <w:szCs w:val="24"/>
                <w:highlight w:val="none"/>
                <w:lang w:val="en-US" w:eastAsia="zh-CN"/>
              </w:rPr>
            </w:pPr>
            <w:r>
              <w:rPr>
                <w:rFonts w:hint="default" w:ascii="Times New Roman" w:hAnsi="Times New Roman" w:eastAsia="宋体" w:cs="Times New Roman"/>
                <w:b/>
                <w:bCs/>
                <w:color w:val="auto"/>
                <w:sz w:val="24"/>
                <w:szCs w:val="24"/>
                <w:highlight w:val="none"/>
                <w:lang w:val="en-US" w:eastAsia="zh-CN"/>
              </w:rPr>
              <w:t>表</w:t>
            </w:r>
            <w:r>
              <w:rPr>
                <w:rFonts w:hint="eastAsia" w:ascii="Times New Roman" w:hAnsi="Times New Roman" w:eastAsia="宋体" w:cs="Times New Roman"/>
                <w:b/>
                <w:bCs/>
                <w:color w:val="auto"/>
                <w:sz w:val="24"/>
                <w:szCs w:val="24"/>
                <w:highlight w:val="none"/>
                <w:lang w:val="en-US" w:eastAsia="zh-CN"/>
              </w:rPr>
              <w:t>4-</w:t>
            </w:r>
            <w:r>
              <w:rPr>
                <w:rFonts w:hint="eastAsia" w:cs="Times New Roman"/>
                <w:b/>
                <w:bCs/>
                <w:color w:val="auto"/>
                <w:sz w:val="24"/>
                <w:szCs w:val="24"/>
                <w:highlight w:val="none"/>
                <w:lang w:val="en-US" w:eastAsia="zh-CN"/>
              </w:rPr>
              <w:t>1</w:t>
            </w:r>
            <w:r>
              <w:rPr>
                <w:rFonts w:hint="default" w:ascii="Times New Roman" w:hAnsi="Times New Roman" w:eastAsia="宋体" w:cs="Times New Roman"/>
                <w:b/>
                <w:bCs/>
                <w:color w:val="auto"/>
                <w:sz w:val="24"/>
                <w:szCs w:val="24"/>
                <w:highlight w:val="none"/>
                <w:lang w:val="en-US" w:eastAsia="zh-CN"/>
              </w:rPr>
              <w:t xml:space="preserve"> 施工机械产噪值一览表 单位dB(A)</w:t>
            </w:r>
          </w:p>
          <w:tbl>
            <w:tblPr>
              <w:tblStyle w:val="25"/>
              <w:tblW w:w="4995"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783"/>
              <w:gridCol w:w="1653"/>
              <w:gridCol w:w="1402"/>
              <w:gridCol w:w="786"/>
              <w:gridCol w:w="1782"/>
              <w:gridCol w:w="1513"/>
            </w:tblGrid>
            <w:tr w14:paraId="45CFF93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3" w:hRule="atLeast"/>
                <w:jc w:val="center"/>
              </w:trPr>
              <w:tc>
                <w:tcPr>
                  <w:tcW w:w="494" w:type="pct"/>
                  <w:tcBorders>
                    <w:tl2br w:val="nil"/>
                    <w:tr2bl w:val="nil"/>
                  </w:tcBorders>
                  <w:noWrap w:val="0"/>
                  <w:vAlign w:val="center"/>
                </w:tcPr>
                <w:p w14:paraId="46E3821D">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序号</w:t>
                  </w:r>
                </w:p>
              </w:tc>
              <w:tc>
                <w:tcPr>
                  <w:tcW w:w="1043" w:type="pct"/>
                  <w:tcBorders>
                    <w:tl2br w:val="nil"/>
                    <w:tr2bl w:val="nil"/>
                  </w:tcBorders>
                  <w:noWrap w:val="0"/>
                  <w:vAlign w:val="center"/>
                </w:tcPr>
                <w:p w14:paraId="47A8ACE0">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设备名称</w:t>
                  </w:r>
                </w:p>
              </w:tc>
              <w:tc>
                <w:tcPr>
                  <w:tcW w:w="885" w:type="pct"/>
                  <w:tcBorders>
                    <w:tl2br w:val="nil"/>
                    <w:tr2bl w:val="nil"/>
                  </w:tcBorders>
                  <w:noWrap w:val="0"/>
                  <w:vAlign w:val="center"/>
                </w:tcPr>
                <w:p w14:paraId="20C06BDA">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噪声值/距离</w:t>
                  </w:r>
                </w:p>
              </w:tc>
              <w:tc>
                <w:tcPr>
                  <w:tcW w:w="496" w:type="pct"/>
                  <w:tcBorders>
                    <w:tl2br w:val="nil"/>
                    <w:tr2bl w:val="nil"/>
                  </w:tcBorders>
                  <w:noWrap w:val="0"/>
                  <w:vAlign w:val="center"/>
                </w:tcPr>
                <w:p w14:paraId="155677D1">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序号</w:t>
                  </w:r>
                </w:p>
              </w:tc>
              <w:tc>
                <w:tcPr>
                  <w:tcW w:w="1125" w:type="pct"/>
                  <w:tcBorders>
                    <w:tl2br w:val="nil"/>
                    <w:tr2bl w:val="nil"/>
                  </w:tcBorders>
                  <w:noWrap w:val="0"/>
                  <w:vAlign w:val="center"/>
                </w:tcPr>
                <w:p w14:paraId="21A2B356">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设备名称</w:t>
                  </w:r>
                </w:p>
              </w:tc>
              <w:tc>
                <w:tcPr>
                  <w:tcW w:w="955" w:type="pct"/>
                  <w:tcBorders>
                    <w:tl2br w:val="nil"/>
                    <w:tr2bl w:val="nil"/>
                  </w:tcBorders>
                  <w:noWrap w:val="0"/>
                  <w:vAlign w:val="center"/>
                </w:tcPr>
                <w:p w14:paraId="74182A19">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噪声值/距离</w:t>
                  </w:r>
                </w:p>
              </w:tc>
            </w:tr>
            <w:tr w14:paraId="5706534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4" w:type="pct"/>
                  <w:tcBorders>
                    <w:tl2br w:val="nil"/>
                    <w:tr2bl w:val="nil"/>
                  </w:tcBorders>
                  <w:noWrap w:val="0"/>
                  <w:vAlign w:val="center"/>
                </w:tcPr>
                <w:p w14:paraId="6B6A7C75">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1</w:t>
                  </w:r>
                </w:p>
              </w:tc>
              <w:tc>
                <w:tcPr>
                  <w:tcW w:w="1043" w:type="pct"/>
                  <w:tcBorders>
                    <w:tl2br w:val="nil"/>
                    <w:tr2bl w:val="nil"/>
                  </w:tcBorders>
                  <w:noWrap w:val="0"/>
                  <w:vAlign w:val="center"/>
                </w:tcPr>
                <w:p w14:paraId="045A508F">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eastAsia" w:ascii="Times New Roman" w:hAnsi="Times New Roman" w:eastAsia="宋体" w:cs="Times New Roman"/>
                      <w:caps w:val="0"/>
                      <w:smallCaps w:val="0"/>
                      <w:color w:val="auto"/>
                      <w:spacing w:val="0"/>
                      <w:position w:val="0"/>
                      <w:sz w:val="21"/>
                      <w:szCs w:val="21"/>
                      <w:highlight w:val="none"/>
                      <w:lang w:eastAsia="zh-CN"/>
                    </w:rPr>
                  </w:pPr>
                  <w:r>
                    <w:rPr>
                      <w:rFonts w:hint="eastAsia" w:cs="Times New Roman"/>
                      <w:caps w:val="0"/>
                      <w:smallCaps w:val="0"/>
                      <w:color w:val="auto"/>
                      <w:spacing w:val="0"/>
                      <w:position w:val="0"/>
                      <w:sz w:val="21"/>
                      <w:szCs w:val="21"/>
                      <w:highlight w:val="none"/>
                      <w:lang w:eastAsia="zh-CN"/>
                    </w:rPr>
                    <w:t>装载机</w:t>
                  </w:r>
                </w:p>
              </w:tc>
              <w:tc>
                <w:tcPr>
                  <w:tcW w:w="885" w:type="pct"/>
                  <w:tcBorders>
                    <w:tl2br w:val="nil"/>
                    <w:tr2bl w:val="nil"/>
                  </w:tcBorders>
                  <w:noWrap w:val="0"/>
                  <w:vAlign w:val="center"/>
                </w:tcPr>
                <w:p w14:paraId="71248147">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95/2</w:t>
                  </w:r>
                </w:p>
              </w:tc>
              <w:tc>
                <w:tcPr>
                  <w:tcW w:w="496" w:type="pct"/>
                  <w:tcBorders>
                    <w:tl2br w:val="nil"/>
                    <w:tr2bl w:val="nil"/>
                  </w:tcBorders>
                  <w:noWrap w:val="0"/>
                  <w:vAlign w:val="center"/>
                </w:tcPr>
                <w:p w14:paraId="731A4B52">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5</w:t>
                  </w:r>
                </w:p>
              </w:tc>
              <w:tc>
                <w:tcPr>
                  <w:tcW w:w="1125" w:type="pct"/>
                  <w:tcBorders>
                    <w:tl2br w:val="nil"/>
                    <w:tr2bl w:val="nil"/>
                  </w:tcBorders>
                  <w:noWrap w:val="0"/>
                  <w:vAlign w:val="center"/>
                </w:tcPr>
                <w:p w14:paraId="679F73B9">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夯土机</w:t>
                  </w:r>
                </w:p>
              </w:tc>
              <w:tc>
                <w:tcPr>
                  <w:tcW w:w="955" w:type="pct"/>
                  <w:tcBorders>
                    <w:tl2br w:val="nil"/>
                    <w:tr2bl w:val="nil"/>
                  </w:tcBorders>
                  <w:noWrap w:val="0"/>
                  <w:vAlign w:val="center"/>
                </w:tcPr>
                <w:p w14:paraId="72E8E8CA">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90/2</w:t>
                  </w:r>
                </w:p>
              </w:tc>
            </w:tr>
            <w:tr w14:paraId="5B02ED9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4" w:type="pct"/>
                  <w:tcBorders>
                    <w:tl2br w:val="nil"/>
                    <w:tr2bl w:val="nil"/>
                  </w:tcBorders>
                  <w:noWrap w:val="0"/>
                  <w:vAlign w:val="center"/>
                </w:tcPr>
                <w:p w14:paraId="576D4070">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2</w:t>
                  </w:r>
                </w:p>
              </w:tc>
              <w:tc>
                <w:tcPr>
                  <w:tcW w:w="1043" w:type="pct"/>
                  <w:tcBorders>
                    <w:tl2br w:val="nil"/>
                    <w:tr2bl w:val="nil"/>
                  </w:tcBorders>
                  <w:noWrap w:val="0"/>
                  <w:vAlign w:val="center"/>
                </w:tcPr>
                <w:p w14:paraId="63EF5152">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挖掘机</w:t>
                  </w:r>
                </w:p>
              </w:tc>
              <w:tc>
                <w:tcPr>
                  <w:tcW w:w="885" w:type="pct"/>
                  <w:tcBorders>
                    <w:tl2br w:val="nil"/>
                    <w:tr2bl w:val="nil"/>
                  </w:tcBorders>
                  <w:noWrap w:val="0"/>
                  <w:vAlign w:val="center"/>
                </w:tcPr>
                <w:p w14:paraId="424E334A">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95/2</w:t>
                  </w:r>
                </w:p>
              </w:tc>
              <w:tc>
                <w:tcPr>
                  <w:tcW w:w="496" w:type="pct"/>
                  <w:tcBorders>
                    <w:tl2br w:val="nil"/>
                    <w:tr2bl w:val="nil"/>
                  </w:tcBorders>
                  <w:noWrap w:val="0"/>
                  <w:vAlign w:val="center"/>
                </w:tcPr>
                <w:p w14:paraId="5B2CE7F7">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6</w:t>
                  </w:r>
                </w:p>
              </w:tc>
              <w:tc>
                <w:tcPr>
                  <w:tcW w:w="1125" w:type="pct"/>
                  <w:tcBorders>
                    <w:tl2br w:val="nil"/>
                    <w:tr2bl w:val="nil"/>
                  </w:tcBorders>
                  <w:noWrap w:val="0"/>
                  <w:vAlign w:val="center"/>
                </w:tcPr>
                <w:p w14:paraId="54AD952D">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运输车辆</w:t>
                  </w:r>
                </w:p>
              </w:tc>
              <w:tc>
                <w:tcPr>
                  <w:tcW w:w="955" w:type="pct"/>
                  <w:tcBorders>
                    <w:tl2br w:val="nil"/>
                    <w:tr2bl w:val="nil"/>
                  </w:tcBorders>
                  <w:noWrap w:val="0"/>
                  <w:vAlign w:val="center"/>
                </w:tcPr>
                <w:p w14:paraId="6DCAF091">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94/2</w:t>
                  </w:r>
                </w:p>
              </w:tc>
            </w:tr>
            <w:tr w14:paraId="70B5672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4" w:type="pct"/>
                  <w:tcBorders>
                    <w:tl2br w:val="nil"/>
                    <w:tr2bl w:val="nil"/>
                  </w:tcBorders>
                  <w:noWrap w:val="0"/>
                  <w:vAlign w:val="center"/>
                </w:tcPr>
                <w:p w14:paraId="58B088C1">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w:t>
                  </w:r>
                </w:p>
              </w:tc>
              <w:tc>
                <w:tcPr>
                  <w:tcW w:w="1043" w:type="pct"/>
                  <w:tcBorders>
                    <w:tl2br w:val="nil"/>
                    <w:tr2bl w:val="nil"/>
                  </w:tcBorders>
                  <w:noWrap w:val="0"/>
                  <w:vAlign w:val="center"/>
                </w:tcPr>
                <w:p w14:paraId="61586B2E">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推土机</w:t>
                  </w:r>
                </w:p>
              </w:tc>
              <w:tc>
                <w:tcPr>
                  <w:tcW w:w="885" w:type="pct"/>
                  <w:tcBorders>
                    <w:tl2br w:val="nil"/>
                    <w:tr2bl w:val="nil"/>
                  </w:tcBorders>
                  <w:noWrap w:val="0"/>
                  <w:vAlign w:val="center"/>
                </w:tcPr>
                <w:p w14:paraId="6FB1D99C">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86/3</w:t>
                  </w:r>
                </w:p>
              </w:tc>
              <w:tc>
                <w:tcPr>
                  <w:tcW w:w="496" w:type="pct"/>
                  <w:tcBorders>
                    <w:tl2br w:val="nil"/>
                    <w:tr2bl w:val="nil"/>
                  </w:tcBorders>
                  <w:noWrap w:val="0"/>
                  <w:vAlign w:val="center"/>
                </w:tcPr>
                <w:p w14:paraId="6A9E3F1B">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7</w:t>
                  </w:r>
                </w:p>
              </w:tc>
              <w:tc>
                <w:tcPr>
                  <w:tcW w:w="1125" w:type="pct"/>
                  <w:tcBorders>
                    <w:tl2br w:val="nil"/>
                    <w:tr2bl w:val="nil"/>
                  </w:tcBorders>
                  <w:noWrap w:val="0"/>
                  <w:vAlign w:val="center"/>
                </w:tcPr>
                <w:p w14:paraId="459D3A1E">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吊车</w:t>
                  </w:r>
                </w:p>
              </w:tc>
              <w:tc>
                <w:tcPr>
                  <w:tcW w:w="955" w:type="pct"/>
                  <w:tcBorders>
                    <w:tl2br w:val="nil"/>
                    <w:tr2bl w:val="nil"/>
                  </w:tcBorders>
                  <w:noWrap w:val="0"/>
                  <w:vAlign w:val="center"/>
                </w:tcPr>
                <w:p w14:paraId="49AFF95B">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90/1</w:t>
                  </w:r>
                </w:p>
              </w:tc>
            </w:tr>
            <w:tr w14:paraId="4C3C430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4" w:type="pct"/>
                  <w:tcBorders>
                    <w:tl2br w:val="nil"/>
                    <w:tr2bl w:val="nil"/>
                  </w:tcBorders>
                  <w:noWrap w:val="0"/>
                  <w:vAlign w:val="center"/>
                </w:tcPr>
                <w:p w14:paraId="27EC7FAC">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4</w:t>
                  </w:r>
                </w:p>
              </w:tc>
              <w:tc>
                <w:tcPr>
                  <w:tcW w:w="1043" w:type="pct"/>
                  <w:tcBorders>
                    <w:tl2br w:val="nil"/>
                    <w:tr2bl w:val="nil"/>
                  </w:tcBorders>
                  <w:noWrap w:val="0"/>
                  <w:vAlign w:val="center"/>
                </w:tcPr>
                <w:p w14:paraId="3CE0283D">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混凝土振捣器</w:t>
                  </w:r>
                </w:p>
              </w:tc>
              <w:tc>
                <w:tcPr>
                  <w:tcW w:w="885" w:type="pct"/>
                  <w:tcBorders>
                    <w:tl2br w:val="nil"/>
                    <w:tr2bl w:val="nil"/>
                  </w:tcBorders>
                  <w:noWrap w:val="0"/>
                  <w:vAlign w:val="center"/>
                </w:tcPr>
                <w:p w14:paraId="3D72A514">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105/1</w:t>
                  </w:r>
                </w:p>
              </w:tc>
              <w:tc>
                <w:tcPr>
                  <w:tcW w:w="496" w:type="pct"/>
                  <w:tcBorders>
                    <w:tl2br w:val="nil"/>
                    <w:tr2bl w:val="nil"/>
                  </w:tcBorders>
                  <w:noWrap w:val="0"/>
                  <w:vAlign w:val="center"/>
                </w:tcPr>
                <w:p w14:paraId="565F3C14">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eastAsia="宋体" w:cs="Times New Roman"/>
                      <w:caps w:val="0"/>
                      <w:smallCaps w:val="0"/>
                      <w:color w:val="auto"/>
                      <w:spacing w:val="0"/>
                      <w:position w:val="0"/>
                      <w:sz w:val="21"/>
                      <w:szCs w:val="21"/>
                      <w:highlight w:val="none"/>
                      <w:lang w:val="en-US" w:eastAsia="zh-CN"/>
                    </w:rPr>
                  </w:pPr>
                  <w:r>
                    <w:rPr>
                      <w:rFonts w:hint="default" w:ascii="Times New Roman" w:hAnsi="Times New Roman" w:cs="Times New Roman"/>
                      <w:caps w:val="0"/>
                      <w:smallCaps w:val="0"/>
                      <w:color w:val="auto"/>
                      <w:spacing w:val="0"/>
                      <w:position w:val="0"/>
                      <w:sz w:val="21"/>
                      <w:szCs w:val="21"/>
                      <w:highlight w:val="none"/>
                      <w:lang w:val="en-US" w:eastAsia="zh-CN"/>
                    </w:rPr>
                    <w:t>/</w:t>
                  </w:r>
                </w:p>
              </w:tc>
              <w:tc>
                <w:tcPr>
                  <w:tcW w:w="1125" w:type="pct"/>
                  <w:tcBorders>
                    <w:tl2br w:val="nil"/>
                    <w:tr2bl w:val="nil"/>
                  </w:tcBorders>
                  <w:noWrap w:val="0"/>
                  <w:vAlign w:val="center"/>
                </w:tcPr>
                <w:p w14:paraId="1C1D5B1E">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eastAsia="宋体" w:cs="Times New Roman"/>
                      <w:caps w:val="0"/>
                      <w:smallCaps w:val="0"/>
                      <w:color w:val="auto"/>
                      <w:spacing w:val="0"/>
                      <w:position w:val="0"/>
                      <w:sz w:val="21"/>
                      <w:szCs w:val="21"/>
                      <w:highlight w:val="none"/>
                      <w:lang w:val="en-US" w:eastAsia="zh-CN"/>
                    </w:rPr>
                  </w:pPr>
                  <w:r>
                    <w:rPr>
                      <w:rFonts w:hint="default" w:ascii="Times New Roman" w:hAnsi="Times New Roman" w:cs="Times New Roman"/>
                      <w:caps w:val="0"/>
                      <w:smallCaps w:val="0"/>
                      <w:color w:val="auto"/>
                      <w:spacing w:val="0"/>
                      <w:position w:val="0"/>
                      <w:sz w:val="21"/>
                      <w:szCs w:val="21"/>
                      <w:highlight w:val="none"/>
                      <w:lang w:val="en-US" w:eastAsia="zh-CN"/>
                    </w:rPr>
                    <w:t>/</w:t>
                  </w:r>
                </w:p>
              </w:tc>
              <w:tc>
                <w:tcPr>
                  <w:tcW w:w="955" w:type="pct"/>
                  <w:tcBorders>
                    <w:tl2br w:val="nil"/>
                    <w:tr2bl w:val="nil"/>
                  </w:tcBorders>
                  <w:noWrap w:val="0"/>
                  <w:vAlign w:val="center"/>
                </w:tcPr>
                <w:p w14:paraId="024E834D">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40" w:lineRule="exact"/>
                    <w:jc w:val="center"/>
                    <w:textAlignment w:val="auto"/>
                    <w:rPr>
                      <w:rFonts w:hint="default" w:ascii="Times New Roman" w:hAnsi="Times New Roman" w:eastAsia="宋体" w:cs="Times New Roman"/>
                      <w:caps w:val="0"/>
                      <w:smallCaps w:val="0"/>
                      <w:color w:val="auto"/>
                      <w:spacing w:val="0"/>
                      <w:position w:val="0"/>
                      <w:sz w:val="21"/>
                      <w:szCs w:val="21"/>
                      <w:highlight w:val="none"/>
                      <w:lang w:val="en-US" w:eastAsia="zh-CN"/>
                    </w:rPr>
                  </w:pPr>
                  <w:r>
                    <w:rPr>
                      <w:rFonts w:hint="default" w:ascii="Times New Roman" w:hAnsi="Times New Roman" w:cs="Times New Roman"/>
                      <w:caps w:val="0"/>
                      <w:smallCaps w:val="0"/>
                      <w:color w:val="auto"/>
                      <w:spacing w:val="0"/>
                      <w:position w:val="0"/>
                      <w:sz w:val="21"/>
                      <w:szCs w:val="21"/>
                      <w:highlight w:val="none"/>
                      <w:lang w:val="en-US" w:eastAsia="zh-CN"/>
                    </w:rPr>
                    <w:t>/</w:t>
                  </w:r>
                </w:p>
              </w:tc>
            </w:tr>
          </w:tbl>
          <w:p w14:paraId="345B9E4E">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eastAsia" w:cs="Times New Roman"/>
                <w:color w:val="auto"/>
                <w:kern w:val="0"/>
                <w:szCs w:val="21"/>
                <w:highlight w:val="none"/>
                <w:lang w:val="en-US" w:eastAsia="zh-CN"/>
              </w:rPr>
              <w:t>（2）</w:t>
            </w:r>
            <w:r>
              <w:rPr>
                <w:rFonts w:hint="default" w:ascii="Times New Roman" w:hAnsi="Times New Roman" w:eastAsia="宋体" w:cs="Times New Roman"/>
                <w:color w:val="auto"/>
                <w:kern w:val="0"/>
                <w:szCs w:val="21"/>
                <w:highlight w:val="none"/>
                <w:lang w:val="en-US" w:eastAsia="zh-CN"/>
              </w:rPr>
              <w:t>分析标准</w:t>
            </w:r>
          </w:p>
          <w:p w14:paraId="09F1417F">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施工噪声采用《建筑施工场界环境噪声排放标准》（GB12523-2011）标准。</w:t>
            </w:r>
          </w:p>
          <w:p w14:paraId="4523397F">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eastAsia" w:cs="Times New Roman"/>
                <w:color w:val="auto"/>
                <w:kern w:val="0"/>
                <w:szCs w:val="21"/>
                <w:highlight w:val="none"/>
                <w:lang w:val="en-US" w:eastAsia="zh-CN"/>
              </w:rPr>
              <w:t>（3）</w:t>
            </w:r>
            <w:r>
              <w:rPr>
                <w:rFonts w:hint="default" w:ascii="Times New Roman" w:hAnsi="Times New Roman" w:eastAsia="宋体" w:cs="Times New Roman"/>
                <w:color w:val="auto"/>
                <w:kern w:val="0"/>
                <w:szCs w:val="21"/>
                <w:highlight w:val="none"/>
                <w:lang w:val="en-US" w:eastAsia="zh-CN"/>
              </w:rPr>
              <w:t>施工期噪声影响分析</w:t>
            </w:r>
          </w:p>
          <w:p w14:paraId="07A6C642">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zh-CN" w:eastAsia="zh-CN"/>
              </w:rPr>
            </w:pPr>
            <w:r>
              <w:rPr>
                <w:rFonts w:hint="default" w:ascii="Times New Roman" w:hAnsi="Times New Roman" w:eastAsia="宋体" w:cs="Times New Roman"/>
                <w:color w:val="auto"/>
                <w:kern w:val="0"/>
                <w:szCs w:val="21"/>
                <w:highlight w:val="none"/>
                <w:lang w:val="en-US" w:eastAsia="zh-CN"/>
              </w:rPr>
              <w:t>施工噪声源可近似为点声源。根据点声源噪声衰减模式，参照公路施工现场5m距离的源强，可估算出离声源不同距离处的噪声值。预测模式如下：</w:t>
            </w:r>
          </w:p>
          <w:p w14:paraId="30F984B7">
            <w:pPr>
              <w:keepNext w:val="0"/>
              <w:keepLines w:val="0"/>
              <w:pageBreakBefore w:val="0"/>
              <w:widowControl w:val="0"/>
              <w:kinsoku/>
              <w:wordWrap/>
              <w:overflowPunct/>
              <w:topLinePunct w:val="0"/>
              <w:autoSpaceDE w:val="0"/>
              <w:autoSpaceDN w:val="0"/>
              <w:bidi w:val="0"/>
              <w:adjustRightInd w:val="0"/>
              <w:snapToGrid w:val="0"/>
              <w:spacing w:line="500" w:lineRule="exact"/>
              <w:jc w:val="center"/>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position w:val="-10"/>
                <w:szCs w:val="21"/>
                <w:highlight w:val="none"/>
                <w:lang w:val="en-US" w:eastAsia="zh-CN"/>
              </w:rPr>
              <w:object>
                <v:shape id="_x0000_i1028" o:spt="75" type="#_x0000_t75" style="height:14.25pt;width:85.75pt;" o:ole="t" filled="f" o:preferrelative="t" stroked="f" coordsize="21600,21600">
                  <v:path/>
                  <v:fill on="f" focussize="0,0"/>
                  <v:stroke on="f"/>
                  <v:imagedata r:id="rId25" o:title=""/>
                  <o:lock v:ext="edit" aspectratio="t"/>
                  <w10:wrap type="none"/>
                  <w10:anchorlock/>
                </v:shape>
                <o:OLEObject Type="Embed" ProgID="Equation.3" ShapeID="_x0000_i1028" DrawAspect="Content" ObjectID="_1468075732" r:id="rId24">
                  <o:LockedField>false</o:LockedField>
                </o:OLEObject>
              </w:object>
            </w:r>
          </w:p>
          <w:p w14:paraId="2791FB76">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式中：</w:t>
            </w:r>
          </w:p>
          <w:p w14:paraId="3F00B6FE">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Lp</w:t>
            </w:r>
            <w:r>
              <w:rPr>
                <w:rFonts w:hint="eastAsia" w:cs="Times New Roman"/>
                <w:b w:val="0"/>
                <w:bCs w:val="0"/>
                <w:color w:val="000000"/>
                <w:sz w:val="24"/>
                <w:szCs w:val="24"/>
                <w:highlight w:val="none"/>
                <w:lang w:val="en-US" w:eastAsia="zh-CN"/>
              </w:rPr>
              <w:t>—</w:t>
            </w:r>
            <w:r>
              <w:rPr>
                <w:rFonts w:hint="default" w:ascii="Times New Roman" w:hAnsi="Times New Roman" w:eastAsia="宋体" w:cs="Times New Roman"/>
                <w:color w:val="auto"/>
                <w:kern w:val="0"/>
                <w:szCs w:val="21"/>
                <w:highlight w:val="none"/>
                <w:lang w:val="en-US" w:eastAsia="zh-CN"/>
              </w:rPr>
              <w:t>距声源r米处的施工噪声预测值[dB(A)]；</w:t>
            </w:r>
          </w:p>
          <w:p w14:paraId="6B2C355D">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Lpo</w:t>
            </w:r>
            <w:r>
              <w:rPr>
                <w:rFonts w:hint="eastAsia" w:cs="Times New Roman"/>
                <w:b w:val="0"/>
                <w:bCs w:val="0"/>
                <w:color w:val="000000"/>
                <w:sz w:val="24"/>
                <w:szCs w:val="24"/>
                <w:highlight w:val="none"/>
                <w:lang w:val="en-US" w:eastAsia="zh-CN"/>
              </w:rPr>
              <w:t>—</w:t>
            </w:r>
            <w:r>
              <w:rPr>
                <w:rFonts w:hint="default" w:ascii="Times New Roman" w:hAnsi="Times New Roman" w:eastAsia="宋体" w:cs="Times New Roman"/>
                <w:color w:val="auto"/>
                <w:kern w:val="0"/>
                <w:szCs w:val="21"/>
                <w:highlight w:val="none"/>
                <w:lang w:val="en-US" w:eastAsia="zh-CN"/>
              </w:rPr>
              <w:t>距声源5m处的参考声级[dB(A)]。</w:t>
            </w:r>
          </w:p>
          <w:p w14:paraId="001558DF">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根据上述模式可计算出各类施工机械在不同距离处的噪声预测值，见下表。</w:t>
            </w:r>
          </w:p>
          <w:p w14:paraId="4FC2843F">
            <w:pPr>
              <w:keepNext w:val="0"/>
              <w:keepLines w:val="0"/>
              <w:pageBreakBefore w:val="0"/>
              <w:widowControl w:val="0"/>
              <w:kinsoku/>
              <w:wordWrap/>
              <w:overflowPunct/>
              <w:topLinePunct w:val="0"/>
              <w:autoSpaceDE/>
              <w:autoSpaceDN/>
              <w:bidi w:val="0"/>
              <w:adjustRightInd w:val="0"/>
              <w:snapToGrid w:val="0"/>
              <w:spacing w:line="500" w:lineRule="exact"/>
              <w:ind w:right="0"/>
              <w:jc w:val="center"/>
              <w:textAlignment w:val="auto"/>
              <w:rPr>
                <w:rFonts w:hint="default" w:ascii="Times New Roman" w:hAnsi="Times New Roman" w:eastAsia="宋体" w:cs="Times New Roman"/>
                <w:b/>
                <w:bCs/>
                <w:color w:val="auto"/>
                <w:sz w:val="24"/>
                <w:szCs w:val="24"/>
                <w:highlight w:val="none"/>
                <w:lang w:val="zh-CN" w:eastAsia="zh-CN"/>
              </w:rPr>
            </w:pPr>
            <w:r>
              <w:rPr>
                <w:rFonts w:hint="default" w:ascii="Times New Roman" w:hAnsi="Times New Roman" w:eastAsia="宋体" w:cs="Times New Roman"/>
                <w:b/>
                <w:bCs/>
                <w:color w:val="auto"/>
                <w:sz w:val="24"/>
                <w:szCs w:val="24"/>
                <w:highlight w:val="none"/>
                <w:lang w:val="zh-CN" w:eastAsia="zh-CN"/>
              </w:rPr>
              <w:t>表</w:t>
            </w:r>
            <w:r>
              <w:rPr>
                <w:rFonts w:hint="eastAsia" w:ascii="Times New Roman" w:hAnsi="Times New Roman" w:eastAsia="宋体" w:cs="Times New Roman"/>
                <w:b/>
                <w:bCs/>
                <w:color w:val="auto"/>
                <w:sz w:val="24"/>
                <w:szCs w:val="24"/>
                <w:highlight w:val="none"/>
                <w:lang w:val="en-US" w:eastAsia="zh-CN"/>
              </w:rPr>
              <w:t>4-</w:t>
            </w:r>
            <w:r>
              <w:rPr>
                <w:rFonts w:hint="eastAsia" w:cs="Times New Roman"/>
                <w:b/>
                <w:bCs/>
                <w:color w:val="auto"/>
                <w:sz w:val="24"/>
                <w:szCs w:val="24"/>
                <w:highlight w:val="none"/>
                <w:lang w:val="en-US" w:eastAsia="zh-CN"/>
              </w:rPr>
              <w:t xml:space="preserve">2 </w:t>
            </w:r>
            <w:r>
              <w:rPr>
                <w:rFonts w:hint="default" w:ascii="Times New Roman" w:hAnsi="Times New Roman" w:eastAsia="宋体" w:cs="Times New Roman"/>
                <w:b/>
                <w:bCs/>
                <w:color w:val="auto"/>
                <w:sz w:val="24"/>
                <w:szCs w:val="24"/>
                <w:highlight w:val="none"/>
                <w:lang w:val="zh-CN" w:eastAsia="zh-CN"/>
              </w:rPr>
              <w:t>施工机械在不同距离处的噪声预测值 单位:dB(A)</w:t>
            </w:r>
          </w:p>
          <w:tbl>
            <w:tblPr>
              <w:tblStyle w:val="25"/>
              <w:tblW w:w="4986"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482"/>
              <w:gridCol w:w="1518"/>
              <w:gridCol w:w="822"/>
              <w:gridCol w:w="824"/>
              <w:gridCol w:w="680"/>
              <w:gridCol w:w="824"/>
              <w:gridCol w:w="819"/>
              <w:gridCol w:w="962"/>
              <w:gridCol w:w="974"/>
            </w:tblGrid>
            <w:tr w14:paraId="3491192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304" w:type="pct"/>
                  <w:vMerge w:val="restart"/>
                  <w:tcBorders>
                    <w:tl2br w:val="nil"/>
                    <w:tr2bl w:val="nil"/>
                  </w:tcBorders>
                  <w:noWrap w:val="0"/>
                  <w:vAlign w:val="center"/>
                </w:tcPr>
                <w:p w14:paraId="6062FD5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序号</w:t>
                  </w:r>
                </w:p>
              </w:tc>
              <w:tc>
                <w:tcPr>
                  <w:tcW w:w="960" w:type="pct"/>
                  <w:vMerge w:val="restart"/>
                  <w:tcBorders>
                    <w:tl2br w:val="nil"/>
                    <w:tr2bl w:val="nil"/>
                  </w:tcBorders>
                  <w:noWrap w:val="0"/>
                  <w:vAlign w:val="center"/>
                </w:tcPr>
                <w:p w14:paraId="77B7A76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机械</w:t>
                  </w:r>
                </w:p>
              </w:tc>
              <w:tc>
                <w:tcPr>
                  <w:tcW w:w="3734" w:type="pct"/>
                  <w:gridSpan w:val="7"/>
                  <w:tcBorders>
                    <w:tl2br w:val="nil"/>
                    <w:tr2bl w:val="nil"/>
                  </w:tcBorders>
                  <w:noWrap w:val="0"/>
                  <w:vAlign w:val="center"/>
                </w:tcPr>
                <w:p w14:paraId="61C4AE96">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不同距离处的噪声贡献值[dB(A)]</w:t>
                  </w:r>
                </w:p>
              </w:tc>
            </w:tr>
            <w:tr w14:paraId="710B499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304" w:type="pct"/>
                  <w:vMerge w:val="continue"/>
                  <w:tcBorders>
                    <w:tl2br w:val="nil"/>
                    <w:tr2bl w:val="nil"/>
                  </w:tcBorders>
                  <w:noWrap w:val="0"/>
                  <w:vAlign w:val="center"/>
                </w:tcPr>
                <w:p w14:paraId="7D0CA47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p>
              </w:tc>
              <w:tc>
                <w:tcPr>
                  <w:tcW w:w="960" w:type="pct"/>
                  <w:vMerge w:val="continue"/>
                  <w:tcBorders>
                    <w:tl2br w:val="nil"/>
                    <w:tr2bl w:val="nil"/>
                  </w:tcBorders>
                  <w:noWrap w:val="0"/>
                  <w:vAlign w:val="center"/>
                </w:tcPr>
                <w:p w14:paraId="76C4732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p>
              </w:tc>
              <w:tc>
                <w:tcPr>
                  <w:tcW w:w="519" w:type="pct"/>
                  <w:tcBorders>
                    <w:tl2br w:val="nil"/>
                    <w:tr2bl w:val="nil"/>
                  </w:tcBorders>
                  <w:noWrap w:val="0"/>
                  <w:vAlign w:val="center"/>
                </w:tcPr>
                <w:p w14:paraId="608F92E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100m</w:t>
                  </w:r>
                </w:p>
              </w:tc>
              <w:tc>
                <w:tcPr>
                  <w:tcW w:w="521" w:type="pct"/>
                  <w:tcBorders>
                    <w:tl2br w:val="nil"/>
                    <w:tr2bl w:val="nil"/>
                  </w:tcBorders>
                  <w:noWrap w:val="0"/>
                  <w:vAlign w:val="center"/>
                </w:tcPr>
                <w:p w14:paraId="4BF0E213">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200m</w:t>
                  </w:r>
                </w:p>
              </w:tc>
              <w:tc>
                <w:tcPr>
                  <w:tcW w:w="430" w:type="pct"/>
                  <w:tcBorders>
                    <w:tl2br w:val="nil"/>
                    <w:tr2bl w:val="nil"/>
                  </w:tcBorders>
                  <w:noWrap w:val="0"/>
                  <w:vAlign w:val="center"/>
                </w:tcPr>
                <w:p w14:paraId="046F305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300m</w:t>
                  </w:r>
                </w:p>
              </w:tc>
              <w:tc>
                <w:tcPr>
                  <w:tcW w:w="521" w:type="pct"/>
                  <w:tcBorders>
                    <w:tl2br w:val="nil"/>
                    <w:tr2bl w:val="nil"/>
                  </w:tcBorders>
                  <w:noWrap w:val="0"/>
                  <w:vAlign w:val="center"/>
                </w:tcPr>
                <w:p w14:paraId="449C77B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400m</w:t>
                  </w:r>
                </w:p>
              </w:tc>
              <w:tc>
                <w:tcPr>
                  <w:tcW w:w="518" w:type="pct"/>
                  <w:tcBorders>
                    <w:tl2br w:val="nil"/>
                    <w:tr2bl w:val="nil"/>
                  </w:tcBorders>
                  <w:noWrap w:val="0"/>
                  <w:vAlign w:val="center"/>
                </w:tcPr>
                <w:p w14:paraId="186CC14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500m</w:t>
                  </w:r>
                </w:p>
              </w:tc>
              <w:tc>
                <w:tcPr>
                  <w:tcW w:w="608" w:type="pct"/>
                  <w:tcBorders>
                    <w:tl2br w:val="nil"/>
                    <w:tr2bl w:val="nil"/>
                  </w:tcBorders>
                  <w:noWrap w:val="0"/>
                  <w:vAlign w:val="center"/>
                </w:tcPr>
                <w:p w14:paraId="21E6519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600m</w:t>
                  </w:r>
                </w:p>
              </w:tc>
              <w:tc>
                <w:tcPr>
                  <w:tcW w:w="616" w:type="pct"/>
                  <w:tcBorders>
                    <w:tl2br w:val="nil"/>
                    <w:tr2bl w:val="nil"/>
                  </w:tcBorders>
                  <w:noWrap w:val="0"/>
                  <w:vAlign w:val="center"/>
                </w:tcPr>
                <w:p w14:paraId="4EB5F48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700m</w:t>
                  </w:r>
                </w:p>
              </w:tc>
            </w:tr>
            <w:tr w14:paraId="067EA65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304" w:type="pct"/>
                  <w:tcBorders>
                    <w:tl2br w:val="nil"/>
                    <w:tr2bl w:val="nil"/>
                  </w:tcBorders>
                  <w:noWrap w:val="0"/>
                  <w:vAlign w:val="center"/>
                </w:tcPr>
                <w:p w14:paraId="6ECE803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1</w:t>
                  </w:r>
                </w:p>
              </w:tc>
              <w:tc>
                <w:tcPr>
                  <w:tcW w:w="960" w:type="pct"/>
                  <w:tcBorders>
                    <w:tl2br w:val="nil"/>
                    <w:tr2bl w:val="nil"/>
                  </w:tcBorders>
                  <w:noWrap w:val="0"/>
                  <w:vAlign w:val="center"/>
                </w:tcPr>
                <w:p w14:paraId="66E56A8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caps w:val="0"/>
                      <w:smallCaps w:val="0"/>
                      <w:color w:val="auto"/>
                      <w:spacing w:val="0"/>
                      <w:position w:val="0"/>
                      <w:sz w:val="21"/>
                      <w:szCs w:val="21"/>
                      <w:highlight w:val="none"/>
                      <w:lang w:eastAsia="zh-CN"/>
                    </w:rPr>
                  </w:pPr>
                  <w:r>
                    <w:rPr>
                      <w:rFonts w:hint="eastAsia" w:cs="Times New Roman"/>
                      <w:caps w:val="0"/>
                      <w:smallCaps w:val="0"/>
                      <w:color w:val="auto"/>
                      <w:spacing w:val="0"/>
                      <w:position w:val="0"/>
                      <w:sz w:val="21"/>
                      <w:szCs w:val="21"/>
                      <w:highlight w:val="none"/>
                      <w:lang w:eastAsia="zh-CN"/>
                    </w:rPr>
                    <w:t>装载机</w:t>
                  </w:r>
                </w:p>
              </w:tc>
              <w:tc>
                <w:tcPr>
                  <w:tcW w:w="519" w:type="pct"/>
                  <w:tcBorders>
                    <w:tl2br w:val="nil"/>
                    <w:tr2bl w:val="nil"/>
                  </w:tcBorders>
                  <w:noWrap w:val="0"/>
                  <w:vAlign w:val="center"/>
                </w:tcPr>
                <w:p w14:paraId="1868316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50.0</w:t>
                  </w:r>
                </w:p>
              </w:tc>
              <w:tc>
                <w:tcPr>
                  <w:tcW w:w="521" w:type="pct"/>
                  <w:tcBorders>
                    <w:tl2br w:val="nil"/>
                    <w:tr2bl w:val="nil"/>
                  </w:tcBorders>
                  <w:noWrap w:val="0"/>
                  <w:vAlign w:val="center"/>
                </w:tcPr>
                <w:p w14:paraId="2FB5435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44.0</w:t>
                  </w:r>
                </w:p>
              </w:tc>
              <w:tc>
                <w:tcPr>
                  <w:tcW w:w="430" w:type="pct"/>
                  <w:tcBorders>
                    <w:tl2br w:val="nil"/>
                    <w:tr2bl w:val="nil"/>
                  </w:tcBorders>
                  <w:noWrap w:val="0"/>
                  <w:vAlign w:val="center"/>
                </w:tcPr>
                <w:p w14:paraId="062CEF9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40.5</w:t>
                  </w:r>
                </w:p>
              </w:tc>
              <w:tc>
                <w:tcPr>
                  <w:tcW w:w="521" w:type="pct"/>
                  <w:tcBorders>
                    <w:tl2br w:val="nil"/>
                    <w:tr2bl w:val="nil"/>
                  </w:tcBorders>
                  <w:noWrap w:val="0"/>
                  <w:vAlign w:val="center"/>
                </w:tcPr>
                <w:p w14:paraId="5B8389D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38.0</w:t>
                  </w:r>
                </w:p>
              </w:tc>
              <w:tc>
                <w:tcPr>
                  <w:tcW w:w="518" w:type="pct"/>
                  <w:tcBorders>
                    <w:tl2br w:val="nil"/>
                    <w:tr2bl w:val="nil"/>
                  </w:tcBorders>
                  <w:noWrap w:val="0"/>
                  <w:vAlign w:val="center"/>
                </w:tcPr>
                <w:p w14:paraId="2530837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36.0</w:t>
                  </w:r>
                </w:p>
              </w:tc>
              <w:tc>
                <w:tcPr>
                  <w:tcW w:w="608" w:type="pct"/>
                  <w:tcBorders>
                    <w:tl2br w:val="nil"/>
                    <w:tr2bl w:val="nil"/>
                  </w:tcBorders>
                  <w:noWrap w:val="0"/>
                  <w:vAlign w:val="center"/>
                </w:tcPr>
                <w:p w14:paraId="611F878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34.5</w:t>
                  </w:r>
                </w:p>
              </w:tc>
              <w:tc>
                <w:tcPr>
                  <w:tcW w:w="616" w:type="pct"/>
                  <w:tcBorders>
                    <w:tl2br w:val="nil"/>
                    <w:tr2bl w:val="nil"/>
                  </w:tcBorders>
                  <w:noWrap w:val="0"/>
                  <w:vAlign w:val="center"/>
                </w:tcPr>
                <w:p w14:paraId="65ED6CA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33.1</w:t>
                  </w:r>
                </w:p>
              </w:tc>
            </w:tr>
            <w:tr w14:paraId="5DBB9EE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304" w:type="pct"/>
                  <w:tcBorders>
                    <w:tl2br w:val="nil"/>
                    <w:tr2bl w:val="nil"/>
                  </w:tcBorders>
                  <w:noWrap w:val="0"/>
                  <w:vAlign w:val="center"/>
                </w:tcPr>
                <w:p w14:paraId="0E4B7766">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2</w:t>
                  </w:r>
                </w:p>
              </w:tc>
              <w:tc>
                <w:tcPr>
                  <w:tcW w:w="960" w:type="pct"/>
                  <w:tcBorders>
                    <w:tl2br w:val="nil"/>
                    <w:tr2bl w:val="nil"/>
                  </w:tcBorders>
                  <w:noWrap w:val="0"/>
                  <w:vAlign w:val="center"/>
                </w:tcPr>
                <w:p w14:paraId="5386B36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挖掘机</w:t>
                  </w:r>
                </w:p>
              </w:tc>
              <w:tc>
                <w:tcPr>
                  <w:tcW w:w="519" w:type="pct"/>
                  <w:tcBorders>
                    <w:tl2br w:val="nil"/>
                    <w:tr2bl w:val="nil"/>
                  </w:tcBorders>
                  <w:noWrap w:val="0"/>
                  <w:vAlign w:val="center"/>
                </w:tcPr>
                <w:p w14:paraId="6D373A0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50.0</w:t>
                  </w:r>
                </w:p>
              </w:tc>
              <w:tc>
                <w:tcPr>
                  <w:tcW w:w="521" w:type="pct"/>
                  <w:tcBorders>
                    <w:tl2br w:val="nil"/>
                    <w:tr2bl w:val="nil"/>
                  </w:tcBorders>
                  <w:noWrap w:val="0"/>
                  <w:vAlign w:val="center"/>
                </w:tcPr>
                <w:p w14:paraId="193C22C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44.0</w:t>
                  </w:r>
                </w:p>
              </w:tc>
              <w:tc>
                <w:tcPr>
                  <w:tcW w:w="430" w:type="pct"/>
                  <w:tcBorders>
                    <w:tl2br w:val="nil"/>
                    <w:tr2bl w:val="nil"/>
                  </w:tcBorders>
                  <w:noWrap w:val="0"/>
                  <w:vAlign w:val="center"/>
                </w:tcPr>
                <w:p w14:paraId="0B30674B">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40.5</w:t>
                  </w:r>
                </w:p>
              </w:tc>
              <w:tc>
                <w:tcPr>
                  <w:tcW w:w="521" w:type="pct"/>
                  <w:tcBorders>
                    <w:tl2br w:val="nil"/>
                    <w:tr2bl w:val="nil"/>
                  </w:tcBorders>
                  <w:noWrap w:val="0"/>
                  <w:vAlign w:val="center"/>
                </w:tcPr>
                <w:p w14:paraId="70AE45F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38.0</w:t>
                  </w:r>
                </w:p>
              </w:tc>
              <w:tc>
                <w:tcPr>
                  <w:tcW w:w="518" w:type="pct"/>
                  <w:tcBorders>
                    <w:tl2br w:val="nil"/>
                    <w:tr2bl w:val="nil"/>
                  </w:tcBorders>
                  <w:noWrap w:val="0"/>
                  <w:vAlign w:val="center"/>
                </w:tcPr>
                <w:p w14:paraId="1731190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36.0</w:t>
                  </w:r>
                </w:p>
              </w:tc>
              <w:tc>
                <w:tcPr>
                  <w:tcW w:w="608" w:type="pct"/>
                  <w:tcBorders>
                    <w:tl2br w:val="nil"/>
                    <w:tr2bl w:val="nil"/>
                  </w:tcBorders>
                  <w:noWrap w:val="0"/>
                  <w:vAlign w:val="center"/>
                </w:tcPr>
                <w:p w14:paraId="33F9227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34.5</w:t>
                  </w:r>
                </w:p>
              </w:tc>
              <w:tc>
                <w:tcPr>
                  <w:tcW w:w="616" w:type="pct"/>
                  <w:tcBorders>
                    <w:tl2br w:val="nil"/>
                    <w:tr2bl w:val="nil"/>
                  </w:tcBorders>
                  <w:noWrap w:val="0"/>
                  <w:vAlign w:val="center"/>
                </w:tcPr>
                <w:p w14:paraId="11033AF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33.1</w:t>
                  </w:r>
                </w:p>
              </w:tc>
            </w:tr>
            <w:tr w14:paraId="68D37F2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304" w:type="pct"/>
                  <w:tcBorders>
                    <w:tl2br w:val="nil"/>
                    <w:tr2bl w:val="nil"/>
                  </w:tcBorders>
                  <w:noWrap w:val="0"/>
                  <w:vAlign w:val="center"/>
                </w:tcPr>
                <w:p w14:paraId="3179327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w:t>
                  </w:r>
                </w:p>
              </w:tc>
              <w:tc>
                <w:tcPr>
                  <w:tcW w:w="960" w:type="pct"/>
                  <w:tcBorders>
                    <w:tl2br w:val="nil"/>
                    <w:tr2bl w:val="nil"/>
                  </w:tcBorders>
                  <w:noWrap w:val="0"/>
                  <w:vAlign w:val="center"/>
                </w:tcPr>
                <w:p w14:paraId="64E3A7EB">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推土机</w:t>
                  </w:r>
                </w:p>
              </w:tc>
              <w:tc>
                <w:tcPr>
                  <w:tcW w:w="519" w:type="pct"/>
                  <w:tcBorders>
                    <w:tl2br w:val="nil"/>
                    <w:tr2bl w:val="nil"/>
                  </w:tcBorders>
                  <w:noWrap w:val="0"/>
                  <w:vAlign w:val="center"/>
                </w:tcPr>
                <w:p w14:paraId="07414CA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41.0</w:t>
                  </w:r>
                </w:p>
              </w:tc>
              <w:tc>
                <w:tcPr>
                  <w:tcW w:w="521" w:type="pct"/>
                  <w:tcBorders>
                    <w:tl2br w:val="nil"/>
                    <w:tr2bl w:val="nil"/>
                  </w:tcBorders>
                  <w:noWrap w:val="0"/>
                  <w:vAlign w:val="center"/>
                </w:tcPr>
                <w:p w14:paraId="3C928256">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35.0</w:t>
                  </w:r>
                </w:p>
              </w:tc>
              <w:tc>
                <w:tcPr>
                  <w:tcW w:w="430" w:type="pct"/>
                  <w:tcBorders>
                    <w:tl2br w:val="nil"/>
                    <w:tr2bl w:val="nil"/>
                  </w:tcBorders>
                  <w:noWrap w:val="0"/>
                  <w:vAlign w:val="center"/>
                </w:tcPr>
                <w:p w14:paraId="17BFA02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31.5</w:t>
                  </w:r>
                </w:p>
              </w:tc>
              <w:tc>
                <w:tcPr>
                  <w:tcW w:w="521" w:type="pct"/>
                  <w:tcBorders>
                    <w:tl2br w:val="nil"/>
                    <w:tr2bl w:val="nil"/>
                  </w:tcBorders>
                  <w:noWrap w:val="0"/>
                  <w:vAlign w:val="center"/>
                </w:tcPr>
                <w:p w14:paraId="32218D0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29.0</w:t>
                  </w:r>
                </w:p>
              </w:tc>
              <w:tc>
                <w:tcPr>
                  <w:tcW w:w="518" w:type="pct"/>
                  <w:tcBorders>
                    <w:tl2br w:val="nil"/>
                    <w:tr2bl w:val="nil"/>
                  </w:tcBorders>
                  <w:noWrap w:val="0"/>
                  <w:vAlign w:val="center"/>
                </w:tcPr>
                <w:p w14:paraId="74CF1A2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27.1</w:t>
                  </w:r>
                </w:p>
              </w:tc>
              <w:tc>
                <w:tcPr>
                  <w:tcW w:w="608" w:type="pct"/>
                  <w:tcBorders>
                    <w:tl2br w:val="nil"/>
                    <w:tr2bl w:val="nil"/>
                  </w:tcBorders>
                  <w:noWrap w:val="0"/>
                  <w:vAlign w:val="center"/>
                </w:tcPr>
                <w:p w14:paraId="63E721D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25.5</w:t>
                  </w:r>
                </w:p>
              </w:tc>
              <w:tc>
                <w:tcPr>
                  <w:tcW w:w="616" w:type="pct"/>
                  <w:tcBorders>
                    <w:tl2br w:val="nil"/>
                    <w:tr2bl w:val="nil"/>
                  </w:tcBorders>
                  <w:noWrap w:val="0"/>
                  <w:vAlign w:val="center"/>
                </w:tcPr>
                <w:p w14:paraId="7E46350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24.1</w:t>
                  </w:r>
                </w:p>
              </w:tc>
            </w:tr>
            <w:tr w14:paraId="1B3B8AA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304" w:type="pct"/>
                  <w:tcBorders>
                    <w:tl2br w:val="nil"/>
                    <w:tr2bl w:val="nil"/>
                  </w:tcBorders>
                  <w:noWrap w:val="0"/>
                  <w:vAlign w:val="center"/>
                </w:tcPr>
                <w:p w14:paraId="6253203B">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4</w:t>
                  </w:r>
                </w:p>
              </w:tc>
              <w:tc>
                <w:tcPr>
                  <w:tcW w:w="960" w:type="pct"/>
                  <w:tcBorders>
                    <w:tl2br w:val="nil"/>
                    <w:tr2bl w:val="nil"/>
                  </w:tcBorders>
                  <w:noWrap w:val="0"/>
                  <w:vAlign w:val="center"/>
                </w:tcPr>
                <w:p w14:paraId="1954052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夯土机</w:t>
                  </w:r>
                </w:p>
              </w:tc>
              <w:tc>
                <w:tcPr>
                  <w:tcW w:w="519" w:type="pct"/>
                  <w:tcBorders>
                    <w:tl2br w:val="nil"/>
                    <w:tr2bl w:val="nil"/>
                  </w:tcBorders>
                  <w:noWrap w:val="0"/>
                  <w:vAlign w:val="center"/>
                </w:tcPr>
                <w:p w14:paraId="7905146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45.0</w:t>
                  </w:r>
                </w:p>
              </w:tc>
              <w:tc>
                <w:tcPr>
                  <w:tcW w:w="521" w:type="pct"/>
                  <w:tcBorders>
                    <w:tl2br w:val="nil"/>
                    <w:tr2bl w:val="nil"/>
                  </w:tcBorders>
                  <w:noWrap w:val="0"/>
                  <w:vAlign w:val="center"/>
                </w:tcPr>
                <w:p w14:paraId="02A1EC7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39.0</w:t>
                  </w:r>
                </w:p>
              </w:tc>
              <w:tc>
                <w:tcPr>
                  <w:tcW w:w="430" w:type="pct"/>
                  <w:tcBorders>
                    <w:tl2br w:val="nil"/>
                    <w:tr2bl w:val="nil"/>
                  </w:tcBorders>
                  <w:noWrap w:val="0"/>
                  <w:vAlign w:val="center"/>
                </w:tcPr>
                <w:p w14:paraId="33831BB6">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35.5</w:t>
                  </w:r>
                </w:p>
              </w:tc>
              <w:tc>
                <w:tcPr>
                  <w:tcW w:w="521" w:type="pct"/>
                  <w:tcBorders>
                    <w:tl2br w:val="nil"/>
                    <w:tr2bl w:val="nil"/>
                  </w:tcBorders>
                  <w:noWrap w:val="0"/>
                  <w:vAlign w:val="center"/>
                </w:tcPr>
                <w:p w14:paraId="4B4D1B0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33.0</w:t>
                  </w:r>
                </w:p>
              </w:tc>
              <w:tc>
                <w:tcPr>
                  <w:tcW w:w="518" w:type="pct"/>
                  <w:tcBorders>
                    <w:tl2br w:val="nil"/>
                    <w:tr2bl w:val="nil"/>
                  </w:tcBorders>
                  <w:noWrap w:val="0"/>
                  <w:vAlign w:val="center"/>
                </w:tcPr>
                <w:p w14:paraId="16D57973">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31.0</w:t>
                  </w:r>
                </w:p>
              </w:tc>
              <w:tc>
                <w:tcPr>
                  <w:tcW w:w="608" w:type="pct"/>
                  <w:tcBorders>
                    <w:tl2br w:val="nil"/>
                    <w:tr2bl w:val="nil"/>
                  </w:tcBorders>
                  <w:noWrap w:val="0"/>
                  <w:vAlign w:val="center"/>
                </w:tcPr>
                <w:p w14:paraId="337AA4E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29.5</w:t>
                  </w:r>
                </w:p>
              </w:tc>
              <w:tc>
                <w:tcPr>
                  <w:tcW w:w="616" w:type="pct"/>
                  <w:tcBorders>
                    <w:tl2br w:val="nil"/>
                    <w:tr2bl w:val="nil"/>
                  </w:tcBorders>
                  <w:noWrap w:val="0"/>
                  <w:vAlign w:val="center"/>
                </w:tcPr>
                <w:p w14:paraId="292E7206">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28.1</w:t>
                  </w:r>
                </w:p>
              </w:tc>
            </w:tr>
            <w:tr w14:paraId="12009C7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304" w:type="pct"/>
                  <w:tcBorders>
                    <w:tl2br w:val="nil"/>
                    <w:tr2bl w:val="nil"/>
                  </w:tcBorders>
                  <w:noWrap w:val="0"/>
                  <w:vAlign w:val="center"/>
                </w:tcPr>
                <w:p w14:paraId="7E2749F3">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5</w:t>
                  </w:r>
                </w:p>
              </w:tc>
              <w:tc>
                <w:tcPr>
                  <w:tcW w:w="960" w:type="pct"/>
                  <w:tcBorders>
                    <w:tl2br w:val="nil"/>
                    <w:tr2bl w:val="nil"/>
                  </w:tcBorders>
                  <w:noWrap w:val="0"/>
                  <w:vAlign w:val="center"/>
                </w:tcPr>
                <w:p w14:paraId="7A42790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混凝土振捣器</w:t>
                  </w:r>
                </w:p>
              </w:tc>
              <w:tc>
                <w:tcPr>
                  <w:tcW w:w="519" w:type="pct"/>
                  <w:tcBorders>
                    <w:tl2br w:val="nil"/>
                    <w:tr2bl w:val="nil"/>
                  </w:tcBorders>
                  <w:noWrap w:val="0"/>
                  <w:vAlign w:val="center"/>
                </w:tcPr>
                <w:p w14:paraId="376E2F8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60.0</w:t>
                  </w:r>
                </w:p>
              </w:tc>
              <w:tc>
                <w:tcPr>
                  <w:tcW w:w="521" w:type="pct"/>
                  <w:tcBorders>
                    <w:tl2br w:val="nil"/>
                    <w:tr2bl w:val="nil"/>
                  </w:tcBorders>
                  <w:noWrap w:val="0"/>
                  <w:vAlign w:val="center"/>
                </w:tcPr>
                <w:p w14:paraId="6C74633F">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54.0</w:t>
                  </w:r>
                </w:p>
              </w:tc>
              <w:tc>
                <w:tcPr>
                  <w:tcW w:w="430" w:type="pct"/>
                  <w:tcBorders>
                    <w:tl2br w:val="nil"/>
                    <w:tr2bl w:val="nil"/>
                  </w:tcBorders>
                  <w:noWrap w:val="0"/>
                  <w:vAlign w:val="center"/>
                </w:tcPr>
                <w:p w14:paraId="450D61B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50.5</w:t>
                  </w:r>
                </w:p>
              </w:tc>
              <w:tc>
                <w:tcPr>
                  <w:tcW w:w="521" w:type="pct"/>
                  <w:tcBorders>
                    <w:tl2br w:val="nil"/>
                    <w:tr2bl w:val="nil"/>
                  </w:tcBorders>
                  <w:noWrap w:val="0"/>
                  <w:vAlign w:val="center"/>
                </w:tcPr>
                <w:p w14:paraId="09C895D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48.0</w:t>
                  </w:r>
                </w:p>
              </w:tc>
              <w:tc>
                <w:tcPr>
                  <w:tcW w:w="518" w:type="pct"/>
                  <w:tcBorders>
                    <w:tl2br w:val="nil"/>
                    <w:tr2bl w:val="nil"/>
                  </w:tcBorders>
                  <w:noWrap w:val="0"/>
                  <w:vAlign w:val="center"/>
                </w:tcPr>
                <w:p w14:paraId="5E91735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46.1</w:t>
                  </w:r>
                </w:p>
              </w:tc>
              <w:tc>
                <w:tcPr>
                  <w:tcW w:w="608" w:type="pct"/>
                  <w:tcBorders>
                    <w:tl2br w:val="nil"/>
                    <w:tr2bl w:val="nil"/>
                  </w:tcBorders>
                  <w:noWrap w:val="0"/>
                  <w:vAlign w:val="center"/>
                </w:tcPr>
                <w:p w14:paraId="69917BC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44.5</w:t>
                  </w:r>
                </w:p>
              </w:tc>
              <w:tc>
                <w:tcPr>
                  <w:tcW w:w="616" w:type="pct"/>
                  <w:tcBorders>
                    <w:tl2br w:val="nil"/>
                    <w:tr2bl w:val="nil"/>
                  </w:tcBorders>
                  <w:noWrap w:val="0"/>
                  <w:vAlign w:val="center"/>
                </w:tcPr>
                <w:p w14:paraId="39C283C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43.1</w:t>
                  </w:r>
                </w:p>
              </w:tc>
            </w:tr>
            <w:tr w14:paraId="5DD9C37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304" w:type="pct"/>
                  <w:tcBorders>
                    <w:tl2br w:val="nil"/>
                    <w:tr2bl w:val="nil"/>
                  </w:tcBorders>
                  <w:noWrap w:val="0"/>
                  <w:vAlign w:val="center"/>
                </w:tcPr>
                <w:p w14:paraId="54BE113F">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6</w:t>
                  </w:r>
                </w:p>
              </w:tc>
              <w:tc>
                <w:tcPr>
                  <w:tcW w:w="960" w:type="pct"/>
                  <w:tcBorders>
                    <w:tl2br w:val="nil"/>
                    <w:tr2bl w:val="nil"/>
                  </w:tcBorders>
                  <w:noWrap w:val="0"/>
                  <w:vAlign w:val="center"/>
                </w:tcPr>
                <w:p w14:paraId="4CA1DED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运输卡车</w:t>
                  </w:r>
                </w:p>
              </w:tc>
              <w:tc>
                <w:tcPr>
                  <w:tcW w:w="519" w:type="pct"/>
                  <w:tcBorders>
                    <w:tl2br w:val="nil"/>
                    <w:tr2bl w:val="nil"/>
                  </w:tcBorders>
                  <w:noWrap w:val="0"/>
                  <w:vAlign w:val="center"/>
                </w:tcPr>
                <w:p w14:paraId="0F188C6F">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49.0</w:t>
                  </w:r>
                </w:p>
              </w:tc>
              <w:tc>
                <w:tcPr>
                  <w:tcW w:w="521" w:type="pct"/>
                  <w:tcBorders>
                    <w:tl2br w:val="nil"/>
                    <w:tr2bl w:val="nil"/>
                  </w:tcBorders>
                  <w:noWrap w:val="0"/>
                  <w:vAlign w:val="center"/>
                </w:tcPr>
                <w:p w14:paraId="31093B4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43.2</w:t>
                  </w:r>
                </w:p>
              </w:tc>
              <w:tc>
                <w:tcPr>
                  <w:tcW w:w="430" w:type="pct"/>
                  <w:tcBorders>
                    <w:tl2br w:val="nil"/>
                    <w:tr2bl w:val="nil"/>
                  </w:tcBorders>
                  <w:noWrap w:val="0"/>
                  <w:vAlign w:val="center"/>
                </w:tcPr>
                <w:p w14:paraId="1EFCA30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39.5</w:t>
                  </w:r>
                </w:p>
              </w:tc>
              <w:tc>
                <w:tcPr>
                  <w:tcW w:w="521" w:type="pct"/>
                  <w:tcBorders>
                    <w:tl2br w:val="nil"/>
                    <w:tr2bl w:val="nil"/>
                  </w:tcBorders>
                  <w:noWrap w:val="0"/>
                  <w:vAlign w:val="center"/>
                </w:tcPr>
                <w:p w14:paraId="308C0F8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37.0</w:t>
                  </w:r>
                </w:p>
              </w:tc>
              <w:tc>
                <w:tcPr>
                  <w:tcW w:w="518" w:type="pct"/>
                  <w:tcBorders>
                    <w:tl2br w:val="nil"/>
                    <w:tr2bl w:val="nil"/>
                  </w:tcBorders>
                  <w:noWrap w:val="0"/>
                  <w:vAlign w:val="center"/>
                </w:tcPr>
                <w:p w14:paraId="37F90A5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35.1</w:t>
                  </w:r>
                </w:p>
              </w:tc>
              <w:tc>
                <w:tcPr>
                  <w:tcW w:w="608" w:type="pct"/>
                  <w:tcBorders>
                    <w:tl2br w:val="nil"/>
                    <w:tr2bl w:val="nil"/>
                  </w:tcBorders>
                  <w:noWrap w:val="0"/>
                  <w:vAlign w:val="center"/>
                </w:tcPr>
                <w:p w14:paraId="0AE5182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33.5</w:t>
                  </w:r>
                </w:p>
              </w:tc>
              <w:tc>
                <w:tcPr>
                  <w:tcW w:w="616" w:type="pct"/>
                  <w:tcBorders>
                    <w:tl2br w:val="nil"/>
                    <w:tr2bl w:val="nil"/>
                  </w:tcBorders>
                  <w:noWrap w:val="0"/>
                  <w:vAlign w:val="center"/>
                </w:tcPr>
                <w:p w14:paraId="7B1ECC3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32.1</w:t>
                  </w:r>
                </w:p>
              </w:tc>
            </w:tr>
            <w:tr w14:paraId="4CE2302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304" w:type="pct"/>
                  <w:tcBorders>
                    <w:tl2br w:val="nil"/>
                    <w:tr2bl w:val="nil"/>
                  </w:tcBorders>
                  <w:noWrap w:val="0"/>
                  <w:vAlign w:val="center"/>
                </w:tcPr>
                <w:p w14:paraId="4BC440E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7</w:t>
                  </w:r>
                </w:p>
              </w:tc>
              <w:tc>
                <w:tcPr>
                  <w:tcW w:w="960" w:type="pct"/>
                  <w:tcBorders>
                    <w:tl2br w:val="nil"/>
                    <w:tr2bl w:val="nil"/>
                  </w:tcBorders>
                  <w:noWrap w:val="0"/>
                  <w:vAlign w:val="center"/>
                </w:tcPr>
                <w:p w14:paraId="793F7F9B">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吊车</w:t>
                  </w:r>
                </w:p>
              </w:tc>
              <w:tc>
                <w:tcPr>
                  <w:tcW w:w="519" w:type="pct"/>
                  <w:tcBorders>
                    <w:tl2br w:val="nil"/>
                    <w:tr2bl w:val="nil"/>
                  </w:tcBorders>
                  <w:noWrap w:val="0"/>
                  <w:vAlign w:val="center"/>
                </w:tcPr>
                <w:p w14:paraId="3E76287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50</w:t>
                  </w:r>
                </w:p>
              </w:tc>
              <w:tc>
                <w:tcPr>
                  <w:tcW w:w="521" w:type="pct"/>
                  <w:tcBorders>
                    <w:tl2br w:val="nil"/>
                    <w:tr2bl w:val="nil"/>
                  </w:tcBorders>
                  <w:noWrap w:val="0"/>
                  <w:vAlign w:val="center"/>
                </w:tcPr>
                <w:p w14:paraId="4B9E69D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44</w:t>
                  </w:r>
                </w:p>
              </w:tc>
              <w:tc>
                <w:tcPr>
                  <w:tcW w:w="430" w:type="pct"/>
                  <w:tcBorders>
                    <w:tl2br w:val="nil"/>
                    <w:tr2bl w:val="nil"/>
                  </w:tcBorders>
                  <w:noWrap w:val="0"/>
                  <w:vAlign w:val="center"/>
                </w:tcPr>
                <w:p w14:paraId="4EF6E93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40.46</w:t>
                  </w:r>
                </w:p>
              </w:tc>
              <w:tc>
                <w:tcPr>
                  <w:tcW w:w="521" w:type="pct"/>
                  <w:tcBorders>
                    <w:tl2br w:val="nil"/>
                    <w:tr2bl w:val="nil"/>
                  </w:tcBorders>
                  <w:noWrap w:val="0"/>
                  <w:vAlign w:val="center"/>
                </w:tcPr>
                <w:p w14:paraId="1911EE2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38</w:t>
                  </w:r>
                </w:p>
              </w:tc>
              <w:tc>
                <w:tcPr>
                  <w:tcW w:w="518" w:type="pct"/>
                  <w:tcBorders>
                    <w:tl2br w:val="nil"/>
                    <w:tr2bl w:val="nil"/>
                  </w:tcBorders>
                  <w:noWrap w:val="0"/>
                  <w:vAlign w:val="center"/>
                </w:tcPr>
                <w:p w14:paraId="15763E1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36</w:t>
                  </w:r>
                </w:p>
              </w:tc>
              <w:tc>
                <w:tcPr>
                  <w:tcW w:w="608" w:type="pct"/>
                  <w:tcBorders>
                    <w:tl2br w:val="nil"/>
                    <w:tr2bl w:val="nil"/>
                  </w:tcBorders>
                  <w:noWrap w:val="0"/>
                  <w:vAlign w:val="center"/>
                </w:tcPr>
                <w:p w14:paraId="2641EF4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34.44</w:t>
                  </w:r>
                </w:p>
              </w:tc>
              <w:tc>
                <w:tcPr>
                  <w:tcW w:w="616" w:type="pct"/>
                  <w:tcBorders>
                    <w:tl2br w:val="nil"/>
                    <w:tr2bl w:val="nil"/>
                  </w:tcBorders>
                  <w:noWrap w:val="0"/>
                  <w:vAlign w:val="center"/>
                </w:tcPr>
                <w:p w14:paraId="04F5321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aps w:val="0"/>
                      <w:smallCaps w:val="0"/>
                      <w:color w:val="auto"/>
                      <w:spacing w:val="0"/>
                      <w:position w:val="0"/>
                      <w:sz w:val="21"/>
                      <w:szCs w:val="21"/>
                      <w:highlight w:val="none"/>
                    </w:rPr>
                  </w:pPr>
                  <w:r>
                    <w:rPr>
                      <w:rFonts w:hint="default" w:ascii="Times New Roman" w:hAnsi="Times New Roman" w:cs="Times New Roman"/>
                      <w:caps w:val="0"/>
                      <w:smallCaps w:val="0"/>
                      <w:color w:val="auto"/>
                      <w:spacing w:val="0"/>
                      <w:position w:val="0"/>
                      <w:sz w:val="21"/>
                      <w:szCs w:val="21"/>
                      <w:highlight w:val="none"/>
                    </w:rPr>
                    <w:t>33.1</w:t>
                  </w:r>
                </w:p>
              </w:tc>
            </w:tr>
          </w:tbl>
          <w:p w14:paraId="7EC17C53">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本项目施工过程中周围</w:t>
            </w:r>
            <w:r>
              <w:rPr>
                <w:rFonts w:hint="eastAsia"/>
                <w:color w:val="auto"/>
                <w:lang w:val="en-US" w:eastAsia="zh-CN"/>
              </w:rPr>
              <w:t>500m</w:t>
            </w:r>
            <w:r>
              <w:rPr>
                <w:rFonts w:hint="default" w:ascii="Times New Roman" w:hAnsi="Times New Roman" w:eastAsia="宋体" w:cs="Times New Roman"/>
                <w:color w:val="auto"/>
                <w:kern w:val="0"/>
                <w:szCs w:val="21"/>
                <w:highlight w:val="none"/>
                <w:lang w:val="en-US" w:eastAsia="zh-CN"/>
              </w:rPr>
              <w:t>无声环境敏感点，但为避免施工噪声对周围声环境的影响，需要制定施工措施。</w:t>
            </w:r>
          </w:p>
          <w:p w14:paraId="6303D116">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为最大限度避免和减轻施工和交通噪声对施工场地周围环境的影响，本评价对施工噪声的控制提出以下要求和建议：</w:t>
            </w:r>
          </w:p>
          <w:p w14:paraId="20434A15">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①合理安排施工计划和施工机械设备组合以及施工时间，避免同一时间集中使用大量的动力机械设备。施工单位严格执行《建筑施工场界环境噪声排放标准》（GB12523-2011）的要求，在施工过程中，尽量减少运行动力机械设备的数量，尽可能使动力机械设备比较均匀地使用。</w:t>
            </w:r>
          </w:p>
          <w:p w14:paraId="75ED083E">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②选用低噪声机械设备，从根本上降低源强，低噪型运载车在行驶过程中产生的噪声级比同类水平的其它车辆低10-15dB(A)。闲置的机械设备应该予以关闭或者减速；动力机械设备应定期检修、保养，以减少机械运行震动噪声。</w:t>
            </w:r>
          </w:p>
          <w:p w14:paraId="5DC3C9BB">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③在场界四周设置不低于2.5m高围挡；施工现场不使用电锯，全部外协加工。</w:t>
            </w:r>
          </w:p>
          <w:p w14:paraId="1AD4AF10">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④运载建筑材料及建筑垃圾的车辆要选择合适的时间路线进行运输，运输车辆行驶路线应尽量避开沿途可能的居民点和环境敏感点。</w:t>
            </w:r>
          </w:p>
          <w:p w14:paraId="3332EA07">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采取上述措施后，能够有效减少噪声的影响，随着施工期的结束，施工噪声将会消失，项目周围无声环境敏感点，施工期噪声对环境影响较小，措施可行。</w:t>
            </w:r>
          </w:p>
          <w:p w14:paraId="7F72AB2D">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3、施工期废水环境影响分析</w:t>
            </w:r>
          </w:p>
          <w:p w14:paraId="6D274D2C">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废水有施工废水和生活污水两种，施工废水主要有施工机械设备和车辆的冲洗废水，主要污染物为SS、石油类。生活污水来自施工人员排放的生活污水。</w:t>
            </w:r>
          </w:p>
          <w:p w14:paraId="1869FCE1">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针对上述不同的废水，采取如下防治措施：</w:t>
            </w:r>
          </w:p>
          <w:p w14:paraId="3282760D">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1）机械和车辆冲洗废水：施工场地设洗车平台对施工机械和车辆进行清洗，洗车废水循环使用；混凝土养护废水：封闭混凝土中水分不蒸发外逸，水泥依靠混凝土中水分完成水化作用，因水量较小，故废水排放量小，可以不需专门处理。</w:t>
            </w:r>
          </w:p>
          <w:p w14:paraId="53F1AC15">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（2）施工人员生活污水：施工人员主要来自周边，在施工现场不设食宿，施工人员生活用水主要为饮用和盥洗用水，厕所为临时搭建防渗旱厕，项目无生活废水外排。</w:t>
            </w:r>
          </w:p>
          <w:p w14:paraId="50F600DF">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（3）施工过程防止水土流失措施：</w:t>
            </w:r>
          </w:p>
          <w:p w14:paraId="65440B78">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①施工区内增设必要的排水沟道，有利于雨水排放。</w:t>
            </w:r>
          </w:p>
          <w:p w14:paraId="7A5E84E8">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②修建施工场地围墙，避免施工弃土和废水对周边环境的影响。</w:t>
            </w:r>
          </w:p>
          <w:p w14:paraId="093F3872">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zh-CN" w:eastAsia="zh-CN"/>
              </w:rPr>
            </w:pPr>
            <w:r>
              <w:rPr>
                <w:rFonts w:hint="default" w:ascii="Times New Roman" w:hAnsi="Times New Roman" w:eastAsia="宋体" w:cs="Times New Roman"/>
                <w:color w:val="auto"/>
                <w:kern w:val="0"/>
                <w:szCs w:val="21"/>
                <w:highlight w:val="none"/>
                <w:lang w:val="en-US" w:eastAsia="zh-CN"/>
              </w:rPr>
              <w:t>采取上述措施后，能有效地控制对水体的污染，预计建设期对水环境的影响较小，对周围环境产生的不利影响较小。</w:t>
            </w:r>
          </w:p>
          <w:p w14:paraId="29100573">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4、施工期固体废物环境影响分析</w:t>
            </w:r>
          </w:p>
          <w:p w14:paraId="2788AF27">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本项目施工期固体废物主要是建筑施工垃圾。施工期建筑垃圾以无机废物为主，主要包括施工中的下脚料，如废弃的堆土、砖瓦、混凝土块等，同时还包括少量的有机垃圾，主要是各种包装材料，包括废旧塑料、泡沫等。这些废弃物基本上不溶解，不腐烂变质，如处理不当，会影响景观和周围环境的质量。对于这些废物，应集中处理，分类收集并尽可能的回收再利用，不能回收再利用的则应及时清理出施工现场。</w:t>
            </w:r>
          </w:p>
          <w:p w14:paraId="60878D05">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上述垃圾成分较为简单，数量大，应集中处理，及时清运，根据不同的成分采用不同的处理方式：</w:t>
            </w:r>
          </w:p>
          <w:p w14:paraId="661FF243">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eastAsia" w:ascii="Times New Roman" w:hAnsi="Times New Roman" w:cs="Times New Roman"/>
                <w:color w:val="auto"/>
                <w:kern w:val="0"/>
                <w:szCs w:val="21"/>
                <w:highlight w:val="none"/>
                <w:lang w:val="en-US" w:eastAsia="zh-CN"/>
              </w:rPr>
              <w:t>（1）</w:t>
            </w:r>
            <w:r>
              <w:rPr>
                <w:rFonts w:hint="default" w:ascii="Times New Roman" w:hAnsi="Times New Roman" w:eastAsia="宋体" w:cs="Times New Roman"/>
                <w:color w:val="auto"/>
                <w:kern w:val="0"/>
                <w:szCs w:val="21"/>
                <w:highlight w:val="none"/>
                <w:lang w:val="en-US" w:eastAsia="zh-CN"/>
              </w:rPr>
              <w:t>清场废物处置：应及时清运。表层土可集中堆存，用作绿化用土。不适于土地利用的表土可填筑低凹地，或作其它用土。</w:t>
            </w:r>
          </w:p>
          <w:p w14:paraId="0C15BDCD">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eastAsia" w:ascii="Times New Roman" w:hAnsi="Times New Roman" w:cs="Times New Roman"/>
                <w:color w:val="auto"/>
                <w:kern w:val="0"/>
                <w:szCs w:val="21"/>
                <w:highlight w:val="none"/>
                <w:lang w:val="en-US" w:eastAsia="zh-CN"/>
              </w:rPr>
              <w:t>（2）</w:t>
            </w:r>
            <w:r>
              <w:rPr>
                <w:rFonts w:hint="default" w:ascii="Times New Roman" w:hAnsi="Times New Roman" w:eastAsia="宋体" w:cs="Times New Roman"/>
                <w:color w:val="auto"/>
                <w:kern w:val="0"/>
                <w:szCs w:val="21"/>
                <w:highlight w:val="none"/>
                <w:lang w:val="en-US" w:eastAsia="zh-CN"/>
              </w:rPr>
              <w:t>施工弃土处置：地基开挖的废土除部分回填外，应统一规划处置，对弃土应设立堆土场，进行集中处置。</w:t>
            </w:r>
          </w:p>
          <w:p w14:paraId="1F835E7A">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eastAsia" w:ascii="Times New Roman" w:hAnsi="Times New Roman" w:cs="Times New Roman"/>
                <w:color w:val="auto"/>
                <w:kern w:val="0"/>
                <w:szCs w:val="21"/>
                <w:highlight w:val="none"/>
                <w:lang w:val="en-US" w:eastAsia="zh-CN"/>
              </w:rPr>
              <w:t>（3）</w:t>
            </w:r>
            <w:r>
              <w:rPr>
                <w:rFonts w:hint="default" w:ascii="Times New Roman" w:hAnsi="Times New Roman" w:eastAsia="宋体" w:cs="Times New Roman"/>
                <w:color w:val="auto"/>
                <w:kern w:val="0"/>
                <w:szCs w:val="21"/>
                <w:highlight w:val="none"/>
                <w:lang w:val="en-US" w:eastAsia="zh-CN"/>
              </w:rPr>
              <w:t>施工生产废料处理：首先应考虑废料的回收利用。对钢筋、钢板、木材等下角料可分类回收利用。对建筑垃圾，如混凝土废料、含砖、石、砂的杂土应集中堆放，定时清运到城市建设监管部门指定地点。</w:t>
            </w:r>
          </w:p>
          <w:p w14:paraId="3362B09E">
            <w:pPr>
              <w:keepNext w:val="0"/>
              <w:keepLines w:val="0"/>
              <w:pageBreakBefore w:val="0"/>
              <w:widowControl w:val="0"/>
              <w:kinsoku/>
              <w:wordWrap/>
              <w:overflowPunct/>
              <w:topLinePunct w:val="0"/>
              <w:autoSpaceDE w:val="0"/>
              <w:autoSpaceDN w:val="0"/>
              <w:bidi w:val="0"/>
              <w:adjustRightInd w:val="0"/>
              <w:snapToGrid w:val="0"/>
              <w:spacing w:line="500" w:lineRule="exact"/>
              <w:ind w:firstLine="480" w:firstLineChars="200"/>
              <w:jc w:val="left"/>
              <w:textAlignment w:val="auto"/>
              <w:rPr>
                <w:rFonts w:hint="default" w:ascii="Times New Roman" w:hAnsi="Times New Roman" w:eastAsia="宋体" w:cs="Times New Roman"/>
                <w:color w:val="auto"/>
                <w:kern w:val="0"/>
                <w:szCs w:val="21"/>
                <w:highlight w:val="none"/>
                <w:lang w:val="en-US" w:eastAsia="zh-CN"/>
              </w:rPr>
            </w:pPr>
            <w:r>
              <w:rPr>
                <w:rFonts w:hint="default" w:ascii="Times New Roman" w:hAnsi="Times New Roman" w:eastAsia="宋体" w:cs="Times New Roman"/>
                <w:color w:val="auto"/>
                <w:kern w:val="0"/>
                <w:szCs w:val="21"/>
                <w:highlight w:val="none"/>
                <w:lang w:val="en-US" w:eastAsia="zh-CN"/>
              </w:rPr>
              <w:t>采取以上措施后，可有效的控制固体废物对环境的影响，施工期的固体废物不会因长期堆存或外弃而对周围环境产生不良影响。</w:t>
            </w:r>
          </w:p>
          <w:p w14:paraId="5F6F06E5">
            <w:pPr>
              <w:keepNext w:val="0"/>
              <w:keepLines w:val="0"/>
              <w:pageBreakBefore w:val="0"/>
              <w:widowControl w:val="0"/>
              <w:kinsoku/>
              <w:wordWrap/>
              <w:overflowPunct/>
              <w:topLinePunct w:val="0"/>
              <w:autoSpaceDE/>
              <w:autoSpaceDN/>
              <w:bidi w:val="0"/>
              <w:adjustRightInd w:val="0"/>
              <w:snapToGrid w:val="0"/>
              <w:spacing w:line="480" w:lineRule="exact"/>
              <w:ind w:right="0"/>
              <w:jc w:val="center"/>
              <w:textAlignment w:val="auto"/>
              <w:rPr>
                <w:rFonts w:hint="default" w:ascii="Times New Roman" w:hAnsi="Times New Roman" w:eastAsia="宋体" w:cs="Times New Roman"/>
                <w:b/>
                <w:bCs/>
                <w:color w:val="auto"/>
                <w:sz w:val="24"/>
                <w:szCs w:val="24"/>
                <w:highlight w:val="none"/>
                <w:lang w:val="zh-CN" w:eastAsia="zh-CN"/>
              </w:rPr>
            </w:pPr>
            <w:r>
              <w:rPr>
                <w:rFonts w:hint="default" w:ascii="Times New Roman" w:hAnsi="Times New Roman" w:eastAsia="宋体" w:cs="Times New Roman"/>
                <w:b/>
                <w:bCs/>
                <w:color w:val="auto"/>
                <w:sz w:val="24"/>
                <w:szCs w:val="24"/>
                <w:highlight w:val="none"/>
                <w:lang w:val="zh-CN" w:eastAsia="zh-CN"/>
              </w:rPr>
              <w:t>表</w:t>
            </w:r>
            <w:r>
              <w:rPr>
                <w:rFonts w:hint="eastAsia" w:ascii="Times New Roman" w:hAnsi="Times New Roman" w:eastAsia="宋体" w:cs="Times New Roman"/>
                <w:b/>
                <w:bCs/>
                <w:color w:val="auto"/>
                <w:sz w:val="24"/>
                <w:szCs w:val="24"/>
                <w:highlight w:val="none"/>
                <w:lang w:val="en-US" w:eastAsia="zh-CN"/>
              </w:rPr>
              <w:t>4-</w:t>
            </w:r>
            <w:r>
              <w:rPr>
                <w:rFonts w:hint="eastAsia" w:cs="Times New Roman"/>
                <w:b/>
                <w:bCs/>
                <w:color w:val="auto"/>
                <w:sz w:val="24"/>
                <w:szCs w:val="24"/>
                <w:highlight w:val="none"/>
                <w:lang w:val="en-US" w:eastAsia="zh-CN"/>
              </w:rPr>
              <w:t>3</w:t>
            </w:r>
            <w:r>
              <w:rPr>
                <w:rFonts w:hint="eastAsia" w:ascii="Times New Roman" w:hAnsi="Times New Roman" w:eastAsia="宋体" w:cs="Times New Roman"/>
                <w:b/>
                <w:bCs/>
                <w:color w:val="auto"/>
                <w:sz w:val="24"/>
                <w:szCs w:val="24"/>
                <w:highlight w:val="none"/>
                <w:lang w:val="en-US" w:eastAsia="zh-CN"/>
              </w:rPr>
              <w:t xml:space="preserve"> </w:t>
            </w:r>
            <w:r>
              <w:rPr>
                <w:rFonts w:hint="default" w:ascii="Times New Roman" w:hAnsi="Times New Roman" w:eastAsia="宋体" w:cs="Times New Roman"/>
                <w:b/>
                <w:bCs/>
                <w:color w:val="auto"/>
                <w:sz w:val="24"/>
                <w:szCs w:val="24"/>
                <w:highlight w:val="none"/>
                <w:lang w:val="zh-CN" w:eastAsia="zh-CN"/>
              </w:rPr>
              <w:t>施工期环境管理一览表</w:t>
            </w:r>
          </w:p>
          <w:tbl>
            <w:tblPr>
              <w:tblStyle w:val="25"/>
              <w:tblW w:w="771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3" w:type="dxa"/>
                <w:bottom w:w="0" w:type="dxa"/>
                <w:right w:w="23" w:type="dxa"/>
              </w:tblCellMar>
            </w:tblPr>
            <w:tblGrid>
              <w:gridCol w:w="610"/>
              <w:gridCol w:w="4933"/>
              <w:gridCol w:w="1223"/>
              <w:gridCol w:w="944"/>
            </w:tblGrid>
            <w:tr w14:paraId="5A40333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396" w:type="pct"/>
                  <w:tcBorders>
                    <w:tl2br w:val="nil"/>
                    <w:tr2bl w:val="nil"/>
                  </w:tcBorders>
                  <w:noWrap w:val="0"/>
                  <w:vAlign w:val="center"/>
                </w:tcPr>
                <w:p w14:paraId="1593655D">
                  <w:pPr>
                    <w:keepNext w:val="0"/>
                    <w:keepLines w:val="0"/>
                    <w:pageBreakBefore w:val="0"/>
                    <w:kinsoku/>
                    <w:wordWrap/>
                    <w:overflowPunct/>
                    <w:topLinePunct w:val="0"/>
                    <w:autoSpaceDE/>
                    <w:autoSpaceDN/>
                    <w:bidi w:val="0"/>
                    <w:adjustRightInd/>
                    <w:spacing w:line="240" w:lineRule="auto"/>
                    <w:ind w:firstLine="0" w:firstLineChars="0"/>
                    <w:jc w:val="center"/>
                    <w:textAlignment w:val="auto"/>
                    <w:rPr>
                      <w:rFonts w:hint="default" w:ascii="Times New Roman" w:hAnsi="Times New Roman" w:eastAsia="宋体" w:cs="Times New Roman"/>
                      <w:caps/>
                      <w:color w:val="auto"/>
                      <w:sz w:val="21"/>
                      <w:szCs w:val="21"/>
                      <w:highlight w:val="none"/>
                    </w:rPr>
                  </w:pPr>
                  <w:r>
                    <w:rPr>
                      <w:rFonts w:hint="default" w:ascii="Times New Roman" w:hAnsi="Times New Roman" w:eastAsia="宋体" w:cs="Times New Roman"/>
                      <w:caps/>
                      <w:color w:val="auto"/>
                      <w:sz w:val="21"/>
                      <w:szCs w:val="21"/>
                      <w:highlight w:val="none"/>
                    </w:rPr>
                    <w:t>污染物</w:t>
                  </w:r>
                </w:p>
              </w:tc>
              <w:tc>
                <w:tcPr>
                  <w:tcW w:w="3198" w:type="pct"/>
                  <w:tcBorders>
                    <w:tl2br w:val="nil"/>
                    <w:tr2bl w:val="nil"/>
                  </w:tcBorders>
                  <w:noWrap w:val="0"/>
                  <w:vAlign w:val="center"/>
                </w:tcPr>
                <w:p w14:paraId="5B76D89D">
                  <w:pPr>
                    <w:pStyle w:val="66"/>
                    <w:keepNext w:val="0"/>
                    <w:keepLines w:val="0"/>
                    <w:pageBreakBefore w:val="0"/>
                    <w:kinsoku/>
                    <w:wordWrap/>
                    <w:overflowPunct/>
                    <w:topLinePunct w:val="0"/>
                    <w:autoSpaceDE/>
                    <w:autoSpaceDN/>
                    <w:bidi w:val="0"/>
                    <w:adjustRightInd/>
                    <w:spacing w:line="240" w:lineRule="auto"/>
                    <w:ind w:firstLine="0" w:firstLineChars="0"/>
                    <w:jc w:val="center"/>
                    <w:textAlignment w:val="auto"/>
                    <w:rPr>
                      <w:rFonts w:hint="default" w:ascii="Times New Roman" w:hAnsi="Times New Roman" w:eastAsia="宋体" w:cs="Times New Roman"/>
                      <w:caps/>
                      <w:color w:val="auto"/>
                      <w:kern w:val="2"/>
                      <w:sz w:val="21"/>
                      <w:szCs w:val="21"/>
                      <w:highlight w:val="none"/>
                    </w:rPr>
                  </w:pPr>
                  <w:r>
                    <w:rPr>
                      <w:rFonts w:hint="default" w:ascii="Times New Roman" w:hAnsi="Times New Roman" w:eastAsia="宋体" w:cs="Times New Roman"/>
                      <w:caps/>
                      <w:color w:val="auto"/>
                      <w:kern w:val="2"/>
                      <w:sz w:val="21"/>
                      <w:szCs w:val="21"/>
                      <w:highlight w:val="none"/>
                    </w:rPr>
                    <w:t>防治或控制措施</w:t>
                  </w:r>
                </w:p>
              </w:tc>
              <w:tc>
                <w:tcPr>
                  <w:tcW w:w="1405" w:type="pct"/>
                  <w:gridSpan w:val="2"/>
                  <w:tcBorders>
                    <w:tl2br w:val="nil"/>
                    <w:tr2bl w:val="nil"/>
                  </w:tcBorders>
                  <w:noWrap w:val="0"/>
                  <w:vAlign w:val="center"/>
                </w:tcPr>
                <w:p w14:paraId="72B89899">
                  <w:pPr>
                    <w:keepNext w:val="0"/>
                    <w:keepLines w:val="0"/>
                    <w:pageBreakBefore w:val="0"/>
                    <w:kinsoku/>
                    <w:wordWrap/>
                    <w:overflowPunct/>
                    <w:topLinePunct w:val="0"/>
                    <w:autoSpaceDE/>
                    <w:autoSpaceDN/>
                    <w:bidi w:val="0"/>
                    <w:adjustRightInd/>
                    <w:spacing w:line="240" w:lineRule="auto"/>
                    <w:ind w:firstLine="0" w:firstLineChars="0"/>
                    <w:jc w:val="center"/>
                    <w:textAlignment w:val="auto"/>
                    <w:rPr>
                      <w:rFonts w:hint="default" w:ascii="Times New Roman" w:hAnsi="Times New Roman" w:eastAsia="宋体" w:cs="Times New Roman"/>
                      <w:caps/>
                      <w:color w:val="auto"/>
                      <w:sz w:val="21"/>
                      <w:szCs w:val="21"/>
                      <w:highlight w:val="none"/>
                    </w:rPr>
                  </w:pPr>
                  <w:r>
                    <w:rPr>
                      <w:rFonts w:hint="default" w:ascii="Times New Roman" w:hAnsi="Times New Roman" w:eastAsia="宋体" w:cs="Times New Roman"/>
                      <w:caps/>
                      <w:color w:val="auto"/>
                      <w:sz w:val="21"/>
                      <w:szCs w:val="21"/>
                      <w:highlight w:val="none"/>
                    </w:rPr>
                    <w:t>环境管理</w:t>
                  </w:r>
                </w:p>
              </w:tc>
            </w:tr>
            <w:tr w14:paraId="311B47F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396" w:type="pct"/>
                  <w:tcBorders>
                    <w:tl2br w:val="nil"/>
                    <w:tr2bl w:val="nil"/>
                  </w:tcBorders>
                  <w:noWrap w:val="0"/>
                  <w:vAlign w:val="center"/>
                </w:tcPr>
                <w:p w14:paraId="3BCD3809">
                  <w:pPr>
                    <w:pStyle w:val="66"/>
                    <w:keepNext w:val="0"/>
                    <w:keepLines w:val="0"/>
                    <w:pageBreakBefore w:val="0"/>
                    <w:kinsoku/>
                    <w:wordWrap/>
                    <w:overflowPunct/>
                    <w:topLinePunct w:val="0"/>
                    <w:autoSpaceDE/>
                    <w:autoSpaceDN/>
                    <w:bidi w:val="0"/>
                    <w:adjustRightInd/>
                    <w:spacing w:line="240" w:lineRule="auto"/>
                    <w:ind w:firstLine="0" w:firstLineChars="0"/>
                    <w:jc w:val="center"/>
                    <w:textAlignment w:val="auto"/>
                    <w:rPr>
                      <w:rFonts w:hint="default" w:ascii="Times New Roman" w:hAnsi="Times New Roman" w:eastAsia="宋体" w:cs="Times New Roman"/>
                      <w:caps/>
                      <w:color w:val="auto"/>
                      <w:kern w:val="2"/>
                      <w:sz w:val="21"/>
                      <w:szCs w:val="21"/>
                      <w:highlight w:val="none"/>
                    </w:rPr>
                  </w:pPr>
                  <w:r>
                    <w:rPr>
                      <w:rFonts w:hint="default" w:ascii="Times New Roman" w:hAnsi="Times New Roman" w:eastAsia="宋体" w:cs="Times New Roman"/>
                      <w:caps/>
                      <w:color w:val="auto"/>
                      <w:kern w:val="2"/>
                      <w:sz w:val="21"/>
                      <w:szCs w:val="21"/>
                      <w:highlight w:val="none"/>
                    </w:rPr>
                    <w:t>施</w:t>
                  </w:r>
                </w:p>
                <w:p w14:paraId="56A8BA32">
                  <w:pPr>
                    <w:pStyle w:val="66"/>
                    <w:keepNext w:val="0"/>
                    <w:keepLines w:val="0"/>
                    <w:pageBreakBefore w:val="0"/>
                    <w:kinsoku/>
                    <w:wordWrap/>
                    <w:overflowPunct/>
                    <w:topLinePunct w:val="0"/>
                    <w:autoSpaceDE/>
                    <w:autoSpaceDN/>
                    <w:bidi w:val="0"/>
                    <w:adjustRightInd/>
                    <w:spacing w:line="240" w:lineRule="auto"/>
                    <w:ind w:firstLine="0" w:firstLineChars="0"/>
                    <w:jc w:val="center"/>
                    <w:textAlignment w:val="auto"/>
                    <w:rPr>
                      <w:rFonts w:hint="default" w:ascii="Times New Roman" w:hAnsi="Times New Roman" w:eastAsia="宋体" w:cs="Times New Roman"/>
                      <w:caps/>
                      <w:color w:val="auto"/>
                      <w:kern w:val="2"/>
                      <w:sz w:val="21"/>
                      <w:szCs w:val="21"/>
                      <w:highlight w:val="none"/>
                    </w:rPr>
                  </w:pPr>
                  <w:r>
                    <w:rPr>
                      <w:rFonts w:hint="default" w:ascii="Times New Roman" w:hAnsi="Times New Roman" w:eastAsia="宋体" w:cs="Times New Roman"/>
                      <w:caps/>
                      <w:color w:val="auto"/>
                      <w:kern w:val="2"/>
                      <w:sz w:val="21"/>
                      <w:szCs w:val="21"/>
                      <w:highlight w:val="none"/>
                    </w:rPr>
                    <w:t>工</w:t>
                  </w:r>
                </w:p>
                <w:p w14:paraId="4D53BC65">
                  <w:pPr>
                    <w:pStyle w:val="66"/>
                    <w:keepNext w:val="0"/>
                    <w:keepLines w:val="0"/>
                    <w:pageBreakBefore w:val="0"/>
                    <w:kinsoku/>
                    <w:wordWrap/>
                    <w:overflowPunct/>
                    <w:topLinePunct w:val="0"/>
                    <w:autoSpaceDE/>
                    <w:autoSpaceDN/>
                    <w:bidi w:val="0"/>
                    <w:adjustRightInd/>
                    <w:spacing w:line="240" w:lineRule="auto"/>
                    <w:ind w:firstLine="0" w:firstLineChars="0"/>
                    <w:jc w:val="center"/>
                    <w:textAlignment w:val="auto"/>
                    <w:rPr>
                      <w:rFonts w:hint="default" w:ascii="Times New Roman" w:hAnsi="Times New Roman" w:eastAsia="宋体" w:cs="Times New Roman"/>
                      <w:caps/>
                      <w:color w:val="auto"/>
                      <w:kern w:val="2"/>
                      <w:sz w:val="21"/>
                      <w:szCs w:val="21"/>
                      <w:highlight w:val="none"/>
                    </w:rPr>
                  </w:pPr>
                  <w:r>
                    <w:rPr>
                      <w:rFonts w:hint="default" w:ascii="Times New Roman" w:hAnsi="Times New Roman" w:eastAsia="宋体" w:cs="Times New Roman"/>
                      <w:caps/>
                      <w:color w:val="auto"/>
                      <w:kern w:val="2"/>
                      <w:sz w:val="21"/>
                      <w:szCs w:val="21"/>
                      <w:highlight w:val="none"/>
                    </w:rPr>
                    <w:t>扬</w:t>
                  </w:r>
                </w:p>
                <w:p w14:paraId="2CA439C9">
                  <w:pPr>
                    <w:pStyle w:val="66"/>
                    <w:keepNext w:val="0"/>
                    <w:keepLines w:val="0"/>
                    <w:pageBreakBefore w:val="0"/>
                    <w:kinsoku/>
                    <w:wordWrap/>
                    <w:overflowPunct/>
                    <w:topLinePunct w:val="0"/>
                    <w:autoSpaceDE/>
                    <w:autoSpaceDN/>
                    <w:bidi w:val="0"/>
                    <w:adjustRightInd/>
                    <w:spacing w:line="240" w:lineRule="auto"/>
                    <w:ind w:firstLine="0" w:firstLineChars="0"/>
                    <w:jc w:val="center"/>
                    <w:textAlignment w:val="auto"/>
                    <w:rPr>
                      <w:rFonts w:hint="default" w:ascii="Times New Roman" w:hAnsi="Times New Roman" w:eastAsia="宋体" w:cs="Times New Roman"/>
                      <w:caps/>
                      <w:color w:val="auto"/>
                      <w:kern w:val="2"/>
                      <w:sz w:val="21"/>
                      <w:szCs w:val="21"/>
                      <w:highlight w:val="none"/>
                    </w:rPr>
                  </w:pPr>
                  <w:r>
                    <w:rPr>
                      <w:rFonts w:hint="default" w:ascii="Times New Roman" w:hAnsi="Times New Roman" w:eastAsia="宋体" w:cs="Times New Roman"/>
                      <w:caps/>
                      <w:color w:val="auto"/>
                      <w:kern w:val="2"/>
                      <w:sz w:val="21"/>
                      <w:szCs w:val="21"/>
                      <w:highlight w:val="none"/>
                    </w:rPr>
                    <w:t>尘</w:t>
                  </w:r>
                </w:p>
              </w:tc>
              <w:tc>
                <w:tcPr>
                  <w:tcW w:w="3198" w:type="pct"/>
                  <w:tcBorders>
                    <w:tl2br w:val="nil"/>
                    <w:tr2bl w:val="nil"/>
                  </w:tcBorders>
                  <w:noWrap w:val="0"/>
                  <w:vAlign w:val="center"/>
                </w:tcPr>
                <w:p w14:paraId="65665916">
                  <w:pPr>
                    <w:keepNext w:val="0"/>
                    <w:keepLines w:val="0"/>
                    <w:pageBreakBefore w:val="0"/>
                    <w:kinsoku/>
                    <w:wordWrap/>
                    <w:overflowPunct/>
                    <w:topLinePunct w:val="0"/>
                    <w:autoSpaceDE/>
                    <w:autoSpaceDN/>
                    <w:bidi w:val="0"/>
                    <w:adjustRightInd/>
                    <w:spacing w:line="240" w:lineRule="auto"/>
                    <w:ind w:firstLine="0" w:firstLineChars="0"/>
                    <w:textAlignment w:val="auto"/>
                    <w:rPr>
                      <w:rFonts w:hint="default" w:ascii="Times New Roman" w:hAnsi="Times New Roman" w:eastAsia="宋体" w:cs="Times New Roman"/>
                      <w:caps/>
                      <w:color w:val="auto"/>
                      <w:sz w:val="21"/>
                      <w:szCs w:val="21"/>
                      <w:highlight w:val="none"/>
                    </w:rPr>
                  </w:pPr>
                  <w:r>
                    <w:rPr>
                      <w:rFonts w:hint="default" w:ascii="Times New Roman" w:hAnsi="Times New Roman" w:eastAsia="宋体" w:cs="Times New Roman"/>
                      <w:caps/>
                      <w:color w:val="auto"/>
                      <w:sz w:val="21"/>
                      <w:szCs w:val="21"/>
                      <w:highlight w:val="none"/>
                    </w:rPr>
                    <w:t>1.</w:t>
                  </w:r>
                  <w:r>
                    <w:rPr>
                      <w:rFonts w:hint="default" w:ascii="Times New Roman" w:hAnsi="Times New Roman" w:eastAsia="宋体" w:cs="Times New Roman"/>
                      <w:color w:val="auto"/>
                      <w:sz w:val="21"/>
                      <w:szCs w:val="21"/>
                      <w:highlight w:val="none"/>
                    </w:rPr>
                    <w:t>加强现场执法检查，强化土方作业时段监督管理，增加检查频次，加大处罚力度</w:t>
                  </w:r>
                  <w:r>
                    <w:rPr>
                      <w:rFonts w:hint="default" w:ascii="Times New Roman" w:hAnsi="Times New Roman" w:eastAsia="宋体" w:cs="Times New Roman"/>
                      <w:caps/>
                      <w:color w:val="auto"/>
                      <w:sz w:val="21"/>
                      <w:szCs w:val="21"/>
                      <w:highlight w:val="none"/>
                    </w:rPr>
                    <w:t>；2.</w:t>
                  </w:r>
                  <w:r>
                    <w:rPr>
                      <w:rFonts w:hint="default" w:ascii="Times New Roman" w:hAnsi="Times New Roman" w:eastAsia="宋体" w:cs="Times New Roman"/>
                      <w:color w:val="auto"/>
                      <w:sz w:val="21"/>
                      <w:szCs w:val="21"/>
                      <w:highlight w:val="none"/>
                    </w:rPr>
                    <w:t>建设工程施工现场必须全封闭设置围挡墙，严禁敞开式作业</w:t>
                  </w:r>
                  <w:r>
                    <w:rPr>
                      <w:rFonts w:hint="default" w:ascii="Times New Roman" w:hAnsi="Times New Roman" w:eastAsia="宋体" w:cs="Times New Roman"/>
                      <w:caps/>
                      <w:color w:val="auto"/>
                      <w:sz w:val="21"/>
                      <w:szCs w:val="21"/>
                      <w:highlight w:val="none"/>
                    </w:rPr>
                    <w:t>；3.</w:t>
                  </w:r>
                  <w:r>
                    <w:rPr>
                      <w:rFonts w:hint="default" w:ascii="Times New Roman" w:hAnsi="Times New Roman" w:eastAsia="宋体" w:cs="Times New Roman"/>
                      <w:color w:val="auto"/>
                      <w:sz w:val="21"/>
                      <w:szCs w:val="21"/>
                      <w:highlight w:val="none"/>
                    </w:rPr>
                    <w:t>施工现场道路、作业区、生活区必须进行地面硬化</w:t>
                  </w:r>
                  <w:r>
                    <w:rPr>
                      <w:rFonts w:hint="default" w:ascii="Times New Roman" w:hAnsi="Times New Roman" w:eastAsia="宋体" w:cs="Times New Roman"/>
                      <w:caps/>
                      <w:color w:val="auto"/>
                      <w:sz w:val="21"/>
                      <w:szCs w:val="21"/>
                      <w:highlight w:val="none"/>
                    </w:rPr>
                    <w:t>；4.</w:t>
                  </w:r>
                  <w:r>
                    <w:rPr>
                      <w:rFonts w:hint="default" w:ascii="Times New Roman" w:hAnsi="Times New Roman" w:eastAsia="宋体" w:cs="Times New Roman"/>
                      <w:color w:val="auto"/>
                      <w:sz w:val="21"/>
                      <w:szCs w:val="21"/>
                      <w:highlight w:val="none"/>
                    </w:rPr>
                    <w:t>材料运输过程中加盖苫布，防止物料洒落；</w:t>
                  </w:r>
                  <w:r>
                    <w:rPr>
                      <w:rFonts w:hint="default" w:ascii="Times New Roman" w:hAnsi="Times New Roman" w:eastAsia="宋体" w:cs="Times New Roman"/>
                      <w:caps/>
                      <w:color w:val="auto"/>
                      <w:sz w:val="21"/>
                      <w:szCs w:val="21"/>
                      <w:highlight w:val="none"/>
                    </w:rPr>
                    <w:t>5.</w:t>
                  </w:r>
                  <w:r>
                    <w:rPr>
                      <w:rFonts w:hint="default" w:ascii="Times New Roman" w:hAnsi="Times New Roman" w:eastAsia="宋体" w:cs="Times New Roman"/>
                      <w:color w:val="auto"/>
                      <w:sz w:val="21"/>
                      <w:szCs w:val="21"/>
                      <w:highlight w:val="none"/>
                    </w:rPr>
                    <w:t>对因堆放、装卸、运输、搅拌等易产生扬尘的污染源，应采取遮盖、洒水、封闭等控制措施</w:t>
                  </w:r>
                  <w:r>
                    <w:rPr>
                      <w:rFonts w:hint="default" w:ascii="Times New Roman" w:hAnsi="Times New Roman" w:eastAsia="宋体" w:cs="Times New Roman"/>
                      <w:caps/>
                      <w:color w:val="auto"/>
                      <w:sz w:val="21"/>
                      <w:szCs w:val="21"/>
                      <w:highlight w:val="none"/>
                    </w:rPr>
                    <w:t>；6.</w:t>
                  </w:r>
                  <w:r>
                    <w:rPr>
                      <w:rFonts w:hint="default" w:ascii="Times New Roman" w:hAnsi="Times New Roman" w:eastAsia="宋体" w:cs="Times New Roman"/>
                      <w:color w:val="auto"/>
                      <w:sz w:val="21"/>
                      <w:szCs w:val="21"/>
                      <w:highlight w:val="none"/>
                    </w:rPr>
                    <w:t>施工现场的垃圾、渣土、沙石等要及时清运，建筑施工场地出口设置冲洗平台</w:t>
                  </w:r>
                  <w:r>
                    <w:rPr>
                      <w:rFonts w:hint="default" w:ascii="Times New Roman" w:hAnsi="Times New Roman" w:eastAsia="宋体" w:cs="Times New Roman"/>
                      <w:caps/>
                      <w:color w:val="auto"/>
                      <w:sz w:val="21"/>
                      <w:szCs w:val="21"/>
                      <w:highlight w:val="none"/>
                    </w:rPr>
                    <w:t>；7.施工扬尘污染控制情况纳入建筑企业信用管理系统，作为招投标重要依据；8.建筑工地要达到《河北省建筑施工扬尘防治强化措施18条》（冀建安[2016]27号）标准要求，防止扬尘污染；9.使用商品混凝土，禁止自建混凝土搅拌设备</w:t>
                  </w:r>
                </w:p>
              </w:tc>
              <w:tc>
                <w:tcPr>
                  <w:tcW w:w="793" w:type="pct"/>
                  <w:vMerge w:val="restart"/>
                  <w:tcBorders>
                    <w:tl2br w:val="nil"/>
                    <w:tr2bl w:val="nil"/>
                  </w:tcBorders>
                  <w:noWrap w:val="0"/>
                  <w:vAlign w:val="center"/>
                </w:tcPr>
                <w:p w14:paraId="6CB24460">
                  <w:pPr>
                    <w:pStyle w:val="66"/>
                    <w:keepNext w:val="0"/>
                    <w:keepLines w:val="0"/>
                    <w:pageBreakBefore w:val="0"/>
                    <w:kinsoku/>
                    <w:wordWrap/>
                    <w:overflowPunct/>
                    <w:topLinePunct w:val="0"/>
                    <w:autoSpaceDE/>
                    <w:autoSpaceDN/>
                    <w:bidi w:val="0"/>
                    <w:adjustRightInd/>
                    <w:spacing w:line="240" w:lineRule="auto"/>
                    <w:ind w:firstLine="0" w:firstLineChars="0"/>
                    <w:textAlignment w:val="auto"/>
                    <w:rPr>
                      <w:rFonts w:hint="eastAsia" w:ascii="Times New Roman" w:hAnsi="Times New Roman" w:eastAsia="宋体" w:cs="Times New Roman"/>
                      <w:caps/>
                      <w:color w:val="auto"/>
                      <w:kern w:val="2"/>
                      <w:sz w:val="21"/>
                      <w:szCs w:val="21"/>
                      <w:highlight w:val="none"/>
                      <w:lang w:eastAsia="zh-CN"/>
                    </w:rPr>
                  </w:pPr>
                  <w:r>
                    <w:rPr>
                      <w:rFonts w:hint="default" w:ascii="Times New Roman" w:hAnsi="Times New Roman" w:eastAsia="宋体" w:cs="Times New Roman"/>
                      <w:caps/>
                      <w:color w:val="auto"/>
                      <w:kern w:val="2"/>
                      <w:sz w:val="21"/>
                      <w:szCs w:val="21"/>
                      <w:highlight w:val="none"/>
                    </w:rPr>
                    <w:t>施工单位环保措施上墙，落实到人，作好施工场地环境管理和保洁工作</w:t>
                  </w:r>
                  <w:r>
                    <w:rPr>
                      <w:rFonts w:hint="eastAsia" w:ascii="Times New Roman" w:hAnsi="Times New Roman" w:cs="Times New Roman"/>
                      <w:caps/>
                      <w:color w:val="auto"/>
                      <w:kern w:val="2"/>
                      <w:sz w:val="21"/>
                      <w:szCs w:val="21"/>
                      <w:highlight w:val="none"/>
                      <w:lang w:eastAsia="zh-CN"/>
                    </w:rPr>
                    <w:t>。</w:t>
                  </w:r>
                </w:p>
              </w:tc>
              <w:tc>
                <w:tcPr>
                  <w:tcW w:w="611" w:type="pct"/>
                  <w:tcBorders>
                    <w:tl2br w:val="nil"/>
                    <w:tr2bl w:val="nil"/>
                  </w:tcBorders>
                  <w:noWrap w:val="0"/>
                  <w:vAlign w:val="center"/>
                </w:tcPr>
                <w:p w14:paraId="41063446">
                  <w:pPr>
                    <w:keepNext w:val="0"/>
                    <w:keepLines w:val="0"/>
                    <w:pageBreakBefore w:val="0"/>
                    <w:kinsoku/>
                    <w:wordWrap/>
                    <w:overflowPunct/>
                    <w:topLinePunct w:val="0"/>
                    <w:autoSpaceDE/>
                    <w:autoSpaceDN/>
                    <w:bidi w:val="0"/>
                    <w:adjustRightInd/>
                    <w:spacing w:line="240" w:lineRule="auto"/>
                    <w:ind w:firstLine="0" w:firstLineChars="0"/>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建筑行政管理部门及环境管理部门进行定期检查</w:t>
                  </w:r>
                </w:p>
              </w:tc>
            </w:tr>
            <w:tr w14:paraId="4269E90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396" w:type="pct"/>
                  <w:tcBorders>
                    <w:tl2br w:val="nil"/>
                    <w:tr2bl w:val="nil"/>
                  </w:tcBorders>
                  <w:noWrap w:val="0"/>
                  <w:vAlign w:val="center"/>
                </w:tcPr>
                <w:p w14:paraId="4CDFBEB4">
                  <w:pPr>
                    <w:pStyle w:val="66"/>
                    <w:keepNext w:val="0"/>
                    <w:keepLines w:val="0"/>
                    <w:pageBreakBefore w:val="0"/>
                    <w:kinsoku/>
                    <w:wordWrap/>
                    <w:overflowPunct/>
                    <w:topLinePunct w:val="0"/>
                    <w:autoSpaceDE/>
                    <w:autoSpaceDN/>
                    <w:bidi w:val="0"/>
                    <w:adjustRightInd/>
                    <w:spacing w:line="240" w:lineRule="auto"/>
                    <w:ind w:firstLine="0" w:firstLineChars="0"/>
                    <w:jc w:val="center"/>
                    <w:textAlignment w:val="auto"/>
                    <w:rPr>
                      <w:rFonts w:hint="default" w:ascii="Times New Roman" w:hAnsi="Times New Roman" w:eastAsia="宋体" w:cs="Times New Roman"/>
                      <w:caps/>
                      <w:color w:val="auto"/>
                      <w:kern w:val="2"/>
                      <w:sz w:val="21"/>
                      <w:szCs w:val="21"/>
                      <w:highlight w:val="none"/>
                    </w:rPr>
                  </w:pPr>
                  <w:r>
                    <w:rPr>
                      <w:rFonts w:hint="default" w:ascii="Times New Roman" w:hAnsi="Times New Roman" w:eastAsia="宋体" w:cs="Times New Roman"/>
                      <w:caps/>
                      <w:color w:val="auto"/>
                      <w:kern w:val="2"/>
                      <w:sz w:val="21"/>
                      <w:szCs w:val="21"/>
                      <w:highlight w:val="none"/>
                    </w:rPr>
                    <w:t>施工噪声</w:t>
                  </w:r>
                </w:p>
              </w:tc>
              <w:tc>
                <w:tcPr>
                  <w:tcW w:w="3198" w:type="pct"/>
                  <w:tcBorders>
                    <w:tl2br w:val="nil"/>
                    <w:tr2bl w:val="nil"/>
                  </w:tcBorders>
                  <w:noWrap w:val="0"/>
                  <w:vAlign w:val="center"/>
                </w:tcPr>
                <w:p w14:paraId="77B9F1E6">
                  <w:pPr>
                    <w:keepNext w:val="0"/>
                    <w:keepLines w:val="0"/>
                    <w:pageBreakBefore w:val="0"/>
                    <w:kinsoku/>
                    <w:wordWrap/>
                    <w:overflowPunct/>
                    <w:topLinePunct w:val="0"/>
                    <w:autoSpaceDE/>
                    <w:autoSpaceDN/>
                    <w:bidi w:val="0"/>
                    <w:adjustRightInd/>
                    <w:spacing w:line="240" w:lineRule="auto"/>
                    <w:ind w:firstLine="0" w:firstLineChars="0"/>
                    <w:textAlignment w:val="auto"/>
                    <w:rPr>
                      <w:rFonts w:hint="default" w:ascii="Times New Roman" w:hAnsi="Times New Roman" w:eastAsia="宋体" w:cs="Times New Roman"/>
                      <w:caps/>
                      <w:color w:val="auto"/>
                      <w:sz w:val="21"/>
                      <w:szCs w:val="21"/>
                      <w:highlight w:val="none"/>
                    </w:rPr>
                  </w:pPr>
                  <w:r>
                    <w:rPr>
                      <w:rFonts w:hint="default" w:ascii="Times New Roman" w:hAnsi="Times New Roman" w:eastAsia="宋体" w:cs="Times New Roman"/>
                      <w:caps/>
                      <w:color w:val="auto"/>
                      <w:sz w:val="21"/>
                      <w:szCs w:val="21"/>
                      <w:highlight w:val="none"/>
                    </w:rPr>
                    <w:t>1.合理安排施工时间，尽量避免同时使用大量动力机械设备；</w:t>
                  </w:r>
                </w:p>
                <w:p w14:paraId="258023E7">
                  <w:pPr>
                    <w:keepNext w:val="0"/>
                    <w:keepLines w:val="0"/>
                    <w:pageBreakBefore w:val="0"/>
                    <w:kinsoku/>
                    <w:wordWrap/>
                    <w:overflowPunct/>
                    <w:topLinePunct w:val="0"/>
                    <w:autoSpaceDE/>
                    <w:autoSpaceDN/>
                    <w:bidi w:val="0"/>
                    <w:adjustRightInd/>
                    <w:spacing w:line="240" w:lineRule="auto"/>
                    <w:ind w:firstLine="0" w:firstLineChars="0"/>
                    <w:textAlignment w:val="auto"/>
                    <w:rPr>
                      <w:rFonts w:hint="default" w:ascii="Times New Roman" w:hAnsi="Times New Roman" w:eastAsia="宋体" w:cs="Times New Roman"/>
                      <w:caps/>
                      <w:color w:val="auto"/>
                      <w:sz w:val="21"/>
                      <w:szCs w:val="21"/>
                      <w:highlight w:val="none"/>
                    </w:rPr>
                  </w:pPr>
                  <w:r>
                    <w:rPr>
                      <w:rFonts w:hint="default" w:ascii="Times New Roman" w:hAnsi="Times New Roman" w:eastAsia="宋体" w:cs="Times New Roman"/>
                      <w:caps/>
                      <w:color w:val="auto"/>
                      <w:sz w:val="21"/>
                      <w:szCs w:val="21"/>
                      <w:highlight w:val="none"/>
                    </w:rPr>
                    <w:t>2.施工单位开工15日前，携带施工资料等到所在地县级以上地方人民政府环境保护行政主管部门申报《建设施工环保审批表》，经批准后方可施工；</w:t>
                  </w:r>
                </w:p>
                <w:p w14:paraId="6823B7D4">
                  <w:pPr>
                    <w:keepNext w:val="0"/>
                    <w:keepLines w:val="0"/>
                    <w:pageBreakBefore w:val="0"/>
                    <w:kinsoku/>
                    <w:wordWrap/>
                    <w:overflowPunct/>
                    <w:topLinePunct w:val="0"/>
                    <w:autoSpaceDE/>
                    <w:autoSpaceDN/>
                    <w:bidi w:val="0"/>
                    <w:adjustRightInd/>
                    <w:spacing w:line="240" w:lineRule="auto"/>
                    <w:ind w:firstLine="0" w:firstLineChars="0"/>
                    <w:textAlignment w:val="auto"/>
                    <w:rPr>
                      <w:rFonts w:hint="default" w:ascii="Times New Roman" w:hAnsi="Times New Roman" w:eastAsia="宋体" w:cs="Times New Roman"/>
                      <w:caps/>
                      <w:color w:val="auto"/>
                      <w:sz w:val="21"/>
                      <w:szCs w:val="21"/>
                      <w:highlight w:val="none"/>
                    </w:rPr>
                  </w:pPr>
                  <w:r>
                    <w:rPr>
                      <w:rFonts w:hint="default" w:ascii="Times New Roman" w:hAnsi="Times New Roman" w:eastAsia="宋体" w:cs="Times New Roman"/>
                      <w:caps/>
                      <w:color w:val="auto"/>
                      <w:sz w:val="21"/>
                      <w:szCs w:val="21"/>
                      <w:highlight w:val="none"/>
                    </w:rPr>
                    <w:t>3.建设招投标单位将投标方的低噪声、低振动施工设备和相应技术作为中标的考虑内容；</w:t>
                  </w:r>
                </w:p>
                <w:p w14:paraId="0B06C3C3">
                  <w:pPr>
                    <w:keepNext w:val="0"/>
                    <w:keepLines w:val="0"/>
                    <w:pageBreakBefore w:val="0"/>
                    <w:kinsoku/>
                    <w:wordWrap/>
                    <w:overflowPunct/>
                    <w:topLinePunct w:val="0"/>
                    <w:autoSpaceDE/>
                    <w:autoSpaceDN/>
                    <w:bidi w:val="0"/>
                    <w:adjustRightInd/>
                    <w:spacing w:line="240" w:lineRule="auto"/>
                    <w:ind w:firstLine="0" w:firstLineChars="0"/>
                    <w:textAlignment w:val="auto"/>
                    <w:rPr>
                      <w:rFonts w:hint="default" w:ascii="Times New Roman" w:hAnsi="Times New Roman" w:eastAsia="宋体" w:cs="Times New Roman"/>
                      <w:caps/>
                      <w:color w:val="auto"/>
                      <w:sz w:val="21"/>
                      <w:szCs w:val="21"/>
                      <w:highlight w:val="none"/>
                    </w:rPr>
                  </w:pPr>
                  <w:r>
                    <w:rPr>
                      <w:rFonts w:hint="default" w:ascii="Times New Roman" w:hAnsi="Times New Roman" w:eastAsia="宋体" w:cs="Times New Roman"/>
                      <w:caps/>
                      <w:color w:val="auto"/>
                      <w:sz w:val="21"/>
                      <w:szCs w:val="21"/>
                      <w:highlight w:val="none"/>
                    </w:rPr>
                    <w:t>4.</w:t>
                  </w:r>
                  <w:r>
                    <w:rPr>
                      <w:rFonts w:hint="default" w:ascii="Times New Roman" w:hAnsi="Times New Roman" w:eastAsia="宋体" w:cs="Times New Roman"/>
                      <w:color w:val="auto"/>
                      <w:sz w:val="21"/>
                      <w:szCs w:val="21"/>
                      <w:highlight w:val="none"/>
                    </w:rPr>
                    <w:t>合理安排施工场地</w:t>
                  </w:r>
                  <w:r>
                    <w:rPr>
                      <w:rFonts w:hint="default" w:ascii="Times New Roman" w:hAnsi="Times New Roman" w:eastAsia="宋体" w:cs="Times New Roman"/>
                      <w:caps/>
                      <w:color w:val="auto"/>
                      <w:sz w:val="21"/>
                      <w:szCs w:val="21"/>
                      <w:highlight w:val="none"/>
                    </w:rPr>
                    <w:t>；</w:t>
                  </w:r>
                </w:p>
                <w:p w14:paraId="11D75AB4">
                  <w:pPr>
                    <w:keepNext w:val="0"/>
                    <w:keepLines w:val="0"/>
                    <w:pageBreakBefore w:val="0"/>
                    <w:kinsoku/>
                    <w:wordWrap/>
                    <w:overflowPunct/>
                    <w:topLinePunct w:val="0"/>
                    <w:autoSpaceDE/>
                    <w:autoSpaceDN/>
                    <w:bidi w:val="0"/>
                    <w:adjustRightInd/>
                    <w:spacing w:line="240" w:lineRule="auto"/>
                    <w:ind w:firstLine="0" w:firstLineChars="0"/>
                    <w:textAlignment w:val="auto"/>
                    <w:rPr>
                      <w:rFonts w:hint="default" w:ascii="Times New Roman" w:hAnsi="Times New Roman" w:eastAsia="宋体" w:cs="Times New Roman"/>
                      <w:caps/>
                      <w:color w:val="auto"/>
                      <w:sz w:val="21"/>
                      <w:szCs w:val="21"/>
                      <w:highlight w:val="none"/>
                    </w:rPr>
                  </w:pPr>
                  <w:r>
                    <w:rPr>
                      <w:rFonts w:hint="default" w:ascii="Times New Roman" w:hAnsi="Times New Roman" w:eastAsia="宋体" w:cs="Times New Roman"/>
                      <w:caps/>
                      <w:color w:val="auto"/>
                      <w:sz w:val="21"/>
                      <w:szCs w:val="21"/>
                      <w:highlight w:val="none"/>
                    </w:rPr>
                    <w:t>5.合理选择运输路线，尽量避开沿途的环境敏感点。</w:t>
                  </w:r>
                </w:p>
              </w:tc>
              <w:tc>
                <w:tcPr>
                  <w:tcW w:w="793" w:type="pct"/>
                  <w:vMerge w:val="continue"/>
                  <w:tcBorders>
                    <w:tl2br w:val="nil"/>
                    <w:tr2bl w:val="nil"/>
                  </w:tcBorders>
                  <w:noWrap w:val="0"/>
                  <w:vAlign w:val="center"/>
                </w:tcPr>
                <w:p w14:paraId="1BE3C298">
                  <w:pPr>
                    <w:pStyle w:val="66"/>
                    <w:keepNext w:val="0"/>
                    <w:keepLines w:val="0"/>
                    <w:pageBreakBefore w:val="0"/>
                    <w:kinsoku/>
                    <w:wordWrap/>
                    <w:overflowPunct/>
                    <w:topLinePunct w:val="0"/>
                    <w:autoSpaceDE/>
                    <w:autoSpaceDN/>
                    <w:bidi w:val="0"/>
                    <w:adjustRightInd/>
                    <w:spacing w:line="240" w:lineRule="auto"/>
                    <w:ind w:firstLine="0" w:firstLineChars="0"/>
                    <w:textAlignment w:val="auto"/>
                    <w:rPr>
                      <w:rFonts w:hint="default" w:ascii="Times New Roman" w:hAnsi="Times New Roman" w:eastAsia="宋体" w:cs="Times New Roman"/>
                      <w:caps/>
                      <w:color w:val="auto"/>
                      <w:kern w:val="2"/>
                      <w:sz w:val="21"/>
                      <w:szCs w:val="21"/>
                      <w:highlight w:val="none"/>
                    </w:rPr>
                  </w:pPr>
                </w:p>
              </w:tc>
              <w:tc>
                <w:tcPr>
                  <w:tcW w:w="611" w:type="pct"/>
                  <w:vMerge w:val="restart"/>
                  <w:tcBorders>
                    <w:tl2br w:val="nil"/>
                    <w:tr2bl w:val="nil"/>
                  </w:tcBorders>
                  <w:noWrap w:val="0"/>
                  <w:vAlign w:val="center"/>
                </w:tcPr>
                <w:p w14:paraId="4E3AAC47">
                  <w:pPr>
                    <w:keepNext w:val="0"/>
                    <w:keepLines w:val="0"/>
                    <w:pageBreakBefore w:val="0"/>
                    <w:kinsoku/>
                    <w:wordWrap/>
                    <w:overflowPunct/>
                    <w:topLinePunct w:val="0"/>
                    <w:autoSpaceDE/>
                    <w:autoSpaceDN/>
                    <w:bidi w:val="0"/>
                    <w:adjustRightInd/>
                    <w:spacing w:line="240" w:lineRule="auto"/>
                    <w:ind w:firstLine="0" w:firstLineChars="0"/>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建筑行政管理部门及环境管理部门进行定期检查</w:t>
                  </w:r>
                </w:p>
              </w:tc>
            </w:tr>
            <w:tr w14:paraId="72E78DF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396" w:type="pct"/>
                  <w:tcBorders>
                    <w:tl2br w:val="nil"/>
                    <w:tr2bl w:val="nil"/>
                  </w:tcBorders>
                  <w:noWrap w:val="0"/>
                  <w:vAlign w:val="center"/>
                </w:tcPr>
                <w:p w14:paraId="2DF23CA3">
                  <w:pPr>
                    <w:pStyle w:val="66"/>
                    <w:keepNext w:val="0"/>
                    <w:keepLines w:val="0"/>
                    <w:pageBreakBefore w:val="0"/>
                    <w:kinsoku/>
                    <w:wordWrap/>
                    <w:overflowPunct/>
                    <w:topLinePunct w:val="0"/>
                    <w:autoSpaceDE/>
                    <w:autoSpaceDN/>
                    <w:bidi w:val="0"/>
                    <w:adjustRightInd/>
                    <w:spacing w:line="240" w:lineRule="auto"/>
                    <w:ind w:firstLine="0" w:firstLineChars="0"/>
                    <w:jc w:val="center"/>
                    <w:textAlignment w:val="auto"/>
                    <w:rPr>
                      <w:rFonts w:hint="default" w:ascii="Times New Roman" w:hAnsi="Times New Roman" w:eastAsia="宋体" w:cs="Times New Roman"/>
                      <w:caps/>
                      <w:color w:val="auto"/>
                      <w:kern w:val="2"/>
                      <w:sz w:val="21"/>
                      <w:szCs w:val="21"/>
                      <w:highlight w:val="none"/>
                    </w:rPr>
                  </w:pPr>
                  <w:r>
                    <w:rPr>
                      <w:rFonts w:hint="default" w:ascii="Times New Roman" w:hAnsi="Times New Roman" w:eastAsia="宋体" w:cs="Times New Roman"/>
                      <w:caps/>
                      <w:color w:val="auto"/>
                      <w:kern w:val="2"/>
                      <w:sz w:val="21"/>
                      <w:szCs w:val="21"/>
                      <w:highlight w:val="none"/>
                    </w:rPr>
                    <w:t>建筑</w:t>
                  </w:r>
                </w:p>
                <w:p w14:paraId="6F7027C4">
                  <w:pPr>
                    <w:pStyle w:val="66"/>
                    <w:keepNext w:val="0"/>
                    <w:keepLines w:val="0"/>
                    <w:pageBreakBefore w:val="0"/>
                    <w:kinsoku/>
                    <w:wordWrap/>
                    <w:overflowPunct/>
                    <w:topLinePunct w:val="0"/>
                    <w:autoSpaceDE/>
                    <w:autoSpaceDN/>
                    <w:bidi w:val="0"/>
                    <w:adjustRightInd/>
                    <w:spacing w:line="240" w:lineRule="auto"/>
                    <w:ind w:firstLine="0" w:firstLineChars="0"/>
                    <w:jc w:val="center"/>
                    <w:textAlignment w:val="auto"/>
                    <w:rPr>
                      <w:rFonts w:hint="default" w:ascii="Times New Roman" w:hAnsi="Times New Roman" w:eastAsia="宋体" w:cs="Times New Roman"/>
                      <w:caps/>
                      <w:color w:val="auto"/>
                      <w:kern w:val="2"/>
                      <w:sz w:val="21"/>
                      <w:szCs w:val="21"/>
                      <w:highlight w:val="none"/>
                    </w:rPr>
                  </w:pPr>
                  <w:r>
                    <w:rPr>
                      <w:rFonts w:hint="default" w:ascii="Times New Roman" w:hAnsi="Times New Roman" w:eastAsia="宋体" w:cs="Times New Roman"/>
                      <w:caps/>
                      <w:color w:val="auto"/>
                      <w:kern w:val="2"/>
                      <w:sz w:val="21"/>
                      <w:szCs w:val="21"/>
                      <w:highlight w:val="none"/>
                    </w:rPr>
                    <w:t>垃圾</w:t>
                  </w:r>
                </w:p>
              </w:tc>
              <w:tc>
                <w:tcPr>
                  <w:tcW w:w="3198" w:type="pct"/>
                  <w:tcBorders>
                    <w:tl2br w:val="nil"/>
                    <w:tr2bl w:val="nil"/>
                  </w:tcBorders>
                  <w:noWrap w:val="0"/>
                  <w:vAlign w:val="center"/>
                </w:tcPr>
                <w:p w14:paraId="74F6EF4C">
                  <w:pPr>
                    <w:keepNext w:val="0"/>
                    <w:keepLines w:val="0"/>
                    <w:pageBreakBefore w:val="0"/>
                    <w:kinsoku/>
                    <w:wordWrap/>
                    <w:overflowPunct/>
                    <w:topLinePunct w:val="0"/>
                    <w:autoSpaceDE/>
                    <w:autoSpaceDN/>
                    <w:bidi w:val="0"/>
                    <w:adjustRightInd/>
                    <w:spacing w:line="240" w:lineRule="auto"/>
                    <w:ind w:firstLine="0" w:firstLineChars="0"/>
                    <w:textAlignment w:val="auto"/>
                    <w:rPr>
                      <w:rFonts w:hint="default" w:ascii="Times New Roman" w:hAnsi="Times New Roman" w:eastAsia="宋体" w:cs="Times New Roman"/>
                      <w:caps/>
                      <w:color w:val="auto"/>
                      <w:sz w:val="21"/>
                      <w:szCs w:val="21"/>
                      <w:highlight w:val="none"/>
                    </w:rPr>
                  </w:pPr>
                  <w:r>
                    <w:rPr>
                      <w:rFonts w:hint="default" w:ascii="Times New Roman" w:hAnsi="Times New Roman" w:eastAsia="宋体" w:cs="Times New Roman"/>
                      <w:caps/>
                      <w:color w:val="auto"/>
                      <w:sz w:val="21"/>
                      <w:szCs w:val="21"/>
                      <w:highlight w:val="none"/>
                    </w:rPr>
                    <w:t>建筑垃圾多余弃土及时清运，不得长期堆存，作到随有随清，车辆用毡布遮盖，防治撒落。</w:t>
                  </w:r>
                </w:p>
              </w:tc>
              <w:tc>
                <w:tcPr>
                  <w:tcW w:w="793" w:type="pct"/>
                  <w:tcBorders>
                    <w:tl2br w:val="nil"/>
                    <w:tr2bl w:val="nil"/>
                  </w:tcBorders>
                  <w:noWrap w:val="0"/>
                  <w:vAlign w:val="center"/>
                </w:tcPr>
                <w:p w14:paraId="339000D4">
                  <w:pPr>
                    <w:pStyle w:val="66"/>
                    <w:keepNext w:val="0"/>
                    <w:keepLines w:val="0"/>
                    <w:pageBreakBefore w:val="0"/>
                    <w:kinsoku/>
                    <w:wordWrap/>
                    <w:overflowPunct/>
                    <w:topLinePunct w:val="0"/>
                    <w:autoSpaceDE/>
                    <w:autoSpaceDN/>
                    <w:bidi w:val="0"/>
                    <w:adjustRightInd/>
                    <w:spacing w:line="240" w:lineRule="auto"/>
                    <w:ind w:firstLine="0" w:firstLineChars="0"/>
                    <w:textAlignment w:val="auto"/>
                    <w:rPr>
                      <w:rFonts w:hint="eastAsia" w:ascii="Times New Roman" w:hAnsi="Times New Roman" w:eastAsia="宋体" w:cs="Times New Roman"/>
                      <w:caps/>
                      <w:color w:val="auto"/>
                      <w:spacing w:val="-4"/>
                      <w:kern w:val="2"/>
                      <w:sz w:val="21"/>
                      <w:szCs w:val="21"/>
                      <w:highlight w:val="none"/>
                      <w:lang w:eastAsia="zh-CN"/>
                    </w:rPr>
                  </w:pPr>
                  <w:r>
                    <w:rPr>
                      <w:rFonts w:hint="default" w:ascii="Times New Roman" w:hAnsi="Times New Roman" w:eastAsia="宋体" w:cs="Times New Roman"/>
                      <w:caps/>
                      <w:color w:val="auto"/>
                      <w:spacing w:val="-4"/>
                      <w:kern w:val="2"/>
                      <w:sz w:val="21"/>
                      <w:szCs w:val="21"/>
                      <w:highlight w:val="none"/>
                    </w:rPr>
                    <w:t>渣土清运至指定地点填埋</w:t>
                  </w:r>
                  <w:r>
                    <w:rPr>
                      <w:rFonts w:hint="eastAsia" w:ascii="Times New Roman" w:hAnsi="Times New Roman" w:cs="Times New Roman"/>
                      <w:caps/>
                      <w:color w:val="auto"/>
                      <w:spacing w:val="-4"/>
                      <w:kern w:val="2"/>
                      <w:sz w:val="21"/>
                      <w:szCs w:val="21"/>
                      <w:highlight w:val="none"/>
                      <w:lang w:eastAsia="zh-CN"/>
                    </w:rPr>
                    <w:t>。</w:t>
                  </w:r>
                </w:p>
              </w:tc>
              <w:tc>
                <w:tcPr>
                  <w:tcW w:w="611" w:type="pct"/>
                  <w:vMerge w:val="continue"/>
                  <w:tcBorders>
                    <w:tl2br w:val="nil"/>
                    <w:tr2bl w:val="nil"/>
                  </w:tcBorders>
                  <w:noWrap w:val="0"/>
                  <w:vAlign w:val="center"/>
                </w:tcPr>
                <w:p w14:paraId="72771E37">
                  <w:pPr>
                    <w:keepNext w:val="0"/>
                    <w:keepLines w:val="0"/>
                    <w:pageBreakBefore w:val="0"/>
                    <w:kinsoku/>
                    <w:wordWrap/>
                    <w:overflowPunct/>
                    <w:topLinePunct w:val="0"/>
                    <w:autoSpaceDE/>
                    <w:autoSpaceDN/>
                    <w:bidi w:val="0"/>
                    <w:adjustRightInd/>
                    <w:spacing w:line="240" w:lineRule="auto"/>
                    <w:ind w:firstLine="0" w:firstLineChars="0"/>
                    <w:textAlignment w:val="auto"/>
                    <w:rPr>
                      <w:rFonts w:hint="default" w:ascii="Times New Roman" w:hAnsi="Times New Roman" w:eastAsia="宋体" w:cs="Times New Roman"/>
                      <w:color w:val="auto"/>
                      <w:sz w:val="18"/>
                      <w:szCs w:val="18"/>
                      <w:highlight w:val="none"/>
                    </w:rPr>
                  </w:pPr>
                </w:p>
              </w:tc>
            </w:tr>
            <w:tr w14:paraId="5005263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396" w:type="pct"/>
                  <w:tcBorders>
                    <w:tl2br w:val="nil"/>
                    <w:tr2bl w:val="nil"/>
                  </w:tcBorders>
                  <w:noWrap w:val="0"/>
                  <w:vAlign w:val="center"/>
                </w:tcPr>
                <w:p w14:paraId="18D893A4">
                  <w:pPr>
                    <w:pStyle w:val="66"/>
                    <w:keepNext w:val="0"/>
                    <w:keepLines w:val="0"/>
                    <w:pageBreakBefore w:val="0"/>
                    <w:kinsoku/>
                    <w:wordWrap/>
                    <w:overflowPunct/>
                    <w:topLinePunct w:val="0"/>
                    <w:autoSpaceDE/>
                    <w:autoSpaceDN/>
                    <w:bidi w:val="0"/>
                    <w:adjustRightInd/>
                    <w:spacing w:line="240" w:lineRule="auto"/>
                    <w:ind w:firstLine="0" w:firstLineChars="0"/>
                    <w:jc w:val="center"/>
                    <w:textAlignment w:val="auto"/>
                    <w:rPr>
                      <w:rFonts w:hint="default" w:ascii="Times New Roman" w:hAnsi="Times New Roman" w:eastAsia="宋体" w:cs="Times New Roman"/>
                      <w:caps/>
                      <w:color w:val="auto"/>
                      <w:kern w:val="2"/>
                      <w:sz w:val="21"/>
                      <w:szCs w:val="21"/>
                      <w:highlight w:val="none"/>
                    </w:rPr>
                  </w:pPr>
                  <w:r>
                    <w:rPr>
                      <w:rFonts w:hint="default" w:ascii="Times New Roman" w:hAnsi="Times New Roman" w:eastAsia="宋体" w:cs="Times New Roman"/>
                      <w:caps/>
                      <w:color w:val="auto"/>
                      <w:kern w:val="2"/>
                      <w:sz w:val="21"/>
                      <w:szCs w:val="21"/>
                      <w:highlight w:val="none"/>
                    </w:rPr>
                    <w:t>防渗工程</w:t>
                  </w:r>
                </w:p>
              </w:tc>
              <w:tc>
                <w:tcPr>
                  <w:tcW w:w="3198" w:type="pct"/>
                  <w:tcBorders>
                    <w:tl2br w:val="nil"/>
                    <w:tr2bl w:val="nil"/>
                  </w:tcBorders>
                  <w:noWrap w:val="0"/>
                  <w:vAlign w:val="center"/>
                </w:tcPr>
                <w:p w14:paraId="5A94AFA5">
                  <w:pPr>
                    <w:keepNext w:val="0"/>
                    <w:keepLines w:val="0"/>
                    <w:pageBreakBefore w:val="0"/>
                    <w:tabs>
                      <w:tab w:val="left" w:pos="2478"/>
                    </w:tabs>
                    <w:kinsoku/>
                    <w:wordWrap/>
                    <w:overflowPunct/>
                    <w:topLinePunct w:val="0"/>
                    <w:autoSpaceDE/>
                    <w:autoSpaceDN/>
                    <w:bidi w:val="0"/>
                    <w:adjustRightInd/>
                    <w:spacing w:line="240" w:lineRule="auto"/>
                    <w:ind w:firstLine="0" w:firstLineChars="0"/>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厂区地面：厂区除绿化用地之外应全部进行硬化处理，实现厂区不见黄土。</w:t>
                  </w:r>
                </w:p>
              </w:tc>
              <w:tc>
                <w:tcPr>
                  <w:tcW w:w="793" w:type="pct"/>
                  <w:tcBorders>
                    <w:tl2br w:val="nil"/>
                    <w:tr2bl w:val="nil"/>
                  </w:tcBorders>
                  <w:noWrap w:val="0"/>
                  <w:vAlign w:val="center"/>
                </w:tcPr>
                <w:p w14:paraId="6E40FA98">
                  <w:pPr>
                    <w:pStyle w:val="66"/>
                    <w:keepNext w:val="0"/>
                    <w:keepLines w:val="0"/>
                    <w:pageBreakBefore w:val="0"/>
                    <w:kinsoku/>
                    <w:wordWrap/>
                    <w:overflowPunct/>
                    <w:topLinePunct w:val="0"/>
                    <w:autoSpaceDE/>
                    <w:autoSpaceDN/>
                    <w:bidi w:val="0"/>
                    <w:adjustRightInd/>
                    <w:spacing w:line="240" w:lineRule="auto"/>
                    <w:ind w:firstLine="0" w:firstLineChars="0"/>
                    <w:jc w:val="center"/>
                    <w:textAlignment w:val="auto"/>
                    <w:rPr>
                      <w:rFonts w:hint="eastAsia" w:ascii="Times New Roman" w:hAnsi="Times New Roman" w:eastAsia="宋体" w:cs="Times New Roman"/>
                      <w:caps/>
                      <w:color w:val="auto"/>
                      <w:spacing w:val="-4"/>
                      <w:kern w:val="2"/>
                      <w:sz w:val="21"/>
                      <w:szCs w:val="21"/>
                      <w:highlight w:val="none"/>
                      <w:lang w:eastAsia="zh-CN"/>
                    </w:rPr>
                  </w:pPr>
                  <w:r>
                    <w:rPr>
                      <w:rFonts w:hint="eastAsia" w:ascii="Times New Roman" w:hAnsi="Times New Roman" w:cs="Times New Roman"/>
                      <w:caps/>
                      <w:color w:val="auto"/>
                      <w:spacing w:val="-4"/>
                      <w:kern w:val="2"/>
                      <w:sz w:val="21"/>
                      <w:szCs w:val="21"/>
                      <w:highlight w:val="none"/>
                      <w:lang w:eastAsia="zh-CN"/>
                    </w:rPr>
                    <w:t>无裸露地面。</w:t>
                  </w:r>
                </w:p>
              </w:tc>
              <w:tc>
                <w:tcPr>
                  <w:tcW w:w="611" w:type="pct"/>
                  <w:vMerge w:val="continue"/>
                  <w:tcBorders>
                    <w:tl2br w:val="nil"/>
                    <w:tr2bl w:val="nil"/>
                  </w:tcBorders>
                  <w:noWrap w:val="0"/>
                  <w:vAlign w:val="center"/>
                </w:tcPr>
                <w:p w14:paraId="40753678">
                  <w:pPr>
                    <w:keepNext w:val="0"/>
                    <w:keepLines w:val="0"/>
                    <w:pageBreakBefore w:val="0"/>
                    <w:kinsoku/>
                    <w:wordWrap/>
                    <w:overflowPunct/>
                    <w:topLinePunct w:val="0"/>
                    <w:autoSpaceDE/>
                    <w:autoSpaceDN/>
                    <w:bidi w:val="0"/>
                    <w:adjustRightInd/>
                    <w:spacing w:line="240" w:lineRule="auto"/>
                    <w:ind w:firstLine="0" w:firstLineChars="0"/>
                    <w:textAlignment w:val="auto"/>
                    <w:rPr>
                      <w:rFonts w:hint="default" w:ascii="Times New Roman" w:hAnsi="Times New Roman" w:eastAsia="宋体" w:cs="Times New Roman"/>
                      <w:color w:val="auto"/>
                      <w:sz w:val="18"/>
                      <w:szCs w:val="18"/>
                      <w:highlight w:val="none"/>
                    </w:rPr>
                  </w:pPr>
                </w:p>
              </w:tc>
            </w:tr>
          </w:tbl>
          <w:p w14:paraId="4C2219EC">
            <w:pPr>
              <w:keepNext w:val="0"/>
              <w:keepLines w:val="0"/>
              <w:pageBreakBefore w:val="0"/>
              <w:widowControl w:val="0"/>
              <w:kinsoku/>
              <w:wordWrap/>
              <w:overflowPunct/>
              <w:topLinePunct w:val="0"/>
              <w:autoSpaceDE/>
              <w:autoSpaceDN/>
              <w:bidi w:val="0"/>
              <w:adjustRightInd w:val="0"/>
              <w:snapToGrid w:val="0"/>
              <w:spacing w:line="480" w:lineRule="exact"/>
              <w:ind w:firstLine="440" w:firstLineChars="200"/>
              <w:textAlignment w:val="auto"/>
              <w:rPr>
                <w:rFonts w:ascii="宋体" w:hAnsi="宋体" w:cs="宋体"/>
                <w:bCs/>
                <w:spacing w:val="-10"/>
                <w:szCs w:val="21"/>
                <w:highlight w:val="none"/>
              </w:rPr>
            </w:pPr>
          </w:p>
          <w:p w14:paraId="413693D0">
            <w:pPr>
              <w:keepNext w:val="0"/>
              <w:keepLines w:val="0"/>
              <w:pageBreakBefore w:val="0"/>
              <w:widowControl w:val="0"/>
              <w:kinsoku/>
              <w:wordWrap/>
              <w:overflowPunct/>
              <w:topLinePunct w:val="0"/>
              <w:autoSpaceDE/>
              <w:autoSpaceDN/>
              <w:bidi w:val="0"/>
              <w:adjustRightInd w:val="0"/>
              <w:snapToGrid w:val="0"/>
              <w:spacing w:line="480" w:lineRule="exact"/>
              <w:ind w:firstLine="440" w:firstLineChars="200"/>
              <w:textAlignment w:val="auto"/>
              <w:rPr>
                <w:rFonts w:ascii="宋体" w:hAnsi="宋体" w:cs="宋体"/>
                <w:bCs/>
                <w:spacing w:val="-10"/>
                <w:szCs w:val="21"/>
                <w:highlight w:val="none"/>
              </w:rPr>
            </w:pPr>
          </w:p>
          <w:p w14:paraId="781E5F3D">
            <w:pPr>
              <w:keepNext w:val="0"/>
              <w:keepLines w:val="0"/>
              <w:pageBreakBefore w:val="0"/>
              <w:widowControl w:val="0"/>
              <w:kinsoku/>
              <w:wordWrap/>
              <w:overflowPunct/>
              <w:topLinePunct w:val="0"/>
              <w:autoSpaceDE/>
              <w:autoSpaceDN/>
              <w:bidi w:val="0"/>
              <w:adjustRightInd w:val="0"/>
              <w:snapToGrid w:val="0"/>
              <w:spacing w:line="480" w:lineRule="exact"/>
              <w:ind w:firstLine="440" w:firstLineChars="200"/>
              <w:textAlignment w:val="auto"/>
              <w:rPr>
                <w:rFonts w:ascii="宋体" w:hAnsi="宋体" w:cs="宋体"/>
                <w:bCs/>
                <w:spacing w:val="-10"/>
                <w:szCs w:val="21"/>
                <w:highlight w:val="none"/>
              </w:rPr>
            </w:pPr>
          </w:p>
          <w:p w14:paraId="388C0F8E">
            <w:pPr>
              <w:keepNext w:val="0"/>
              <w:keepLines w:val="0"/>
              <w:pageBreakBefore w:val="0"/>
              <w:widowControl w:val="0"/>
              <w:kinsoku/>
              <w:wordWrap/>
              <w:overflowPunct/>
              <w:topLinePunct w:val="0"/>
              <w:autoSpaceDE/>
              <w:autoSpaceDN/>
              <w:bidi w:val="0"/>
              <w:adjustRightInd w:val="0"/>
              <w:snapToGrid w:val="0"/>
              <w:spacing w:line="480" w:lineRule="exact"/>
              <w:ind w:firstLine="440" w:firstLineChars="200"/>
              <w:textAlignment w:val="auto"/>
              <w:rPr>
                <w:rFonts w:ascii="宋体" w:hAnsi="宋体" w:cs="宋体"/>
                <w:bCs/>
                <w:spacing w:val="-10"/>
                <w:szCs w:val="21"/>
                <w:highlight w:val="none"/>
              </w:rPr>
            </w:pPr>
          </w:p>
          <w:p w14:paraId="64E575AA">
            <w:pPr>
              <w:keepNext w:val="0"/>
              <w:keepLines w:val="0"/>
              <w:pageBreakBefore w:val="0"/>
              <w:widowControl w:val="0"/>
              <w:kinsoku/>
              <w:wordWrap/>
              <w:overflowPunct/>
              <w:topLinePunct w:val="0"/>
              <w:autoSpaceDE/>
              <w:autoSpaceDN/>
              <w:bidi w:val="0"/>
              <w:adjustRightInd w:val="0"/>
              <w:snapToGrid w:val="0"/>
              <w:spacing w:line="480" w:lineRule="exact"/>
              <w:ind w:firstLine="440" w:firstLineChars="200"/>
              <w:textAlignment w:val="auto"/>
              <w:rPr>
                <w:rFonts w:ascii="宋体" w:hAnsi="宋体" w:cs="宋体"/>
                <w:bCs/>
                <w:spacing w:val="-10"/>
                <w:szCs w:val="21"/>
                <w:highlight w:val="none"/>
              </w:rPr>
            </w:pPr>
          </w:p>
          <w:p w14:paraId="58C93E63">
            <w:pPr>
              <w:keepNext w:val="0"/>
              <w:keepLines w:val="0"/>
              <w:pageBreakBefore w:val="0"/>
              <w:widowControl w:val="0"/>
              <w:kinsoku/>
              <w:wordWrap/>
              <w:overflowPunct/>
              <w:topLinePunct w:val="0"/>
              <w:autoSpaceDE/>
              <w:autoSpaceDN/>
              <w:bidi w:val="0"/>
              <w:adjustRightInd w:val="0"/>
              <w:snapToGrid w:val="0"/>
              <w:spacing w:line="480" w:lineRule="exact"/>
              <w:ind w:firstLine="440" w:firstLineChars="200"/>
              <w:textAlignment w:val="auto"/>
              <w:rPr>
                <w:rFonts w:ascii="宋体" w:hAnsi="宋体" w:cs="宋体"/>
                <w:bCs/>
                <w:spacing w:val="-10"/>
                <w:szCs w:val="21"/>
                <w:highlight w:val="none"/>
              </w:rPr>
            </w:pPr>
          </w:p>
          <w:p w14:paraId="035796AB">
            <w:pPr>
              <w:keepNext w:val="0"/>
              <w:keepLines w:val="0"/>
              <w:pageBreakBefore w:val="0"/>
              <w:widowControl w:val="0"/>
              <w:kinsoku/>
              <w:wordWrap/>
              <w:overflowPunct/>
              <w:topLinePunct w:val="0"/>
              <w:autoSpaceDE/>
              <w:autoSpaceDN/>
              <w:bidi w:val="0"/>
              <w:adjustRightInd w:val="0"/>
              <w:snapToGrid w:val="0"/>
              <w:spacing w:line="480" w:lineRule="exact"/>
              <w:ind w:firstLine="440" w:firstLineChars="200"/>
              <w:textAlignment w:val="auto"/>
              <w:rPr>
                <w:rFonts w:ascii="宋体" w:hAnsi="宋体" w:cs="宋体"/>
                <w:bCs/>
                <w:spacing w:val="-10"/>
                <w:szCs w:val="21"/>
                <w:highlight w:val="none"/>
              </w:rPr>
            </w:pPr>
          </w:p>
          <w:p w14:paraId="554ACB49">
            <w:pPr>
              <w:keepNext w:val="0"/>
              <w:keepLines w:val="0"/>
              <w:pageBreakBefore w:val="0"/>
              <w:widowControl w:val="0"/>
              <w:kinsoku/>
              <w:wordWrap/>
              <w:overflowPunct/>
              <w:topLinePunct w:val="0"/>
              <w:autoSpaceDE/>
              <w:autoSpaceDN/>
              <w:bidi w:val="0"/>
              <w:adjustRightInd w:val="0"/>
              <w:snapToGrid w:val="0"/>
              <w:spacing w:line="480" w:lineRule="exact"/>
              <w:ind w:firstLine="440" w:firstLineChars="200"/>
              <w:textAlignment w:val="auto"/>
              <w:rPr>
                <w:rFonts w:ascii="宋体" w:hAnsi="宋体" w:cs="宋体"/>
                <w:bCs/>
                <w:spacing w:val="-10"/>
                <w:szCs w:val="21"/>
                <w:highlight w:val="none"/>
              </w:rPr>
            </w:pPr>
          </w:p>
          <w:p w14:paraId="49C4C9B6">
            <w:pPr>
              <w:keepNext w:val="0"/>
              <w:keepLines w:val="0"/>
              <w:pageBreakBefore w:val="0"/>
              <w:widowControl w:val="0"/>
              <w:kinsoku/>
              <w:wordWrap/>
              <w:overflowPunct/>
              <w:topLinePunct w:val="0"/>
              <w:autoSpaceDE/>
              <w:autoSpaceDN/>
              <w:bidi w:val="0"/>
              <w:adjustRightInd w:val="0"/>
              <w:snapToGrid w:val="0"/>
              <w:spacing w:line="480" w:lineRule="exact"/>
              <w:ind w:firstLine="440" w:firstLineChars="200"/>
              <w:textAlignment w:val="auto"/>
              <w:rPr>
                <w:rFonts w:ascii="宋体" w:hAnsi="宋体" w:cs="宋体"/>
                <w:bCs/>
                <w:spacing w:val="-10"/>
                <w:szCs w:val="21"/>
                <w:highlight w:val="none"/>
              </w:rPr>
            </w:pPr>
          </w:p>
          <w:p w14:paraId="0C480E9C">
            <w:pPr>
              <w:keepNext w:val="0"/>
              <w:keepLines w:val="0"/>
              <w:pageBreakBefore w:val="0"/>
              <w:widowControl w:val="0"/>
              <w:kinsoku/>
              <w:wordWrap/>
              <w:overflowPunct/>
              <w:topLinePunct w:val="0"/>
              <w:autoSpaceDE/>
              <w:autoSpaceDN/>
              <w:bidi w:val="0"/>
              <w:adjustRightInd w:val="0"/>
              <w:snapToGrid w:val="0"/>
              <w:spacing w:line="480" w:lineRule="exact"/>
              <w:ind w:firstLine="440" w:firstLineChars="200"/>
              <w:textAlignment w:val="auto"/>
              <w:rPr>
                <w:rFonts w:ascii="宋体" w:hAnsi="宋体" w:cs="宋体"/>
                <w:bCs/>
                <w:spacing w:val="-10"/>
                <w:szCs w:val="21"/>
                <w:highlight w:val="none"/>
              </w:rPr>
            </w:pPr>
          </w:p>
          <w:p w14:paraId="3A551462">
            <w:pPr>
              <w:keepNext w:val="0"/>
              <w:keepLines w:val="0"/>
              <w:pageBreakBefore w:val="0"/>
              <w:widowControl w:val="0"/>
              <w:kinsoku/>
              <w:wordWrap/>
              <w:overflowPunct/>
              <w:topLinePunct w:val="0"/>
              <w:autoSpaceDE/>
              <w:autoSpaceDN/>
              <w:bidi w:val="0"/>
              <w:adjustRightInd w:val="0"/>
              <w:snapToGrid w:val="0"/>
              <w:spacing w:line="480" w:lineRule="exact"/>
              <w:ind w:firstLine="440" w:firstLineChars="200"/>
              <w:textAlignment w:val="auto"/>
              <w:rPr>
                <w:rFonts w:ascii="宋体" w:hAnsi="宋体" w:cs="宋体"/>
                <w:bCs/>
                <w:spacing w:val="-10"/>
                <w:szCs w:val="21"/>
                <w:highlight w:val="none"/>
              </w:rPr>
            </w:pPr>
          </w:p>
          <w:p w14:paraId="71287CBD">
            <w:pPr>
              <w:keepNext w:val="0"/>
              <w:keepLines w:val="0"/>
              <w:pageBreakBefore w:val="0"/>
              <w:widowControl w:val="0"/>
              <w:kinsoku/>
              <w:wordWrap/>
              <w:overflowPunct/>
              <w:topLinePunct w:val="0"/>
              <w:autoSpaceDE/>
              <w:autoSpaceDN/>
              <w:bidi w:val="0"/>
              <w:adjustRightInd w:val="0"/>
              <w:snapToGrid w:val="0"/>
              <w:spacing w:line="480" w:lineRule="exact"/>
              <w:ind w:firstLine="440" w:firstLineChars="200"/>
              <w:textAlignment w:val="auto"/>
              <w:rPr>
                <w:rFonts w:ascii="宋体" w:hAnsi="宋体" w:cs="宋体"/>
                <w:bCs/>
                <w:spacing w:val="-10"/>
                <w:szCs w:val="21"/>
                <w:highlight w:val="none"/>
              </w:rPr>
            </w:pPr>
          </w:p>
          <w:p w14:paraId="17B4C6E3">
            <w:pPr>
              <w:keepNext w:val="0"/>
              <w:keepLines w:val="0"/>
              <w:pageBreakBefore w:val="0"/>
              <w:widowControl w:val="0"/>
              <w:kinsoku/>
              <w:wordWrap/>
              <w:overflowPunct/>
              <w:topLinePunct w:val="0"/>
              <w:autoSpaceDE/>
              <w:autoSpaceDN/>
              <w:bidi w:val="0"/>
              <w:adjustRightInd w:val="0"/>
              <w:snapToGrid w:val="0"/>
              <w:spacing w:line="480" w:lineRule="exact"/>
              <w:ind w:firstLine="440" w:firstLineChars="200"/>
              <w:textAlignment w:val="auto"/>
              <w:rPr>
                <w:rFonts w:ascii="宋体" w:hAnsi="宋体" w:cs="宋体"/>
                <w:bCs/>
                <w:spacing w:val="-10"/>
                <w:szCs w:val="21"/>
                <w:highlight w:val="none"/>
              </w:rPr>
            </w:pPr>
          </w:p>
          <w:p w14:paraId="0D4AEA11">
            <w:pPr>
              <w:keepNext w:val="0"/>
              <w:keepLines w:val="0"/>
              <w:pageBreakBefore w:val="0"/>
              <w:widowControl w:val="0"/>
              <w:kinsoku/>
              <w:wordWrap/>
              <w:overflowPunct/>
              <w:topLinePunct w:val="0"/>
              <w:autoSpaceDE/>
              <w:autoSpaceDN/>
              <w:bidi w:val="0"/>
              <w:adjustRightInd w:val="0"/>
              <w:snapToGrid w:val="0"/>
              <w:spacing w:line="480" w:lineRule="exact"/>
              <w:ind w:firstLine="440" w:firstLineChars="200"/>
              <w:textAlignment w:val="auto"/>
              <w:rPr>
                <w:rFonts w:ascii="宋体" w:hAnsi="宋体" w:cs="宋体"/>
                <w:bCs/>
                <w:spacing w:val="-10"/>
                <w:szCs w:val="21"/>
                <w:highlight w:val="none"/>
              </w:rPr>
            </w:pPr>
          </w:p>
          <w:p w14:paraId="6884FDDA">
            <w:pPr>
              <w:keepNext w:val="0"/>
              <w:keepLines w:val="0"/>
              <w:pageBreakBefore w:val="0"/>
              <w:widowControl w:val="0"/>
              <w:kinsoku/>
              <w:wordWrap/>
              <w:overflowPunct/>
              <w:topLinePunct w:val="0"/>
              <w:autoSpaceDE/>
              <w:autoSpaceDN/>
              <w:bidi w:val="0"/>
              <w:adjustRightInd w:val="0"/>
              <w:snapToGrid w:val="0"/>
              <w:spacing w:line="480" w:lineRule="exact"/>
              <w:ind w:firstLine="440" w:firstLineChars="200"/>
              <w:textAlignment w:val="auto"/>
              <w:rPr>
                <w:rFonts w:ascii="宋体" w:hAnsi="宋体" w:cs="宋体"/>
                <w:bCs/>
                <w:spacing w:val="-10"/>
                <w:szCs w:val="21"/>
                <w:highlight w:val="none"/>
              </w:rPr>
            </w:pPr>
          </w:p>
          <w:p w14:paraId="4B760756">
            <w:pPr>
              <w:keepNext w:val="0"/>
              <w:keepLines w:val="0"/>
              <w:pageBreakBefore w:val="0"/>
              <w:widowControl w:val="0"/>
              <w:kinsoku/>
              <w:wordWrap/>
              <w:overflowPunct/>
              <w:topLinePunct w:val="0"/>
              <w:autoSpaceDE/>
              <w:autoSpaceDN/>
              <w:bidi w:val="0"/>
              <w:adjustRightInd w:val="0"/>
              <w:snapToGrid w:val="0"/>
              <w:spacing w:line="480" w:lineRule="exact"/>
              <w:ind w:firstLine="440" w:firstLineChars="200"/>
              <w:textAlignment w:val="auto"/>
              <w:rPr>
                <w:rFonts w:ascii="宋体" w:hAnsi="宋体" w:cs="宋体"/>
                <w:bCs/>
                <w:spacing w:val="-10"/>
                <w:szCs w:val="21"/>
                <w:highlight w:val="none"/>
              </w:rPr>
            </w:pPr>
          </w:p>
          <w:p w14:paraId="52584184">
            <w:pPr>
              <w:keepNext w:val="0"/>
              <w:keepLines w:val="0"/>
              <w:pageBreakBefore w:val="0"/>
              <w:widowControl w:val="0"/>
              <w:kinsoku/>
              <w:wordWrap/>
              <w:overflowPunct/>
              <w:topLinePunct w:val="0"/>
              <w:autoSpaceDE/>
              <w:autoSpaceDN/>
              <w:bidi w:val="0"/>
              <w:adjustRightInd w:val="0"/>
              <w:snapToGrid w:val="0"/>
              <w:spacing w:line="480" w:lineRule="exact"/>
              <w:textAlignment w:val="auto"/>
              <w:rPr>
                <w:rFonts w:ascii="宋体" w:hAnsi="宋体" w:cs="宋体"/>
                <w:bCs/>
                <w:spacing w:val="-10"/>
                <w:szCs w:val="21"/>
                <w:highlight w:val="none"/>
              </w:rPr>
            </w:pPr>
          </w:p>
        </w:tc>
      </w:tr>
    </w:tbl>
    <w:p w14:paraId="7BD360FF">
      <w:pPr>
        <w:sectPr>
          <w:pgSz w:w="11907" w:h="16840"/>
          <w:pgMar w:top="1701" w:right="1531" w:bottom="2127" w:left="1531" w:header="851" w:footer="851" w:gutter="0"/>
          <w:pgBorders>
            <w:top w:val="none" w:sz="0" w:space="0"/>
            <w:left w:val="none" w:sz="0" w:space="0"/>
            <w:bottom w:val="none" w:sz="0" w:space="0"/>
            <w:right w:val="none" w:sz="0" w:space="0"/>
          </w:pgBorders>
          <w:pgNumType w:fmt="decimal"/>
          <w:cols w:space="720" w:num="1"/>
          <w:docGrid w:linePitch="312" w:charSpace="0"/>
        </w:sectPr>
      </w:pPr>
    </w:p>
    <w:p w14:paraId="0BD6664F"/>
    <w:tbl>
      <w:tblPr>
        <w:tblStyle w:val="25"/>
        <w:tblW w:w="4999"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681"/>
        <w:gridCol w:w="12463"/>
      </w:tblGrid>
      <w:tr w14:paraId="374E39A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810" w:hRule="atLeast"/>
          <w:jc w:val="center"/>
        </w:trPr>
        <w:tc>
          <w:tcPr>
            <w:tcW w:w="259" w:type="pct"/>
            <w:noWrap w:val="0"/>
            <w:tcMar>
              <w:left w:w="28" w:type="dxa"/>
              <w:right w:w="28" w:type="dxa"/>
            </w:tcMar>
            <w:vAlign w:val="center"/>
          </w:tcPr>
          <w:p w14:paraId="6D96D0FB">
            <w:pPr>
              <w:adjustRightInd w:val="0"/>
              <w:snapToGrid w:val="0"/>
              <w:jc w:val="center"/>
              <w:rPr>
                <w:rFonts w:ascii="宋体" w:hAnsi="宋体" w:cs="宋体"/>
                <w:bCs/>
                <w:szCs w:val="21"/>
                <w:highlight w:val="none"/>
              </w:rPr>
            </w:pPr>
            <w:r>
              <w:rPr>
                <w:rFonts w:hint="eastAsia" w:ascii="宋体" w:hAnsi="宋体" w:cs="宋体"/>
                <w:bCs/>
                <w:szCs w:val="21"/>
                <w:highlight w:val="none"/>
              </w:rPr>
              <w:t>运营期环境影响和保护措施</w:t>
            </w:r>
          </w:p>
        </w:tc>
        <w:tc>
          <w:tcPr>
            <w:tcW w:w="4740" w:type="pct"/>
            <w:noWrap w:val="0"/>
            <w:vAlign w:val="center"/>
          </w:tcPr>
          <w:p w14:paraId="3B15B998">
            <w:pPr>
              <w:adjustRightInd w:val="0"/>
              <w:snapToGrid w:val="0"/>
              <w:spacing w:line="500" w:lineRule="exact"/>
              <w:ind w:firstLine="482" w:firstLineChars="200"/>
              <w:rPr>
                <w:b/>
                <w:bCs/>
                <w:highlight w:val="none"/>
              </w:rPr>
            </w:pPr>
            <w:r>
              <w:rPr>
                <w:rFonts w:hint="eastAsia"/>
                <w:b/>
                <w:bCs/>
                <w:highlight w:val="none"/>
              </w:rPr>
              <w:t>1、</w:t>
            </w:r>
            <w:r>
              <w:rPr>
                <w:rFonts w:hint="eastAsia"/>
                <w:b/>
                <w:bCs/>
                <w:highlight w:val="none"/>
                <w:lang w:eastAsia="zh-CN"/>
              </w:rPr>
              <w:t>大气环境影响分析</w:t>
            </w:r>
          </w:p>
          <w:p w14:paraId="0F162C9D">
            <w:pPr>
              <w:adjustRightInd w:val="0"/>
              <w:snapToGrid w:val="0"/>
              <w:spacing w:line="500" w:lineRule="exact"/>
              <w:ind w:firstLine="480" w:firstLineChars="200"/>
              <w:rPr>
                <w:rFonts w:hint="eastAsia"/>
                <w:highlight w:val="none"/>
              </w:rPr>
            </w:pPr>
            <w:r>
              <w:rPr>
                <w:rFonts w:hint="eastAsia"/>
                <w:highlight w:val="none"/>
              </w:rPr>
              <w:t>1.1污染物排放情况</w:t>
            </w:r>
          </w:p>
          <w:p w14:paraId="0564EFBD">
            <w:pPr>
              <w:jc w:val="center"/>
              <w:rPr>
                <w:rFonts w:hint="eastAsia"/>
                <w:b/>
                <w:bCs/>
                <w:highlight w:val="none"/>
              </w:rPr>
            </w:pPr>
            <w:r>
              <w:rPr>
                <w:rFonts w:hint="eastAsia"/>
                <w:b/>
                <w:bCs/>
                <w:highlight w:val="none"/>
              </w:rPr>
              <w:t>表</w:t>
            </w:r>
            <w:r>
              <w:rPr>
                <w:rFonts w:hint="eastAsia"/>
                <w:b/>
                <w:bCs/>
                <w:highlight w:val="none"/>
                <w:lang w:val="en-US" w:eastAsia="zh-CN"/>
              </w:rPr>
              <w:t>4-4</w:t>
            </w:r>
            <w:r>
              <w:rPr>
                <w:rFonts w:hint="eastAsia"/>
                <w:b/>
                <w:bCs/>
                <w:highlight w:val="none"/>
              </w:rPr>
              <w:t xml:space="preserve"> 废气污染物排放源情况一览表</w:t>
            </w:r>
          </w:p>
          <w:tbl>
            <w:tblPr>
              <w:tblStyle w:val="25"/>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1047"/>
              <w:gridCol w:w="876"/>
              <w:gridCol w:w="668"/>
              <w:gridCol w:w="634"/>
              <w:gridCol w:w="563"/>
              <w:gridCol w:w="729"/>
              <w:gridCol w:w="888"/>
              <w:gridCol w:w="839"/>
              <w:gridCol w:w="871"/>
              <w:gridCol w:w="778"/>
              <w:gridCol w:w="754"/>
              <w:gridCol w:w="1082"/>
              <w:gridCol w:w="2501"/>
            </w:tblGrid>
            <w:tr w14:paraId="69DAF2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92" w:hRule="atLeast"/>
                <w:jc w:val="center"/>
              </w:trPr>
              <w:tc>
                <w:tcPr>
                  <w:tcW w:w="428" w:type="pct"/>
                  <w:vMerge w:val="restart"/>
                  <w:tcBorders>
                    <w:tl2br w:val="nil"/>
                    <w:tr2bl w:val="nil"/>
                  </w:tcBorders>
                  <w:noWrap w:val="0"/>
                  <w:vAlign w:val="center"/>
                </w:tcPr>
                <w:p w14:paraId="78931E78">
                  <w:pPr>
                    <w:keepNext w:val="0"/>
                    <w:keepLines w:val="0"/>
                    <w:pageBreakBefore w:val="0"/>
                    <w:widowControl w:val="0"/>
                    <w:kinsoku/>
                    <w:wordWrap/>
                    <w:overflowPunct/>
                    <w:topLinePunct w:val="0"/>
                    <w:autoSpaceDE/>
                    <w:autoSpaceDN/>
                    <w:bidi w:val="0"/>
                    <w:snapToGrid w:val="0"/>
                    <w:spacing w:line="240" w:lineRule="auto"/>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产污环节</w:t>
                  </w:r>
                </w:p>
              </w:tc>
              <w:tc>
                <w:tcPr>
                  <w:tcW w:w="358" w:type="pct"/>
                  <w:vMerge w:val="restart"/>
                  <w:tcBorders>
                    <w:tl2br w:val="nil"/>
                    <w:tr2bl w:val="nil"/>
                  </w:tcBorders>
                  <w:noWrap w:val="0"/>
                  <w:vAlign w:val="center"/>
                </w:tcPr>
                <w:p w14:paraId="1DEB288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污染物种类</w:t>
                  </w:r>
                </w:p>
              </w:tc>
              <w:tc>
                <w:tcPr>
                  <w:tcW w:w="273" w:type="pct"/>
                  <w:vMerge w:val="restart"/>
                  <w:tcBorders>
                    <w:tl2br w:val="nil"/>
                    <w:tr2bl w:val="nil"/>
                  </w:tcBorders>
                  <w:noWrap w:val="0"/>
                  <w:vAlign w:val="center"/>
                </w:tcPr>
                <w:p w14:paraId="5D41DAA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产生量</w:t>
                  </w:r>
                </w:p>
                <w:p w14:paraId="6F55572C">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t/a</w:t>
                  </w:r>
                </w:p>
              </w:tc>
              <w:tc>
                <w:tcPr>
                  <w:tcW w:w="259" w:type="pct"/>
                  <w:vMerge w:val="restart"/>
                  <w:tcBorders>
                    <w:tl2br w:val="nil"/>
                    <w:tr2bl w:val="nil"/>
                  </w:tcBorders>
                  <w:noWrap w:val="0"/>
                  <w:vAlign w:val="center"/>
                </w:tcPr>
                <w:p w14:paraId="2C03F5C9">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sz w:val="21"/>
                      <w:szCs w:val="21"/>
                      <w:highlight w:val="none"/>
                      <w:lang w:eastAsia="zh-CN"/>
                    </w:rPr>
                  </w:pPr>
                  <w:r>
                    <w:rPr>
                      <w:rFonts w:hint="eastAsia" w:ascii="Times New Roman" w:hAnsi="Times New Roman" w:eastAsia="宋体" w:cs="Times New Roman"/>
                      <w:sz w:val="21"/>
                      <w:szCs w:val="21"/>
                      <w:highlight w:val="none"/>
                      <w:lang w:eastAsia="zh-CN"/>
                    </w:rPr>
                    <w:t>产生浓度</w:t>
                  </w:r>
                  <w:r>
                    <w:rPr>
                      <w:rFonts w:hint="default" w:ascii="Times New Roman" w:hAnsi="Times New Roman" w:eastAsia="宋体" w:cs="Times New Roman"/>
                      <w:sz w:val="21"/>
                      <w:szCs w:val="21"/>
                      <w:highlight w:val="none"/>
                      <w:lang w:val="en-US" w:eastAsia="zh-CN"/>
                    </w:rPr>
                    <w:t>mg/m</w:t>
                  </w:r>
                  <w:r>
                    <w:rPr>
                      <w:rFonts w:hint="default" w:ascii="Times New Roman" w:hAnsi="Times New Roman" w:eastAsia="宋体" w:cs="Times New Roman"/>
                      <w:sz w:val="21"/>
                      <w:szCs w:val="21"/>
                      <w:highlight w:val="none"/>
                      <w:vertAlign w:val="superscript"/>
                      <w:lang w:val="en-US" w:eastAsia="zh-CN"/>
                    </w:rPr>
                    <w:t>3</w:t>
                  </w:r>
                </w:p>
              </w:tc>
              <w:tc>
                <w:tcPr>
                  <w:tcW w:w="230" w:type="pct"/>
                  <w:vMerge w:val="restart"/>
                  <w:tcBorders>
                    <w:tl2br w:val="nil"/>
                    <w:tr2bl w:val="nil"/>
                  </w:tcBorders>
                  <w:noWrap w:val="0"/>
                  <w:vAlign w:val="center"/>
                </w:tcPr>
                <w:p w14:paraId="0698B0A5">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排放形式</w:t>
                  </w:r>
                </w:p>
              </w:tc>
              <w:tc>
                <w:tcPr>
                  <w:tcW w:w="1360" w:type="pct"/>
                  <w:gridSpan w:val="4"/>
                  <w:tcBorders>
                    <w:tl2br w:val="nil"/>
                    <w:tr2bl w:val="nil"/>
                  </w:tcBorders>
                  <w:noWrap w:val="0"/>
                  <w:vAlign w:val="center"/>
                </w:tcPr>
                <w:p w14:paraId="381E0D3E">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污染治理设施</w:t>
                  </w:r>
                </w:p>
              </w:tc>
              <w:tc>
                <w:tcPr>
                  <w:tcW w:w="1068" w:type="pct"/>
                  <w:gridSpan w:val="3"/>
                  <w:tcBorders>
                    <w:tl2br w:val="nil"/>
                    <w:tr2bl w:val="nil"/>
                  </w:tcBorders>
                  <w:noWrap w:val="0"/>
                  <w:vAlign w:val="center"/>
                </w:tcPr>
                <w:p w14:paraId="734BAF45">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排放情况</w:t>
                  </w:r>
                </w:p>
              </w:tc>
              <w:tc>
                <w:tcPr>
                  <w:tcW w:w="1022" w:type="pct"/>
                  <w:vMerge w:val="restart"/>
                  <w:tcBorders>
                    <w:tl2br w:val="nil"/>
                    <w:tr2bl w:val="nil"/>
                  </w:tcBorders>
                  <w:noWrap w:val="0"/>
                  <w:vAlign w:val="center"/>
                </w:tcPr>
                <w:p w14:paraId="0CC716DD">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排放标准</w:t>
                  </w:r>
                </w:p>
              </w:tc>
            </w:tr>
            <w:tr w14:paraId="55299A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05" w:hRule="atLeast"/>
                <w:jc w:val="center"/>
              </w:trPr>
              <w:tc>
                <w:tcPr>
                  <w:tcW w:w="428" w:type="pct"/>
                  <w:vMerge w:val="continue"/>
                  <w:tcBorders>
                    <w:tl2br w:val="nil"/>
                    <w:tr2bl w:val="nil"/>
                  </w:tcBorders>
                  <w:noWrap w:val="0"/>
                  <w:vAlign w:val="center"/>
                </w:tcPr>
                <w:p w14:paraId="35A6A354">
                  <w:pPr>
                    <w:keepNext w:val="0"/>
                    <w:keepLines w:val="0"/>
                    <w:pageBreakBefore w:val="0"/>
                    <w:widowControl w:val="0"/>
                    <w:kinsoku/>
                    <w:wordWrap/>
                    <w:overflowPunct/>
                    <w:topLinePunct w:val="0"/>
                    <w:autoSpaceDE/>
                    <w:autoSpaceDN/>
                    <w:bidi w:val="0"/>
                    <w:snapToGrid w:val="0"/>
                    <w:spacing w:line="240" w:lineRule="auto"/>
                    <w:jc w:val="center"/>
                    <w:textAlignment w:val="auto"/>
                    <w:rPr>
                      <w:rFonts w:hint="default" w:ascii="Times New Roman" w:hAnsi="Times New Roman" w:cs="Times New Roman"/>
                      <w:sz w:val="21"/>
                      <w:szCs w:val="21"/>
                      <w:highlight w:val="none"/>
                    </w:rPr>
                  </w:pPr>
                </w:p>
              </w:tc>
              <w:tc>
                <w:tcPr>
                  <w:tcW w:w="358" w:type="pct"/>
                  <w:vMerge w:val="continue"/>
                  <w:tcBorders>
                    <w:tl2br w:val="nil"/>
                    <w:tr2bl w:val="nil"/>
                  </w:tcBorders>
                  <w:noWrap w:val="0"/>
                  <w:vAlign w:val="center"/>
                </w:tcPr>
                <w:p w14:paraId="6C8574C3">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sz w:val="21"/>
                      <w:szCs w:val="21"/>
                      <w:highlight w:val="none"/>
                    </w:rPr>
                  </w:pPr>
                </w:p>
              </w:tc>
              <w:tc>
                <w:tcPr>
                  <w:tcW w:w="273" w:type="pct"/>
                  <w:vMerge w:val="continue"/>
                  <w:tcBorders>
                    <w:tl2br w:val="nil"/>
                    <w:tr2bl w:val="nil"/>
                  </w:tcBorders>
                  <w:noWrap w:val="0"/>
                  <w:vAlign w:val="center"/>
                </w:tcPr>
                <w:p w14:paraId="4D846E39">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sz w:val="21"/>
                      <w:szCs w:val="21"/>
                      <w:highlight w:val="none"/>
                    </w:rPr>
                  </w:pPr>
                </w:p>
              </w:tc>
              <w:tc>
                <w:tcPr>
                  <w:tcW w:w="259" w:type="pct"/>
                  <w:vMerge w:val="continue"/>
                  <w:tcBorders>
                    <w:tl2br w:val="nil"/>
                    <w:tr2bl w:val="nil"/>
                  </w:tcBorders>
                  <w:noWrap w:val="0"/>
                  <w:vAlign w:val="center"/>
                </w:tcPr>
                <w:p w14:paraId="7F0C53C9">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sz w:val="21"/>
                      <w:szCs w:val="21"/>
                      <w:highlight w:val="none"/>
                    </w:rPr>
                  </w:pPr>
                </w:p>
              </w:tc>
              <w:tc>
                <w:tcPr>
                  <w:tcW w:w="230" w:type="pct"/>
                  <w:vMerge w:val="continue"/>
                  <w:tcBorders>
                    <w:tl2br w:val="nil"/>
                    <w:tr2bl w:val="nil"/>
                  </w:tcBorders>
                  <w:noWrap w:val="0"/>
                  <w:vAlign w:val="center"/>
                </w:tcPr>
                <w:p w14:paraId="02349CDC">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sz w:val="21"/>
                      <w:szCs w:val="21"/>
                      <w:highlight w:val="none"/>
                    </w:rPr>
                  </w:pPr>
                </w:p>
              </w:tc>
              <w:tc>
                <w:tcPr>
                  <w:tcW w:w="298" w:type="pct"/>
                  <w:tcBorders>
                    <w:tl2br w:val="nil"/>
                    <w:tr2bl w:val="nil"/>
                  </w:tcBorders>
                  <w:noWrap w:val="0"/>
                  <w:vAlign w:val="center"/>
                </w:tcPr>
                <w:p w14:paraId="0863909C">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治理设施名称</w:t>
                  </w:r>
                </w:p>
              </w:tc>
              <w:tc>
                <w:tcPr>
                  <w:tcW w:w="363" w:type="pct"/>
                  <w:tcBorders>
                    <w:tl2br w:val="nil"/>
                    <w:tr2bl w:val="nil"/>
                  </w:tcBorders>
                  <w:noWrap w:val="0"/>
                  <w:vAlign w:val="center"/>
                </w:tcPr>
                <w:p w14:paraId="0241227E">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处理能力（m</w:t>
                  </w:r>
                  <w:r>
                    <w:rPr>
                      <w:rFonts w:hint="default" w:ascii="Times New Roman" w:hAnsi="Times New Roman" w:cs="Times New Roman"/>
                      <w:sz w:val="21"/>
                      <w:szCs w:val="21"/>
                      <w:highlight w:val="none"/>
                      <w:vertAlign w:val="superscript"/>
                    </w:rPr>
                    <w:t>3</w:t>
                  </w:r>
                  <w:r>
                    <w:rPr>
                      <w:rFonts w:hint="default" w:ascii="Times New Roman" w:hAnsi="Times New Roman" w:cs="Times New Roman"/>
                      <w:sz w:val="21"/>
                      <w:szCs w:val="21"/>
                      <w:highlight w:val="none"/>
                    </w:rPr>
                    <w:t>/h）</w:t>
                  </w:r>
                </w:p>
              </w:tc>
              <w:tc>
                <w:tcPr>
                  <w:tcW w:w="343" w:type="pct"/>
                  <w:tcBorders>
                    <w:tl2br w:val="nil"/>
                    <w:tr2bl w:val="nil"/>
                  </w:tcBorders>
                  <w:noWrap w:val="0"/>
                  <w:vAlign w:val="center"/>
                </w:tcPr>
                <w:p w14:paraId="63BA33BC">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治理工艺去除率</w:t>
                  </w:r>
                </w:p>
              </w:tc>
              <w:tc>
                <w:tcPr>
                  <w:tcW w:w="356" w:type="pct"/>
                  <w:tcBorders>
                    <w:tl2br w:val="nil"/>
                    <w:tr2bl w:val="nil"/>
                  </w:tcBorders>
                  <w:noWrap w:val="0"/>
                  <w:vAlign w:val="center"/>
                </w:tcPr>
                <w:p w14:paraId="2B18FE75">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是否可行技术</w:t>
                  </w:r>
                </w:p>
              </w:tc>
              <w:tc>
                <w:tcPr>
                  <w:tcW w:w="318" w:type="pct"/>
                  <w:tcBorders>
                    <w:tl2br w:val="nil"/>
                    <w:tr2bl w:val="nil"/>
                  </w:tcBorders>
                  <w:noWrap w:val="0"/>
                  <w:vAlign w:val="center"/>
                </w:tcPr>
                <w:p w14:paraId="1AD67F82">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排放速率</w:t>
                  </w:r>
                </w:p>
                <w:p w14:paraId="0E00C5A6">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kg/h</w:t>
                  </w:r>
                </w:p>
              </w:tc>
              <w:tc>
                <w:tcPr>
                  <w:tcW w:w="308" w:type="pct"/>
                  <w:tcBorders>
                    <w:tl2br w:val="nil"/>
                    <w:tr2bl w:val="nil"/>
                  </w:tcBorders>
                  <w:noWrap w:val="0"/>
                  <w:vAlign w:val="center"/>
                </w:tcPr>
                <w:p w14:paraId="12E07D5F">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sz w:val="21"/>
                      <w:szCs w:val="21"/>
                      <w:highlight w:val="none"/>
                      <w:lang w:eastAsia="zh-CN"/>
                    </w:rPr>
                  </w:pPr>
                  <w:r>
                    <w:rPr>
                      <w:rFonts w:hint="eastAsia" w:cs="Times New Roman"/>
                      <w:sz w:val="21"/>
                      <w:szCs w:val="21"/>
                      <w:highlight w:val="none"/>
                      <w:lang w:eastAsia="zh-CN"/>
                    </w:rPr>
                    <w:t>排放浓度</w:t>
                  </w:r>
                  <w:r>
                    <w:rPr>
                      <w:rFonts w:hint="default" w:ascii="Times New Roman" w:hAnsi="Times New Roman" w:eastAsia="宋体" w:cs="Times New Roman"/>
                      <w:sz w:val="21"/>
                      <w:szCs w:val="21"/>
                      <w:highlight w:val="none"/>
                      <w:lang w:val="en-US" w:eastAsia="zh-CN"/>
                    </w:rPr>
                    <w:t>mg/m</w:t>
                  </w:r>
                  <w:r>
                    <w:rPr>
                      <w:rFonts w:hint="default" w:ascii="Times New Roman" w:hAnsi="Times New Roman" w:eastAsia="宋体" w:cs="Times New Roman"/>
                      <w:sz w:val="21"/>
                      <w:szCs w:val="21"/>
                      <w:highlight w:val="none"/>
                      <w:vertAlign w:val="superscript"/>
                      <w:lang w:val="en-US" w:eastAsia="zh-CN"/>
                    </w:rPr>
                    <w:t>3</w:t>
                  </w:r>
                </w:p>
              </w:tc>
              <w:tc>
                <w:tcPr>
                  <w:tcW w:w="442" w:type="pct"/>
                  <w:tcBorders>
                    <w:tl2br w:val="nil"/>
                    <w:tr2bl w:val="nil"/>
                  </w:tcBorders>
                  <w:noWrap w:val="0"/>
                  <w:vAlign w:val="center"/>
                </w:tcPr>
                <w:p w14:paraId="30D45C42">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排放量</w:t>
                  </w:r>
                </w:p>
                <w:p w14:paraId="61B29CBD">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t/a</w:t>
                  </w:r>
                </w:p>
              </w:tc>
              <w:tc>
                <w:tcPr>
                  <w:tcW w:w="1022" w:type="pct"/>
                  <w:vMerge w:val="continue"/>
                  <w:tcBorders>
                    <w:tl2br w:val="nil"/>
                    <w:tr2bl w:val="nil"/>
                  </w:tcBorders>
                  <w:noWrap w:val="0"/>
                  <w:vAlign w:val="center"/>
                </w:tcPr>
                <w:p w14:paraId="2A3C7824">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sz w:val="21"/>
                      <w:szCs w:val="21"/>
                      <w:highlight w:val="none"/>
                    </w:rPr>
                  </w:pPr>
                </w:p>
              </w:tc>
            </w:tr>
            <w:tr w14:paraId="66C8FF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857" w:hRule="atLeast"/>
                <w:jc w:val="center"/>
              </w:trPr>
              <w:tc>
                <w:tcPr>
                  <w:tcW w:w="428" w:type="pct"/>
                  <w:tcBorders>
                    <w:tl2br w:val="nil"/>
                    <w:tr2bl w:val="nil"/>
                  </w:tcBorders>
                  <w:noWrap w:val="0"/>
                  <w:vAlign w:val="center"/>
                </w:tcPr>
                <w:p w14:paraId="7DC723A7">
                  <w:pPr>
                    <w:keepNext w:val="0"/>
                    <w:keepLines w:val="0"/>
                    <w:pageBreakBefore w:val="0"/>
                    <w:widowControl w:val="0"/>
                    <w:kinsoku/>
                    <w:wordWrap/>
                    <w:overflowPunct/>
                    <w:topLinePunct w:val="0"/>
                    <w:autoSpaceDE/>
                    <w:autoSpaceDN/>
                    <w:bidi w:val="0"/>
                    <w:snapToGrid w:val="0"/>
                    <w:spacing w:line="240" w:lineRule="auto"/>
                    <w:jc w:val="center"/>
                    <w:textAlignment w:val="auto"/>
                    <w:rPr>
                      <w:rFonts w:hint="default" w:ascii="Times New Roman" w:hAnsi="Times New Roman" w:cs="Times New Roman"/>
                      <w:sz w:val="21"/>
                      <w:szCs w:val="21"/>
                      <w:highlight w:val="none"/>
                      <w:lang w:val="en-US" w:eastAsia="zh-CN"/>
                    </w:rPr>
                  </w:pPr>
                  <w:r>
                    <w:rPr>
                      <w:rFonts w:hint="eastAsia" w:cs="Times New Roman"/>
                      <w:sz w:val="21"/>
                      <w:szCs w:val="21"/>
                      <w:highlight w:val="none"/>
                      <w:lang w:val="en-US" w:eastAsia="zh-CN"/>
                    </w:rPr>
                    <w:t>上料、筛分、破碎工序</w:t>
                  </w:r>
                </w:p>
              </w:tc>
              <w:tc>
                <w:tcPr>
                  <w:tcW w:w="358" w:type="pct"/>
                  <w:tcBorders>
                    <w:tl2br w:val="nil"/>
                    <w:tr2bl w:val="nil"/>
                  </w:tcBorders>
                  <w:noWrap w:val="0"/>
                  <w:vAlign w:val="center"/>
                </w:tcPr>
                <w:p w14:paraId="57754D9A">
                  <w:pPr>
                    <w:keepNext w:val="0"/>
                    <w:keepLines w:val="0"/>
                    <w:pageBreakBefore w:val="0"/>
                    <w:widowControl w:val="0"/>
                    <w:kinsoku/>
                    <w:wordWrap/>
                    <w:overflowPunct/>
                    <w:topLinePunct w:val="0"/>
                    <w:autoSpaceDE/>
                    <w:autoSpaceDN/>
                    <w:bidi w:val="0"/>
                    <w:spacing w:line="240" w:lineRule="auto"/>
                    <w:jc w:val="center"/>
                    <w:textAlignment w:val="auto"/>
                    <w:rPr>
                      <w:rFonts w:hint="default"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颗粒物</w:t>
                  </w:r>
                </w:p>
              </w:tc>
              <w:tc>
                <w:tcPr>
                  <w:tcW w:w="273" w:type="pct"/>
                  <w:tcBorders>
                    <w:tl2br w:val="nil"/>
                    <w:tr2bl w:val="nil"/>
                  </w:tcBorders>
                  <w:noWrap w:val="0"/>
                  <w:vAlign w:val="center"/>
                </w:tcPr>
                <w:p w14:paraId="5EB3DB12">
                  <w:pPr>
                    <w:keepNext w:val="0"/>
                    <w:keepLines w:val="0"/>
                    <w:pageBreakBefore w:val="0"/>
                    <w:widowControl w:val="0"/>
                    <w:kinsoku/>
                    <w:wordWrap/>
                    <w:overflowPunct/>
                    <w:topLinePunct w:val="0"/>
                    <w:autoSpaceDE/>
                    <w:autoSpaceDN/>
                    <w:bidi w:val="0"/>
                    <w:spacing w:line="240" w:lineRule="auto"/>
                    <w:jc w:val="center"/>
                    <w:textAlignment w:val="auto"/>
                    <w:rPr>
                      <w:rFonts w:hint="default" w:cs="Times New Roman"/>
                      <w:sz w:val="21"/>
                      <w:szCs w:val="21"/>
                      <w:highlight w:val="none"/>
                      <w:lang w:val="en-US" w:eastAsia="zh-CN"/>
                    </w:rPr>
                  </w:pPr>
                  <w:r>
                    <w:rPr>
                      <w:rFonts w:hint="eastAsia" w:cs="Times New Roman"/>
                      <w:sz w:val="21"/>
                      <w:szCs w:val="21"/>
                      <w:highlight w:val="none"/>
                      <w:lang w:val="en-US" w:eastAsia="zh-CN"/>
                    </w:rPr>
                    <w:t>36.1</w:t>
                  </w:r>
                </w:p>
              </w:tc>
              <w:tc>
                <w:tcPr>
                  <w:tcW w:w="259" w:type="pct"/>
                  <w:tcBorders>
                    <w:tl2br w:val="nil"/>
                    <w:tr2bl w:val="nil"/>
                  </w:tcBorders>
                  <w:noWrap w:val="0"/>
                  <w:vAlign w:val="center"/>
                </w:tcPr>
                <w:p w14:paraId="279FAD82">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66</w:t>
                  </w:r>
                  <w:r>
                    <w:rPr>
                      <w:rFonts w:hint="eastAsia" w:cs="Times New Roman"/>
                      <w:sz w:val="21"/>
                      <w:szCs w:val="21"/>
                      <w:highlight w:val="none"/>
                      <w:lang w:val="en-US" w:eastAsia="zh-CN"/>
                    </w:rPr>
                    <w:t>.</w:t>
                  </w:r>
                  <w:r>
                    <w:rPr>
                      <w:rFonts w:hint="default" w:ascii="Times New Roman" w:hAnsi="Times New Roman" w:eastAsia="宋体" w:cs="Times New Roman"/>
                      <w:sz w:val="21"/>
                      <w:szCs w:val="21"/>
                      <w:highlight w:val="none"/>
                      <w:lang w:val="en-US" w:eastAsia="zh-CN"/>
                    </w:rPr>
                    <w:t>852</w:t>
                  </w:r>
                </w:p>
              </w:tc>
              <w:tc>
                <w:tcPr>
                  <w:tcW w:w="230" w:type="pct"/>
                  <w:vMerge w:val="restart"/>
                  <w:tcBorders>
                    <w:tl2br w:val="nil"/>
                    <w:tr2bl w:val="nil"/>
                  </w:tcBorders>
                  <w:noWrap w:val="0"/>
                  <w:vAlign w:val="center"/>
                </w:tcPr>
                <w:p w14:paraId="2335E1AB">
                  <w:pPr>
                    <w:keepNext w:val="0"/>
                    <w:keepLines w:val="0"/>
                    <w:pageBreakBefore w:val="0"/>
                    <w:widowControl w:val="0"/>
                    <w:kinsoku/>
                    <w:wordWrap/>
                    <w:overflowPunct/>
                    <w:topLinePunct w:val="0"/>
                    <w:autoSpaceDE/>
                    <w:autoSpaceDN/>
                    <w:bidi w:val="0"/>
                    <w:spacing w:line="240" w:lineRule="auto"/>
                    <w:jc w:val="center"/>
                    <w:textAlignment w:val="auto"/>
                    <w:rPr>
                      <w:rFonts w:hint="eastAsia" w:ascii="Times New Roman" w:hAnsi="Times New Roman" w:eastAsia="宋体" w:cs="Times New Roman"/>
                      <w:sz w:val="21"/>
                      <w:szCs w:val="21"/>
                      <w:highlight w:val="none"/>
                      <w:lang w:eastAsia="zh-CN"/>
                    </w:rPr>
                  </w:pPr>
                  <w:r>
                    <w:rPr>
                      <w:rFonts w:hint="eastAsia" w:cs="Times New Roman"/>
                      <w:sz w:val="21"/>
                      <w:szCs w:val="21"/>
                      <w:highlight w:val="none"/>
                      <w:lang w:eastAsia="zh-CN"/>
                    </w:rPr>
                    <w:t>有组织</w:t>
                  </w:r>
                </w:p>
              </w:tc>
              <w:tc>
                <w:tcPr>
                  <w:tcW w:w="298" w:type="pct"/>
                  <w:tcBorders>
                    <w:tl2br w:val="nil"/>
                    <w:tr2bl w:val="nil"/>
                  </w:tcBorders>
                  <w:noWrap w:val="0"/>
                  <w:vAlign w:val="center"/>
                </w:tcPr>
                <w:p w14:paraId="4BA8908C">
                  <w:pPr>
                    <w:keepNext w:val="0"/>
                    <w:keepLines w:val="0"/>
                    <w:pageBreakBefore w:val="0"/>
                    <w:widowControl w:val="0"/>
                    <w:kinsoku/>
                    <w:wordWrap/>
                    <w:overflowPunct/>
                    <w:topLinePunct w:val="0"/>
                    <w:autoSpaceDE/>
                    <w:autoSpaceDN/>
                    <w:bidi w:val="0"/>
                    <w:spacing w:line="240" w:lineRule="auto"/>
                    <w:jc w:val="center"/>
                    <w:textAlignment w:val="auto"/>
                    <w:rPr>
                      <w:rFonts w:hint="default" w:ascii="Times New Roman" w:hAnsi="Times New Roman" w:eastAsia="宋体" w:cs="Times New Roman"/>
                      <w:sz w:val="21"/>
                      <w:szCs w:val="21"/>
                      <w:highlight w:val="none"/>
                      <w:lang w:val="en-US" w:eastAsia="zh-CN"/>
                    </w:rPr>
                  </w:pPr>
                  <w:r>
                    <w:rPr>
                      <w:rFonts w:hint="eastAsia" w:cs="Times New Roman"/>
                      <w:b w:val="0"/>
                      <w:bCs w:val="0"/>
                      <w:color w:val="000000"/>
                      <w:kern w:val="0"/>
                      <w:sz w:val="21"/>
                      <w:szCs w:val="21"/>
                      <w:highlight w:val="none"/>
                      <w:vertAlign w:val="baseline"/>
                      <w:lang w:val="en-US" w:eastAsia="zh-CN" w:bidi="ar"/>
                    </w:rPr>
                    <w:t>脉冲式布袋除尘器</w:t>
                  </w:r>
                </w:p>
              </w:tc>
              <w:tc>
                <w:tcPr>
                  <w:tcW w:w="363" w:type="pct"/>
                  <w:tcBorders>
                    <w:tl2br w:val="nil"/>
                    <w:tr2bl w:val="nil"/>
                  </w:tcBorders>
                  <w:noWrap w:val="0"/>
                  <w:vAlign w:val="center"/>
                </w:tcPr>
                <w:p w14:paraId="42E9731E">
                  <w:pPr>
                    <w:keepNext w:val="0"/>
                    <w:keepLines w:val="0"/>
                    <w:pageBreakBefore w:val="0"/>
                    <w:widowControl w:val="0"/>
                    <w:kinsoku/>
                    <w:wordWrap/>
                    <w:overflowPunct/>
                    <w:topLinePunct w:val="0"/>
                    <w:autoSpaceDE/>
                    <w:autoSpaceDN/>
                    <w:bidi w:val="0"/>
                    <w:snapToGrid w:val="0"/>
                    <w:spacing w:line="240" w:lineRule="auto"/>
                    <w:jc w:val="center"/>
                    <w:textAlignment w:val="auto"/>
                    <w:rPr>
                      <w:rFonts w:hint="default" w:cs="Times New Roman"/>
                      <w:sz w:val="21"/>
                      <w:szCs w:val="21"/>
                      <w:highlight w:val="none"/>
                      <w:lang w:val="en-US" w:eastAsia="zh-CN"/>
                    </w:rPr>
                  </w:pPr>
                  <w:r>
                    <w:rPr>
                      <w:rFonts w:hint="eastAsia" w:cs="Times New Roman"/>
                      <w:sz w:val="21"/>
                      <w:szCs w:val="21"/>
                      <w:highlight w:val="none"/>
                      <w:lang w:val="en-US" w:eastAsia="zh-CN"/>
                    </w:rPr>
                    <w:t>75000</w:t>
                  </w:r>
                </w:p>
              </w:tc>
              <w:tc>
                <w:tcPr>
                  <w:tcW w:w="343" w:type="pct"/>
                  <w:tcBorders>
                    <w:tl2br w:val="nil"/>
                    <w:tr2bl w:val="nil"/>
                  </w:tcBorders>
                  <w:noWrap w:val="0"/>
                  <w:vAlign w:val="center"/>
                </w:tcPr>
                <w:p w14:paraId="6393C293">
                  <w:pPr>
                    <w:keepNext w:val="0"/>
                    <w:keepLines w:val="0"/>
                    <w:pageBreakBefore w:val="0"/>
                    <w:widowControl w:val="0"/>
                    <w:kinsoku/>
                    <w:wordWrap/>
                    <w:overflowPunct/>
                    <w:topLinePunct w:val="0"/>
                    <w:autoSpaceDE/>
                    <w:autoSpaceDN/>
                    <w:bidi w:val="0"/>
                    <w:spacing w:line="240" w:lineRule="auto"/>
                    <w:jc w:val="center"/>
                    <w:textAlignment w:val="auto"/>
                    <w:rPr>
                      <w:rFonts w:hint="default" w:ascii="Times New Roman" w:hAnsi="Times New Roman" w:cs="Times New Roman"/>
                      <w:sz w:val="21"/>
                      <w:szCs w:val="21"/>
                      <w:highlight w:val="none"/>
                      <w:lang w:val="en-US" w:eastAsia="zh-CN"/>
                    </w:rPr>
                  </w:pPr>
                  <w:r>
                    <w:rPr>
                      <w:rFonts w:hint="eastAsia" w:cs="Times New Roman"/>
                      <w:sz w:val="21"/>
                      <w:szCs w:val="21"/>
                      <w:highlight w:val="none"/>
                      <w:lang w:val="en-US" w:eastAsia="zh-CN"/>
                    </w:rPr>
                    <w:t>99%</w:t>
                  </w:r>
                </w:p>
              </w:tc>
              <w:tc>
                <w:tcPr>
                  <w:tcW w:w="356" w:type="pct"/>
                  <w:tcBorders>
                    <w:tl2br w:val="nil"/>
                    <w:tr2bl w:val="nil"/>
                  </w:tcBorders>
                  <w:noWrap w:val="0"/>
                  <w:vAlign w:val="center"/>
                </w:tcPr>
                <w:p w14:paraId="22627BC5">
                  <w:pPr>
                    <w:keepNext w:val="0"/>
                    <w:keepLines w:val="0"/>
                    <w:pageBreakBefore w:val="0"/>
                    <w:widowControl w:val="0"/>
                    <w:kinsoku/>
                    <w:wordWrap/>
                    <w:overflowPunct/>
                    <w:topLinePunct w:val="0"/>
                    <w:autoSpaceDE/>
                    <w:autoSpaceDN/>
                    <w:bidi w:val="0"/>
                    <w:snapToGrid w:val="0"/>
                    <w:spacing w:line="240" w:lineRule="auto"/>
                    <w:jc w:val="center"/>
                    <w:textAlignment w:val="auto"/>
                    <w:rPr>
                      <w:rFonts w:hint="default" w:ascii="Times New Roman" w:hAnsi="Times New Roman" w:cs="Times New Roman"/>
                      <w:sz w:val="21"/>
                      <w:szCs w:val="21"/>
                      <w:highlight w:val="none"/>
                      <w:lang w:eastAsia="zh-CN"/>
                    </w:rPr>
                  </w:pPr>
                  <w:r>
                    <w:rPr>
                      <w:rFonts w:hint="eastAsia" w:ascii="Times New Roman" w:hAnsi="Times New Roman" w:cs="Times New Roman"/>
                      <w:sz w:val="21"/>
                      <w:szCs w:val="21"/>
                      <w:highlight w:val="none"/>
                      <w:lang w:val="en-US" w:eastAsia="zh-CN"/>
                    </w:rPr>
                    <w:t>是</w:t>
                  </w:r>
                </w:p>
              </w:tc>
              <w:tc>
                <w:tcPr>
                  <w:tcW w:w="318" w:type="pct"/>
                  <w:tcBorders>
                    <w:tl2br w:val="nil"/>
                    <w:tr2bl w:val="nil"/>
                  </w:tcBorders>
                  <w:noWrap w:val="0"/>
                  <w:vAlign w:val="center"/>
                </w:tcPr>
                <w:p w14:paraId="04CE3DD0">
                  <w:pPr>
                    <w:keepNext w:val="0"/>
                    <w:keepLines w:val="0"/>
                    <w:pageBreakBefore w:val="0"/>
                    <w:widowControl w:val="0"/>
                    <w:kinsoku/>
                    <w:wordWrap/>
                    <w:overflowPunct/>
                    <w:topLinePunct w:val="0"/>
                    <w:autoSpaceDE/>
                    <w:autoSpaceDN/>
                    <w:bidi w:val="0"/>
                    <w:spacing w:line="240" w:lineRule="auto"/>
                    <w:jc w:val="center"/>
                    <w:textAlignment w:val="auto"/>
                    <w:rPr>
                      <w:rFonts w:hint="eastAsia" w:cs="Times New Roman"/>
                      <w:sz w:val="21"/>
                      <w:szCs w:val="21"/>
                      <w:highlight w:val="none"/>
                      <w:lang w:val="en-US" w:eastAsia="zh-CN"/>
                    </w:rPr>
                  </w:pPr>
                  <w:r>
                    <w:rPr>
                      <w:rFonts w:hint="eastAsia" w:cs="Times New Roman"/>
                      <w:sz w:val="21"/>
                      <w:szCs w:val="21"/>
                      <w:highlight w:val="none"/>
                      <w:lang w:val="en-US" w:eastAsia="zh-CN"/>
                    </w:rPr>
                    <w:t>0.05</w:t>
                  </w:r>
                </w:p>
              </w:tc>
              <w:tc>
                <w:tcPr>
                  <w:tcW w:w="308" w:type="pct"/>
                  <w:tcBorders>
                    <w:tl2br w:val="nil"/>
                    <w:tr2bl w:val="nil"/>
                  </w:tcBorders>
                  <w:noWrap w:val="0"/>
                  <w:vAlign w:val="center"/>
                </w:tcPr>
                <w:p w14:paraId="321DDF8B">
                  <w:pPr>
                    <w:keepNext w:val="0"/>
                    <w:keepLines w:val="0"/>
                    <w:pageBreakBefore w:val="0"/>
                    <w:widowControl w:val="0"/>
                    <w:kinsoku/>
                    <w:wordWrap/>
                    <w:overflowPunct/>
                    <w:topLinePunct w:val="0"/>
                    <w:autoSpaceDE/>
                    <w:autoSpaceDN/>
                    <w:bidi w:val="0"/>
                    <w:spacing w:line="240" w:lineRule="auto"/>
                    <w:jc w:val="center"/>
                    <w:textAlignment w:val="auto"/>
                    <w:rPr>
                      <w:rFonts w:hint="default" w:cs="Times New Roman"/>
                      <w:sz w:val="21"/>
                      <w:szCs w:val="21"/>
                      <w:highlight w:val="none"/>
                      <w:lang w:val="en-US" w:eastAsia="zh-CN"/>
                    </w:rPr>
                  </w:pPr>
                  <w:r>
                    <w:rPr>
                      <w:rFonts w:hint="eastAsia" w:cs="Times New Roman"/>
                      <w:sz w:val="21"/>
                      <w:szCs w:val="21"/>
                      <w:highlight w:val="none"/>
                      <w:lang w:val="en-US" w:eastAsia="zh-CN"/>
                    </w:rPr>
                    <w:t>0.67</w:t>
                  </w:r>
                </w:p>
              </w:tc>
              <w:tc>
                <w:tcPr>
                  <w:tcW w:w="442" w:type="pct"/>
                  <w:tcBorders>
                    <w:tl2br w:val="nil"/>
                    <w:tr2bl w:val="nil"/>
                  </w:tcBorders>
                  <w:noWrap w:val="0"/>
                  <w:vAlign w:val="center"/>
                </w:tcPr>
                <w:p w14:paraId="49FF63A0">
                  <w:pPr>
                    <w:keepNext w:val="0"/>
                    <w:keepLines w:val="0"/>
                    <w:pageBreakBefore w:val="0"/>
                    <w:widowControl w:val="0"/>
                    <w:kinsoku/>
                    <w:wordWrap/>
                    <w:overflowPunct/>
                    <w:topLinePunct w:val="0"/>
                    <w:autoSpaceDE/>
                    <w:autoSpaceDN/>
                    <w:bidi w:val="0"/>
                    <w:spacing w:line="240" w:lineRule="auto"/>
                    <w:jc w:val="center"/>
                    <w:textAlignment w:val="auto"/>
                    <w:rPr>
                      <w:rFonts w:hint="default" w:cs="Times New Roman"/>
                      <w:sz w:val="21"/>
                      <w:szCs w:val="21"/>
                      <w:highlight w:val="none"/>
                      <w:lang w:val="en-US" w:eastAsia="zh-CN"/>
                    </w:rPr>
                  </w:pPr>
                  <w:r>
                    <w:rPr>
                      <w:rFonts w:hint="eastAsia" w:cs="Times New Roman"/>
                      <w:sz w:val="21"/>
                      <w:szCs w:val="21"/>
                      <w:highlight w:val="none"/>
                      <w:lang w:val="en-US" w:eastAsia="zh-CN"/>
                    </w:rPr>
                    <w:t>0.361</w:t>
                  </w:r>
                </w:p>
              </w:tc>
              <w:tc>
                <w:tcPr>
                  <w:tcW w:w="1022" w:type="pct"/>
                  <w:vMerge w:val="restart"/>
                  <w:tcBorders>
                    <w:tl2br w:val="nil"/>
                    <w:tr2bl w:val="nil"/>
                  </w:tcBorders>
                  <w:noWrap w:val="0"/>
                  <w:vAlign w:val="center"/>
                </w:tcPr>
                <w:p w14:paraId="17D053E3">
                  <w:pPr>
                    <w:keepNext w:val="0"/>
                    <w:keepLines w:val="0"/>
                    <w:pageBreakBefore w:val="0"/>
                    <w:widowControl w:val="0"/>
                    <w:kinsoku/>
                    <w:wordWrap/>
                    <w:overflowPunct/>
                    <w:topLinePunct w:val="0"/>
                    <w:autoSpaceDE/>
                    <w:autoSpaceDN/>
                    <w:bidi w:val="0"/>
                    <w:spacing w:line="240" w:lineRule="auto"/>
                    <w:jc w:val="center"/>
                    <w:textAlignment w:val="auto"/>
                    <w:rPr>
                      <w:rFonts w:hint="default"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《炼焦化学工业大气污染物超低排放标准(DB13/2863-2018)表1大气污染物排放限值</w:t>
                  </w:r>
                  <w:r>
                    <w:rPr>
                      <w:rFonts w:hint="default" w:ascii="Times New Roman" w:hAnsi="Times New Roman" w:eastAsia="宋体" w:cs="Times New Roman"/>
                      <w:b w:val="0"/>
                      <w:bCs w:val="0"/>
                      <w:color w:val="000000"/>
                      <w:kern w:val="0"/>
                      <w:sz w:val="21"/>
                      <w:szCs w:val="21"/>
                      <w:highlight w:val="none"/>
                      <w:lang w:val="en-US" w:eastAsia="zh-CN" w:bidi="ar"/>
                    </w:rPr>
                    <w:t>1</w:t>
                  </w:r>
                  <w:r>
                    <w:rPr>
                      <w:rFonts w:hint="eastAsia" w:ascii="Times New Roman" w:hAnsi="Times New Roman" w:eastAsia="宋体" w:cs="Times New Roman"/>
                      <w:b w:val="0"/>
                      <w:bCs w:val="0"/>
                      <w:color w:val="000000"/>
                      <w:kern w:val="0"/>
                      <w:sz w:val="21"/>
                      <w:szCs w:val="21"/>
                      <w:highlight w:val="none"/>
                      <w:lang w:val="en-US" w:eastAsia="zh-CN" w:bidi="ar"/>
                    </w:rPr>
                    <w:t>0</w:t>
                  </w:r>
                  <w:r>
                    <w:rPr>
                      <w:rFonts w:hint="default" w:ascii="Times New Roman" w:hAnsi="Times New Roman" w:eastAsia="宋体" w:cs="Times New Roman"/>
                      <w:b w:val="0"/>
                      <w:bCs w:val="0"/>
                      <w:color w:val="000000"/>
                      <w:kern w:val="0"/>
                      <w:sz w:val="21"/>
                      <w:szCs w:val="21"/>
                      <w:highlight w:val="none"/>
                      <w:lang w:val="en-US" w:eastAsia="zh-CN" w:bidi="ar"/>
                    </w:rPr>
                    <w:t>mg/m</w:t>
                  </w:r>
                  <w:r>
                    <w:rPr>
                      <w:rFonts w:hint="eastAsia"/>
                      <w:bCs/>
                      <w:color w:val="auto"/>
                      <w:sz w:val="21"/>
                      <w:szCs w:val="21"/>
                      <w:highlight w:val="none"/>
                      <w:vertAlign w:val="superscript"/>
                      <w:lang w:val="en-US" w:eastAsia="zh-CN"/>
                    </w:rPr>
                    <w:t>3</w:t>
                  </w:r>
                </w:p>
              </w:tc>
            </w:tr>
            <w:tr w14:paraId="64F51F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428" w:type="pct"/>
                  <w:tcBorders>
                    <w:tl2br w:val="nil"/>
                    <w:tr2bl w:val="nil"/>
                  </w:tcBorders>
                  <w:noWrap w:val="0"/>
                  <w:vAlign w:val="center"/>
                </w:tcPr>
                <w:p w14:paraId="03F5164D">
                  <w:pPr>
                    <w:keepNext w:val="0"/>
                    <w:keepLines w:val="0"/>
                    <w:pageBreakBefore w:val="0"/>
                    <w:widowControl w:val="0"/>
                    <w:kinsoku/>
                    <w:wordWrap/>
                    <w:overflowPunct/>
                    <w:topLinePunct w:val="0"/>
                    <w:autoSpaceDE/>
                    <w:autoSpaceDN/>
                    <w:bidi w:val="0"/>
                    <w:snapToGrid w:val="0"/>
                    <w:spacing w:line="240" w:lineRule="auto"/>
                    <w:jc w:val="center"/>
                    <w:textAlignment w:val="auto"/>
                    <w:rPr>
                      <w:rFonts w:hint="default" w:ascii="Times New Roman" w:hAnsi="Times New Roman" w:cs="Times New Roman"/>
                      <w:sz w:val="21"/>
                      <w:szCs w:val="21"/>
                      <w:highlight w:val="none"/>
                      <w:lang w:val="en-US" w:eastAsia="zh-CN"/>
                    </w:rPr>
                  </w:pPr>
                  <w:r>
                    <w:rPr>
                      <w:rFonts w:hint="eastAsia" w:cs="Times New Roman"/>
                      <w:sz w:val="21"/>
                      <w:szCs w:val="21"/>
                      <w:highlight w:val="none"/>
                      <w:lang w:val="en-US" w:eastAsia="zh-CN"/>
                    </w:rPr>
                    <w:t>移动破碎机</w:t>
                  </w:r>
                </w:p>
              </w:tc>
              <w:tc>
                <w:tcPr>
                  <w:tcW w:w="358" w:type="pct"/>
                  <w:tcBorders>
                    <w:tl2br w:val="nil"/>
                    <w:tr2bl w:val="nil"/>
                  </w:tcBorders>
                  <w:noWrap w:val="0"/>
                  <w:vAlign w:val="center"/>
                </w:tcPr>
                <w:p w14:paraId="61243D25">
                  <w:pPr>
                    <w:keepNext w:val="0"/>
                    <w:keepLines w:val="0"/>
                    <w:pageBreakBefore w:val="0"/>
                    <w:widowControl w:val="0"/>
                    <w:kinsoku/>
                    <w:wordWrap/>
                    <w:overflowPunct/>
                    <w:topLinePunct w:val="0"/>
                    <w:autoSpaceDE/>
                    <w:autoSpaceDN/>
                    <w:bidi w:val="0"/>
                    <w:spacing w:line="240" w:lineRule="auto"/>
                    <w:jc w:val="center"/>
                    <w:textAlignment w:val="auto"/>
                    <w:rPr>
                      <w:rFonts w:hint="default"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颗粒物</w:t>
                  </w:r>
                </w:p>
              </w:tc>
              <w:tc>
                <w:tcPr>
                  <w:tcW w:w="273" w:type="pct"/>
                  <w:tcBorders>
                    <w:tl2br w:val="nil"/>
                    <w:tr2bl w:val="nil"/>
                  </w:tcBorders>
                  <w:noWrap w:val="0"/>
                  <w:vAlign w:val="center"/>
                </w:tcPr>
                <w:p w14:paraId="09B8AA37">
                  <w:pPr>
                    <w:keepNext w:val="0"/>
                    <w:keepLines w:val="0"/>
                    <w:pageBreakBefore w:val="0"/>
                    <w:widowControl w:val="0"/>
                    <w:kinsoku/>
                    <w:wordWrap/>
                    <w:overflowPunct/>
                    <w:topLinePunct w:val="0"/>
                    <w:autoSpaceDE/>
                    <w:autoSpaceDN/>
                    <w:bidi w:val="0"/>
                    <w:spacing w:line="240" w:lineRule="auto"/>
                    <w:jc w:val="center"/>
                    <w:textAlignment w:val="auto"/>
                    <w:rPr>
                      <w:rFonts w:hint="default" w:cs="Times New Roman"/>
                      <w:sz w:val="21"/>
                      <w:szCs w:val="21"/>
                      <w:highlight w:val="none"/>
                      <w:lang w:val="en-US" w:eastAsia="zh-CN"/>
                    </w:rPr>
                  </w:pPr>
                  <w:r>
                    <w:rPr>
                      <w:rFonts w:hint="eastAsia" w:cs="Times New Roman"/>
                      <w:sz w:val="21"/>
                      <w:szCs w:val="21"/>
                      <w:highlight w:val="none"/>
                      <w:lang w:val="en-US" w:eastAsia="zh-CN"/>
                    </w:rPr>
                    <w:t>21.85</w:t>
                  </w:r>
                </w:p>
              </w:tc>
              <w:tc>
                <w:tcPr>
                  <w:tcW w:w="259" w:type="pct"/>
                  <w:tcBorders>
                    <w:tl2br w:val="nil"/>
                    <w:tr2bl w:val="nil"/>
                  </w:tcBorders>
                  <w:noWrap w:val="0"/>
                  <w:vAlign w:val="center"/>
                </w:tcPr>
                <w:p w14:paraId="08711E52">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56</w:t>
                  </w:r>
                  <w:r>
                    <w:rPr>
                      <w:rFonts w:hint="eastAsia" w:cs="Times New Roman"/>
                      <w:sz w:val="21"/>
                      <w:szCs w:val="21"/>
                      <w:highlight w:val="none"/>
                      <w:lang w:val="en-US" w:eastAsia="zh-CN"/>
                    </w:rPr>
                    <w:t>.</w:t>
                  </w:r>
                  <w:r>
                    <w:rPr>
                      <w:rFonts w:hint="eastAsia" w:ascii="Times New Roman" w:hAnsi="Times New Roman" w:eastAsia="宋体" w:cs="Times New Roman"/>
                      <w:sz w:val="21"/>
                      <w:szCs w:val="21"/>
                      <w:highlight w:val="none"/>
                      <w:lang w:val="en-US" w:eastAsia="zh-CN"/>
                    </w:rPr>
                    <w:t>753</w:t>
                  </w:r>
                </w:p>
              </w:tc>
              <w:tc>
                <w:tcPr>
                  <w:tcW w:w="230" w:type="pct"/>
                  <w:vMerge w:val="continue"/>
                  <w:tcBorders>
                    <w:tl2br w:val="nil"/>
                    <w:tr2bl w:val="nil"/>
                  </w:tcBorders>
                  <w:noWrap w:val="0"/>
                  <w:vAlign w:val="center"/>
                </w:tcPr>
                <w:p w14:paraId="0D61AB92">
                  <w:pPr>
                    <w:keepNext w:val="0"/>
                    <w:keepLines w:val="0"/>
                    <w:pageBreakBefore w:val="0"/>
                    <w:widowControl w:val="0"/>
                    <w:kinsoku/>
                    <w:wordWrap/>
                    <w:overflowPunct/>
                    <w:topLinePunct w:val="0"/>
                    <w:autoSpaceDE/>
                    <w:autoSpaceDN/>
                    <w:bidi w:val="0"/>
                    <w:spacing w:line="240" w:lineRule="auto"/>
                    <w:jc w:val="center"/>
                    <w:textAlignment w:val="auto"/>
                    <w:rPr>
                      <w:rFonts w:hint="default" w:ascii="Times New Roman" w:hAnsi="Times New Roman" w:cs="Times New Roman"/>
                      <w:sz w:val="21"/>
                      <w:szCs w:val="21"/>
                      <w:highlight w:val="none"/>
                    </w:rPr>
                  </w:pPr>
                </w:p>
              </w:tc>
              <w:tc>
                <w:tcPr>
                  <w:tcW w:w="298" w:type="pct"/>
                  <w:tcBorders>
                    <w:tl2br w:val="nil"/>
                    <w:tr2bl w:val="nil"/>
                  </w:tcBorders>
                  <w:noWrap w:val="0"/>
                  <w:vAlign w:val="center"/>
                </w:tcPr>
                <w:p w14:paraId="6673965C">
                  <w:pPr>
                    <w:keepNext w:val="0"/>
                    <w:keepLines w:val="0"/>
                    <w:pageBreakBefore w:val="0"/>
                    <w:widowControl w:val="0"/>
                    <w:kinsoku/>
                    <w:wordWrap/>
                    <w:overflowPunct/>
                    <w:topLinePunct w:val="0"/>
                    <w:autoSpaceDE/>
                    <w:autoSpaceDN/>
                    <w:bidi w:val="0"/>
                    <w:spacing w:line="240" w:lineRule="auto"/>
                    <w:jc w:val="center"/>
                    <w:textAlignment w:val="auto"/>
                    <w:rPr>
                      <w:rFonts w:hint="default" w:ascii="Times New Roman" w:hAnsi="Times New Roman" w:cs="Times New Roman"/>
                      <w:sz w:val="21"/>
                      <w:szCs w:val="21"/>
                      <w:highlight w:val="none"/>
                    </w:rPr>
                  </w:pPr>
                  <w:r>
                    <w:rPr>
                      <w:rFonts w:hint="eastAsia" w:cs="Times New Roman"/>
                      <w:b w:val="0"/>
                      <w:bCs w:val="0"/>
                      <w:color w:val="000000"/>
                      <w:kern w:val="0"/>
                      <w:sz w:val="21"/>
                      <w:szCs w:val="21"/>
                      <w:highlight w:val="none"/>
                      <w:vertAlign w:val="baseline"/>
                      <w:lang w:val="en-US" w:eastAsia="zh-CN" w:bidi="ar"/>
                    </w:rPr>
                    <w:t>脉冲式布袋除尘器</w:t>
                  </w:r>
                </w:p>
              </w:tc>
              <w:tc>
                <w:tcPr>
                  <w:tcW w:w="363" w:type="pct"/>
                  <w:tcBorders>
                    <w:tl2br w:val="nil"/>
                    <w:tr2bl w:val="nil"/>
                  </w:tcBorders>
                  <w:noWrap w:val="0"/>
                  <w:vAlign w:val="center"/>
                </w:tcPr>
                <w:p w14:paraId="45FDD4AC">
                  <w:pPr>
                    <w:keepNext w:val="0"/>
                    <w:keepLines w:val="0"/>
                    <w:pageBreakBefore w:val="0"/>
                    <w:widowControl w:val="0"/>
                    <w:kinsoku/>
                    <w:wordWrap/>
                    <w:overflowPunct/>
                    <w:topLinePunct w:val="0"/>
                    <w:autoSpaceDE/>
                    <w:autoSpaceDN/>
                    <w:bidi w:val="0"/>
                    <w:snapToGrid w:val="0"/>
                    <w:spacing w:line="240" w:lineRule="auto"/>
                    <w:jc w:val="center"/>
                    <w:textAlignment w:val="auto"/>
                    <w:rPr>
                      <w:rFonts w:hint="default" w:cs="Times New Roman"/>
                      <w:sz w:val="21"/>
                      <w:szCs w:val="21"/>
                      <w:highlight w:val="none"/>
                      <w:lang w:val="en-US" w:eastAsia="zh-CN"/>
                    </w:rPr>
                  </w:pPr>
                  <w:r>
                    <w:rPr>
                      <w:rFonts w:hint="eastAsia" w:cs="Times New Roman"/>
                      <w:sz w:val="21"/>
                      <w:szCs w:val="21"/>
                      <w:highlight w:val="none"/>
                      <w:lang w:val="en-US" w:eastAsia="zh-CN"/>
                    </w:rPr>
                    <w:t>55000</w:t>
                  </w:r>
                </w:p>
              </w:tc>
              <w:tc>
                <w:tcPr>
                  <w:tcW w:w="343" w:type="pct"/>
                  <w:tcBorders>
                    <w:tl2br w:val="nil"/>
                    <w:tr2bl w:val="nil"/>
                  </w:tcBorders>
                  <w:noWrap w:val="0"/>
                  <w:vAlign w:val="center"/>
                </w:tcPr>
                <w:p w14:paraId="167D2967">
                  <w:pPr>
                    <w:keepNext w:val="0"/>
                    <w:keepLines w:val="0"/>
                    <w:pageBreakBefore w:val="0"/>
                    <w:widowControl w:val="0"/>
                    <w:kinsoku/>
                    <w:wordWrap/>
                    <w:overflowPunct/>
                    <w:topLinePunct w:val="0"/>
                    <w:autoSpaceDE/>
                    <w:autoSpaceDN/>
                    <w:bidi w:val="0"/>
                    <w:spacing w:line="240" w:lineRule="auto"/>
                    <w:jc w:val="center"/>
                    <w:textAlignment w:val="auto"/>
                    <w:rPr>
                      <w:rFonts w:hint="default" w:ascii="Times New Roman" w:hAnsi="Times New Roman" w:cs="Times New Roman"/>
                      <w:sz w:val="21"/>
                      <w:szCs w:val="21"/>
                      <w:highlight w:val="none"/>
                      <w:lang w:val="en-US" w:eastAsia="zh-CN"/>
                    </w:rPr>
                  </w:pPr>
                  <w:r>
                    <w:rPr>
                      <w:rFonts w:hint="eastAsia" w:cs="Times New Roman"/>
                      <w:sz w:val="21"/>
                      <w:szCs w:val="21"/>
                      <w:highlight w:val="none"/>
                      <w:lang w:val="en-US" w:eastAsia="zh-CN"/>
                    </w:rPr>
                    <w:t>99%</w:t>
                  </w:r>
                </w:p>
              </w:tc>
              <w:tc>
                <w:tcPr>
                  <w:tcW w:w="356" w:type="pct"/>
                  <w:tcBorders>
                    <w:tl2br w:val="nil"/>
                    <w:tr2bl w:val="nil"/>
                  </w:tcBorders>
                  <w:noWrap w:val="0"/>
                  <w:vAlign w:val="center"/>
                </w:tcPr>
                <w:p w14:paraId="17286334">
                  <w:pPr>
                    <w:keepNext w:val="0"/>
                    <w:keepLines w:val="0"/>
                    <w:pageBreakBefore w:val="0"/>
                    <w:widowControl w:val="0"/>
                    <w:kinsoku/>
                    <w:wordWrap/>
                    <w:overflowPunct/>
                    <w:topLinePunct w:val="0"/>
                    <w:autoSpaceDE/>
                    <w:autoSpaceDN/>
                    <w:bidi w:val="0"/>
                    <w:snapToGrid w:val="0"/>
                    <w:spacing w:line="240" w:lineRule="auto"/>
                    <w:jc w:val="center"/>
                    <w:textAlignment w:val="auto"/>
                    <w:rPr>
                      <w:rFonts w:hint="default"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是</w:t>
                  </w:r>
                </w:p>
              </w:tc>
              <w:tc>
                <w:tcPr>
                  <w:tcW w:w="318" w:type="pct"/>
                  <w:tcBorders>
                    <w:tl2br w:val="nil"/>
                    <w:tr2bl w:val="nil"/>
                  </w:tcBorders>
                  <w:noWrap w:val="0"/>
                  <w:vAlign w:val="center"/>
                </w:tcPr>
                <w:p w14:paraId="3D0E2E93">
                  <w:pPr>
                    <w:keepNext w:val="0"/>
                    <w:keepLines w:val="0"/>
                    <w:pageBreakBefore w:val="0"/>
                    <w:widowControl w:val="0"/>
                    <w:kinsoku/>
                    <w:wordWrap/>
                    <w:overflowPunct/>
                    <w:topLinePunct w:val="0"/>
                    <w:autoSpaceDE/>
                    <w:autoSpaceDN/>
                    <w:bidi w:val="0"/>
                    <w:spacing w:line="240" w:lineRule="auto"/>
                    <w:jc w:val="center"/>
                    <w:textAlignment w:val="auto"/>
                    <w:rPr>
                      <w:rFonts w:hint="default" w:cs="Times New Roman"/>
                      <w:sz w:val="21"/>
                      <w:szCs w:val="21"/>
                      <w:highlight w:val="none"/>
                      <w:lang w:val="en-US" w:eastAsia="zh-CN"/>
                    </w:rPr>
                  </w:pPr>
                  <w:r>
                    <w:rPr>
                      <w:rFonts w:hint="eastAsia" w:cs="Times New Roman"/>
                      <w:sz w:val="21"/>
                      <w:szCs w:val="21"/>
                      <w:highlight w:val="none"/>
                      <w:lang w:val="en-US" w:eastAsia="zh-CN"/>
                    </w:rPr>
                    <w:t>0.03</w:t>
                  </w:r>
                </w:p>
              </w:tc>
              <w:tc>
                <w:tcPr>
                  <w:tcW w:w="308" w:type="pct"/>
                  <w:tcBorders>
                    <w:tl2br w:val="nil"/>
                    <w:tr2bl w:val="nil"/>
                  </w:tcBorders>
                  <w:noWrap w:val="0"/>
                  <w:vAlign w:val="center"/>
                </w:tcPr>
                <w:p w14:paraId="6422B4F6">
                  <w:pPr>
                    <w:keepNext w:val="0"/>
                    <w:keepLines w:val="0"/>
                    <w:pageBreakBefore w:val="0"/>
                    <w:widowControl w:val="0"/>
                    <w:kinsoku/>
                    <w:wordWrap/>
                    <w:overflowPunct/>
                    <w:topLinePunct w:val="0"/>
                    <w:autoSpaceDE/>
                    <w:autoSpaceDN/>
                    <w:bidi w:val="0"/>
                    <w:spacing w:line="240" w:lineRule="auto"/>
                    <w:jc w:val="center"/>
                    <w:textAlignment w:val="auto"/>
                    <w:rPr>
                      <w:rFonts w:hint="default" w:cs="Times New Roman"/>
                      <w:sz w:val="21"/>
                      <w:szCs w:val="21"/>
                      <w:highlight w:val="none"/>
                      <w:lang w:val="en-US" w:eastAsia="zh-CN"/>
                    </w:rPr>
                  </w:pPr>
                  <w:r>
                    <w:rPr>
                      <w:rFonts w:hint="eastAsia" w:cs="Times New Roman"/>
                      <w:sz w:val="21"/>
                      <w:szCs w:val="21"/>
                      <w:highlight w:val="none"/>
                      <w:lang w:val="en-US" w:eastAsia="zh-CN"/>
                    </w:rPr>
                    <w:t>0.57</w:t>
                  </w:r>
                </w:p>
              </w:tc>
              <w:tc>
                <w:tcPr>
                  <w:tcW w:w="442" w:type="pct"/>
                  <w:tcBorders>
                    <w:tl2br w:val="nil"/>
                    <w:tr2bl w:val="nil"/>
                  </w:tcBorders>
                  <w:noWrap w:val="0"/>
                  <w:vAlign w:val="center"/>
                </w:tcPr>
                <w:p w14:paraId="57EDE1C7">
                  <w:pPr>
                    <w:keepNext w:val="0"/>
                    <w:keepLines w:val="0"/>
                    <w:pageBreakBefore w:val="0"/>
                    <w:widowControl w:val="0"/>
                    <w:kinsoku/>
                    <w:wordWrap/>
                    <w:overflowPunct/>
                    <w:topLinePunct w:val="0"/>
                    <w:autoSpaceDE/>
                    <w:autoSpaceDN/>
                    <w:bidi w:val="0"/>
                    <w:spacing w:line="240" w:lineRule="auto"/>
                    <w:jc w:val="center"/>
                    <w:textAlignment w:val="auto"/>
                    <w:rPr>
                      <w:rFonts w:hint="default" w:cs="Times New Roman"/>
                      <w:sz w:val="21"/>
                      <w:szCs w:val="21"/>
                      <w:highlight w:val="none"/>
                      <w:lang w:val="en-US" w:eastAsia="zh-CN"/>
                    </w:rPr>
                  </w:pPr>
                  <w:r>
                    <w:rPr>
                      <w:rFonts w:hint="eastAsia" w:cs="Times New Roman"/>
                      <w:sz w:val="21"/>
                      <w:szCs w:val="21"/>
                      <w:highlight w:val="none"/>
                      <w:lang w:val="en-US" w:eastAsia="zh-CN"/>
                    </w:rPr>
                    <w:t>0.2185</w:t>
                  </w:r>
                </w:p>
              </w:tc>
              <w:tc>
                <w:tcPr>
                  <w:tcW w:w="1022" w:type="pct"/>
                  <w:vMerge w:val="continue"/>
                  <w:tcBorders>
                    <w:tl2br w:val="nil"/>
                    <w:tr2bl w:val="nil"/>
                  </w:tcBorders>
                  <w:noWrap w:val="0"/>
                  <w:vAlign w:val="center"/>
                </w:tcPr>
                <w:p w14:paraId="64D6E96C">
                  <w:pPr>
                    <w:keepNext w:val="0"/>
                    <w:keepLines w:val="0"/>
                    <w:pageBreakBefore w:val="0"/>
                    <w:widowControl w:val="0"/>
                    <w:kinsoku/>
                    <w:wordWrap/>
                    <w:overflowPunct/>
                    <w:topLinePunct w:val="0"/>
                    <w:autoSpaceDE/>
                    <w:autoSpaceDN/>
                    <w:bidi w:val="0"/>
                    <w:spacing w:line="240" w:lineRule="auto"/>
                    <w:jc w:val="center"/>
                    <w:textAlignment w:val="auto"/>
                    <w:rPr>
                      <w:rFonts w:hint="default" w:ascii="Times New Roman" w:hAnsi="Times New Roman" w:cs="Times New Roman"/>
                      <w:sz w:val="21"/>
                      <w:szCs w:val="21"/>
                      <w:highlight w:val="none"/>
                      <w:lang w:val="en-US" w:eastAsia="zh-CN"/>
                    </w:rPr>
                  </w:pPr>
                </w:p>
              </w:tc>
            </w:tr>
            <w:tr w14:paraId="0738E2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428" w:type="pct"/>
                  <w:tcBorders>
                    <w:tl2br w:val="nil"/>
                    <w:tr2bl w:val="nil"/>
                  </w:tcBorders>
                  <w:noWrap w:val="0"/>
                  <w:vAlign w:val="center"/>
                </w:tcPr>
                <w:p w14:paraId="148B95C5">
                  <w:pPr>
                    <w:keepNext w:val="0"/>
                    <w:keepLines w:val="0"/>
                    <w:pageBreakBefore w:val="0"/>
                    <w:widowControl w:val="0"/>
                    <w:kinsoku/>
                    <w:wordWrap/>
                    <w:overflowPunct/>
                    <w:topLinePunct w:val="0"/>
                    <w:autoSpaceDE/>
                    <w:autoSpaceDN/>
                    <w:bidi w:val="0"/>
                    <w:snapToGrid w:val="0"/>
                    <w:spacing w:line="240" w:lineRule="auto"/>
                    <w:jc w:val="center"/>
                    <w:textAlignment w:val="auto"/>
                    <w:rPr>
                      <w:rFonts w:hint="eastAsia" w:cs="Times New Roman"/>
                      <w:sz w:val="21"/>
                      <w:szCs w:val="21"/>
                      <w:highlight w:val="none"/>
                      <w:lang w:val="en-US" w:eastAsia="zh-CN"/>
                    </w:rPr>
                  </w:pPr>
                  <w:r>
                    <w:rPr>
                      <w:rFonts w:hint="eastAsia" w:cs="Times New Roman"/>
                      <w:sz w:val="21"/>
                      <w:szCs w:val="21"/>
                      <w:highlight w:val="none"/>
                      <w:lang w:val="en-US" w:eastAsia="zh-CN"/>
                    </w:rPr>
                    <w:t>食堂</w:t>
                  </w:r>
                </w:p>
              </w:tc>
              <w:tc>
                <w:tcPr>
                  <w:tcW w:w="358" w:type="pct"/>
                  <w:tcBorders>
                    <w:tl2br w:val="nil"/>
                    <w:tr2bl w:val="nil"/>
                  </w:tcBorders>
                  <w:noWrap w:val="0"/>
                  <w:vAlign w:val="center"/>
                </w:tcPr>
                <w:p w14:paraId="1CAD5349">
                  <w:pPr>
                    <w:keepNext w:val="0"/>
                    <w:keepLines w:val="0"/>
                    <w:pageBreakBefore w:val="0"/>
                    <w:widowControl w:val="0"/>
                    <w:kinsoku/>
                    <w:wordWrap/>
                    <w:overflowPunct/>
                    <w:topLinePunct w:val="0"/>
                    <w:autoSpaceDE/>
                    <w:autoSpaceDN/>
                    <w:bidi w:val="0"/>
                    <w:spacing w:line="240" w:lineRule="auto"/>
                    <w:jc w:val="center"/>
                    <w:textAlignment w:val="auto"/>
                    <w:rPr>
                      <w:rFonts w:hint="eastAsia" w:ascii="Times New Roman" w:hAnsi="Times New Roman" w:cs="Times New Roman"/>
                      <w:color w:val="auto"/>
                      <w:sz w:val="21"/>
                      <w:szCs w:val="21"/>
                      <w:highlight w:val="none"/>
                      <w:lang w:val="en-US" w:eastAsia="zh-CN"/>
                    </w:rPr>
                  </w:pPr>
                  <w:r>
                    <w:rPr>
                      <w:rFonts w:hint="eastAsia" w:cs="Times New Roman"/>
                      <w:color w:val="auto"/>
                      <w:sz w:val="21"/>
                      <w:szCs w:val="21"/>
                      <w:highlight w:val="none"/>
                      <w:lang w:val="en-US" w:eastAsia="zh-CN"/>
                    </w:rPr>
                    <w:t>油烟</w:t>
                  </w:r>
                </w:p>
              </w:tc>
              <w:tc>
                <w:tcPr>
                  <w:tcW w:w="273" w:type="pct"/>
                  <w:tcBorders>
                    <w:tl2br w:val="nil"/>
                    <w:tr2bl w:val="nil"/>
                  </w:tcBorders>
                  <w:noWrap w:val="0"/>
                  <w:vAlign w:val="center"/>
                </w:tcPr>
                <w:p w14:paraId="4E2BFF02">
                  <w:pPr>
                    <w:keepNext w:val="0"/>
                    <w:keepLines w:val="0"/>
                    <w:pageBreakBefore w:val="0"/>
                    <w:widowControl w:val="0"/>
                    <w:kinsoku/>
                    <w:wordWrap/>
                    <w:overflowPunct/>
                    <w:topLinePunct w:val="0"/>
                    <w:autoSpaceDE/>
                    <w:autoSpaceDN/>
                    <w:bidi w:val="0"/>
                    <w:spacing w:line="240" w:lineRule="auto"/>
                    <w:jc w:val="center"/>
                    <w:textAlignment w:val="auto"/>
                    <w:rPr>
                      <w:rFonts w:hint="default" w:cs="Times New Roman"/>
                      <w:color w:val="auto"/>
                      <w:sz w:val="21"/>
                      <w:szCs w:val="21"/>
                      <w:highlight w:val="none"/>
                      <w:lang w:val="en-US" w:eastAsia="zh-CN"/>
                    </w:rPr>
                  </w:pPr>
                  <w:r>
                    <w:rPr>
                      <w:rFonts w:hint="eastAsia" w:cs="Times New Roman"/>
                      <w:color w:val="auto"/>
                      <w:sz w:val="21"/>
                      <w:szCs w:val="21"/>
                      <w:highlight w:val="none"/>
                      <w:lang w:val="en-US" w:eastAsia="zh-CN"/>
                    </w:rPr>
                    <w:t>0.0135</w:t>
                  </w:r>
                </w:p>
              </w:tc>
              <w:tc>
                <w:tcPr>
                  <w:tcW w:w="259" w:type="pct"/>
                  <w:tcBorders>
                    <w:tl2br w:val="nil"/>
                    <w:tr2bl w:val="nil"/>
                  </w:tcBorders>
                  <w:noWrap w:val="0"/>
                  <w:vAlign w:val="center"/>
                </w:tcPr>
                <w:p w14:paraId="16F6BE34">
                  <w:pPr>
                    <w:keepNext w:val="0"/>
                    <w:keepLines w:val="0"/>
                    <w:pageBreakBefore w:val="0"/>
                    <w:widowControl w:val="0"/>
                    <w:kinsoku/>
                    <w:wordWrap/>
                    <w:overflowPunct/>
                    <w:topLinePunct w:val="0"/>
                    <w:autoSpaceDE/>
                    <w:autoSpaceDN/>
                    <w:bidi w:val="0"/>
                    <w:spacing w:line="240" w:lineRule="auto"/>
                    <w:jc w:val="center"/>
                    <w:textAlignment w:val="auto"/>
                    <w:rPr>
                      <w:rFonts w:hint="eastAsia" w:cs="Times New Roman"/>
                      <w:color w:val="auto"/>
                      <w:sz w:val="21"/>
                      <w:szCs w:val="21"/>
                      <w:highlight w:val="none"/>
                      <w:lang w:val="en-US" w:eastAsia="zh-CN"/>
                    </w:rPr>
                  </w:pPr>
                  <w:r>
                    <w:rPr>
                      <w:rFonts w:hint="eastAsia" w:cs="Times New Roman"/>
                      <w:color w:val="auto"/>
                      <w:sz w:val="21"/>
                      <w:szCs w:val="21"/>
                      <w:highlight w:val="none"/>
                      <w:lang w:val="en-US" w:eastAsia="zh-CN"/>
                    </w:rPr>
                    <w:t>1.875</w:t>
                  </w:r>
                </w:p>
              </w:tc>
              <w:tc>
                <w:tcPr>
                  <w:tcW w:w="230" w:type="pct"/>
                  <w:vMerge w:val="continue"/>
                  <w:tcBorders>
                    <w:tl2br w:val="nil"/>
                    <w:tr2bl w:val="nil"/>
                  </w:tcBorders>
                  <w:noWrap w:val="0"/>
                  <w:vAlign w:val="center"/>
                </w:tcPr>
                <w:p w14:paraId="259F5F8B">
                  <w:pPr>
                    <w:keepNext w:val="0"/>
                    <w:keepLines w:val="0"/>
                    <w:pageBreakBefore w:val="0"/>
                    <w:widowControl w:val="0"/>
                    <w:kinsoku/>
                    <w:wordWrap/>
                    <w:overflowPunct/>
                    <w:topLinePunct w:val="0"/>
                    <w:autoSpaceDE/>
                    <w:autoSpaceDN/>
                    <w:bidi w:val="0"/>
                    <w:spacing w:line="240" w:lineRule="auto"/>
                    <w:jc w:val="center"/>
                    <w:textAlignment w:val="auto"/>
                    <w:rPr>
                      <w:rFonts w:hint="default" w:ascii="Times New Roman" w:hAnsi="Times New Roman" w:cs="Times New Roman"/>
                      <w:color w:val="auto"/>
                      <w:sz w:val="21"/>
                      <w:szCs w:val="21"/>
                      <w:highlight w:val="none"/>
                    </w:rPr>
                  </w:pPr>
                </w:p>
              </w:tc>
              <w:tc>
                <w:tcPr>
                  <w:tcW w:w="298" w:type="pct"/>
                  <w:tcBorders>
                    <w:tl2br w:val="nil"/>
                    <w:tr2bl w:val="nil"/>
                  </w:tcBorders>
                  <w:noWrap w:val="0"/>
                  <w:vAlign w:val="center"/>
                </w:tcPr>
                <w:p w14:paraId="24CEE55D">
                  <w:pPr>
                    <w:keepNext w:val="0"/>
                    <w:keepLines w:val="0"/>
                    <w:pageBreakBefore w:val="0"/>
                    <w:widowControl w:val="0"/>
                    <w:kinsoku/>
                    <w:wordWrap/>
                    <w:overflowPunct/>
                    <w:topLinePunct w:val="0"/>
                    <w:autoSpaceDE/>
                    <w:autoSpaceDN/>
                    <w:bidi w:val="0"/>
                    <w:spacing w:line="240" w:lineRule="auto"/>
                    <w:jc w:val="center"/>
                    <w:textAlignment w:val="auto"/>
                    <w:rPr>
                      <w:rFonts w:hint="eastAsia" w:cs="Times New Roman"/>
                      <w:color w:val="auto"/>
                      <w:sz w:val="21"/>
                      <w:szCs w:val="21"/>
                      <w:highlight w:val="none"/>
                      <w:lang w:val="en-US" w:eastAsia="zh-CN"/>
                    </w:rPr>
                  </w:pPr>
                  <w:r>
                    <w:rPr>
                      <w:rFonts w:hint="eastAsia" w:cs="Times New Roman"/>
                      <w:color w:val="auto"/>
                      <w:sz w:val="21"/>
                      <w:szCs w:val="21"/>
                      <w:highlight w:val="none"/>
                      <w:lang w:val="en-US" w:eastAsia="zh-CN"/>
                    </w:rPr>
                    <w:t>油烟净化器</w:t>
                  </w:r>
                </w:p>
              </w:tc>
              <w:tc>
                <w:tcPr>
                  <w:tcW w:w="363" w:type="pct"/>
                  <w:tcBorders>
                    <w:tl2br w:val="nil"/>
                    <w:tr2bl w:val="nil"/>
                  </w:tcBorders>
                  <w:noWrap w:val="0"/>
                  <w:vAlign w:val="center"/>
                </w:tcPr>
                <w:p w14:paraId="57E3FDBF">
                  <w:pPr>
                    <w:keepNext w:val="0"/>
                    <w:keepLines w:val="0"/>
                    <w:pageBreakBefore w:val="0"/>
                    <w:widowControl w:val="0"/>
                    <w:kinsoku/>
                    <w:wordWrap/>
                    <w:overflowPunct/>
                    <w:topLinePunct w:val="0"/>
                    <w:autoSpaceDE/>
                    <w:autoSpaceDN/>
                    <w:bidi w:val="0"/>
                    <w:snapToGrid w:val="0"/>
                    <w:spacing w:line="240" w:lineRule="auto"/>
                    <w:jc w:val="center"/>
                    <w:textAlignment w:val="auto"/>
                    <w:rPr>
                      <w:rFonts w:hint="default" w:cs="Times New Roman"/>
                      <w:color w:val="auto"/>
                      <w:sz w:val="21"/>
                      <w:szCs w:val="21"/>
                      <w:highlight w:val="none"/>
                      <w:lang w:val="en-US" w:eastAsia="zh-CN"/>
                    </w:rPr>
                  </w:pPr>
                  <w:r>
                    <w:rPr>
                      <w:rFonts w:hint="eastAsia" w:cs="Times New Roman"/>
                      <w:color w:val="auto"/>
                      <w:sz w:val="21"/>
                      <w:szCs w:val="21"/>
                      <w:highlight w:val="none"/>
                      <w:lang w:val="en-US" w:eastAsia="zh-CN"/>
                    </w:rPr>
                    <w:t>4000</w:t>
                  </w:r>
                </w:p>
              </w:tc>
              <w:tc>
                <w:tcPr>
                  <w:tcW w:w="343" w:type="pct"/>
                  <w:tcBorders>
                    <w:tl2br w:val="nil"/>
                    <w:tr2bl w:val="nil"/>
                  </w:tcBorders>
                  <w:noWrap w:val="0"/>
                  <w:vAlign w:val="center"/>
                </w:tcPr>
                <w:p w14:paraId="736DEAFF">
                  <w:pPr>
                    <w:keepNext w:val="0"/>
                    <w:keepLines w:val="0"/>
                    <w:pageBreakBefore w:val="0"/>
                    <w:widowControl w:val="0"/>
                    <w:kinsoku/>
                    <w:wordWrap/>
                    <w:overflowPunct/>
                    <w:topLinePunct w:val="0"/>
                    <w:autoSpaceDE/>
                    <w:autoSpaceDN/>
                    <w:bidi w:val="0"/>
                    <w:spacing w:line="240" w:lineRule="auto"/>
                    <w:jc w:val="center"/>
                    <w:textAlignment w:val="auto"/>
                    <w:rPr>
                      <w:rFonts w:hint="eastAsia" w:cs="Times New Roman"/>
                      <w:color w:val="auto"/>
                      <w:sz w:val="21"/>
                      <w:szCs w:val="21"/>
                      <w:highlight w:val="none"/>
                      <w:lang w:val="en-US" w:eastAsia="zh-CN"/>
                    </w:rPr>
                  </w:pPr>
                  <w:r>
                    <w:rPr>
                      <w:rFonts w:hint="eastAsia" w:cs="Times New Roman"/>
                      <w:color w:val="auto"/>
                      <w:sz w:val="21"/>
                      <w:szCs w:val="21"/>
                      <w:highlight w:val="none"/>
                      <w:lang w:val="en-US" w:eastAsia="zh-CN"/>
                    </w:rPr>
                    <w:t>70%</w:t>
                  </w:r>
                </w:p>
              </w:tc>
              <w:tc>
                <w:tcPr>
                  <w:tcW w:w="356" w:type="pct"/>
                  <w:tcBorders>
                    <w:tl2br w:val="nil"/>
                    <w:tr2bl w:val="nil"/>
                  </w:tcBorders>
                  <w:noWrap w:val="0"/>
                  <w:vAlign w:val="center"/>
                </w:tcPr>
                <w:p w14:paraId="17907EE5">
                  <w:pPr>
                    <w:keepNext w:val="0"/>
                    <w:keepLines w:val="0"/>
                    <w:pageBreakBefore w:val="0"/>
                    <w:widowControl w:val="0"/>
                    <w:kinsoku/>
                    <w:wordWrap/>
                    <w:overflowPunct/>
                    <w:topLinePunct w:val="0"/>
                    <w:autoSpaceDE/>
                    <w:autoSpaceDN/>
                    <w:bidi w:val="0"/>
                    <w:snapToGrid w:val="0"/>
                    <w:spacing w:line="240" w:lineRule="auto"/>
                    <w:jc w:val="center"/>
                    <w:textAlignment w:val="auto"/>
                    <w:rPr>
                      <w:rFonts w:hint="eastAsia" w:ascii="Times New Roman" w:hAnsi="Times New Roman"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是</w:t>
                  </w:r>
                </w:p>
              </w:tc>
              <w:tc>
                <w:tcPr>
                  <w:tcW w:w="318" w:type="pct"/>
                  <w:tcBorders>
                    <w:tl2br w:val="nil"/>
                    <w:tr2bl w:val="nil"/>
                  </w:tcBorders>
                  <w:noWrap w:val="0"/>
                  <w:vAlign w:val="center"/>
                </w:tcPr>
                <w:p w14:paraId="45966CA0">
                  <w:pPr>
                    <w:keepNext w:val="0"/>
                    <w:keepLines w:val="0"/>
                    <w:pageBreakBefore w:val="0"/>
                    <w:widowControl w:val="0"/>
                    <w:kinsoku/>
                    <w:wordWrap/>
                    <w:overflowPunct/>
                    <w:topLinePunct w:val="0"/>
                    <w:autoSpaceDE/>
                    <w:autoSpaceDN/>
                    <w:bidi w:val="0"/>
                    <w:snapToGrid w:val="0"/>
                    <w:spacing w:line="240" w:lineRule="auto"/>
                    <w:jc w:val="center"/>
                    <w:textAlignment w:val="auto"/>
                    <w:rPr>
                      <w:rFonts w:hint="default" w:cs="Times New Roman"/>
                      <w:color w:val="auto"/>
                      <w:sz w:val="21"/>
                      <w:szCs w:val="21"/>
                      <w:highlight w:val="none"/>
                      <w:lang w:val="en-US" w:eastAsia="zh-CN"/>
                    </w:rPr>
                  </w:pPr>
                  <w:r>
                    <w:rPr>
                      <w:rFonts w:hint="eastAsia" w:cs="Times New Roman"/>
                      <w:color w:val="auto"/>
                      <w:sz w:val="21"/>
                      <w:szCs w:val="21"/>
                      <w:highlight w:val="none"/>
                      <w:lang w:val="en-US" w:eastAsia="zh-CN"/>
                    </w:rPr>
                    <w:t>0.0225</w:t>
                  </w:r>
                </w:p>
              </w:tc>
              <w:tc>
                <w:tcPr>
                  <w:tcW w:w="308" w:type="pct"/>
                  <w:tcBorders>
                    <w:tl2br w:val="nil"/>
                    <w:tr2bl w:val="nil"/>
                  </w:tcBorders>
                  <w:noWrap w:val="0"/>
                  <w:vAlign w:val="center"/>
                </w:tcPr>
                <w:p w14:paraId="39ACBA8A">
                  <w:pPr>
                    <w:keepNext w:val="0"/>
                    <w:keepLines w:val="0"/>
                    <w:pageBreakBefore w:val="0"/>
                    <w:widowControl w:val="0"/>
                    <w:kinsoku/>
                    <w:wordWrap/>
                    <w:overflowPunct/>
                    <w:topLinePunct w:val="0"/>
                    <w:autoSpaceDE/>
                    <w:autoSpaceDN/>
                    <w:bidi w:val="0"/>
                    <w:snapToGrid w:val="0"/>
                    <w:spacing w:line="240" w:lineRule="auto"/>
                    <w:jc w:val="center"/>
                    <w:textAlignment w:val="auto"/>
                    <w:rPr>
                      <w:rFonts w:hint="default" w:cs="Times New Roman"/>
                      <w:color w:val="auto"/>
                      <w:sz w:val="21"/>
                      <w:szCs w:val="21"/>
                      <w:highlight w:val="none"/>
                      <w:lang w:val="en-US" w:eastAsia="zh-CN"/>
                    </w:rPr>
                  </w:pPr>
                  <w:r>
                    <w:rPr>
                      <w:rFonts w:hint="eastAsia" w:cs="Times New Roman"/>
                      <w:color w:val="auto"/>
                      <w:sz w:val="21"/>
                      <w:szCs w:val="21"/>
                      <w:highlight w:val="none"/>
                      <w:lang w:val="en-US" w:eastAsia="zh-CN"/>
                    </w:rPr>
                    <w:t>0.5625</w:t>
                  </w:r>
                </w:p>
              </w:tc>
              <w:tc>
                <w:tcPr>
                  <w:tcW w:w="442" w:type="pct"/>
                  <w:tcBorders>
                    <w:tl2br w:val="nil"/>
                    <w:tr2bl w:val="nil"/>
                  </w:tcBorders>
                  <w:noWrap w:val="0"/>
                  <w:vAlign w:val="center"/>
                </w:tcPr>
                <w:p w14:paraId="4396E65D">
                  <w:pPr>
                    <w:keepNext w:val="0"/>
                    <w:keepLines w:val="0"/>
                    <w:pageBreakBefore w:val="0"/>
                    <w:widowControl w:val="0"/>
                    <w:kinsoku/>
                    <w:wordWrap/>
                    <w:overflowPunct/>
                    <w:topLinePunct w:val="0"/>
                    <w:autoSpaceDE/>
                    <w:autoSpaceDN/>
                    <w:bidi w:val="0"/>
                    <w:spacing w:line="240" w:lineRule="auto"/>
                    <w:jc w:val="center"/>
                    <w:textAlignment w:val="auto"/>
                    <w:rPr>
                      <w:rFonts w:hint="default" w:cs="Times New Roman"/>
                      <w:sz w:val="21"/>
                      <w:szCs w:val="21"/>
                      <w:highlight w:val="none"/>
                      <w:lang w:val="en-US" w:eastAsia="zh-CN"/>
                    </w:rPr>
                  </w:pPr>
                  <w:r>
                    <w:rPr>
                      <w:rFonts w:hint="eastAsia" w:cs="Times New Roman"/>
                      <w:sz w:val="21"/>
                      <w:szCs w:val="21"/>
                      <w:highlight w:val="none"/>
                      <w:lang w:val="en-US" w:eastAsia="zh-CN"/>
                    </w:rPr>
                    <w:t>0.00405</w:t>
                  </w:r>
                </w:p>
              </w:tc>
              <w:tc>
                <w:tcPr>
                  <w:tcW w:w="1022" w:type="pct"/>
                  <w:tcBorders>
                    <w:tl2br w:val="nil"/>
                    <w:tr2bl w:val="nil"/>
                  </w:tcBorders>
                  <w:noWrap w:val="0"/>
                  <w:vAlign w:val="center"/>
                </w:tcPr>
                <w:p w14:paraId="394E6DB2">
                  <w:pPr>
                    <w:keepNext w:val="0"/>
                    <w:keepLines w:val="0"/>
                    <w:pageBreakBefore w:val="0"/>
                    <w:widowControl w:val="0"/>
                    <w:kinsoku/>
                    <w:wordWrap/>
                    <w:overflowPunct/>
                    <w:topLinePunct w:val="0"/>
                    <w:autoSpaceDE/>
                    <w:autoSpaceDN/>
                    <w:bidi w:val="0"/>
                    <w:spacing w:line="240" w:lineRule="auto"/>
                    <w:jc w:val="center"/>
                    <w:textAlignment w:val="auto"/>
                    <w:rPr>
                      <w:rFonts w:hint="eastAsia"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《餐饮业大气污染物排放标准》（DB13/5808-2023）/《唐山市餐饮油烟污染治理专项方案》（唐气领办〔2021〕58号）限值为1.0mg/m</w:t>
                  </w:r>
                  <w:r>
                    <w:rPr>
                      <w:rFonts w:hint="eastAsia" w:ascii="Times New Roman" w:hAnsi="Times New Roman" w:eastAsia="宋体" w:cs="Times New Roman"/>
                      <w:sz w:val="21"/>
                      <w:szCs w:val="21"/>
                      <w:highlight w:val="none"/>
                      <w:vertAlign w:val="superscript"/>
                      <w:lang w:val="en-US" w:eastAsia="zh-CN"/>
                    </w:rPr>
                    <w:t>3</w:t>
                  </w:r>
                </w:p>
              </w:tc>
            </w:tr>
            <w:tr w14:paraId="1FED84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428" w:type="pct"/>
                  <w:tcBorders>
                    <w:tl2br w:val="nil"/>
                    <w:tr2bl w:val="nil"/>
                  </w:tcBorders>
                  <w:noWrap w:val="0"/>
                  <w:vAlign w:val="center"/>
                </w:tcPr>
                <w:p w14:paraId="1C6EF077">
                  <w:pPr>
                    <w:keepNext w:val="0"/>
                    <w:keepLines w:val="0"/>
                    <w:pageBreakBefore w:val="0"/>
                    <w:widowControl w:val="0"/>
                    <w:kinsoku/>
                    <w:wordWrap/>
                    <w:overflowPunct/>
                    <w:topLinePunct w:val="0"/>
                    <w:autoSpaceDE/>
                    <w:autoSpaceDN/>
                    <w:bidi w:val="0"/>
                    <w:spacing w:line="240" w:lineRule="auto"/>
                    <w:jc w:val="center"/>
                    <w:textAlignment w:val="auto"/>
                    <w:rPr>
                      <w:rFonts w:hint="default" w:ascii="Times New Roman" w:hAnsi="Times New Roman" w:eastAsia="宋体" w:cs="Times New Roman"/>
                      <w:sz w:val="21"/>
                      <w:szCs w:val="21"/>
                      <w:highlight w:val="none"/>
                      <w:lang w:val="en-US" w:eastAsia="zh-CN"/>
                    </w:rPr>
                  </w:pPr>
                  <w:r>
                    <w:rPr>
                      <w:rFonts w:hint="eastAsia" w:cs="Times New Roman"/>
                      <w:sz w:val="21"/>
                      <w:szCs w:val="21"/>
                      <w:highlight w:val="none"/>
                      <w:lang w:val="en-US" w:eastAsia="zh-CN"/>
                    </w:rPr>
                    <w:t>厂界无组织</w:t>
                  </w:r>
                </w:p>
              </w:tc>
              <w:tc>
                <w:tcPr>
                  <w:tcW w:w="358" w:type="pct"/>
                  <w:tcBorders>
                    <w:tl2br w:val="nil"/>
                    <w:tr2bl w:val="nil"/>
                  </w:tcBorders>
                  <w:noWrap w:val="0"/>
                  <w:vAlign w:val="center"/>
                </w:tcPr>
                <w:p w14:paraId="24765FEE">
                  <w:pPr>
                    <w:keepNext w:val="0"/>
                    <w:keepLines w:val="0"/>
                    <w:pageBreakBefore w:val="0"/>
                    <w:widowControl w:val="0"/>
                    <w:kinsoku/>
                    <w:wordWrap/>
                    <w:overflowPunct/>
                    <w:topLinePunct w:val="0"/>
                    <w:autoSpaceDE/>
                    <w:autoSpaceDN/>
                    <w:bidi w:val="0"/>
                    <w:spacing w:line="240" w:lineRule="auto"/>
                    <w:jc w:val="center"/>
                    <w:textAlignment w:val="auto"/>
                    <w:rPr>
                      <w:rFonts w:hint="default" w:ascii="Times New Roman" w:hAnsi="Times New Roman" w:cs="Times New Roman"/>
                      <w:sz w:val="21"/>
                      <w:szCs w:val="21"/>
                      <w:highlight w:val="none"/>
                      <w:lang w:val="en-US" w:eastAsia="zh-CN"/>
                    </w:rPr>
                  </w:pPr>
                  <w:r>
                    <w:rPr>
                      <w:rFonts w:hint="eastAsia" w:cs="Times New Roman"/>
                      <w:sz w:val="21"/>
                      <w:szCs w:val="21"/>
                      <w:highlight w:val="none"/>
                      <w:lang w:val="en-US" w:eastAsia="zh-CN"/>
                    </w:rPr>
                    <w:t>颗粒物</w:t>
                  </w:r>
                </w:p>
              </w:tc>
              <w:tc>
                <w:tcPr>
                  <w:tcW w:w="273" w:type="pct"/>
                  <w:tcBorders>
                    <w:tl2br w:val="nil"/>
                    <w:tr2bl w:val="nil"/>
                  </w:tcBorders>
                  <w:noWrap w:val="0"/>
                  <w:vAlign w:val="center"/>
                </w:tcPr>
                <w:p w14:paraId="24885C60">
                  <w:pPr>
                    <w:keepNext w:val="0"/>
                    <w:keepLines w:val="0"/>
                    <w:pageBreakBefore w:val="0"/>
                    <w:widowControl w:val="0"/>
                    <w:kinsoku/>
                    <w:wordWrap/>
                    <w:overflowPunct/>
                    <w:topLinePunct w:val="0"/>
                    <w:autoSpaceDE/>
                    <w:autoSpaceDN/>
                    <w:bidi w:val="0"/>
                    <w:spacing w:line="240" w:lineRule="auto"/>
                    <w:jc w:val="center"/>
                    <w:textAlignment w:val="auto"/>
                    <w:rPr>
                      <w:rFonts w:hint="default" w:ascii="Times New Roman" w:hAnsi="Times New Roman" w:cs="Times New Roman"/>
                      <w:sz w:val="21"/>
                      <w:szCs w:val="21"/>
                      <w:highlight w:val="none"/>
                      <w:lang w:val="en-US" w:eastAsia="zh-CN"/>
                    </w:rPr>
                  </w:pPr>
                  <w:r>
                    <w:rPr>
                      <w:rFonts w:hint="eastAsia" w:cs="Times New Roman"/>
                      <w:sz w:val="21"/>
                      <w:szCs w:val="21"/>
                      <w:highlight w:val="none"/>
                      <w:lang w:val="en-US" w:eastAsia="zh-CN"/>
                    </w:rPr>
                    <w:t>/</w:t>
                  </w:r>
                </w:p>
              </w:tc>
              <w:tc>
                <w:tcPr>
                  <w:tcW w:w="259" w:type="pct"/>
                  <w:tcBorders>
                    <w:tl2br w:val="nil"/>
                    <w:tr2bl w:val="nil"/>
                  </w:tcBorders>
                  <w:noWrap w:val="0"/>
                  <w:vAlign w:val="center"/>
                </w:tcPr>
                <w:p w14:paraId="15C93F75">
                  <w:pPr>
                    <w:keepNext w:val="0"/>
                    <w:keepLines w:val="0"/>
                    <w:pageBreakBefore w:val="0"/>
                    <w:widowControl w:val="0"/>
                    <w:kinsoku/>
                    <w:wordWrap/>
                    <w:overflowPunct/>
                    <w:topLinePunct w:val="0"/>
                    <w:autoSpaceDE/>
                    <w:autoSpaceDN/>
                    <w:bidi w:val="0"/>
                    <w:spacing w:line="240" w:lineRule="auto"/>
                    <w:jc w:val="center"/>
                    <w:textAlignment w:val="auto"/>
                    <w:rPr>
                      <w:rFonts w:hint="default" w:cs="Times New Roman"/>
                      <w:sz w:val="21"/>
                      <w:szCs w:val="21"/>
                      <w:highlight w:val="none"/>
                      <w:lang w:val="en-US" w:eastAsia="zh-CN"/>
                    </w:rPr>
                  </w:pPr>
                  <w:r>
                    <w:rPr>
                      <w:rFonts w:hint="eastAsia" w:cs="Times New Roman"/>
                      <w:sz w:val="21"/>
                      <w:szCs w:val="21"/>
                      <w:highlight w:val="none"/>
                      <w:lang w:val="en-US" w:eastAsia="zh-CN"/>
                    </w:rPr>
                    <w:t>/</w:t>
                  </w:r>
                </w:p>
              </w:tc>
              <w:tc>
                <w:tcPr>
                  <w:tcW w:w="230" w:type="pct"/>
                  <w:tcBorders>
                    <w:tl2br w:val="nil"/>
                    <w:tr2bl w:val="nil"/>
                  </w:tcBorders>
                  <w:noWrap w:val="0"/>
                  <w:vAlign w:val="center"/>
                </w:tcPr>
                <w:p w14:paraId="70A81343">
                  <w:pPr>
                    <w:keepNext w:val="0"/>
                    <w:keepLines w:val="0"/>
                    <w:pageBreakBefore w:val="0"/>
                    <w:widowControl w:val="0"/>
                    <w:kinsoku/>
                    <w:wordWrap/>
                    <w:overflowPunct/>
                    <w:topLinePunct w:val="0"/>
                    <w:autoSpaceDE/>
                    <w:autoSpaceDN/>
                    <w:bidi w:val="0"/>
                    <w:spacing w:line="240" w:lineRule="auto"/>
                    <w:jc w:val="center"/>
                    <w:textAlignment w:val="auto"/>
                    <w:rPr>
                      <w:rFonts w:hint="eastAsia" w:ascii="Times New Roman" w:hAnsi="Times New Roman" w:eastAsia="宋体" w:cs="Times New Roman"/>
                      <w:sz w:val="21"/>
                      <w:szCs w:val="21"/>
                      <w:highlight w:val="none"/>
                      <w:lang w:val="en-US" w:eastAsia="zh-CN"/>
                    </w:rPr>
                  </w:pPr>
                  <w:r>
                    <w:rPr>
                      <w:rFonts w:hint="eastAsia" w:cs="Times New Roman"/>
                      <w:sz w:val="21"/>
                      <w:szCs w:val="21"/>
                      <w:highlight w:val="none"/>
                      <w:lang w:val="en-US" w:eastAsia="zh-CN"/>
                    </w:rPr>
                    <w:t>无组织</w:t>
                  </w:r>
                </w:p>
              </w:tc>
              <w:tc>
                <w:tcPr>
                  <w:tcW w:w="298" w:type="pct"/>
                  <w:tcBorders>
                    <w:tl2br w:val="nil"/>
                    <w:tr2bl w:val="nil"/>
                  </w:tcBorders>
                  <w:noWrap w:val="0"/>
                  <w:vAlign w:val="center"/>
                </w:tcPr>
                <w:p w14:paraId="54FC314A">
                  <w:pPr>
                    <w:keepNext w:val="0"/>
                    <w:keepLines w:val="0"/>
                    <w:pageBreakBefore w:val="0"/>
                    <w:widowControl w:val="0"/>
                    <w:kinsoku/>
                    <w:wordWrap/>
                    <w:overflowPunct/>
                    <w:topLinePunct w:val="0"/>
                    <w:autoSpaceDE/>
                    <w:autoSpaceDN/>
                    <w:bidi w:val="0"/>
                    <w:spacing w:line="240" w:lineRule="auto"/>
                    <w:jc w:val="center"/>
                    <w:textAlignment w:val="auto"/>
                    <w:rPr>
                      <w:rFonts w:hint="default" w:cs="Times New Roman"/>
                      <w:sz w:val="21"/>
                      <w:szCs w:val="21"/>
                      <w:highlight w:val="none"/>
                      <w:lang w:val="en-US" w:eastAsia="zh-CN"/>
                    </w:rPr>
                  </w:pPr>
                  <w:r>
                    <w:rPr>
                      <w:rFonts w:hint="eastAsia" w:cs="Times New Roman"/>
                      <w:sz w:val="21"/>
                      <w:szCs w:val="21"/>
                      <w:highlight w:val="none"/>
                      <w:lang w:val="en-US" w:eastAsia="zh-CN"/>
                    </w:rPr>
                    <w:t>喷淋抑尘系统、封闭车间</w:t>
                  </w:r>
                </w:p>
              </w:tc>
              <w:tc>
                <w:tcPr>
                  <w:tcW w:w="363" w:type="pct"/>
                  <w:tcBorders>
                    <w:tl2br w:val="nil"/>
                    <w:tr2bl w:val="nil"/>
                  </w:tcBorders>
                  <w:noWrap w:val="0"/>
                  <w:vAlign w:val="center"/>
                </w:tcPr>
                <w:p w14:paraId="55D4C35A">
                  <w:pPr>
                    <w:keepNext w:val="0"/>
                    <w:keepLines w:val="0"/>
                    <w:pageBreakBefore w:val="0"/>
                    <w:widowControl w:val="0"/>
                    <w:kinsoku/>
                    <w:wordWrap/>
                    <w:overflowPunct/>
                    <w:topLinePunct w:val="0"/>
                    <w:autoSpaceDE/>
                    <w:autoSpaceDN/>
                    <w:bidi w:val="0"/>
                    <w:spacing w:line="240" w:lineRule="auto"/>
                    <w:jc w:val="center"/>
                    <w:textAlignment w:val="auto"/>
                    <w:rPr>
                      <w:rFonts w:hint="eastAsia" w:ascii="Times New Roman" w:hAnsi="Times New Roman" w:eastAsia="宋体" w:cs="Times New Roman"/>
                      <w:sz w:val="21"/>
                      <w:szCs w:val="21"/>
                      <w:highlight w:val="none"/>
                      <w:lang w:val="en-US" w:eastAsia="zh-CN"/>
                    </w:rPr>
                  </w:pPr>
                  <w:r>
                    <w:rPr>
                      <w:rFonts w:hint="eastAsia" w:cs="Times New Roman"/>
                      <w:sz w:val="21"/>
                      <w:szCs w:val="21"/>
                      <w:highlight w:val="none"/>
                      <w:lang w:val="en-US" w:eastAsia="zh-CN"/>
                    </w:rPr>
                    <w:t>/</w:t>
                  </w:r>
                </w:p>
              </w:tc>
              <w:tc>
                <w:tcPr>
                  <w:tcW w:w="343" w:type="pct"/>
                  <w:tcBorders>
                    <w:tl2br w:val="nil"/>
                    <w:tr2bl w:val="nil"/>
                  </w:tcBorders>
                  <w:noWrap w:val="0"/>
                  <w:vAlign w:val="center"/>
                </w:tcPr>
                <w:p w14:paraId="3D2EC48D">
                  <w:pPr>
                    <w:keepNext w:val="0"/>
                    <w:keepLines w:val="0"/>
                    <w:pageBreakBefore w:val="0"/>
                    <w:widowControl w:val="0"/>
                    <w:kinsoku/>
                    <w:wordWrap/>
                    <w:overflowPunct/>
                    <w:topLinePunct w:val="0"/>
                    <w:autoSpaceDE/>
                    <w:autoSpaceDN/>
                    <w:bidi w:val="0"/>
                    <w:spacing w:line="240" w:lineRule="auto"/>
                    <w:jc w:val="center"/>
                    <w:textAlignment w:val="auto"/>
                    <w:rPr>
                      <w:rFonts w:hint="default" w:ascii="Times New Roman" w:hAnsi="Times New Roman" w:cs="Times New Roman"/>
                      <w:sz w:val="21"/>
                      <w:szCs w:val="21"/>
                      <w:highlight w:val="none"/>
                      <w:lang w:val="en-US" w:eastAsia="zh-CN"/>
                    </w:rPr>
                  </w:pPr>
                  <w:r>
                    <w:rPr>
                      <w:rFonts w:hint="eastAsia" w:cs="Times New Roman"/>
                      <w:sz w:val="21"/>
                      <w:szCs w:val="21"/>
                      <w:highlight w:val="none"/>
                      <w:lang w:val="en-US" w:eastAsia="zh-CN"/>
                    </w:rPr>
                    <w:t>/</w:t>
                  </w:r>
                </w:p>
              </w:tc>
              <w:tc>
                <w:tcPr>
                  <w:tcW w:w="356" w:type="pct"/>
                  <w:tcBorders>
                    <w:tl2br w:val="nil"/>
                    <w:tr2bl w:val="nil"/>
                  </w:tcBorders>
                  <w:noWrap w:val="0"/>
                  <w:vAlign w:val="center"/>
                </w:tcPr>
                <w:p w14:paraId="33C97E47">
                  <w:pPr>
                    <w:keepNext w:val="0"/>
                    <w:keepLines w:val="0"/>
                    <w:pageBreakBefore w:val="0"/>
                    <w:widowControl w:val="0"/>
                    <w:kinsoku/>
                    <w:wordWrap/>
                    <w:overflowPunct/>
                    <w:topLinePunct w:val="0"/>
                    <w:autoSpaceDE/>
                    <w:autoSpaceDN/>
                    <w:bidi w:val="0"/>
                    <w:snapToGrid w:val="0"/>
                    <w:spacing w:line="240" w:lineRule="auto"/>
                    <w:jc w:val="center"/>
                    <w:textAlignment w:val="auto"/>
                    <w:rPr>
                      <w:rFonts w:hint="default"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是</w:t>
                  </w:r>
                </w:p>
              </w:tc>
              <w:tc>
                <w:tcPr>
                  <w:tcW w:w="318" w:type="pct"/>
                  <w:tcBorders>
                    <w:tl2br w:val="nil"/>
                    <w:tr2bl w:val="nil"/>
                  </w:tcBorders>
                  <w:noWrap w:val="0"/>
                  <w:vAlign w:val="center"/>
                </w:tcPr>
                <w:p w14:paraId="15271A03">
                  <w:pPr>
                    <w:keepNext w:val="0"/>
                    <w:keepLines w:val="0"/>
                    <w:pageBreakBefore w:val="0"/>
                    <w:widowControl w:val="0"/>
                    <w:kinsoku/>
                    <w:wordWrap/>
                    <w:overflowPunct/>
                    <w:topLinePunct w:val="0"/>
                    <w:autoSpaceDE/>
                    <w:autoSpaceDN/>
                    <w:bidi w:val="0"/>
                    <w:spacing w:line="240" w:lineRule="auto"/>
                    <w:jc w:val="center"/>
                    <w:textAlignment w:val="auto"/>
                    <w:rPr>
                      <w:rFonts w:hint="default" w:ascii="Times New Roman" w:hAnsi="Times New Roman" w:cs="Times New Roman"/>
                      <w:sz w:val="21"/>
                      <w:szCs w:val="21"/>
                      <w:highlight w:val="none"/>
                      <w:lang w:val="en-US" w:eastAsia="zh-CN"/>
                    </w:rPr>
                  </w:pPr>
                  <w:r>
                    <w:rPr>
                      <w:rFonts w:hint="eastAsia" w:cs="Times New Roman"/>
                      <w:sz w:val="21"/>
                      <w:szCs w:val="21"/>
                      <w:highlight w:val="none"/>
                      <w:lang w:val="en-US" w:eastAsia="zh-CN"/>
                    </w:rPr>
                    <w:t>0.05</w:t>
                  </w:r>
                </w:p>
              </w:tc>
              <w:tc>
                <w:tcPr>
                  <w:tcW w:w="308" w:type="pct"/>
                  <w:tcBorders>
                    <w:tl2br w:val="nil"/>
                    <w:tr2bl w:val="nil"/>
                  </w:tcBorders>
                  <w:noWrap w:val="0"/>
                  <w:vAlign w:val="center"/>
                </w:tcPr>
                <w:p w14:paraId="71364968">
                  <w:pPr>
                    <w:keepNext w:val="0"/>
                    <w:keepLines w:val="0"/>
                    <w:pageBreakBefore w:val="0"/>
                    <w:widowControl w:val="0"/>
                    <w:kinsoku/>
                    <w:wordWrap/>
                    <w:overflowPunct/>
                    <w:topLinePunct w:val="0"/>
                    <w:autoSpaceDE/>
                    <w:autoSpaceDN/>
                    <w:bidi w:val="0"/>
                    <w:spacing w:line="240" w:lineRule="auto"/>
                    <w:jc w:val="center"/>
                    <w:textAlignment w:val="auto"/>
                    <w:rPr>
                      <w:rFonts w:hint="default" w:cs="Times New Roman"/>
                      <w:sz w:val="21"/>
                      <w:szCs w:val="21"/>
                      <w:highlight w:val="none"/>
                      <w:lang w:val="en-US" w:eastAsia="zh-CN"/>
                    </w:rPr>
                  </w:pPr>
                  <w:r>
                    <w:rPr>
                      <w:rFonts w:hint="eastAsia" w:cs="Times New Roman"/>
                      <w:sz w:val="21"/>
                      <w:szCs w:val="21"/>
                      <w:highlight w:val="none"/>
                      <w:lang w:val="en-US" w:eastAsia="zh-CN"/>
                    </w:rPr>
                    <w:t>/</w:t>
                  </w:r>
                </w:p>
              </w:tc>
              <w:tc>
                <w:tcPr>
                  <w:tcW w:w="442" w:type="pct"/>
                  <w:tcBorders>
                    <w:tl2br w:val="nil"/>
                    <w:tr2bl w:val="nil"/>
                  </w:tcBorders>
                  <w:noWrap w:val="0"/>
                  <w:vAlign w:val="center"/>
                </w:tcPr>
                <w:p w14:paraId="5B996C46">
                  <w:pPr>
                    <w:keepNext w:val="0"/>
                    <w:keepLines w:val="0"/>
                    <w:pageBreakBefore w:val="0"/>
                    <w:widowControl w:val="0"/>
                    <w:kinsoku/>
                    <w:wordWrap/>
                    <w:overflowPunct/>
                    <w:topLinePunct w:val="0"/>
                    <w:autoSpaceDE/>
                    <w:autoSpaceDN/>
                    <w:bidi w:val="0"/>
                    <w:spacing w:line="240" w:lineRule="auto"/>
                    <w:jc w:val="center"/>
                    <w:textAlignment w:val="auto"/>
                    <w:rPr>
                      <w:rFonts w:hint="default"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0.3645</w:t>
                  </w:r>
                </w:p>
              </w:tc>
              <w:tc>
                <w:tcPr>
                  <w:tcW w:w="1022" w:type="pct"/>
                  <w:tcBorders>
                    <w:tl2br w:val="nil"/>
                    <w:tr2bl w:val="nil"/>
                  </w:tcBorders>
                  <w:noWrap w:val="0"/>
                  <w:vAlign w:val="center"/>
                </w:tcPr>
                <w:p w14:paraId="4068A3C8">
                  <w:pPr>
                    <w:keepNext w:val="0"/>
                    <w:keepLines w:val="0"/>
                    <w:pageBreakBefore w:val="0"/>
                    <w:widowControl w:val="0"/>
                    <w:kinsoku/>
                    <w:wordWrap/>
                    <w:overflowPunct/>
                    <w:topLinePunct w:val="0"/>
                    <w:autoSpaceDE/>
                    <w:autoSpaceDN/>
                    <w:bidi w:val="0"/>
                    <w:spacing w:line="240" w:lineRule="auto"/>
                    <w:jc w:val="center"/>
                    <w:textAlignment w:val="auto"/>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炼焦化学工业大气污染物超低排放标准》(DB13/2863-2018)表2企业边界大气污染物排放限值</w:t>
                  </w:r>
                  <w:r>
                    <w:rPr>
                      <w:rFonts w:hint="default" w:ascii="Times New Roman" w:hAnsi="Times New Roman" w:eastAsia="宋体" w:cs="Times New Roman"/>
                      <w:sz w:val="21"/>
                      <w:szCs w:val="21"/>
                      <w:highlight w:val="none"/>
                      <w:lang w:val="en-US" w:eastAsia="zh-CN"/>
                    </w:rPr>
                    <w:t>1.0mg/m</w:t>
                  </w:r>
                  <w:r>
                    <w:rPr>
                      <w:rFonts w:hint="eastAsia" w:ascii="Times New Roman" w:hAnsi="Times New Roman" w:eastAsia="宋体" w:cs="Times New Roman"/>
                      <w:sz w:val="21"/>
                      <w:szCs w:val="21"/>
                      <w:highlight w:val="none"/>
                      <w:vertAlign w:val="superscript"/>
                      <w:lang w:val="en-US" w:eastAsia="zh-CN"/>
                    </w:rPr>
                    <w:t>3</w:t>
                  </w:r>
                </w:p>
              </w:tc>
            </w:tr>
          </w:tbl>
          <w:p w14:paraId="788C0D2C">
            <w:pPr>
              <w:adjustRightInd w:val="0"/>
              <w:snapToGrid w:val="0"/>
              <w:rPr>
                <w:rFonts w:ascii="宋体" w:hAnsi="宋体" w:cs="宋体"/>
                <w:bCs/>
                <w:spacing w:val="-10"/>
                <w:szCs w:val="21"/>
                <w:highlight w:val="none"/>
              </w:rPr>
            </w:pPr>
          </w:p>
        </w:tc>
      </w:tr>
    </w:tbl>
    <w:p w14:paraId="34BF68BC">
      <w:pPr>
        <w:adjustRightInd w:val="0"/>
        <w:snapToGrid w:val="0"/>
        <w:spacing w:line="360" w:lineRule="auto"/>
        <w:rPr>
          <w:rFonts w:hint="eastAsia" w:ascii="宋体" w:cs="宋体"/>
          <w:b/>
          <w:kern w:val="0"/>
          <w:sz w:val="28"/>
          <w:szCs w:val="28"/>
          <w:highlight w:val="red"/>
        </w:rPr>
        <w:sectPr>
          <w:pgSz w:w="16838" w:h="11905" w:orient="landscape"/>
          <w:pgMar w:top="1531" w:right="1701" w:bottom="1531" w:left="2126" w:header="851" w:footer="850" w:gutter="0"/>
          <w:pgBorders>
            <w:top w:val="none" w:sz="0" w:space="0"/>
            <w:left w:val="none" w:sz="0" w:space="0"/>
            <w:bottom w:val="none" w:sz="0" w:space="0"/>
            <w:right w:val="none" w:sz="0" w:space="0"/>
          </w:pgBorders>
          <w:pgNumType w:fmt="decimal"/>
          <w:cols w:space="720" w:num="1"/>
          <w:rtlGutter w:val="0"/>
          <w:docGrid w:linePitch="312" w:charSpace="0"/>
        </w:sectPr>
      </w:pPr>
    </w:p>
    <w:tbl>
      <w:tblPr>
        <w:tblStyle w:val="26"/>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52"/>
        <w:gridCol w:w="8407"/>
      </w:tblGrid>
      <w:tr w14:paraId="102C8A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66" w:hRule="atLeast"/>
        </w:trPr>
        <w:tc>
          <w:tcPr>
            <w:tcW w:w="360" w:type="pct"/>
            <w:noWrap w:val="0"/>
            <w:vAlign w:val="top"/>
          </w:tcPr>
          <w:p w14:paraId="059E2377">
            <w:pPr>
              <w:adjustRightInd w:val="0"/>
              <w:snapToGrid w:val="0"/>
              <w:spacing w:line="360" w:lineRule="auto"/>
              <w:rPr>
                <w:rFonts w:hint="eastAsia" w:ascii="宋体" w:cs="宋体"/>
                <w:b/>
                <w:kern w:val="0"/>
                <w:sz w:val="28"/>
                <w:szCs w:val="28"/>
                <w:highlight w:val="none"/>
                <w:vertAlign w:val="baseline"/>
              </w:rPr>
            </w:pPr>
          </w:p>
        </w:tc>
        <w:tc>
          <w:tcPr>
            <w:tcW w:w="4639" w:type="pct"/>
            <w:noWrap w:val="0"/>
            <w:vAlign w:val="top"/>
          </w:tcPr>
          <w:p w14:paraId="658B582B">
            <w:pPr>
              <w:keepNext w:val="0"/>
              <w:keepLines w:val="0"/>
              <w:pageBreakBefore w:val="0"/>
              <w:widowControl/>
              <w:suppressLineNumbers w:val="0"/>
              <w:kinsoku/>
              <w:wordWrap/>
              <w:overflowPunct/>
              <w:topLinePunct w:val="0"/>
              <w:autoSpaceDE/>
              <w:autoSpaceDN/>
              <w:bidi w:val="0"/>
              <w:adjustRightInd/>
              <w:snapToGrid/>
              <w:spacing w:line="500" w:lineRule="exact"/>
              <w:jc w:val="left"/>
              <w:textAlignment w:val="auto"/>
            </w:pPr>
            <w:r>
              <w:rPr>
                <w:rFonts w:hint="eastAsia" w:ascii="宋体" w:hAnsi="宋体" w:eastAsia="宋体" w:cs="宋体"/>
                <w:b/>
                <w:bCs/>
                <w:color w:val="000000"/>
                <w:kern w:val="0"/>
                <w:sz w:val="24"/>
                <w:szCs w:val="24"/>
                <w:lang w:val="en-US" w:eastAsia="zh-CN" w:bidi="ar"/>
              </w:rPr>
              <w:t>一、大气环境影响分析</w:t>
            </w:r>
          </w:p>
          <w:p w14:paraId="3291A55A">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sz w:val="24"/>
                <w:szCs w:val="24"/>
                <w:highlight w:val="none"/>
              </w:rPr>
            </w:pPr>
            <w:r>
              <w:rPr>
                <w:rFonts w:hint="default" w:ascii="Times New Roman" w:hAnsi="Times New Roman" w:eastAsia="宋体" w:cs="Times New Roman"/>
                <w:b w:val="0"/>
                <w:bCs w:val="0"/>
                <w:color w:val="000000"/>
                <w:sz w:val="24"/>
                <w:szCs w:val="24"/>
                <w:highlight w:val="none"/>
                <w:lang w:val="en-US" w:eastAsia="zh-CN"/>
              </w:rPr>
              <w:t>1</w:t>
            </w:r>
            <w:r>
              <w:rPr>
                <w:rFonts w:hint="eastAsia" w:ascii="Times New Roman" w:hAnsi="Times New Roman" w:eastAsia="宋体" w:cs="Times New Roman"/>
                <w:b w:val="0"/>
                <w:bCs w:val="0"/>
                <w:color w:val="000000"/>
                <w:sz w:val="24"/>
                <w:szCs w:val="24"/>
                <w:highlight w:val="none"/>
                <w:lang w:val="en-US" w:eastAsia="zh-CN"/>
              </w:rPr>
              <w:t>、污染源源强核算</w:t>
            </w:r>
          </w:p>
          <w:p w14:paraId="72C5B2D2">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eastAsia" w:cs="Times New Roman"/>
                <w:b w:val="0"/>
                <w:bCs w:val="0"/>
                <w:color w:val="000000"/>
                <w:sz w:val="24"/>
                <w:szCs w:val="24"/>
                <w:highlight w:val="none"/>
                <w:lang w:val="en-US" w:eastAsia="zh-CN"/>
              </w:rPr>
            </w:pPr>
            <w:r>
              <w:rPr>
                <w:rFonts w:hint="eastAsia" w:cs="Times New Roman"/>
                <w:b w:val="0"/>
                <w:bCs w:val="0"/>
                <w:color w:val="000000"/>
                <w:sz w:val="24"/>
                <w:szCs w:val="24"/>
                <w:highlight w:val="none"/>
                <w:lang w:val="en-US" w:eastAsia="zh-CN"/>
              </w:rPr>
              <w:t>（1）</w:t>
            </w:r>
            <w:r>
              <w:rPr>
                <w:rFonts w:hint="eastAsia" w:ascii="Times New Roman" w:hAnsi="Times New Roman" w:eastAsia="宋体" w:cs="Times New Roman"/>
                <w:b w:val="0"/>
                <w:bCs w:val="0"/>
                <w:color w:val="000000"/>
                <w:sz w:val="24"/>
                <w:szCs w:val="24"/>
                <w:highlight w:val="none"/>
                <w:lang w:val="en-US" w:eastAsia="zh-CN"/>
              </w:rPr>
              <w:t>有组织颗粒物源强核算</w:t>
            </w:r>
          </w:p>
          <w:p w14:paraId="3B554C14">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sz w:val="24"/>
                <w:szCs w:val="24"/>
                <w:highlight w:val="none"/>
                <w:lang w:val="en-US" w:eastAsia="zh-CN"/>
              </w:rPr>
            </w:pPr>
            <w:r>
              <w:rPr>
                <w:rFonts w:hint="eastAsia" w:cs="Times New Roman"/>
                <w:b w:val="0"/>
                <w:bCs w:val="0"/>
                <w:color w:val="000000"/>
                <w:sz w:val="24"/>
                <w:szCs w:val="24"/>
                <w:highlight w:val="none"/>
                <w:lang w:val="en-US" w:eastAsia="zh-CN"/>
              </w:rPr>
              <w:t>本项目给煤机上料口、原煤分级筛分、固定破碎工序会产生废气，拟在给煤机上料口、原煤分级筛上料口及出料口、固定破碎机上料口及出料口设置集气罩，废气经收集至1套</w:t>
            </w:r>
            <w:r>
              <w:rPr>
                <w:rFonts w:hint="eastAsia" w:cs="Times New Roman"/>
                <w:b w:val="0"/>
                <w:bCs w:val="0"/>
                <w:color w:val="000000"/>
                <w:kern w:val="0"/>
                <w:sz w:val="24"/>
                <w:szCs w:val="24"/>
                <w:highlight w:val="none"/>
                <w:vertAlign w:val="baseline"/>
                <w:lang w:val="en-US" w:eastAsia="zh-CN" w:bidi="ar"/>
              </w:rPr>
              <w:t>脉冲式布袋除尘器</w:t>
            </w:r>
            <w:r>
              <w:rPr>
                <w:rFonts w:hint="eastAsia" w:cs="Times New Roman"/>
                <w:b w:val="0"/>
                <w:bCs w:val="0"/>
                <w:color w:val="000000"/>
                <w:sz w:val="24"/>
                <w:szCs w:val="24"/>
                <w:highlight w:val="none"/>
                <w:lang w:val="en-US" w:eastAsia="zh-CN"/>
              </w:rPr>
              <w:t>处理后，由一根25m高排气筒（DA001）排放。移动破碎机上料口及出料口设置万向臂集气罩废气经收集至1套</w:t>
            </w:r>
            <w:r>
              <w:rPr>
                <w:rFonts w:hint="eastAsia" w:cs="Times New Roman"/>
                <w:b w:val="0"/>
                <w:bCs w:val="0"/>
                <w:color w:val="000000"/>
                <w:kern w:val="0"/>
                <w:sz w:val="24"/>
                <w:szCs w:val="24"/>
                <w:highlight w:val="none"/>
                <w:vertAlign w:val="baseline"/>
                <w:lang w:val="en-US" w:eastAsia="zh-CN" w:bidi="ar"/>
              </w:rPr>
              <w:t>脉冲式布袋除尘器</w:t>
            </w:r>
            <w:r>
              <w:rPr>
                <w:rFonts w:hint="eastAsia" w:cs="Times New Roman"/>
                <w:b w:val="0"/>
                <w:bCs w:val="0"/>
                <w:color w:val="000000"/>
                <w:sz w:val="24"/>
                <w:szCs w:val="24"/>
                <w:highlight w:val="none"/>
                <w:lang w:val="en-US" w:eastAsia="zh-CN"/>
              </w:rPr>
              <w:t>处理后，由一根25m高排气筒（DA002）排放。</w:t>
            </w:r>
          </w:p>
          <w:p w14:paraId="2B9D4886">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b w:val="0"/>
                <w:bCs w:val="0"/>
                <w:color w:val="000000"/>
                <w:sz w:val="24"/>
                <w:szCs w:val="24"/>
                <w:highlight w:val="none"/>
                <w:lang w:val="en-US" w:eastAsia="zh-CN"/>
              </w:rPr>
            </w:pPr>
            <w:r>
              <w:rPr>
                <w:rFonts w:hint="eastAsia" w:ascii="Times New Roman" w:hAnsi="Times New Roman" w:eastAsia="宋体" w:cs="Times New Roman"/>
                <w:b w:val="0"/>
                <w:bCs w:val="0"/>
                <w:color w:val="000000"/>
                <w:sz w:val="24"/>
                <w:szCs w:val="24"/>
                <w:highlight w:val="none"/>
                <w:lang w:val="en-US" w:eastAsia="zh-CN"/>
              </w:rPr>
              <w:t>根据《废气处理工程技术手册》、《局部排风设施控制风速检测与评估技术规范》中的相关要求，并结合本项目设备规模，集气罩口面积及集气罩距离污染产生源的距离见下表，按照以下经验公式计算得出各设备所需的风量Q。</w:t>
            </w:r>
          </w:p>
          <w:p w14:paraId="5AE31A0E">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cs="Times New Roman"/>
                <w:b w:val="0"/>
                <w:bCs w:val="0"/>
                <w:i w:val="0"/>
                <w:color w:val="000000"/>
                <w:sz w:val="24"/>
                <w:szCs w:val="24"/>
                <w:highlight w:val="none"/>
                <w:lang w:val="en-US" w:eastAsia="zh-CN"/>
              </w:rPr>
            </w:pPr>
            <m:oMathPara>
              <m:oMath>
                <m:r>
                  <m:rPr>
                    <m:sty m:val="p"/>
                  </m:rPr>
                  <w:rPr>
                    <w:rFonts w:hint="default" w:ascii="Cambria Math" w:hAnsi="Cambria Math" w:cs="Times New Roman"/>
                    <w:color w:val="000000"/>
                    <w:kern w:val="2"/>
                    <w:sz w:val="24"/>
                    <w:szCs w:val="24"/>
                    <w:highlight w:val="none"/>
                    <w:lang w:val="en-US" w:eastAsia="zh-CN" w:bidi="ar-SA"/>
                  </w:rPr>
                  <m:t>Q=3600</m:t>
                </m:r>
                <m:r>
                  <m:rPr>
                    <m:sty m:val="p"/>
                  </m:rPr>
                  <w:rPr>
                    <w:rFonts w:hint="default" w:ascii="Cambria Math" w:hAnsi="Cambria Math" w:eastAsia="宋体" w:cs="Times New Roman"/>
                    <w:color w:val="000000"/>
                    <w:sz w:val="24"/>
                    <w:szCs w:val="24"/>
                    <w:highlight w:val="none"/>
                    <w:lang w:val="en-US" w:eastAsia="zh-CN"/>
                  </w:rPr>
                  <m:t>×</m:t>
                </m:r>
                <m:r>
                  <m:rPr>
                    <m:sty m:val="p"/>
                  </m:rPr>
                  <w:rPr>
                    <w:rFonts w:hint="default" w:ascii="Cambria Math" w:hAnsi="Cambria Math" w:cs="Times New Roman"/>
                    <w:color w:val="000000"/>
                    <w:sz w:val="24"/>
                    <w:szCs w:val="24"/>
                    <w:highlight w:val="none"/>
                    <w:lang w:val="en-US" w:eastAsia="zh-CN"/>
                  </w:rPr>
                  <m:t>1.4pHVx</m:t>
                </m:r>
              </m:oMath>
            </m:oMathPara>
          </w:p>
          <w:p w14:paraId="45CB64F3">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b w:val="0"/>
                <w:bCs w:val="0"/>
                <w:color w:val="000000"/>
                <w:sz w:val="24"/>
                <w:szCs w:val="24"/>
                <w:highlight w:val="none"/>
                <w:lang w:val="en-US" w:eastAsia="zh-CN"/>
              </w:rPr>
            </w:pPr>
            <w:r>
              <w:rPr>
                <w:rFonts w:hint="eastAsia" w:ascii="Times New Roman" w:hAnsi="Times New Roman" w:eastAsia="宋体" w:cs="Times New Roman"/>
                <w:b w:val="0"/>
                <w:bCs w:val="0"/>
                <w:color w:val="000000"/>
                <w:sz w:val="24"/>
                <w:szCs w:val="24"/>
                <w:highlight w:val="none"/>
                <w:lang w:val="en-US" w:eastAsia="zh-CN"/>
              </w:rPr>
              <w:t>其中</w:t>
            </w:r>
            <w:r>
              <w:rPr>
                <w:rFonts w:hint="eastAsia" w:cs="Times New Roman"/>
                <w:b w:val="0"/>
                <w:bCs w:val="0"/>
                <w:color w:val="000000"/>
                <w:sz w:val="24"/>
                <w:szCs w:val="24"/>
                <w:highlight w:val="none"/>
                <w:lang w:val="en-US" w:eastAsia="zh-CN"/>
              </w:rPr>
              <w:t>：</w:t>
            </w:r>
            <w:r>
              <w:rPr>
                <w:rFonts w:hint="eastAsia" w:ascii="Times New Roman" w:hAnsi="Times New Roman" w:eastAsia="宋体" w:cs="Times New Roman"/>
                <w:b w:val="0"/>
                <w:bCs w:val="0"/>
                <w:color w:val="000000"/>
                <w:sz w:val="24"/>
                <w:szCs w:val="24"/>
                <w:highlight w:val="none"/>
                <w:lang w:val="en-US" w:eastAsia="zh-CN"/>
              </w:rPr>
              <w:t>Q</w:t>
            </w:r>
            <w:r>
              <w:rPr>
                <w:rFonts w:hint="eastAsia" w:cs="Times New Roman"/>
                <w:b w:val="0"/>
                <w:bCs w:val="0"/>
                <w:color w:val="000000"/>
                <w:sz w:val="24"/>
                <w:szCs w:val="24"/>
                <w:highlight w:val="none"/>
                <w:lang w:val="en-US" w:eastAsia="zh-CN"/>
              </w:rPr>
              <w:t>—</w:t>
            </w:r>
            <w:r>
              <w:rPr>
                <w:rFonts w:hint="eastAsia" w:ascii="Times New Roman" w:hAnsi="Times New Roman" w:eastAsia="宋体" w:cs="Times New Roman"/>
                <w:b w:val="0"/>
                <w:bCs w:val="0"/>
                <w:color w:val="000000"/>
                <w:sz w:val="24"/>
                <w:szCs w:val="24"/>
                <w:highlight w:val="none"/>
                <w:lang w:val="en-US" w:eastAsia="zh-CN"/>
              </w:rPr>
              <w:t>单个集气罩风量，m</w:t>
            </w:r>
            <w:r>
              <w:rPr>
                <w:rFonts w:hint="eastAsia" w:ascii="Times New Roman" w:hAnsi="Times New Roman" w:eastAsia="宋体" w:cs="Times New Roman"/>
                <w:b w:val="0"/>
                <w:bCs w:val="0"/>
                <w:color w:val="000000"/>
                <w:sz w:val="24"/>
                <w:szCs w:val="24"/>
                <w:highlight w:val="none"/>
                <w:vertAlign w:val="superscript"/>
                <w:lang w:val="en-US" w:eastAsia="zh-CN"/>
              </w:rPr>
              <w:t>3</w:t>
            </w:r>
            <w:r>
              <w:rPr>
                <w:rFonts w:hint="eastAsia" w:ascii="Times New Roman" w:hAnsi="Times New Roman" w:eastAsia="宋体" w:cs="Times New Roman"/>
                <w:b w:val="0"/>
                <w:bCs w:val="0"/>
                <w:color w:val="000000"/>
                <w:sz w:val="24"/>
                <w:szCs w:val="24"/>
                <w:highlight w:val="none"/>
                <w:lang w:val="en-US" w:eastAsia="zh-CN"/>
              </w:rPr>
              <w:t>/h</w:t>
            </w:r>
            <w:r>
              <w:rPr>
                <w:rFonts w:hint="eastAsia" w:cs="Times New Roman"/>
                <w:b w:val="0"/>
                <w:bCs w:val="0"/>
                <w:color w:val="000000"/>
                <w:sz w:val="24"/>
                <w:szCs w:val="24"/>
                <w:highlight w:val="none"/>
                <w:lang w:val="en-US" w:eastAsia="zh-CN"/>
              </w:rPr>
              <w:t>；</w:t>
            </w:r>
          </w:p>
          <w:p w14:paraId="40795F66">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b w:val="0"/>
                <w:bCs w:val="0"/>
                <w:color w:val="000000"/>
                <w:sz w:val="24"/>
                <w:szCs w:val="24"/>
                <w:highlight w:val="none"/>
                <w:lang w:val="en-US" w:eastAsia="zh-CN"/>
              </w:rPr>
            </w:pPr>
            <w:r>
              <w:rPr>
                <w:rFonts w:hint="eastAsia" w:ascii="Times New Roman" w:hAnsi="Times New Roman" w:eastAsia="宋体" w:cs="Times New Roman"/>
                <w:b w:val="0"/>
                <w:bCs w:val="0"/>
                <w:color w:val="000000"/>
                <w:sz w:val="24"/>
                <w:szCs w:val="24"/>
                <w:highlight w:val="none"/>
                <w:lang w:val="en-US" w:eastAsia="zh-CN"/>
              </w:rPr>
              <w:t>P</w:t>
            </w:r>
            <w:r>
              <w:rPr>
                <w:rFonts w:hint="eastAsia" w:cs="Times New Roman"/>
                <w:b w:val="0"/>
                <w:bCs w:val="0"/>
                <w:color w:val="000000"/>
                <w:sz w:val="24"/>
                <w:szCs w:val="24"/>
                <w:highlight w:val="none"/>
                <w:lang w:val="en-US" w:eastAsia="zh-CN"/>
              </w:rPr>
              <w:t>—</w:t>
            </w:r>
            <w:r>
              <w:rPr>
                <w:rFonts w:hint="eastAsia" w:ascii="Times New Roman" w:hAnsi="Times New Roman" w:eastAsia="宋体" w:cs="Times New Roman"/>
                <w:b w:val="0"/>
                <w:bCs w:val="0"/>
                <w:color w:val="000000"/>
                <w:sz w:val="24"/>
                <w:szCs w:val="24"/>
                <w:highlight w:val="none"/>
                <w:lang w:val="en-US" w:eastAsia="zh-CN"/>
              </w:rPr>
              <w:t>集气罩口周长，m</w:t>
            </w:r>
            <w:r>
              <w:rPr>
                <w:rFonts w:hint="eastAsia" w:cs="Times New Roman"/>
                <w:b w:val="0"/>
                <w:bCs w:val="0"/>
                <w:color w:val="000000"/>
                <w:sz w:val="24"/>
                <w:szCs w:val="24"/>
                <w:highlight w:val="none"/>
                <w:lang w:val="en-US" w:eastAsia="zh-CN"/>
              </w:rPr>
              <w:t>；</w:t>
            </w:r>
          </w:p>
          <w:p w14:paraId="1C169A0D">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b w:val="0"/>
                <w:bCs w:val="0"/>
                <w:color w:val="000000"/>
                <w:sz w:val="24"/>
                <w:szCs w:val="24"/>
                <w:highlight w:val="none"/>
                <w:lang w:val="en-US" w:eastAsia="zh-CN"/>
              </w:rPr>
            </w:pPr>
            <w:r>
              <w:rPr>
                <w:rFonts w:hint="eastAsia" w:ascii="Times New Roman" w:hAnsi="Times New Roman" w:eastAsia="宋体" w:cs="Times New Roman"/>
                <w:b w:val="0"/>
                <w:bCs w:val="0"/>
                <w:color w:val="000000"/>
                <w:sz w:val="24"/>
                <w:szCs w:val="24"/>
                <w:highlight w:val="none"/>
                <w:lang w:val="en-US" w:eastAsia="zh-CN"/>
              </w:rPr>
              <w:t>H</w:t>
            </w:r>
            <w:r>
              <w:rPr>
                <w:rFonts w:hint="eastAsia" w:cs="Times New Roman"/>
                <w:b w:val="0"/>
                <w:bCs w:val="0"/>
                <w:color w:val="000000"/>
                <w:sz w:val="24"/>
                <w:szCs w:val="24"/>
                <w:highlight w:val="none"/>
                <w:lang w:val="en-US" w:eastAsia="zh-CN"/>
              </w:rPr>
              <w:t>—</w:t>
            </w:r>
            <w:r>
              <w:rPr>
                <w:rFonts w:hint="eastAsia" w:ascii="Times New Roman" w:hAnsi="Times New Roman" w:eastAsia="宋体" w:cs="Times New Roman"/>
                <w:b w:val="0"/>
                <w:bCs w:val="0"/>
                <w:color w:val="000000"/>
                <w:sz w:val="24"/>
                <w:szCs w:val="24"/>
                <w:highlight w:val="none"/>
                <w:lang w:val="en-US" w:eastAsia="zh-CN"/>
              </w:rPr>
              <w:t>污染源至罩口距离，m</w:t>
            </w:r>
            <w:r>
              <w:rPr>
                <w:rFonts w:hint="eastAsia" w:cs="Times New Roman"/>
                <w:b w:val="0"/>
                <w:bCs w:val="0"/>
                <w:color w:val="000000"/>
                <w:sz w:val="24"/>
                <w:szCs w:val="24"/>
                <w:highlight w:val="none"/>
                <w:lang w:val="en-US" w:eastAsia="zh-CN"/>
              </w:rPr>
              <w:t>；</w:t>
            </w:r>
          </w:p>
          <w:p w14:paraId="3882723A">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b w:val="0"/>
                <w:bCs w:val="0"/>
                <w:color w:val="000000"/>
                <w:sz w:val="24"/>
                <w:szCs w:val="24"/>
                <w:highlight w:val="none"/>
                <w:lang w:val="en-US" w:eastAsia="zh-CN"/>
              </w:rPr>
            </w:pPr>
            <w:r>
              <w:rPr>
                <w:rFonts w:hint="eastAsia" w:cs="Times New Roman"/>
                <w:b w:val="0"/>
                <w:bCs w:val="0"/>
                <w:color w:val="000000"/>
                <w:sz w:val="24"/>
                <w:szCs w:val="24"/>
                <w:highlight w:val="none"/>
                <w:lang w:val="en-US" w:eastAsia="zh-CN"/>
              </w:rPr>
              <w:t>V</w:t>
            </w:r>
            <w:r>
              <w:rPr>
                <w:rFonts w:hint="eastAsia" w:ascii="Times New Roman" w:hAnsi="Times New Roman" w:eastAsia="宋体" w:cs="Times New Roman"/>
                <w:b w:val="0"/>
                <w:bCs w:val="0"/>
                <w:color w:val="000000"/>
                <w:sz w:val="24"/>
                <w:szCs w:val="24"/>
                <w:highlight w:val="none"/>
                <w:lang w:val="en-US" w:eastAsia="zh-CN"/>
              </w:rPr>
              <w:t>x</w:t>
            </w:r>
            <w:r>
              <w:rPr>
                <w:rFonts w:hint="eastAsia" w:cs="Times New Roman"/>
                <w:b w:val="0"/>
                <w:bCs w:val="0"/>
                <w:color w:val="000000"/>
                <w:sz w:val="24"/>
                <w:szCs w:val="24"/>
                <w:highlight w:val="none"/>
                <w:lang w:val="en-US" w:eastAsia="zh-CN"/>
              </w:rPr>
              <w:t>—</w:t>
            </w:r>
            <w:r>
              <w:rPr>
                <w:rFonts w:hint="eastAsia" w:ascii="Times New Roman" w:hAnsi="Times New Roman" w:eastAsia="宋体" w:cs="Times New Roman"/>
                <w:b w:val="0"/>
                <w:bCs w:val="0"/>
                <w:color w:val="000000"/>
                <w:sz w:val="24"/>
                <w:szCs w:val="24"/>
                <w:highlight w:val="none"/>
                <w:lang w:val="en-US" w:eastAsia="zh-CN"/>
              </w:rPr>
              <w:t>控制风速，m/s。</w:t>
            </w:r>
          </w:p>
          <w:p w14:paraId="5FFC800F">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b w:val="0"/>
                <w:bCs w:val="0"/>
                <w:color w:val="000000"/>
                <w:sz w:val="24"/>
                <w:szCs w:val="24"/>
                <w:highlight w:val="none"/>
                <w:lang w:val="en-US" w:eastAsia="zh-CN"/>
              </w:rPr>
            </w:pPr>
            <w:r>
              <w:rPr>
                <w:rFonts w:hint="eastAsia" w:ascii="Times New Roman" w:hAnsi="Times New Roman" w:eastAsia="宋体" w:cs="Times New Roman"/>
                <w:b w:val="0"/>
                <w:bCs w:val="0"/>
                <w:color w:val="000000"/>
                <w:sz w:val="24"/>
                <w:szCs w:val="24"/>
                <w:highlight w:val="none"/>
                <w:lang w:val="en-US" w:eastAsia="zh-CN"/>
              </w:rPr>
              <w:t>经计算，本项目废气收集装置设置情况及收集风量计算如下</w:t>
            </w:r>
            <w:r>
              <w:rPr>
                <w:rFonts w:hint="eastAsia" w:cs="Times New Roman"/>
                <w:b w:val="0"/>
                <w:bCs w:val="0"/>
                <w:color w:val="000000"/>
                <w:sz w:val="24"/>
                <w:szCs w:val="24"/>
                <w:highlight w:val="none"/>
                <w:lang w:val="en-US" w:eastAsia="zh-CN"/>
              </w:rPr>
              <w:t>：</w:t>
            </w:r>
          </w:p>
          <w:tbl>
            <w:tblPr>
              <w:tblStyle w:val="2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3"/>
              <w:gridCol w:w="1095"/>
              <w:gridCol w:w="1302"/>
              <w:gridCol w:w="1019"/>
              <w:gridCol w:w="1022"/>
              <w:gridCol w:w="1087"/>
              <w:gridCol w:w="900"/>
              <w:gridCol w:w="1122"/>
            </w:tblGrid>
            <w:tr w14:paraId="7D82B9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33" w:type="dxa"/>
                  <w:noWrap w:val="0"/>
                  <w:vAlign w:val="center"/>
                </w:tcPr>
                <w:p w14:paraId="5603563F">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序号</w:t>
                  </w:r>
                </w:p>
              </w:tc>
              <w:tc>
                <w:tcPr>
                  <w:tcW w:w="1095" w:type="dxa"/>
                  <w:noWrap w:val="0"/>
                  <w:vAlign w:val="center"/>
                </w:tcPr>
                <w:p w14:paraId="776B936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项目</w:t>
                  </w:r>
                </w:p>
              </w:tc>
              <w:tc>
                <w:tcPr>
                  <w:tcW w:w="1302" w:type="dxa"/>
                  <w:noWrap w:val="0"/>
                  <w:vAlign w:val="center"/>
                </w:tcPr>
                <w:p w14:paraId="4BCB1B0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集气罩尺寸</w:t>
                  </w:r>
                </w:p>
              </w:tc>
              <w:tc>
                <w:tcPr>
                  <w:tcW w:w="1019" w:type="dxa"/>
                  <w:noWrap w:val="0"/>
                  <w:vAlign w:val="center"/>
                </w:tcPr>
                <w:p w14:paraId="32EE3793">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至污染源的距离（m）</w:t>
                  </w:r>
                </w:p>
              </w:tc>
              <w:tc>
                <w:tcPr>
                  <w:tcW w:w="1022" w:type="dxa"/>
                  <w:noWrap w:val="0"/>
                  <w:vAlign w:val="center"/>
                </w:tcPr>
                <w:p w14:paraId="55E0781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控制风速（m/s）</w:t>
                  </w:r>
                </w:p>
              </w:tc>
              <w:tc>
                <w:tcPr>
                  <w:tcW w:w="1087" w:type="dxa"/>
                  <w:noWrap w:val="0"/>
                  <w:vAlign w:val="center"/>
                </w:tcPr>
                <w:p w14:paraId="1B67573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单个收集风量（</w:t>
                  </w:r>
                  <w:r>
                    <w:rPr>
                      <w:rFonts w:hint="eastAsia" w:ascii="Times New Roman" w:hAnsi="Times New Roman" w:eastAsia="宋体" w:cs="Times New Roman"/>
                      <w:b w:val="0"/>
                      <w:bCs w:val="0"/>
                      <w:color w:val="000000"/>
                      <w:sz w:val="21"/>
                      <w:szCs w:val="21"/>
                      <w:highlight w:val="none"/>
                      <w:lang w:val="en-US" w:eastAsia="zh-CN"/>
                    </w:rPr>
                    <w:t>m</w:t>
                  </w:r>
                  <w:r>
                    <w:rPr>
                      <w:rFonts w:hint="eastAsia" w:ascii="Times New Roman" w:hAnsi="Times New Roman" w:eastAsia="宋体" w:cs="Times New Roman"/>
                      <w:b w:val="0"/>
                      <w:bCs w:val="0"/>
                      <w:color w:val="000000"/>
                      <w:sz w:val="21"/>
                      <w:szCs w:val="21"/>
                      <w:highlight w:val="none"/>
                      <w:vertAlign w:val="superscript"/>
                      <w:lang w:val="en-US" w:eastAsia="zh-CN"/>
                    </w:rPr>
                    <w:t>3</w:t>
                  </w:r>
                  <w:r>
                    <w:rPr>
                      <w:rFonts w:hint="eastAsia" w:ascii="Times New Roman" w:hAnsi="Times New Roman" w:eastAsia="宋体" w:cs="Times New Roman"/>
                      <w:b w:val="0"/>
                      <w:bCs w:val="0"/>
                      <w:color w:val="000000"/>
                      <w:sz w:val="21"/>
                      <w:szCs w:val="21"/>
                      <w:highlight w:val="none"/>
                      <w:lang w:val="en-US" w:eastAsia="zh-CN"/>
                    </w:rPr>
                    <w:t>/h</w:t>
                  </w:r>
                  <w:r>
                    <w:rPr>
                      <w:rFonts w:hint="eastAsia" w:ascii="Times New Roman" w:hAnsi="Times New Roman" w:eastAsia="宋体" w:cs="Times New Roman"/>
                      <w:kern w:val="24"/>
                      <w:sz w:val="21"/>
                      <w:szCs w:val="21"/>
                      <w:highlight w:val="none"/>
                      <w:lang w:val="en-US" w:eastAsia="zh-CN"/>
                    </w:rPr>
                    <w:t>）</w:t>
                  </w:r>
                </w:p>
              </w:tc>
              <w:tc>
                <w:tcPr>
                  <w:tcW w:w="900" w:type="dxa"/>
                  <w:noWrap w:val="0"/>
                  <w:vAlign w:val="center"/>
                </w:tcPr>
                <w:p w14:paraId="51361E26">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数量</w:t>
                  </w:r>
                </w:p>
              </w:tc>
              <w:tc>
                <w:tcPr>
                  <w:tcW w:w="1122" w:type="dxa"/>
                  <w:noWrap w:val="0"/>
                  <w:vAlign w:val="center"/>
                </w:tcPr>
                <w:p w14:paraId="4CB3C733">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合计风量</w:t>
                  </w:r>
                </w:p>
              </w:tc>
            </w:tr>
            <w:tr w14:paraId="74C862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33" w:type="dxa"/>
                  <w:noWrap w:val="0"/>
                  <w:vAlign w:val="center"/>
                </w:tcPr>
                <w:p w14:paraId="1C1C455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1</w:t>
                  </w:r>
                </w:p>
              </w:tc>
              <w:tc>
                <w:tcPr>
                  <w:tcW w:w="1095" w:type="dxa"/>
                  <w:noWrap w:val="0"/>
                  <w:vAlign w:val="center"/>
                </w:tcPr>
                <w:p w14:paraId="6FF654D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给</w:t>
                  </w:r>
                  <w:r>
                    <w:rPr>
                      <w:rFonts w:hint="eastAsia" w:cs="Times New Roman"/>
                      <w:kern w:val="24"/>
                      <w:sz w:val="21"/>
                      <w:szCs w:val="21"/>
                      <w:highlight w:val="none"/>
                      <w:lang w:val="en-US" w:eastAsia="zh-CN"/>
                    </w:rPr>
                    <w:t>煤</w:t>
                  </w:r>
                  <w:r>
                    <w:rPr>
                      <w:rFonts w:hint="eastAsia" w:ascii="Times New Roman" w:hAnsi="Times New Roman" w:eastAsia="宋体" w:cs="Times New Roman"/>
                      <w:kern w:val="24"/>
                      <w:sz w:val="21"/>
                      <w:szCs w:val="21"/>
                      <w:highlight w:val="none"/>
                      <w:lang w:val="en-US" w:eastAsia="zh-CN"/>
                    </w:rPr>
                    <w:t>机上料口</w:t>
                  </w:r>
                </w:p>
              </w:tc>
              <w:tc>
                <w:tcPr>
                  <w:tcW w:w="1302" w:type="dxa"/>
                  <w:noWrap w:val="0"/>
                  <w:vAlign w:val="center"/>
                </w:tcPr>
                <w:p w14:paraId="5741ADB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cs="Times New Roman"/>
                      <w:kern w:val="24"/>
                      <w:sz w:val="21"/>
                      <w:szCs w:val="21"/>
                      <w:highlight w:val="none"/>
                      <w:lang w:val="en-US" w:eastAsia="zh-CN"/>
                    </w:rPr>
                    <w:t>3</w:t>
                  </w:r>
                  <w:r>
                    <w:rPr>
                      <w:rFonts w:hint="eastAsia" w:ascii="Times New Roman" w:hAnsi="Times New Roman" w:eastAsia="宋体" w:cs="Times New Roman"/>
                      <w:kern w:val="24"/>
                      <w:sz w:val="21"/>
                      <w:szCs w:val="21"/>
                      <w:highlight w:val="none"/>
                      <w:lang w:val="en-US" w:eastAsia="zh-CN"/>
                    </w:rPr>
                    <w:t>m</w:t>
                  </w:r>
                  <w:r>
                    <w:rPr>
                      <w:rFonts w:hint="default" w:ascii="Arial" w:hAnsi="Arial" w:eastAsia="宋体" w:cs="Arial"/>
                      <w:kern w:val="24"/>
                      <w:sz w:val="21"/>
                      <w:szCs w:val="21"/>
                      <w:highlight w:val="none"/>
                      <w:lang w:val="en-US" w:eastAsia="zh-CN"/>
                    </w:rPr>
                    <w:t>×</w:t>
                  </w:r>
                  <w:r>
                    <w:rPr>
                      <w:rFonts w:hint="eastAsia" w:cs="Times New Roman"/>
                      <w:kern w:val="24"/>
                      <w:sz w:val="21"/>
                      <w:szCs w:val="21"/>
                      <w:highlight w:val="none"/>
                      <w:lang w:val="en-US" w:eastAsia="zh-CN"/>
                    </w:rPr>
                    <w:t>5</w:t>
                  </w:r>
                  <w:r>
                    <w:rPr>
                      <w:rFonts w:hint="eastAsia" w:ascii="Times New Roman" w:hAnsi="Times New Roman" w:eastAsia="宋体" w:cs="Times New Roman"/>
                      <w:kern w:val="24"/>
                      <w:sz w:val="21"/>
                      <w:szCs w:val="21"/>
                      <w:highlight w:val="none"/>
                      <w:lang w:val="en-US" w:eastAsia="zh-CN"/>
                    </w:rPr>
                    <w:t>m</w:t>
                  </w:r>
                </w:p>
              </w:tc>
              <w:tc>
                <w:tcPr>
                  <w:tcW w:w="1019" w:type="dxa"/>
                  <w:noWrap w:val="0"/>
                  <w:vAlign w:val="center"/>
                </w:tcPr>
                <w:p w14:paraId="45EFE146">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0.4</w:t>
                  </w:r>
                </w:p>
              </w:tc>
              <w:tc>
                <w:tcPr>
                  <w:tcW w:w="1022" w:type="dxa"/>
                  <w:noWrap w:val="0"/>
                  <w:vAlign w:val="center"/>
                </w:tcPr>
                <w:p w14:paraId="5BB31C6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0.7</w:t>
                  </w:r>
                </w:p>
              </w:tc>
              <w:tc>
                <w:tcPr>
                  <w:tcW w:w="1087" w:type="dxa"/>
                  <w:noWrap w:val="0"/>
                  <w:vAlign w:val="center"/>
                </w:tcPr>
                <w:p w14:paraId="7EF0D1C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22579.2</w:t>
                  </w:r>
                </w:p>
              </w:tc>
              <w:tc>
                <w:tcPr>
                  <w:tcW w:w="900" w:type="dxa"/>
                  <w:noWrap w:val="0"/>
                  <w:vAlign w:val="center"/>
                </w:tcPr>
                <w:p w14:paraId="77965BB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kern w:val="24"/>
                      <w:sz w:val="21"/>
                      <w:szCs w:val="21"/>
                      <w:highlight w:val="none"/>
                      <w:lang w:val="en-US" w:eastAsia="zh-CN"/>
                    </w:rPr>
                  </w:pPr>
                  <w:r>
                    <w:rPr>
                      <w:rFonts w:hint="eastAsia" w:cs="Times New Roman"/>
                      <w:kern w:val="24"/>
                      <w:sz w:val="21"/>
                      <w:szCs w:val="21"/>
                      <w:highlight w:val="none"/>
                      <w:lang w:val="en-US" w:eastAsia="zh-CN"/>
                    </w:rPr>
                    <w:t>1</w:t>
                  </w:r>
                </w:p>
              </w:tc>
              <w:tc>
                <w:tcPr>
                  <w:tcW w:w="1122" w:type="dxa"/>
                  <w:noWrap w:val="0"/>
                  <w:vAlign w:val="center"/>
                </w:tcPr>
                <w:p w14:paraId="5664D73F">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22579.2</w:t>
                  </w:r>
                </w:p>
              </w:tc>
            </w:tr>
            <w:tr w14:paraId="7E5C91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33" w:type="dxa"/>
                  <w:noWrap w:val="0"/>
                  <w:vAlign w:val="center"/>
                </w:tcPr>
                <w:p w14:paraId="0039459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2</w:t>
                  </w:r>
                </w:p>
              </w:tc>
              <w:tc>
                <w:tcPr>
                  <w:tcW w:w="1095" w:type="dxa"/>
                  <w:noWrap w:val="0"/>
                  <w:vAlign w:val="center"/>
                </w:tcPr>
                <w:p w14:paraId="504F752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cs="Times New Roman"/>
                      <w:kern w:val="24"/>
                      <w:sz w:val="21"/>
                      <w:szCs w:val="21"/>
                      <w:highlight w:val="none"/>
                      <w:lang w:val="en-US" w:eastAsia="zh-CN"/>
                    </w:rPr>
                    <w:t>原煤分级筛</w:t>
                  </w:r>
                  <w:r>
                    <w:rPr>
                      <w:rFonts w:hint="eastAsia" w:ascii="Times New Roman" w:hAnsi="Times New Roman" w:eastAsia="宋体" w:cs="Times New Roman"/>
                      <w:kern w:val="24"/>
                      <w:sz w:val="21"/>
                      <w:szCs w:val="21"/>
                      <w:highlight w:val="none"/>
                      <w:lang w:val="en-US" w:eastAsia="zh-CN"/>
                    </w:rPr>
                    <w:t>上料口</w:t>
                  </w:r>
                </w:p>
              </w:tc>
              <w:tc>
                <w:tcPr>
                  <w:tcW w:w="1302" w:type="dxa"/>
                  <w:noWrap w:val="0"/>
                  <w:vAlign w:val="center"/>
                </w:tcPr>
                <w:p w14:paraId="309AC58F">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cs="Times New Roman"/>
                      <w:kern w:val="24"/>
                      <w:sz w:val="21"/>
                      <w:szCs w:val="21"/>
                      <w:highlight w:val="none"/>
                      <w:lang w:val="en-US" w:eastAsia="zh-CN"/>
                    </w:rPr>
                    <w:t>2</w:t>
                  </w:r>
                  <w:r>
                    <w:rPr>
                      <w:rFonts w:hint="eastAsia" w:ascii="Times New Roman" w:hAnsi="Times New Roman" w:eastAsia="宋体" w:cs="Times New Roman"/>
                      <w:kern w:val="24"/>
                      <w:sz w:val="21"/>
                      <w:szCs w:val="21"/>
                      <w:highlight w:val="none"/>
                      <w:lang w:val="en-US" w:eastAsia="zh-CN"/>
                    </w:rPr>
                    <w:t>m</w:t>
                  </w:r>
                  <w:r>
                    <w:rPr>
                      <w:rFonts w:hint="default" w:ascii="Arial" w:hAnsi="Arial" w:eastAsia="宋体" w:cs="Arial"/>
                      <w:kern w:val="24"/>
                      <w:sz w:val="21"/>
                      <w:szCs w:val="21"/>
                      <w:highlight w:val="none"/>
                      <w:lang w:val="en-US" w:eastAsia="zh-CN"/>
                    </w:rPr>
                    <w:t>×</w:t>
                  </w:r>
                  <w:r>
                    <w:rPr>
                      <w:rFonts w:hint="eastAsia" w:cs="Times New Roman"/>
                      <w:kern w:val="24"/>
                      <w:sz w:val="21"/>
                      <w:szCs w:val="21"/>
                      <w:highlight w:val="none"/>
                      <w:lang w:val="en-US" w:eastAsia="zh-CN"/>
                    </w:rPr>
                    <w:t>2</w:t>
                  </w:r>
                  <w:r>
                    <w:rPr>
                      <w:rFonts w:hint="eastAsia" w:ascii="Times New Roman" w:hAnsi="Times New Roman" w:eastAsia="宋体" w:cs="Times New Roman"/>
                      <w:kern w:val="24"/>
                      <w:sz w:val="21"/>
                      <w:szCs w:val="21"/>
                      <w:highlight w:val="none"/>
                      <w:lang w:val="en-US" w:eastAsia="zh-CN"/>
                    </w:rPr>
                    <w:t>m</w:t>
                  </w:r>
                </w:p>
              </w:tc>
              <w:tc>
                <w:tcPr>
                  <w:tcW w:w="1019" w:type="dxa"/>
                  <w:noWrap w:val="0"/>
                  <w:vAlign w:val="center"/>
                </w:tcPr>
                <w:p w14:paraId="56BD930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0.5</w:t>
                  </w:r>
                </w:p>
              </w:tc>
              <w:tc>
                <w:tcPr>
                  <w:tcW w:w="1022" w:type="dxa"/>
                  <w:noWrap w:val="0"/>
                  <w:vAlign w:val="center"/>
                </w:tcPr>
                <w:p w14:paraId="0DC5240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0.6</w:t>
                  </w:r>
                </w:p>
              </w:tc>
              <w:tc>
                <w:tcPr>
                  <w:tcW w:w="1087" w:type="dxa"/>
                  <w:noWrap w:val="0"/>
                  <w:vAlign w:val="center"/>
                </w:tcPr>
                <w:p w14:paraId="380E866B">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12096</w:t>
                  </w:r>
                </w:p>
              </w:tc>
              <w:tc>
                <w:tcPr>
                  <w:tcW w:w="900" w:type="dxa"/>
                  <w:noWrap w:val="0"/>
                  <w:vAlign w:val="center"/>
                </w:tcPr>
                <w:p w14:paraId="621BAC5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kern w:val="24"/>
                      <w:sz w:val="21"/>
                      <w:szCs w:val="21"/>
                      <w:highlight w:val="none"/>
                      <w:lang w:val="en-US" w:eastAsia="zh-CN"/>
                    </w:rPr>
                  </w:pPr>
                  <w:r>
                    <w:rPr>
                      <w:rFonts w:hint="eastAsia" w:cs="Times New Roman"/>
                      <w:kern w:val="24"/>
                      <w:sz w:val="21"/>
                      <w:szCs w:val="21"/>
                      <w:highlight w:val="none"/>
                      <w:lang w:val="en-US" w:eastAsia="zh-CN"/>
                    </w:rPr>
                    <w:t>1</w:t>
                  </w:r>
                </w:p>
              </w:tc>
              <w:tc>
                <w:tcPr>
                  <w:tcW w:w="1122" w:type="dxa"/>
                  <w:noWrap w:val="0"/>
                  <w:vAlign w:val="center"/>
                </w:tcPr>
                <w:p w14:paraId="320D2F4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12096</w:t>
                  </w:r>
                </w:p>
              </w:tc>
            </w:tr>
            <w:tr w14:paraId="3587AC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33" w:type="dxa"/>
                  <w:noWrap w:val="0"/>
                  <w:vAlign w:val="center"/>
                </w:tcPr>
                <w:p w14:paraId="69AA34AB">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3</w:t>
                  </w:r>
                </w:p>
              </w:tc>
              <w:tc>
                <w:tcPr>
                  <w:tcW w:w="1095" w:type="dxa"/>
                  <w:noWrap w:val="0"/>
                  <w:vAlign w:val="center"/>
                </w:tcPr>
                <w:p w14:paraId="6F4E638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kern w:val="24"/>
                      <w:sz w:val="21"/>
                      <w:szCs w:val="21"/>
                      <w:highlight w:val="none"/>
                      <w:lang w:val="en-US" w:eastAsia="zh-CN"/>
                    </w:rPr>
                  </w:pPr>
                  <w:r>
                    <w:rPr>
                      <w:rFonts w:hint="eastAsia" w:cs="Times New Roman"/>
                      <w:kern w:val="24"/>
                      <w:sz w:val="21"/>
                      <w:szCs w:val="21"/>
                      <w:highlight w:val="none"/>
                      <w:lang w:val="en-US" w:eastAsia="zh-CN"/>
                    </w:rPr>
                    <w:t>原煤分级筛</w:t>
                  </w:r>
                  <w:r>
                    <w:rPr>
                      <w:rFonts w:hint="eastAsia" w:ascii="Times New Roman" w:hAnsi="Times New Roman" w:eastAsia="宋体" w:cs="Times New Roman"/>
                      <w:kern w:val="24"/>
                      <w:sz w:val="21"/>
                      <w:szCs w:val="21"/>
                      <w:highlight w:val="none"/>
                      <w:lang w:val="en-US" w:eastAsia="zh-CN"/>
                    </w:rPr>
                    <w:t>出料口</w:t>
                  </w:r>
                </w:p>
              </w:tc>
              <w:tc>
                <w:tcPr>
                  <w:tcW w:w="1302" w:type="dxa"/>
                  <w:noWrap w:val="0"/>
                  <w:vAlign w:val="center"/>
                </w:tcPr>
                <w:p w14:paraId="47A9C4E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kern w:val="24"/>
                      <w:sz w:val="21"/>
                      <w:szCs w:val="21"/>
                      <w:highlight w:val="none"/>
                      <w:lang w:val="en-US" w:eastAsia="zh-CN"/>
                    </w:rPr>
                  </w:pPr>
                  <w:r>
                    <w:rPr>
                      <w:rFonts w:hint="eastAsia" w:cs="Times New Roman"/>
                      <w:kern w:val="24"/>
                      <w:sz w:val="21"/>
                      <w:szCs w:val="21"/>
                      <w:highlight w:val="none"/>
                      <w:lang w:val="en-US" w:eastAsia="zh-CN"/>
                    </w:rPr>
                    <w:t>2</w:t>
                  </w:r>
                  <w:r>
                    <w:rPr>
                      <w:rFonts w:hint="eastAsia" w:ascii="Times New Roman" w:hAnsi="Times New Roman" w:eastAsia="宋体" w:cs="Times New Roman"/>
                      <w:kern w:val="24"/>
                      <w:sz w:val="21"/>
                      <w:szCs w:val="21"/>
                      <w:highlight w:val="none"/>
                      <w:lang w:val="en-US" w:eastAsia="zh-CN"/>
                    </w:rPr>
                    <w:t>m</w:t>
                  </w:r>
                  <w:r>
                    <w:rPr>
                      <w:rFonts w:hint="default" w:ascii="Arial" w:hAnsi="Arial" w:eastAsia="宋体" w:cs="Arial"/>
                      <w:kern w:val="24"/>
                      <w:sz w:val="21"/>
                      <w:szCs w:val="21"/>
                      <w:highlight w:val="none"/>
                      <w:lang w:val="en-US" w:eastAsia="zh-CN"/>
                    </w:rPr>
                    <w:t>×</w:t>
                  </w:r>
                  <w:r>
                    <w:rPr>
                      <w:rFonts w:hint="eastAsia" w:cs="Times New Roman"/>
                      <w:kern w:val="24"/>
                      <w:sz w:val="21"/>
                      <w:szCs w:val="21"/>
                      <w:highlight w:val="none"/>
                      <w:lang w:val="en-US" w:eastAsia="zh-CN"/>
                    </w:rPr>
                    <w:t>2</w:t>
                  </w:r>
                  <w:r>
                    <w:rPr>
                      <w:rFonts w:hint="eastAsia" w:ascii="Times New Roman" w:hAnsi="Times New Roman" w:eastAsia="宋体" w:cs="Times New Roman"/>
                      <w:kern w:val="24"/>
                      <w:sz w:val="21"/>
                      <w:szCs w:val="21"/>
                      <w:highlight w:val="none"/>
                      <w:lang w:val="en-US" w:eastAsia="zh-CN"/>
                    </w:rPr>
                    <w:t>m</w:t>
                  </w:r>
                </w:p>
              </w:tc>
              <w:tc>
                <w:tcPr>
                  <w:tcW w:w="1019" w:type="dxa"/>
                  <w:noWrap w:val="0"/>
                  <w:vAlign w:val="center"/>
                </w:tcPr>
                <w:p w14:paraId="05E8945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0.3</w:t>
                  </w:r>
                </w:p>
              </w:tc>
              <w:tc>
                <w:tcPr>
                  <w:tcW w:w="1022" w:type="dxa"/>
                  <w:noWrap w:val="0"/>
                  <w:vAlign w:val="center"/>
                </w:tcPr>
                <w:p w14:paraId="7E83FE6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0.7</w:t>
                  </w:r>
                </w:p>
              </w:tc>
              <w:tc>
                <w:tcPr>
                  <w:tcW w:w="1087" w:type="dxa"/>
                  <w:noWrap w:val="0"/>
                  <w:vAlign w:val="center"/>
                </w:tcPr>
                <w:p w14:paraId="16209BCB">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8467.2</w:t>
                  </w:r>
                </w:p>
              </w:tc>
              <w:tc>
                <w:tcPr>
                  <w:tcW w:w="900" w:type="dxa"/>
                  <w:noWrap w:val="0"/>
                  <w:vAlign w:val="center"/>
                </w:tcPr>
                <w:p w14:paraId="2C10A23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kern w:val="24"/>
                      <w:sz w:val="21"/>
                      <w:szCs w:val="21"/>
                      <w:highlight w:val="none"/>
                      <w:lang w:val="en-US" w:eastAsia="zh-CN"/>
                    </w:rPr>
                  </w:pPr>
                  <w:r>
                    <w:rPr>
                      <w:rFonts w:hint="eastAsia" w:cs="Times New Roman"/>
                      <w:kern w:val="24"/>
                      <w:sz w:val="21"/>
                      <w:szCs w:val="21"/>
                      <w:highlight w:val="none"/>
                      <w:lang w:val="en-US" w:eastAsia="zh-CN"/>
                    </w:rPr>
                    <w:t>1</w:t>
                  </w:r>
                </w:p>
              </w:tc>
              <w:tc>
                <w:tcPr>
                  <w:tcW w:w="1122" w:type="dxa"/>
                  <w:noWrap w:val="0"/>
                  <w:vAlign w:val="center"/>
                </w:tcPr>
                <w:p w14:paraId="2FD7E5B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8467.2</w:t>
                  </w:r>
                </w:p>
              </w:tc>
            </w:tr>
            <w:tr w14:paraId="428B46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633" w:type="dxa"/>
                  <w:noWrap w:val="0"/>
                  <w:vAlign w:val="center"/>
                </w:tcPr>
                <w:p w14:paraId="7E3F38A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4</w:t>
                  </w:r>
                </w:p>
              </w:tc>
              <w:tc>
                <w:tcPr>
                  <w:tcW w:w="1095" w:type="dxa"/>
                  <w:noWrap w:val="0"/>
                  <w:vAlign w:val="center"/>
                </w:tcPr>
                <w:p w14:paraId="5FD9EC43">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s="Times New Roman"/>
                      <w:kern w:val="24"/>
                      <w:sz w:val="21"/>
                      <w:szCs w:val="21"/>
                      <w:highlight w:val="none"/>
                      <w:lang w:val="en-US" w:eastAsia="zh-CN"/>
                    </w:rPr>
                  </w:pPr>
                  <w:r>
                    <w:rPr>
                      <w:rFonts w:hint="eastAsia" w:cs="Times New Roman"/>
                      <w:kern w:val="24"/>
                      <w:sz w:val="21"/>
                      <w:szCs w:val="21"/>
                      <w:highlight w:val="none"/>
                      <w:lang w:val="en-US" w:eastAsia="zh-CN"/>
                    </w:rPr>
                    <w:t>固定破碎机上料口</w:t>
                  </w:r>
                </w:p>
              </w:tc>
              <w:tc>
                <w:tcPr>
                  <w:tcW w:w="1302" w:type="dxa"/>
                  <w:noWrap w:val="0"/>
                  <w:vAlign w:val="center"/>
                </w:tcPr>
                <w:p w14:paraId="4C22226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kern w:val="24"/>
                      <w:sz w:val="21"/>
                      <w:szCs w:val="21"/>
                      <w:highlight w:val="none"/>
                      <w:lang w:val="en-US" w:eastAsia="zh-CN"/>
                    </w:rPr>
                  </w:pPr>
                  <w:r>
                    <w:rPr>
                      <w:rFonts w:hint="eastAsia" w:cs="Times New Roman"/>
                      <w:kern w:val="24"/>
                      <w:sz w:val="21"/>
                      <w:szCs w:val="21"/>
                      <w:highlight w:val="none"/>
                      <w:lang w:val="en-US" w:eastAsia="zh-CN"/>
                    </w:rPr>
                    <w:t>2</w:t>
                  </w:r>
                  <w:r>
                    <w:rPr>
                      <w:rFonts w:hint="eastAsia" w:ascii="Times New Roman" w:hAnsi="Times New Roman" w:eastAsia="宋体" w:cs="Times New Roman"/>
                      <w:kern w:val="24"/>
                      <w:sz w:val="21"/>
                      <w:szCs w:val="21"/>
                      <w:highlight w:val="none"/>
                      <w:lang w:val="en-US" w:eastAsia="zh-CN"/>
                    </w:rPr>
                    <w:t>m</w:t>
                  </w:r>
                  <w:r>
                    <w:rPr>
                      <w:rFonts w:hint="default" w:ascii="Arial" w:hAnsi="Arial" w:eastAsia="宋体" w:cs="Arial"/>
                      <w:kern w:val="24"/>
                      <w:sz w:val="21"/>
                      <w:szCs w:val="21"/>
                      <w:highlight w:val="none"/>
                      <w:lang w:val="en-US" w:eastAsia="zh-CN"/>
                    </w:rPr>
                    <w:t>×</w:t>
                  </w:r>
                  <w:r>
                    <w:rPr>
                      <w:rFonts w:hint="eastAsia" w:cs="Times New Roman"/>
                      <w:kern w:val="24"/>
                      <w:sz w:val="21"/>
                      <w:szCs w:val="21"/>
                      <w:highlight w:val="none"/>
                      <w:lang w:val="en-US" w:eastAsia="zh-CN"/>
                    </w:rPr>
                    <w:t>3</w:t>
                  </w:r>
                  <w:r>
                    <w:rPr>
                      <w:rFonts w:hint="eastAsia" w:ascii="Times New Roman" w:hAnsi="Times New Roman" w:eastAsia="宋体" w:cs="Times New Roman"/>
                      <w:kern w:val="24"/>
                      <w:sz w:val="21"/>
                      <w:szCs w:val="21"/>
                      <w:highlight w:val="none"/>
                      <w:lang w:val="en-US" w:eastAsia="zh-CN"/>
                    </w:rPr>
                    <w:t>m</w:t>
                  </w:r>
                </w:p>
              </w:tc>
              <w:tc>
                <w:tcPr>
                  <w:tcW w:w="1019" w:type="dxa"/>
                  <w:noWrap w:val="0"/>
                  <w:vAlign w:val="center"/>
                </w:tcPr>
                <w:p w14:paraId="36F285A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0.5</w:t>
                  </w:r>
                </w:p>
              </w:tc>
              <w:tc>
                <w:tcPr>
                  <w:tcW w:w="1022" w:type="dxa"/>
                  <w:noWrap w:val="0"/>
                  <w:vAlign w:val="center"/>
                </w:tcPr>
                <w:p w14:paraId="47B4455F">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0.6</w:t>
                  </w:r>
                </w:p>
              </w:tc>
              <w:tc>
                <w:tcPr>
                  <w:tcW w:w="1087" w:type="dxa"/>
                  <w:noWrap w:val="0"/>
                  <w:vAlign w:val="center"/>
                </w:tcPr>
                <w:p w14:paraId="1E59689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15120</w:t>
                  </w:r>
                </w:p>
              </w:tc>
              <w:tc>
                <w:tcPr>
                  <w:tcW w:w="900" w:type="dxa"/>
                  <w:noWrap w:val="0"/>
                  <w:vAlign w:val="center"/>
                </w:tcPr>
                <w:p w14:paraId="176F0BE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kern w:val="24"/>
                      <w:sz w:val="21"/>
                      <w:szCs w:val="21"/>
                      <w:highlight w:val="none"/>
                      <w:lang w:val="en-US" w:eastAsia="zh-CN"/>
                    </w:rPr>
                  </w:pPr>
                  <w:r>
                    <w:rPr>
                      <w:rFonts w:hint="eastAsia" w:cs="Times New Roman"/>
                      <w:kern w:val="24"/>
                      <w:sz w:val="21"/>
                      <w:szCs w:val="21"/>
                      <w:highlight w:val="none"/>
                      <w:lang w:val="en-US" w:eastAsia="zh-CN"/>
                    </w:rPr>
                    <w:t>1</w:t>
                  </w:r>
                </w:p>
              </w:tc>
              <w:tc>
                <w:tcPr>
                  <w:tcW w:w="1122" w:type="dxa"/>
                  <w:noWrap w:val="0"/>
                  <w:vAlign w:val="center"/>
                </w:tcPr>
                <w:p w14:paraId="65550DFB">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15120</w:t>
                  </w:r>
                </w:p>
              </w:tc>
            </w:tr>
            <w:tr w14:paraId="37EB67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33" w:type="dxa"/>
                  <w:noWrap w:val="0"/>
                  <w:vAlign w:val="center"/>
                </w:tcPr>
                <w:p w14:paraId="1F5AC04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5</w:t>
                  </w:r>
                </w:p>
              </w:tc>
              <w:tc>
                <w:tcPr>
                  <w:tcW w:w="1095" w:type="dxa"/>
                  <w:noWrap w:val="0"/>
                  <w:vAlign w:val="center"/>
                </w:tcPr>
                <w:p w14:paraId="615C46D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s="Times New Roman"/>
                      <w:kern w:val="24"/>
                      <w:sz w:val="21"/>
                      <w:szCs w:val="21"/>
                      <w:highlight w:val="none"/>
                      <w:lang w:val="en-US" w:eastAsia="zh-CN"/>
                    </w:rPr>
                  </w:pPr>
                  <w:r>
                    <w:rPr>
                      <w:rFonts w:hint="eastAsia" w:cs="Times New Roman"/>
                      <w:kern w:val="24"/>
                      <w:sz w:val="21"/>
                      <w:szCs w:val="21"/>
                      <w:highlight w:val="none"/>
                      <w:lang w:val="en-US" w:eastAsia="zh-CN"/>
                    </w:rPr>
                    <w:t>固定破碎机出料口</w:t>
                  </w:r>
                </w:p>
              </w:tc>
              <w:tc>
                <w:tcPr>
                  <w:tcW w:w="1302" w:type="dxa"/>
                  <w:noWrap w:val="0"/>
                  <w:vAlign w:val="center"/>
                </w:tcPr>
                <w:p w14:paraId="17052F9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sz w:val="21"/>
                      <w:szCs w:val="21"/>
                      <w:highlight w:val="none"/>
                      <w:vertAlign w:val="baseline"/>
                      <w:lang w:val="en-US" w:eastAsia="zh-CN"/>
                    </w:rPr>
                  </w:pPr>
                  <w:r>
                    <w:rPr>
                      <w:rFonts w:hint="eastAsia" w:cs="Times New Roman"/>
                      <w:kern w:val="24"/>
                      <w:sz w:val="21"/>
                      <w:szCs w:val="21"/>
                      <w:highlight w:val="none"/>
                      <w:lang w:val="en-US" w:eastAsia="zh-CN"/>
                    </w:rPr>
                    <w:t>2</w:t>
                  </w:r>
                  <w:r>
                    <w:rPr>
                      <w:rFonts w:hint="eastAsia" w:ascii="Times New Roman" w:hAnsi="Times New Roman" w:eastAsia="宋体" w:cs="Times New Roman"/>
                      <w:kern w:val="24"/>
                      <w:sz w:val="21"/>
                      <w:szCs w:val="21"/>
                      <w:highlight w:val="none"/>
                      <w:lang w:val="en-US" w:eastAsia="zh-CN"/>
                    </w:rPr>
                    <w:t>m</w:t>
                  </w:r>
                  <w:r>
                    <w:rPr>
                      <w:rFonts w:hint="default" w:ascii="Arial" w:hAnsi="Arial" w:eastAsia="宋体" w:cs="Arial"/>
                      <w:kern w:val="24"/>
                      <w:sz w:val="21"/>
                      <w:szCs w:val="21"/>
                      <w:highlight w:val="none"/>
                      <w:lang w:val="en-US" w:eastAsia="zh-CN"/>
                    </w:rPr>
                    <w:t>×</w:t>
                  </w:r>
                  <w:r>
                    <w:rPr>
                      <w:rFonts w:hint="eastAsia" w:cs="Times New Roman"/>
                      <w:kern w:val="24"/>
                      <w:sz w:val="21"/>
                      <w:szCs w:val="21"/>
                      <w:highlight w:val="none"/>
                      <w:lang w:val="en-US" w:eastAsia="zh-CN"/>
                    </w:rPr>
                    <w:t>3</w:t>
                  </w:r>
                  <w:r>
                    <w:rPr>
                      <w:rFonts w:hint="eastAsia" w:ascii="Times New Roman" w:hAnsi="Times New Roman" w:eastAsia="宋体" w:cs="Times New Roman"/>
                      <w:kern w:val="24"/>
                      <w:sz w:val="21"/>
                      <w:szCs w:val="21"/>
                      <w:highlight w:val="none"/>
                      <w:lang w:val="en-US" w:eastAsia="zh-CN"/>
                    </w:rPr>
                    <w:t>m</w:t>
                  </w:r>
                </w:p>
              </w:tc>
              <w:tc>
                <w:tcPr>
                  <w:tcW w:w="1019" w:type="dxa"/>
                  <w:noWrap w:val="0"/>
                  <w:vAlign w:val="center"/>
                </w:tcPr>
                <w:p w14:paraId="266F741F">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0.3</w:t>
                  </w:r>
                </w:p>
              </w:tc>
              <w:tc>
                <w:tcPr>
                  <w:tcW w:w="1022" w:type="dxa"/>
                  <w:noWrap w:val="0"/>
                  <w:vAlign w:val="center"/>
                </w:tcPr>
                <w:p w14:paraId="3AC3587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0.7</w:t>
                  </w:r>
                </w:p>
              </w:tc>
              <w:tc>
                <w:tcPr>
                  <w:tcW w:w="1087" w:type="dxa"/>
                  <w:noWrap w:val="0"/>
                  <w:vAlign w:val="center"/>
                </w:tcPr>
                <w:p w14:paraId="3B1CE32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10584</w:t>
                  </w:r>
                </w:p>
              </w:tc>
              <w:tc>
                <w:tcPr>
                  <w:tcW w:w="900" w:type="dxa"/>
                  <w:noWrap w:val="0"/>
                  <w:vAlign w:val="center"/>
                </w:tcPr>
                <w:p w14:paraId="6F3D8CA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kern w:val="24"/>
                      <w:sz w:val="21"/>
                      <w:szCs w:val="21"/>
                      <w:highlight w:val="none"/>
                      <w:lang w:val="en-US" w:eastAsia="zh-CN"/>
                    </w:rPr>
                  </w:pPr>
                  <w:r>
                    <w:rPr>
                      <w:rFonts w:hint="eastAsia" w:cs="Times New Roman"/>
                      <w:kern w:val="24"/>
                      <w:sz w:val="21"/>
                      <w:szCs w:val="21"/>
                      <w:highlight w:val="none"/>
                      <w:lang w:val="en-US" w:eastAsia="zh-CN"/>
                    </w:rPr>
                    <w:t>1</w:t>
                  </w:r>
                </w:p>
              </w:tc>
              <w:tc>
                <w:tcPr>
                  <w:tcW w:w="1122" w:type="dxa"/>
                  <w:noWrap w:val="0"/>
                  <w:vAlign w:val="center"/>
                </w:tcPr>
                <w:p w14:paraId="3CB40C0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10584</w:t>
                  </w:r>
                </w:p>
              </w:tc>
            </w:tr>
            <w:tr w14:paraId="1ADCF9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058" w:type="dxa"/>
                  <w:gridSpan w:val="7"/>
                  <w:noWrap w:val="0"/>
                  <w:vAlign w:val="center"/>
                </w:tcPr>
                <w:p w14:paraId="434C9F5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合计</w:t>
                  </w:r>
                </w:p>
              </w:tc>
              <w:tc>
                <w:tcPr>
                  <w:tcW w:w="1122" w:type="dxa"/>
                  <w:noWrap w:val="0"/>
                  <w:vAlign w:val="center"/>
                </w:tcPr>
                <w:p w14:paraId="729CDE93">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68846.4</w:t>
                  </w:r>
                </w:p>
              </w:tc>
            </w:tr>
            <w:tr w14:paraId="4F97C2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33" w:type="dxa"/>
                  <w:noWrap w:val="0"/>
                  <w:vAlign w:val="center"/>
                </w:tcPr>
                <w:p w14:paraId="538862B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cs="Times New Roman"/>
                      <w:kern w:val="24"/>
                      <w:sz w:val="21"/>
                      <w:szCs w:val="21"/>
                      <w:highlight w:val="none"/>
                      <w:lang w:val="en-US" w:eastAsia="zh-CN"/>
                    </w:rPr>
                    <w:t>6</w:t>
                  </w:r>
                </w:p>
              </w:tc>
              <w:tc>
                <w:tcPr>
                  <w:tcW w:w="1095" w:type="dxa"/>
                  <w:noWrap w:val="0"/>
                  <w:vAlign w:val="center"/>
                </w:tcPr>
                <w:p w14:paraId="3C1F39D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kern w:val="24"/>
                      <w:sz w:val="21"/>
                      <w:szCs w:val="21"/>
                      <w:highlight w:val="none"/>
                      <w:lang w:val="en-US" w:eastAsia="zh-CN"/>
                    </w:rPr>
                  </w:pPr>
                  <w:r>
                    <w:rPr>
                      <w:rFonts w:hint="eastAsia" w:cs="Times New Roman"/>
                      <w:kern w:val="24"/>
                      <w:sz w:val="21"/>
                      <w:szCs w:val="21"/>
                      <w:highlight w:val="none"/>
                      <w:lang w:val="en-US" w:eastAsia="zh-CN"/>
                    </w:rPr>
                    <w:t>移动破碎机上料口</w:t>
                  </w:r>
                </w:p>
              </w:tc>
              <w:tc>
                <w:tcPr>
                  <w:tcW w:w="1302" w:type="dxa"/>
                  <w:noWrap w:val="0"/>
                  <w:vAlign w:val="center"/>
                </w:tcPr>
                <w:p w14:paraId="4BC3889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sz w:val="21"/>
                      <w:szCs w:val="21"/>
                      <w:highlight w:val="none"/>
                      <w:vertAlign w:val="baseline"/>
                      <w:lang w:val="en-US" w:eastAsia="zh-CN"/>
                    </w:rPr>
                  </w:pPr>
                  <w:r>
                    <w:rPr>
                      <w:rFonts w:hint="eastAsia" w:cs="Times New Roman"/>
                      <w:kern w:val="24"/>
                      <w:sz w:val="21"/>
                      <w:szCs w:val="21"/>
                      <w:highlight w:val="none"/>
                      <w:lang w:val="en-US" w:eastAsia="zh-CN"/>
                    </w:rPr>
                    <w:t>1.5</w:t>
                  </w:r>
                  <w:r>
                    <w:rPr>
                      <w:rFonts w:hint="eastAsia" w:ascii="Times New Roman" w:hAnsi="Times New Roman" w:eastAsia="宋体" w:cs="Times New Roman"/>
                      <w:kern w:val="24"/>
                      <w:sz w:val="21"/>
                      <w:szCs w:val="21"/>
                      <w:highlight w:val="none"/>
                      <w:lang w:val="en-US" w:eastAsia="zh-CN"/>
                    </w:rPr>
                    <w:t>m</w:t>
                  </w:r>
                  <w:r>
                    <w:rPr>
                      <w:rFonts w:hint="default" w:ascii="Arial" w:hAnsi="Arial" w:eastAsia="宋体" w:cs="Arial"/>
                      <w:kern w:val="24"/>
                      <w:sz w:val="21"/>
                      <w:szCs w:val="21"/>
                      <w:highlight w:val="none"/>
                      <w:lang w:val="en-US" w:eastAsia="zh-CN"/>
                    </w:rPr>
                    <w:t>×</w:t>
                  </w:r>
                  <w:r>
                    <w:rPr>
                      <w:rFonts w:hint="eastAsia" w:cs="Times New Roman"/>
                      <w:kern w:val="24"/>
                      <w:sz w:val="21"/>
                      <w:szCs w:val="21"/>
                      <w:highlight w:val="none"/>
                      <w:lang w:val="en-US" w:eastAsia="zh-CN"/>
                    </w:rPr>
                    <w:t>1.5</w:t>
                  </w:r>
                  <w:r>
                    <w:rPr>
                      <w:rFonts w:hint="eastAsia" w:ascii="Times New Roman" w:hAnsi="Times New Roman" w:eastAsia="宋体" w:cs="Times New Roman"/>
                      <w:kern w:val="24"/>
                      <w:sz w:val="21"/>
                      <w:szCs w:val="21"/>
                      <w:highlight w:val="none"/>
                      <w:lang w:val="en-US" w:eastAsia="zh-CN"/>
                    </w:rPr>
                    <w:t>m</w:t>
                  </w:r>
                </w:p>
              </w:tc>
              <w:tc>
                <w:tcPr>
                  <w:tcW w:w="1019" w:type="dxa"/>
                  <w:noWrap w:val="0"/>
                  <w:vAlign w:val="center"/>
                </w:tcPr>
                <w:p w14:paraId="0506405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kern w:val="24"/>
                      <w:sz w:val="21"/>
                      <w:szCs w:val="21"/>
                      <w:highlight w:val="none"/>
                      <w:lang w:val="en-US" w:eastAsia="zh-CN" w:bidi="ar-SA"/>
                    </w:rPr>
                  </w:pPr>
                  <w:r>
                    <w:rPr>
                      <w:rFonts w:hint="eastAsia" w:ascii="Times New Roman" w:hAnsi="Times New Roman" w:eastAsia="宋体" w:cs="Times New Roman"/>
                      <w:kern w:val="24"/>
                      <w:sz w:val="21"/>
                      <w:szCs w:val="21"/>
                      <w:highlight w:val="none"/>
                      <w:lang w:val="en-US" w:eastAsia="zh-CN"/>
                    </w:rPr>
                    <w:t>0.5</w:t>
                  </w:r>
                </w:p>
              </w:tc>
              <w:tc>
                <w:tcPr>
                  <w:tcW w:w="1022" w:type="dxa"/>
                  <w:noWrap w:val="0"/>
                  <w:vAlign w:val="center"/>
                </w:tcPr>
                <w:p w14:paraId="57108FEB">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0.7</w:t>
                  </w:r>
                </w:p>
              </w:tc>
              <w:tc>
                <w:tcPr>
                  <w:tcW w:w="1087" w:type="dxa"/>
                  <w:noWrap w:val="0"/>
                  <w:vAlign w:val="center"/>
                </w:tcPr>
                <w:p w14:paraId="42091FF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color w:val="auto"/>
                      <w:kern w:val="24"/>
                      <w:sz w:val="21"/>
                      <w:szCs w:val="21"/>
                      <w:highlight w:val="none"/>
                      <w:lang w:val="en-US" w:eastAsia="zh-CN"/>
                    </w:rPr>
                  </w:pPr>
                  <w:r>
                    <w:rPr>
                      <w:rFonts w:hint="eastAsia" w:cs="Times New Roman"/>
                      <w:color w:val="auto"/>
                      <w:kern w:val="24"/>
                      <w:sz w:val="21"/>
                      <w:szCs w:val="21"/>
                      <w:highlight w:val="none"/>
                      <w:lang w:val="en-US" w:eastAsia="zh-CN"/>
                    </w:rPr>
                    <w:t>10584</w:t>
                  </w:r>
                </w:p>
              </w:tc>
              <w:tc>
                <w:tcPr>
                  <w:tcW w:w="900" w:type="dxa"/>
                  <w:vMerge w:val="restart"/>
                  <w:noWrap w:val="0"/>
                  <w:vAlign w:val="center"/>
                </w:tcPr>
                <w:p w14:paraId="35EEF10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color w:val="auto"/>
                      <w:kern w:val="24"/>
                      <w:sz w:val="21"/>
                      <w:szCs w:val="21"/>
                      <w:highlight w:val="none"/>
                      <w:lang w:val="en-US" w:eastAsia="zh-CN"/>
                    </w:rPr>
                  </w:pPr>
                  <w:r>
                    <w:rPr>
                      <w:rFonts w:hint="eastAsia"/>
                      <w:color w:val="auto"/>
                      <w:lang w:val="en-US" w:eastAsia="zh-CN"/>
                    </w:rPr>
                    <w:t>5</w:t>
                  </w:r>
                  <w:r>
                    <w:rPr>
                      <w:rFonts w:hint="eastAsia" w:cs="Times New Roman"/>
                      <w:color w:val="auto"/>
                      <w:kern w:val="24"/>
                      <w:sz w:val="21"/>
                      <w:szCs w:val="21"/>
                      <w:highlight w:val="none"/>
                      <w:lang w:val="en-US" w:eastAsia="zh-CN"/>
                    </w:rPr>
                    <w:t>（最多同时使用3台，管道设置阀门）</w:t>
                  </w:r>
                </w:p>
              </w:tc>
              <w:tc>
                <w:tcPr>
                  <w:tcW w:w="1122" w:type="dxa"/>
                  <w:noWrap w:val="0"/>
                  <w:vAlign w:val="center"/>
                </w:tcPr>
                <w:p w14:paraId="2938707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31752</w:t>
                  </w:r>
                </w:p>
              </w:tc>
            </w:tr>
            <w:tr w14:paraId="1A5232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33" w:type="dxa"/>
                  <w:noWrap w:val="0"/>
                  <w:vAlign w:val="center"/>
                </w:tcPr>
                <w:p w14:paraId="365609D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cs="Times New Roman"/>
                      <w:kern w:val="24"/>
                      <w:sz w:val="21"/>
                      <w:szCs w:val="21"/>
                      <w:highlight w:val="none"/>
                      <w:lang w:val="en-US" w:eastAsia="zh-CN"/>
                    </w:rPr>
                    <w:t>7</w:t>
                  </w:r>
                </w:p>
              </w:tc>
              <w:tc>
                <w:tcPr>
                  <w:tcW w:w="1095" w:type="dxa"/>
                  <w:noWrap w:val="0"/>
                  <w:vAlign w:val="center"/>
                </w:tcPr>
                <w:p w14:paraId="2020797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kern w:val="24"/>
                      <w:sz w:val="21"/>
                      <w:szCs w:val="21"/>
                      <w:highlight w:val="none"/>
                      <w:lang w:val="en-US" w:eastAsia="zh-CN"/>
                    </w:rPr>
                  </w:pPr>
                  <w:r>
                    <w:rPr>
                      <w:rFonts w:hint="eastAsia" w:cs="Times New Roman"/>
                      <w:kern w:val="24"/>
                      <w:sz w:val="21"/>
                      <w:szCs w:val="21"/>
                      <w:highlight w:val="none"/>
                      <w:lang w:val="en-US" w:eastAsia="zh-CN"/>
                    </w:rPr>
                    <w:t>移动破碎机出料口</w:t>
                  </w:r>
                </w:p>
              </w:tc>
              <w:tc>
                <w:tcPr>
                  <w:tcW w:w="1302" w:type="dxa"/>
                  <w:noWrap w:val="0"/>
                  <w:vAlign w:val="center"/>
                </w:tcPr>
                <w:p w14:paraId="492D633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kern w:val="2"/>
                      <w:sz w:val="21"/>
                      <w:szCs w:val="21"/>
                      <w:highlight w:val="none"/>
                      <w:vertAlign w:val="baseline"/>
                      <w:lang w:val="en-US" w:eastAsia="zh-CN" w:bidi="ar-SA"/>
                    </w:rPr>
                  </w:pPr>
                  <w:r>
                    <w:rPr>
                      <w:rFonts w:hint="eastAsia" w:cs="Times New Roman"/>
                      <w:kern w:val="24"/>
                      <w:sz w:val="21"/>
                      <w:szCs w:val="21"/>
                      <w:highlight w:val="none"/>
                      <w:lang w:val="en-US" w:eastAsia="zh-CN"/>
                    </w:rPr>
                    <w:t>1.5</w:t>
                  </w:r>
                  <w:r>
                    <w:rPr>
                      <w:rFonts w:hint="eastAsia" w:ascii="Times New Roman" w:hAnsi="Times New Roman" w:eastAsia="宋体" w:cs="Times New Roman"/>
                      <w:kern w:val="24"/>
                      <w:sz w:val="21"/>
                      <w:szCs w:val="21"/>
                      <w:highlight w:val="none"/>
                      <w:lang w:val="en-US" w:eastAsia="zh-CN"/>
                    </w:rPr>
                    <w:t>m</w:t>
                  </w:r>
                  <w:r>
                    <w:rPr>
                      <w:rFonts w:hint="default" w:ascii="Arial" w:hAnsi="Arial" w:eastAsia="宋体" w:cs="Arial"/>
                      <w:kern w:val="24"/>
                      <w:sz w:val="21"/>
                      <w:szCs w:val="21"/>
                      <w:highlight w:val="none"/>
                      <w:lang w:val="en-US" w:eastAsia="zh-CN"/>
                    </w:rPr>
                    <w:t>×</w:t>
                  </w:r>
                  <w:r>
                    <w:rPr>
                      <w:rFonts w:hint="eastAsia" w:cs="Times New Roman"/>
                      <w:kern w:val="24"/>
                      <w:sz w:val="21"/>
                      <w:szCs w:val="21"/>
                      <w:highlight w:val="none"/>
                      <w:lang w:val="en-US" w:eastAsia="zh-CN"/>
                    </w:rPr>
                    <w:t>1.5</w:t>
                  </w:r>
                  <w:r>
                    <w:rPr>
                      <w:rFonts w:hint="eastAsia" w:ascii="Times New Roman" w:hAnsi="Times New Roman" w:eastAsia="宋体" w:cs="Times New Roman"/>
                      <w:kern w:val="24"/>
                      <w:sz w:val="21"/>
                      <w:szCs w:val="21"/>
                      <w:highlight w:val="none"/>
                      <w:lang w:val="en-US" w:eastAsia="zh-CN"/>
                    </w:rPr>
                    <w:t>m</w:t>
                  </w:r>
                </w:p>
              </w:tc>
              <w:tc>
                <w:tcPr>
                  <w:tcW w:w="1019" w:type="dxa"/>
                  <w:noWrap w:val="0"/>
                  <w:vAlign w:val="center"/>
                </w:tcPr>
                <w:p w14:paraId="1551285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kern w:val="24"/>
                      <w:sz w:val="21"/>
                      <w:szCs w:val="21"/>
                      <w:highlight w:val="none"/>
                      <w:lang w:val="en-US" w:eastAsia="zh-CN" w:bidi="ar-SA"/>
                    </w:rPr>
                  </w:pPr>
                  <w:r>
                    <w:rPr>
                      <w:rFonts w:hint="eastAsia" w:ascii="Times New Roman" w:hAnsi="Times New Roman" w:eastAsia="宋体" w:cs="Times New Roman"/>
                      <w:kern w:val="24"/>
                      <w:sz w:val="21"/>
                      <w:szCs w:val="21"/>
                      <w:highlight w:val="none"/>
                      <w:lang w:val="en-US" w:eastAsia="zh-CN"/>
                    </w:rPr>
                    <w:t>0.</w:t>
                  </w:r>
                  <w:r>
                    <w:rPr>
                      <w:rFonts w:hint="eastAsia" w:cs="Times New Roman"/>
                      <w:kern w:val="24"/>
                      <w:sz w:val="21"/>
                      <w:szCs w:val="21"/>
                      <w:highlight w:val="none"/>
                      <w:lang w:val="en-US" w:eastAsia="zh-CN"/>
                    </w:rPr>
                    <w:t>3</w:t>
                  </w:r>
                </w:p>
              </w:tc>
              <w:tc>
                <w:tcPr>
                  <w:tcW w:w="1022" w:type="dxa"/>
                  <w:noWrap w:val="0"/>
                  <w:vAlign w:val="center"/>
                </w:tcPr>
                <w:p w14:paraId="3C72AE9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0.7</w:t>
                  </w:r>
                </w:p>
              </w:tc>
              <w:tc>
                <w:tcPr>
                  <w:tcW w:w="1087" w:type="dxa"/>
                  <w:noWrap w:val="0"/>
                  <w:vAlign w:val="center"/>
                </w:tcPr>
                <w:p w14:paraId="2EA8714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color w:val="auto"/>
                      <w:kern w:val="24"/>
                      <w:sz w:val="21"/>
                      <w:szCs w:val="21"/>
                      <w:highlight w:val="none"/>
                      <w:lang w:val="en-US" w:eastAsia="zh-CN"/>
                    </w:rPr>
                  </w:pPr>
                  <w:r>
                    <w:rPr>
                      <w:rFonts w:hint="eastAsia" w:cs="Times New Roman"/>
                      <w:color w:val="auto"/>
                      <w:kern w:val="24"/>
                      <w:sz w:val="21"/>
                      <w:szCs w:val="21"/>
                      <w:highlight w:val="none"/>
                      <w:lang w:val="en-US" w:eastAsia="zh-CN"/>
                    </w:rPr>
                    <w:t>9072</w:t>
                  </w:r>
                </w:p>
              </w:tc>
              <w:tc>
                <w:tcPr>
                  <w:tcW w:w="900" w:type="dxa"/>
                  <w:vMerge w:val="continue"/>
                  <w:noWrap w:val="0"/>
                  <w:vAlign w:val="center"/>
                </w:tcPr>
                <w:p w14:paraId="4497AF33">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color w:val="auto"/>
                      <w:kern w:val="24"/>
                      <w:sz w:val="21"/>
                      <w:szCs w:val="21"/>
                      <w:highlight w:val="none"/>
                      <w:lang w:val="en-US" w:eastAsia="zh-CN"/>
                    </w:rPr>
                  </w:pPr>
                </w:p>
              </w:tc>
              <w:tc>
                <w:tcPr>
                  <w:tcW w:w="1122" w:type="dxa"/>
                  <w:noWrap w:val="0"/>
                  <w:vAlign w:val="center"/>
                </w:tcPr>
                <w:p w14:paraId="6597C41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19051.2</w:t>
                  </w:r>
                </w:p>
              </w:tc>
            </w:tr>
            <w:tr w14:paraId="099F29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058" w:type="dxa"/>
                  <w:gridSpan w:val="7"/>
                  <w:noWrap w:val="0"/>
                  <w:vAlign w:val="center"/>
                </w:tcPr>
                <w:p w14:paraId="4C7683CB">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s="Times New Roman"/>
                      <w:kern w:val="24"/>
                      <w:sz w:val="21"/>
                      <w:szCs w:val="21"/>
                      <w:highlight w:val="none"/>
                      <w:lang w:val="en-US" w:eastAsia="zh-CN"/>
                    </w:rPr>
                  </w:pPr>
                  <w:r>
                    <w:rPr>
                      <w:rFonts w:hint="eastAsia" w:cs="Times New Roman"/>
                      <w:kern w:val="24"/>
                      <w:sz w:val="21"/>
                      <w:szCs w:val="21"/>
                      <w:highlight w:val="none"/>
                      <w:lang w:val="en-US" w:eastAsia="zh-CN"/>
                    </w:rPr>
                    <w:t>合计</w:t>
                  </w:r>
                </w:p>
              </w:tc>
              <w:tc>
                <w:tcPr>
                  <w:tcW w:w="1122" w:type="dxa"/>
                  <w:noWrap w:val="0"/>
                  <w:vAlign w:val="center"/>
                </w:tcPr>
                <w:p w14:paraId="44E60106">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50803.2</w:t>
                  </w:r>
                </w:p>
              </w:tc>
            </w:tr>
          </w:tbl>
          <w:p w14:paraId="318EE70B">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sz w:val="24"/>
                <w:szCs w:val="24"/>
                <w:highlight w:val="none"/>
                <w:lang w:val="en-US" w:eastAsia="zh-CN"/>
              </w:rPr>
            </w:pPr>
            <w:r>
              <w:rPr>
                <w:rFonts w:hint="default" w:ascii="Times New Roman" w:hAnsi="Times New Roman" w:eastAsia="宋体" w:cs="Times New Roman"/>
                <w:b w:val="0"/>
                <w:bCs w:val="0"/>
                <w:color w:val="000000"/>
                <w:sz w:val="24"/>
                <w:szCs w:val="24"/>
                <w:highlight w:val="none"/>
                <w:lang w:val="en-US" w:eastAsia="zh-CN"/>
              </w:rPr>
              <w:t>根据计算结果，并考虑风损、风阻等因素，项目上料</w:t>
            </w:r>
            <w:r>
              <w:rPr>
                <w:rFonts w:hint="default" w:ascii="Times New Roman" w:hAnsi="Times New Roman" w:cs="Times New Roman"/>
                <w:b w:val="0"/>
                <w:bCs w:val="0"/>
                <w:color w:val="000000"/>
                <w:sz w:val="24"/>
                <w:szCs w:val="24"/>
                <w:highlight w:val="none"/>
                <w:lang w:val="en-US" w:eastAsia="zh-CN"/>
              </w:rPr>
              <w:t>、</w:t>
            </w:r>
            <w:r>
              <w:rPr>
                <w:rFonts w:hint="default" w:ascii="Times New Roman" w:hAnsi="Times New Roman" w:eastAsia="宋体" w:cs="Times New Roman"/>
                <w:b w:val="0"/>
                <w:bCs w:val="0"/>
                <w:color w:val="000000"/>
                <w:sz w:val="24"/>
                <w:szCs w:val="24"/>
                <w:highlight w:val="none"/>
                <w:lang w:val="en-US" w:eastAsia="zh-CN"/>
              </w:rPr>
              <w:t>筛分、破碎工序废气治理设施设计风量为75000m</w:t>
            </w:r>
            <w:r>
              <w:rPr>
                <w:rFonts w:hint="default" w:ascii="Times New Roman" w:hAnsi="Times New Roman" w:eastAsia="宋体" w:cs="Times New Roman"/>
                <w:b w:val="0"/>
                <w:bCs w:val="0"/>
                <w:color w:val="000000"/>
                <w:sz w:val="24"/>
                <w:szCs w:val="24"/>
                <w:highlight w:val="none"/>
                <w:vertAlign w:val="superscript"/>
                <w:lang w:val="en-US" w:eastAsia="zh-CN"/>
              </w:rPr>
              <w:t>3</w:t>
            </w:r>
            <w:r>
              <w:rPr>
                <w:rFonts w:hint="default" w:ascii="Times New Roman" w:hAnsi="Times New Roman" w:eastAsia="宋体" w:cs="Times New Roman"/>
                <w:b w:val="0"/>
                <w:bCs w:val="0"/>
                <w:color w:val="000000"/>
                <w:sz w:val="24"/>
                <w:szCs w:val="24"/>
                <w:highlight w:val="none"/>
                <w:lang w:val="en-US" w:eastAsia="zh-CN"/>
              </w:rPr>
              <w:t>/h；</w:t>
            </w:r>
            <w:r>
              <w:rPr>
                <w:rFonts w:hint="default" w:ascii="Times New Roman" w:hAnsi="Times New Roman" w:cs="Times New Roman"/>
                <w:b w:val="0"/>
                <w:bCs w:val="0"/>
                <w:color w:val="000000"/>
                <w:sz w:val="24"/>
                <w:szCs w:val="24"/>
                <w:highlight w:val="none"/>
                <w:lang w:val="en-US" w:eastAsia="zh-CN"/>
              </w:rPr>
              <w:t>移动破碎工序废气</w:t>
            </w:r>
            <w:r>
              <w:rPr>
                <w:rFonts w:hint="default" w:ascii="Times New Roman" w:hAnsi="Times New Roman" w:eastAsia="宋体" w:cs="Times New Roman"/>
                <w:b w:val="0"/>
                <w:bCs w:val="0"/>
                <w:color w:val="000000"/>
                <w:sz w:val="24"/>
                <w:szCs w:val="24"/>
                <w:highlight w:val="none"/>
                <w:lang w:val="en-US" w:eastAsia="zh-CN"/>
              </w:rPr>
              <w:t>治理设施设计风量为</w:t>
            </w:r>
            <w:r>
              <w:rPr>
                <w:rFonts w:hint="eastAsia" w:cs="Times New Roman"/>
                <w:b w:val="0"/>
                <w:bCs w:val="0"/>
                <w:color w:val="000000"/>
                <w:sz w:val="24"/>
                <w:szCs w:val="24"/>
                <w:highlight w:val="none"/>
                <w:lang w:val="en-US" w:eastAsia="zh-CN"/>
              </w:rPr>
              <w:t>5</w:t>
            </w:r>
            <w:r>
              <w:rPr>
                <w:rFonts w:hint="default" w:ascii="Times New Roman" w:hAnsi="Times New Roman" w:eastAsia="宋体" w:cs="Times New Roman"/>
                <w:b w:val="0"/>
                <w:bCs w:val="0"/>
                <w:color w:val="000000"/>
                <w:sz w:val="24"/>
                <w:szCs w:val="24"/>
                <w:highlight w:val="none"/>
                <w:lang w:val="en-US" w:eastAsia="zh-CN"/>
              </w:rPr>
              <w:t>5000m</w:t>
            </w:r>
            <w:r>
              <w:rPr>
                <w:rFonts w:hint="default" w:ascii="Times New Roman" w:hAnsi="Times New Roman" w:eastAsia="宋体" w:cs="Times New Roman"/>
                <w:b w:val="0"/>
                <w:bCs w:val="0"/>
                <w:color w:val="000000"/>
                <w:sz w:val="24"/>
                <w:szCs w:val="24"/>
                <w:highlight w:val="none"/>
                <w:vertAlign w:val="superscript"/>
                <w:lang w:val="en-US" w:eastAsia="zh-CN"/>
              </w:rPr>
              <w:t>3</w:t>
            </w:r>
            <w:r>
              <w:rPr>
                <w:rFonts w:hint="default" w:ascii="Times New Roman" w:hAnsi="Times New Roman" w:eastAsia="宋体" w:cs="Times New Roman"/>
                <w:b w:val="0"/>
                <w:bCs w:val="0"/>
                <w:color w:val="000000"/>
                <w:sz w:val="24"/>
                <w:szCs w:val="24"/>
                <w:highlight w:val="none"/>
                <w:lang w:val="en-US" w:eastAsia="zh-CN"/>
              </w:rPr>
              <w:t>/h</w:t>
            </w:r>
            <w:r>
              <w:rPr>
                <w:rFonts w:hint="eastAsia" w:cs="Times New Roman"/>
                <w:b w:val="0"/>
                <w:bCs w:val="0"/>
                <w:color w:val="000000"/>
                <w:sz w:val="24"/>
                <w:szCs w:val="24"/>
                <w:highlight w:val="none"/>
                <w:lang w:val="en-US" w:eastAsia="zh-CN"/>
              </w:rPr>
              <w:t>，管道设置阀门。</w:t>
            </w:r>
          </w:p>
          <w:p w14:paraId="0FE4B3BC">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auto"/>
                <w:sz w:val="24"/>
                <w:szCs w:val="24"/>
                <w:highlight w:val="none"/>
                <w:lang w:val="en-US" w:eastAsia="zh-CN"/>
              </w:rPr>
            </w:pPr>
            <w:r>
              <w:rPr>
                <w:rFonts w:hint="default" w:ascii="Times New Roman" w:hAnsi="Times New Roman" w:eastAsia="宋体" w:cs="Times New Roman"/>
                <w:b w:val="0"/>
                <w:bCs w:val="0"/>
                <w:color w:val="000000"/>
                <w:sz w:val="24"/>
                <w:szCs w:val="24"/>
                <w:highlight w:val="none"/>
                <w:lang w:val="en-US" w:eastAsia="zh-CN"/>
              </w:rPr>
              <w:t>①上料</w:t>
            </w:r>
            <w:r>
              <w:rPr>
                <w:rFonts w:hint="default" w:ascii="Times New Roman" w:hAnsi="Times New Roman" w:cs="Times New Roman"/>
                <w:b w:val="0"/>
                <w:bCs w:val="0"/>
                <w:color w:val="000000"/>
                <w:sz w:val="24"/>
                <w:szCs w:val="24"/>
                <w:highlight w:val="none"/>
                <w:lang w:val="en-US" w:eastAsia="zh-CN"/>
              </w:rPr>
              <w:t>、筛</w:t>
            </w:r>
            <w:r>
              <w:rPr>
                <w:rFonts w:hint="default" w:ascii="Times New Roman" w:hAnsi="Times New Roman" w:cs="Times New Roman"/>
                <w:b w:val="0"/>
                <w:bCs w:val="0"/>
                <w:color w:val="auto"/>
                <w:sz w:val="24"/>
                <w:szCs w:val="24"/>
                <w:highlight w:val="none"/>
                <w:lang w:val="en-US" w:eastAsia="zh-CN"/>
              </w:rPr>
              <w:t>分、</w:t>
            </w:r>
            <w:r>
              <w:rPr>
                <w:rFonts w:hint="eastAsia"/>
                <w:color w:val="auto"/>
                <w:lang w:eastAsia="zh-CN"/>
              </w:rPr>
              <w:t>固定</w:t>
            </w:r>
            <w:r>
              <w:rPr>
                <w:rFonts w:hint="default" w:ascii="Times New Roman" w:hAnsi="Times New Roman" w:cs="Times New Roman"/>
                <w:b w:val="0"/>
                <w:bCs w:val="0"/>
                <w:color w:val="auto"/>
                <w:sz w:val="24"/>
                <w:szCs w:val="24"/>
                <w:highlight w:val="none"/>
                <w:lang w:val="en-US" w:eastAsia="zh-CN"/>
              </w:rPr>
              <w:t>破碎</w:t>
            </w:r>
            <w:r>
              <w:rPr>
                <w:rFonts w:hint="default" w:ascii="Times New Roman" w:hAnsi="Times New Roman" w:eastAsia="宋体" w:cs="Times New Roman"/>
                <w:b w:val="0"/>
                <w:bCs w:val="0"/>
                <w:color w:val="auto"/>
                <w:sz w:val="24"/>
                <w:szCs w:val="24"/>
                <w:highlight w:val="none"/>
                <w:lang w:val="en-US" w:eastAsia="zh-CN"/>
              </w:rPr>
              <w:t>废气</w:t>
            </w:r>
          </w:p>
          <w:p w14:paraId="48860F47">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sz w:val="24"/>
                <w:szCs w:val="24"/>
                <w:highlight w:val="none"/>
                <w:lang w:val="en-US" w:eastAsia="zh-CN"/>
              </w:rPr>
            </w:pPr>
            <w:r>
              <w:rPr>
                <w:rFonts w:hint="default" w:ascii="Times New Roman" w:hAnsi="Times New Roman" w:eastAsia="宋体" w:cs="Times New Roman"/>
                <w:b w:val="0"/>
                <w:bCs w:val="0"/>
                <w:color w:val="auto"/>
                <w:sz w:val="24"/>
                <w:szCs w:val="24"/>
                <w:highlight w:val="none"/>
                <w:lang w:val="en-US" w:eastAsia="zh-CN"/>
              </w:rPr>
              <w:t>参照《逸散性工业粉尘控制技术》中煤上料、转运、装卸颗粒物产污系数为0.15kg/t-原料。项目原料煤用量按最大为10万t/a计，则颗</w:t>
            </w:r>
            <w:r>
              <w:rPr>
                <w:rFonts w:hint="default" w:ascii="Times New Roman" w:hAnsi="Times New Roman" w:eastAsia="宋体" w:cs="Times New Roman"/>
                <w:b w:val="0"/>
                <w:bCs w:val="0"/>
                <w:color w:val="000000"/>
                <w:sz w:val="24"/>
                <w:szCs w:val="24"/>
                <w:highlight w:val="none"/>
                <w:lang w:val="en-US" w:eastAsia="zh-CN"/>
              </w:rPr>
              <w:t>粒物产生量为15t/a。</w:t>
            </w:r>
          </w:p>
          <w:p w14:paraId="34C44CF1">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sz w:val="24"/>
                <w:szCs w:val="24"/>
                <w:highlight w:val="none"/>
                <w:lang w:val="en-US" w:eastAsia="zh-CN"/>
              </w:rPr>
            </w:pPr>
            <w:r>
              <w:rPr>
                <w:rFonts w:hint="default" w:ascii="Times New Roman" w:hAnsi="Times New Roman" w:eastAsia="宋体" w:cs="Times New Roman"/>
                <w:b w:val="0"/>
                <w:bCs w:val="0"/>
                <w:color w:val="000000"/>
                <w:sz w:val="24"/>
                <w:szCs w:val="24"/>
                <w:highlight w:val="none"/>
                <w:lang w:val="en-US" w:eastAsia="zh-CN"/>
              </w:rPr>
              <w:t>参照《排放源统计调查产排污核算方法和系数手册》中“2529其他煤炭加工行业</w:t>
            </w:r>
            <w:r>
              <w:rPr>
                <w:rFonts w:hint="eastAsia" w:cs="Times New Roman"/>
                <w:b w:val="0"/>
                <w:bCs w:val="0"/>
                <w:color w:val="000000"/>
                <w:sz w:val="24"/>
                <w:szCs w:val="24"/>
                <w:highlight w:val="none"/>
                <w:lang w:val="en-US" w:eastAsia="zh-CN"/>
              </w:rPr>
              <w:t>—</w:t>
            </w:r>
            <w:r>
              <w:rPr>
                <w:rFonts w:hint="default" w:ascii="Times New Roman" w:hAnsi="Times New Roman" w:eastAsia="宋体" w:cs="Times New Roman"/>
                <w:b w:val="0"/>
                <w:bCs w:val="0"/>
                <w:color w:val="000000"/>
                <w:sz w:val="24"/>
                <w:szCs w:val="24"/>
                <w:highlight w:val="none"/>
                <w:lang w:val="en-US" w:eastAsia="zh-CN"/>
              </w:rPr>
              <w:t>原料破碎、活化料筛分、产品筛分”中颗粒物产污系数为0.23kg/t-产品。项目建设完成产品产量为</w:t>
            </w:r>
            <w:r>
              <w:rPr>
                <w:rFonts w:hint="default" w:ascii="Times New Roman" w:hAnsi="Times New Roman" w:cs="Times New Roman"/>
                <w:b w:val="0"/>
                <w:bCs w:val="0"/>
                <w:color w:val="000000"/>
                <w:sz w:val="24"/>
                <w:szCs w:val="24"/>
                <w:highlight w:val="none"/>
                <w:lang w:val="en-US" w:eastAsia="zh-CN"/>
              </w:rPr>
              <w:t>10</w:t>
            </w:r>
            <w:r>
              <w:rPr>
                <w:rFonts w:hint="default" w:ascii="Times New Roman" w:hAnsi="Times New Roman" w:eastAsia="宋体" w:cs="Times New Roman"/>
                <w:b w:val="0"/>
                <w:bCs w:val="0"/>
                <w:color w:val="000000"/>
                <w:sz w:val="24"/>
                <w:szCs w:val="24"/>
                <w:highlight w:val="none"/>
                <w:lang w:val="en-US" w:eastAsia="zh-CN"/>
              </w:rPr>
              <w:t>万t/a，则</w:t>
            </w:r>
            <w:r>
              <w:rPr>
                <w:rFonts w:hint="default" w:ascii="Times New Roman" w:hAnsi="Times New Roman" w:cs="Times New Roman"/>
                <w:b w:val="0"/>
                <w:bCs w:val="0"/>
                <w:color w:val="000000"/>
                <w:sz w:val="24"/>
                <w:szCs w:val="24"/>
                <w:highlight w:val="none"/>
                <w:lang w:val="en-US" w:eastAsia="zh-CN"/>
              </w:rPr>
              <w:t>筛分及</w:t>
            </w:r>
            <w:r>
              <w:rPr>
                <w:rFonts w:hint="eastAsia" w:cs="Times New Roman"/>
                <w:b w:val="0"/>
                <w:bCs w:val="0"/>
                <w:color w:val="000000"/>
                <w:sz w:val="24"/>
                <w:szCs w:val="24"/>
                <w:highlight w:val="none"/>
                <w:lang w:val="en-US" w:eastAsia="zh-CN"/>
              </w:rPr>
              <w:t>固定</w:t>
            </w:r>
            <w:r>
              <w:rPr>
                <w:rFonts w:hint="default" w:ascii="Times New Roman" w:hAnsi="Times New Roman" w:cs="Times New Roman"/>
                <w:b w:val="0"/>
                <w:bCs w:val="0"/>
                <w:color w:val="000000"/>
                <w:sz w:val="24"/>
                <w:szCs w:val="24"/>
                <w:highlight w:val="none"/>
                <w:lang w:val="en-US" w:eastAsia="zh-CN"/>
              </w:rPr>
              <w:t>破碎工序</w:t>
            </w:r>
            <w:r>
              <w:rPr>
                <w:rFonts w:hint="default" w:ascii="Times New Roman" w:hAnsi="Times New Roman" w:eastAsia="宋体" w:cs="Times New Roman"/>
                <w:b w:val="0"/>
                <w:bCs w:val="0"/>
                <w:color w:val="000000"/>
                <w:sz w:val="24"/>
                <w:szCs w:val="24"/>
                <w:highlight w:val="none"/>
                <w:lang w:val="en-US" w:eastAsia="zh-CN"/>
              </w:rPr>
              <w:t>颗粒物产生量为</w:t>
            </w:r>
            <w:r>
              <w:rPr>
                <w:rFonts w:hint="default" w:ascii="Times New Roman" w:hAnsi="Times New Roman" w:cs="Times New Roman"/>
                <w:b w:val="0"/>
                <w:bCs w:val="0"/>
                <w:color w:val="000000"/>
                <w:sz w:val="24"/>
                <w:szCs w:val="24"/>
                <w:highlight w:val="none"/>
                <w:lang w:val="en-US" w:eastAsia="zh-CN"/>
              </w:rPr>
              <w:t>23</w:t>
            </w:r>
            <w:r>
              <w:rPr>
                <w:rFonts w:hint="default" w:ascii="Times New Roman" w:hAnsi="Times New Roman" w:eastAsia="宋体" w:cs="Times New Roman"/>
                <w:b w:val="0"/>
                <w:bCs w:val="0"/>
                <w:color w:val="000000"/>
                <w:sz w:val="24"/>
                <w:szCs w:val="24"/>
                <w:highlight w:val="none"/>
                <w:lang w:val="en-US" w:eastAsia="zh-CN"/>
              </w:rPr>
              <w:t>t/a。</w:t>
            </w:r>
          </w:p>
          <w:p w14:paraId="3267571E">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sz w:val="24"/>
                <w:szCs w:val="24"/>
                <w:highlight w:val="none"/>
                <w:lang w:val="en-US" w:eastAsia="zh-CN"/>
              </w:rPr>
            </w:pPr>
            <w:r>
              <w:rPr>
                <w:rFonts w:hint="eastAsia" w:cs="Times New Roman"/>
                <w:b w:val="0"/>
                <w:bCs w:val="0"/>
                <w:color w:val="000000"/>
                <w:sz w:val="24"/>
                <w:szCs w:val="24"/>
                <w:highlight w:val="none"/>
                <w:lang w:val="en-US" w:eastAsia="zh-CN"/>
              </w:rPr>
              <w:t>因此，上料、</w:t>
            </w:r>
            <w:r>
              <w:rPr>
                <w:rFonts w:hint="default" w:ascii="Times New Roman" w:hAnsi="Times New Roman" w:cs="Times New Roman"/>
                <w:b w:val="0"/>
                <w:bCs w:val="0"/>
                <w:color w:val="000000"/>
                <w:sz w:val="24"/>
                <w:szCs w:val="24"/>
                <w:highlight w:val="none"/>
                <w:lang w:val="en-US" w:eastAsia="zh-CN"/>
              </w:rPr>
              <w:t>筛分及</w:t>
            </w:r>
            <w:r>
              <w:rPr>
                <w:rFonts w:hint="eastAsia" w:cs="Times New Roman"/>
                <w:b w:val="0"/>
                <w:bCs w:val="0"/>
                <w:color w:val="000000"/>
                <w:sz w:val="24"/>
                <w:szCs w:val="24"/>
                <w:highlight w:val="none"/>
                <w:lang w:val="en-US" w:eastAsia="zh-CN"/>
              </w:rPr>
              <w:t>固定</w:t>
            </w:r>
            <w:r>
              <w:rPr>
                <w:rFonts w:hint="default" w:ascii="Times New Roman" w:hAnsi="Times New Roman" w:cs="Times New Roman"/>
                <w:b w:val="0"/>
                <w:bCs w:val="0"/>
                <w:color w:val="000000"/>
                <w:sz w:val="24"/>
                <w:szCs w:val="24"/>
                <w:highlight w:val="none"/>
                <w:lang w:val="en-US" w:eastAsia="zh-CN"/>
              </w:rPr>
              <w:t>破碎工序</w:t>
            </w:r>
            <w:r>
              <w:rPr>
                <w:rFonts w:hint="default" w:ascii="Times New Roman" w:hAnsi="Times New Roman" w:eastAsia="宋体" w:cs="Times New Roman"/>
                <w:b w:val="0"/>
                <w:bCs w:val="0"/>
                <w:color w:val="000000"/>
                <w:sz w:val="24"/>
                <w:szCs w:val="24"/>
                <w:highlight w:val="none"/>
                <w:lang w:val="en-US" w:eastAsia="zh-CN"/>
              </w:rPr>
              <w:t>颗粒物产生量为</w:t>
            </w:r>
            <w:r>
              <w:rPr>
                <w:rFonts w:hint="eastAsia" w:cs="Times New Roman"/>
                <w:b w:val="0"/>
                <w:bCs w:val="0"/>
                <w:color w:val="000000"/>
                <w:sz w:val="24"/>
                <w:szCs w:val="24"/>
                <w:highlight w:val="none"/>
                <w:lang w:val="en-US" w:eastAsia="zh-CN"/>
              </w:rPr>
              <w:t>38</w:t>
            </w:r>
            <w:r>
              <w:rPr>
                <w:rFonts w:hint="default" w:ascii="Times New Roman" w:hAnsi="Times New Roman" w:eastAsia="宋体" w:cs="Times New Roman"/>
                <w:b w:val="0"/>
                <w:bCs w:val="0"/>
                <w:color w:val="000000"/>
                <w:sz w:val="24"/>
                <w:szCs w:val="24"/>
                <w:highlight w:val="none"/>
                <w:lang w:val="en-US" w:eastAsia="zh-CN"/>
              </w:rPr>
              <w:t>t/a。</w:t>
            </w:r>
          </w:p>
          <w:p w14:paraId="2D185DB0">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sz w:val="24"/>
                <w:szCs w:val="24"/>
                <w:highlight w:val="none"/>
                <w:lang w:val="en-US" w:eastAsia="zh-CN"/>
              </w:rPr>
            </w:pPr>
            <w:r>
              <w:rPr>
                <w:rFonts w:hint="default" w:ascii="Times New Roman" w:hAnsi="Times New Roman" w:eastAsia="宋体" w:cs="Times New Roman"/>
                <w:b w:val="0"/>
                <w:bCs w:val="0"/>
                <w:color w:val="000000"/>
                <w:sz w:val="24"/>
                <w:szCs w:val="24"/>
                <w:highlight w:val="none"/>
                <w:lang w:val="en-US" w:eastAsia="zh-CN"/>
              </w:rPr>
              <w:t>项目</w:t>
            </w:r>
            <w:r>
              <w:rPr>
                <w:rFonts w:hint="default" w:ascii="Times New Roman" w:hAnsi="Times New Roman" w:cs="Times New Roman"/>
                <w:b w:val="0"/>
                <w:bCs w:val="0"/>
                <w:color w:val="000000"/>
                <w:sz w:val="24"/>
                <w:szCs w:val="24"/>
                <w:highlight w:val="none"/>
                <w:lang w:val="en-US" w:eastAsia="zh-CN"/>
              </w:rPr>
              <w:t>上料、筛分、破碎工序</w:t>
            </w:r>
            <w:r>
              <w:rPr>
                <w:rFonts w:hint="default" w:ascii="Times New Roman" w:hAnsi="Times New Roman" w:eastAsia="宋体" w:cs="Times New Roman"/>
                <w:b w:val="0"/>
                <w:bCs w:val="0"/>
                <w:color w:val="000000"/>
                <w:sz w:val="24"/>
                <w:szCs w:val="24"/>
                <w:highlight w:val="none"/>
                <w:lang w:val="en-US" w:eastAsia="zh-CN"/>
              </w:rPr>
              <w:t>废气收集效率按95%计，</w:t>
            </w:r>
            <w:r>
              <w:rPr>
                <w:rFonts w:hint="eastAsia" w:ascii="Times New Roman" w:hAnsi="Times New Roman" w:eastAsia="宋体" w:cs="Times New Roman"/>
                <w:b w:val="0"/>
                <w:bCs w:val="0"/>
                <w:color w:val="000000"/>
                <w:sz w:val="24"/>
                <w:szCs w:val="24"/>
                <w:highlight w:val="none"/>
                <w:lang w:val="en-US" w:eastAsia="zh-CN"/>
              </w:rPr>
              <w:t>脉冲式布袋除尘器</w:t>
            </w:r>
            <w:r>
              <w:rPr>
                <w:rFonts w:hint="default" w:ascii="Times New Roman" w:hAnsi="Times New Roman" w:eastAsia="宋体" w:cs="Times New Roman"/>
                <w:b w:val="0"/>
                <w:bCs w:val="0"/>
                <w:color w:val="000000"/>
                <w:sz w:val="24"/>
                <w:szCs w:val="24"/>
                <w:highlight w:val="none"/>
                <w:lang w:val="en-US" w:eastAsia="zh-CN"/>
              </w:rPr>
              <w:t>处理效率按99%，</w:t>
            </w:r>
            <w:r>
              <w:rPr>
                <w:rFonts w:hint="eastAsia" w:ascii="Times New Roman" w:hAnsi="Times New Roman" w:eastAsia="宋体" w:cs="Times New Roman"/>
                <w:b w:val="0"/>
                <w:bCs w:val="0"/>
                <w:color w:val="000000"/>
                <w:sz w:val="24"/>
                <w:szCs w:val="24"/>
                <w:highlight w:val="none"/>
                <w:lang w:val="en-US" w:eastAsia="zh-CN"/>
              </w:rPr>
              <w:t>脉冲式布袋除尘器</w:t>
            </w:r>
            <w:r>
              <w:rPr>
                <w:rFonts w:hint="default" w:ascii="Times New Roman" w:hAnsi="Times New Roman" w:eastAsia="宋体" w:cs="Times New Roman"/>
                <w:b w:val="0"/>
                <w:bCs w:val="0"/>
                <w:color w:val="000000"/>
                <w:sz w:val="24"/>
                <w:szCs w:val="24"/>
                <w:highlight w:val="none"/>
                <w:lang w:val="en-US" w:eastAsia="zh-CN"/>
              </w:rPr>
              <w:t>设计风量为75000m</w:t>
            </w:r>
            <w:r>
              <w:rPr>
                <w:rFonts w:hint="default" w:ascii="Times New Roman" w:hAnsi="Times New Roman" w:eastAsia="宋体" w:cs="Times New Roman"/>
                <w:b w:val="0"/>
                <w:bCs w:val="0"/>
                <w:color w:val="000000"/>
                <w:sz w:val="24"/>
                <w:szCs w:val="24"/>
                <w:highlight w:val="none"/>
                <w:vertAlign w:val="superscript"/>
                <w:lang w:val="en-US" w:eastAsia="zh-CN"/>
              </w:rPr>
              <w:t>3</w:t>
            </w:r>
            <w:r>
              <w:rPr>
                <w:rFonts w:hint="default" w:ascii="Times New Roman" w:hAnsi="Times New Roman" w:eastAsia="宋体" w:cs="Times New Roman"/>
                <w:b w:val="0"/>
                <w:bCs w:val="0"/>
                <w:color w:val="000000"/>
                <w:sz w:val="24"/>
                <w:szCs w:val="24"/>
                <w:highlight w:val="none"/>
                <w:lang w:val="en-US" w:eastAsia="zh-CN"/>
              </w:rPr>
              <w:t>/h，项目年有效工作时间</w:t>
            </w:r>
            <w:r>
              <w:rPr>
                <w:rFonts w:hint="default" w:ascii="Times New Roman" w:hAnsi="Times New Roman" w:cs="Times New Roman"/>
                <w:b w:val="0"/>
                <w:bCs w:val="0"/>
                <w:color w:val="000000"/>
                <w:sz w:val="24"/>
                <w:szCs w:val="24"/>
                <w:highlight w:val="none"/>
                <w:lang w:val="en-US" w:eastAsia="zh-CN"/>
              </w:rPr>
              <w:t>7200</w:t>
            </w:r>
            <w:r>
              <w:rPr>
                <w:rFonts w:hint="default" w:ascii="Times New Roman" w:hAnsi="Times New Roman" w:eastAsia="宋体" w:cs="Times New Roman"/>
                <w:b w:val="0"/>
                <w:bCs w:val="0"/>
                <w:color w:val="000000"/>
                <w:sz w:val="24"/>
                <w:szCs w:val="24"/>
                <w:highlight w:val="none"/>
                <w:lang w:val="en-US" w:eastAsia="zh-CN"/>
              </w:rPr>
              <w:t>h。项目有组织颗粒物产生量为</w:t>
            </w:r>
            <w:r>
              <w:rPr>
                <w:rFonts w:hint="default" w:ascii="Times New Roman" w:hAnsi="Times New Roman" w:cs="Times New Roman"/>
                <w:b w:val="0"/>
                <w:bCs w:val="0"/>
                <w:color w:val="000000"/>
                <w:sz w:val="24"/>
                <w:szCs w:val="24"/>
                <w:highlight w:val="none"/>
                <w:lang w:val="en-US" w:eastAsia="zh-CN"/>
              </w:rPr>
              <w:t>36</w:t>
            </w:r>
            <w:r>
              <w:rPr>
                <w:rFonts w:hint="eastAsia" w:cs="Times New Roman"/>
                <w:b w:val="0"/>
                <w:bCs w:val="0"/>
                <w:color w:val="000000"/>
                <w:sz w:val="24"/>
                <w:szCs w:val="24"/>
                <w:highlight w:val="none"/>
                <w:lang w:val="en-US" w:eastAsia="zh-CN"/>
              </w:rPr>
              <w:t>.</w:t>
            </w:r>
            <w:r>
              <w:rPr>
                <w:rFonts w:hint="default" w:ascii="Times New Roman" w:hAnsi="Times New Roman" w:cs="Times New Roman"/>
                <w:b w:val="0"/>
                <w:bCs w:val="0"/>
                <w:color w:val="000000"/>
                <w:sz w:val="24"/>
                <w:szCs w:val="24"/>
                <w:highlight w:val="none"/>
                <w:lang w:val="en-US" w:eastAsia="zh-CN"/>
              </w:rPr>
              <w:t>1</w:t>
            </w:r>
            <w:r>
              <w:rPr>
                <w:rFonts w:hint="default" w:ascii="Times New Roman" w:hAnsi="Times New Roman" w:eastAsia="宋体" w:cs="Times New Roman"/>
                <w:b w:val="0"/>
                <w:bCs w:val="0"/>
                <w:color w:val="000000"/>
                <w:sz w:val="24"/>
                <w:szCs w:val="24"/>
                <w:highlight w:val="none"/>
                <w:lang w:val="en-US" w:eastAsia="zh-CN"/>
              </w:rPr>
              <w:t>t/a，产生速率为</w:t>
            </w:r>
            <w:r>
              <w:rPr>
                <w:rFonts w:hint="default" w:ascii="Times New Roman" w:hAnsi="Times New Roman" w:cs="Times New Roman"/>
                <w:b w:val="0"/>
                <w:bCs w:val="0"/>
                <w:color w:val="000000"/>
                <w:sz w:val="24"/>
                <w:szCs w:val="24"/>
                <w:highlight w:val="none"/>
                <w:lang w:val="en-US" w:eastAsia="zh-CN"/>
              </w:rPr>
              <w:t>5</w:t>
            </w:r>
            <w:r>
              <w:rPr>
                <w:rFonts w:hint="eastAsia" w:cs="Times New Roman"/>
                <w:b w:val="0"/>
                <w:bCs w:val="0"/>
                <w:color w:val="000000"/>
                <w:sz w:val="24"/>
                <w:szCs w:val="24"/>
                <w:highlight w:val="none"/>
                <w:lang w:val="en-US" w:eastAsia="zh-CN"/>
              </w:rPr>
              <w:t>.</w:t>
            </w:r>
            <w:r>
              <w:rPr>
                <w:rFonts w:hint="default" w:ascii="Times New Roman" w:hAnsi="Times New Roman" w:cs="Times New Roman"/>
                <w:b w:val="0"/>
                <w:bCs w:val="0"/>
                <w:color w:val="000000"/>
                <w:sz w:val="24"/>
                <w:szCs w:val="24"/>
                <w:highlight w:val="none"/>
                <w:lang w:val="en-US" w:eastAsia="zh-CN"/>
              </w:rPr>
              <w:t>014</w:t>
            </w:r>
            <w:r>
              <w:rPr>
                <w:rFonts w:hint="default" w:ascii="Times New Roman" w:hAnsi="Times New Roman" w:eastAsia="宋体" w:cs="Times New Roman"/>
                <w:b w:val="0"/>
                <w:bCs w:val="0"/>
                <w:color w:val="000000"/>
                <w:sz w:val="24"/>
                <w:szCs w:val="24"/>
                <w:highlight w:val="none"/>
                <w:lang w:val="en-US" w:eastAsia="zh-CN"/>
              </w:rPr>
              <w:t>kg/h，产生浓度为</w:t>
            </w:r>
            <w:r>
              <w:rPr>
                <w:rFonts w:hint="default" w:ascii="Times New Roman" w:hAnsi="Times New Roman" w:cs="Times New Roman"/>
                <w:b w:val="0"/>
                <w:bCs w:val="0"/>
                <w:color w:val="000000"/>
                <w:sz w:val="24"/>
                <w:szCs w:val="24"/>
                <w:highlight w:val="none"/>
                <w:lang w:val="en-US" w:eastAsia="zh-CN"/>
              </w:rPr>
              <w:t>66</w:t>
            </w:r>
            <w:r>
              <w:rPr>
                <w:rFonts w:hint="eastAsia" w:cs="Times New Roman"/>
                <w:b w:val="0"/>
                <w:bCs w:val="0"/>
                <w:color w:val="000000"/>
                <w:sz w:val="24"/>
                <w:szCs w:val="24"/>
                <w:highlight w:val="none"/>
                <w:lang w:val="en-US" w:eastAsia="zh-CN"/>
              </w:rPr>
              <w:t>.</w:t>
            </w:r>
            <w:r>
              <w:rPr>
                <w:rFonts w:hint="default" w:ascii="Times New Roman" w:hAnsi="Times New Roman" w:cs="Times New Roman"/>
                <w:b w:val="0"/>
                <w:bCs w:val="0"/>
                <w:color w:val="000000"/>
                <w:sz w:val="24"/>
                <w:szCs w:val="24"/>
                <w:highlight w:val="none"/>
                <w:lang w:val="en-US" w:eastAsia="zh-CN"/>
              </w:rPr>
              <w:t>852</w:t>
            </w:r>
            <w:r>
              <w:rPr>
                <w:rFonts w:hint="default" w:ascii="Times New Roman" w:hAnsi="Times New Roman" w:eastAsia="宋体" w:cs="Times New Roman"/>
                <w:b w:val="0"/>
                <w:bCs w:val="0"/>
                <w:color w:val="000000"/>
                <w:sz w:val="24"/>
                <w:szCs w:val="24"/>
                <w:highlight w:val="none"/>
                <w:lang w:val="en-US" w:eastAsia="zh-CN"/>
              </w:rPr>
              <w:t>mg/m</w:t>
            </w:r>
            <w:r>
              <w:rPr>
                <w:rFonts w:hint="default" w:ascii="Times New Roman" w:hAnsi="Times New Roman" w:eastAsia="宋体" w:cs="Times New Roman"/>
                <w:b w:val="0"/>
                <w:bCs w:val="0"/>
                <w:color w:val="000000"/>
                <w:sz w:val="24"/>
                <w:szCs w:val="24"/>
                <w:highlight w:val="none"/>
                <w:vertAlign w:val="superscript"/>
                <w:lang w:val="en-US" w:eastAsia="zh-CN"/>
              </w:rPr>
              <w:t>3</w:t>
            </w:r>
            <w:r>
              <w:rPr>
                <w:rFonts w:hint="default" w:ascii="Times New Roman" w:hAnsi="Times New Roman" w:eastAsia="宋体" w:cs="Times New Roman"/>
                <w:b w:val="0"/>
                <w:bCs w:val="0"/>
                <w:color w:val="000000"/>
                <w:sz w:val="24"/>
                <w:szCs w:val="24"/>
                <w:highlight w:val="none"/>
                <w:lang w:val="en-US" w:eastAsia="zh-CN"/>
              </w:rPr>
              <w:t>，</w:t>
            </w:r>
            <w:r>
              <w:rPr>
                <w:rFonts w:hint="eastAsia" w:ascii="Times New Roman" w:hAnsi="Times New Roman" w:eastAsia="宋体" w:cs="Times New Roman"/>
                <w:b w:val="0"/>
                <w:bCs w:val="0"/>
                <w:color w:val="000000"/>
                <w:sz w:val="24"/>
                <w:szCs w:val="24"/>
                <w:highlight w:val="none"/>
                <w:lang w:val="en-US" w:eastAsia="zh-CN"/>
              </w:rPr>
              <w:t>脉冲式布袋除尘器</w:t>
            </w:r>
            <w:r>
              <w:rPr>
                <w:rFonts w:hint="default" w:ascii="Times New Roman" w:hAnsi="Times New Roman" w:eastAsia="宋体" w:cs="Times New Roman"/>
                <w:b w:val="0"/>
                <w:bCs w:val="0"/>
                <w:color w:val="000000"/>
                <w:sz w:val="24"/>
                <w:szCs w:val="24"/>
                <w:highlight w:val="none"/>
                <w:lang w:val="en-US" w:eastAsia="zh-CN"/>
              </w:rPr>
              <w:t>处理效率为99%，经处理后颗粒物排放量为</w:t>
            </w:r>
            <w:r>
              <w:rPr>
                <w:rFonts w:hint="eastAsia" w:cs="Times New Roman"/>
                <w:b w:val="0"/>
                <w:bCs w:val="0"/>
                <w:color w:val="000000"/>
                <w:sz w:val="24"/>
                <w:szCs w:val="24"/>
                <w:highlight w:val="none"/>
                <w:lang w:val="en-US" w:eastAsia="zh-CN"/>
              </w:rPr>
              <w:t>0.3</w:t>
            </w:r>
            <w:r>
              <w:rPr>
                <w:rFonts w:hint="default" w:ascii="Times New Roman" w:hAnsi="Times New Roman" w:cs="Times New Roman"/>
                <w:b w:val="0"/>
                <w:bCs w:val="0"/>
                <w:color w:val="000000"/>
                <w:sz w:val="24"/>
                <w:szCs w:val="24"/>
                <w:highlight w:val="none"/>
                <w:lang w:val="en-US" w:eastAsia="zh-CN"/>
              </w:rPr>
              <w:t>61</w:t>
            </w:r>
            <w:r>
              <w:rPr>
                <w:rFonts w:hint="default" w:ascii="Times New Roman" w:hAnsi="Times New Roman" w:eastAsia="宋体" w:cs="Times New Roman"/>
                <w:b w:val="0"/>
                <w:bCs w:val="0"/>
                <w:color w:val="000000"/>
                <w:sz w:val="24"/>
                <w:szCs w:val="24"/>
                <w:highlight w:val="none"/>
                <w:lang w:val="en-US" w:eastAsia="zh-CN"/>
              </w:rPr>
              <w:t>t/a，排放速率为0.</w:t>
            </w:r>
            <w:r>
              <w:rPr>
                <w:rFonts w:hint="eastAsia" w:cs="Times New Roman"/>
                <w:b w:val="0"/>
                <w:bCs w:val="0"/>
                <w:color w:val="000000"/>
                <w:sz w:val="24"/>
                <w:szCs w:val="24"/>
                <w:highlight w:val="none"/>
                <w:lang w:val="en-US" w:eastAsia="zh-CN"/>
              </w:rPr>
              <w:t>0</w:t>
            </w:r>
            <w:r>
              <w:rPr>
                <w:rFonts w:hint="default" w:ascii="Times New Roman" w:hAnsi="Times New Roman" w:cs="Times New Roman"/>
                <w:b w:val="0"/>
                <w:bCs w:val="0"/>
                <w:color w:val="000000"/>
                <w:sz w:val="24"/>
                <w:szCs w:val="24"/>
                <w:highlight w:val="none"/>
                <w:lang w:val="en-US" w:eastAsia="zh-CN"/>
              </w:rPr>
              <w:t>5</w:t>
            </w:r>
            <w:r>
              <w:rPr>
                <w:rFonts w:hint="default" w:ascii="Times New Roman" w:hAnsi="Times New Roman" w:eastAsia="宋体" w:cs="Times New Roman"/>
                <w:b w:val="0"/>
                <w:bCs w:val="0"/>
                <w:color w:val="000000"/>
                <w:sz w:val="24"/>
                <w:szCs w:val="24"/>
                <w:highlight w:val="none"/>
                <w:lang w:val="en-US" w:eastAsia="zh-CN"/>
              </w:rPr>
              <w:t>kg/h，排放浓度为</w:t>
            </w:r>
            <w:r>
              <w:rPr>
                <w:rFonts w:hint="eastAsia" w:cs="Times New Roman"/>
                <w:b w:val="0"/>
                <w:bCs w:val="0"/>
                <w:color w:val="000000"/>
                <w:sz w:val="24"/>
                <w:szCs w:val="24"/>
                <w:highlight w:val="none"/>
                <w:lang w:val="en-US" w:eastAsia="zh-CN"/>
              </w:rPr>
              <w:t>0.6</w:t>
            </w:r>
            <w:r>
              <w:rPr>
                <w:rFonts w:hint="default" w:ascii="Times New Roman" w:hAnsi="Times New Roman" w:cs="Times New Roman"/>
                <w:b w:val="0"/>
                <w:bCs w:val="0"/>
                <w:color w:val="000000"/>
                <w:sz w:val="24"/>
                <w:szCs w:val="24"/>
                <w:highlight w:val="none"/>
                <w:lang w:val="en-US" w:eastAsia="zh-CN"/>
              </w:rPr>
              <w:t>7</w:t>
            </w:r>
            <w:r>
              <w:rPr>
                <w:rFonts w:hint="default" w:ascii="Times New Roman" w:hAnsi="Times New Roman" w:eastAsia="宋体" w:cs="Times New Roman"/>
                <w:b w:val="0"/>
                <w:bCs w:val="0"/>
                <w:color w:val="000000"/>
                <w:sz w:val="24"/>
                <w:szCs w:val="24"/>
                <w:highlight w:val="none"/>
                <w:lang w:val="en-US" w:eastAsia="zh-CN"/>
              </w:rPr>
              <w:t>mg/m</w:t>
            </w:r>
            <w:r>
              <w:rPr>
                <w:rFonts w:hint="default" w:ascii="Times New Roman" w:hAnsi="Times New Roman" w:eastAsia="宋体" w:cs="Times New Roman"/>
                <w:b w:val="0"/>
                <w:bCs w:val="0"/>
                <w:color w:val="000000"/>
                <w:sz w:val="24"/>
                <w:szCs w:val="24"/>
                <w:highlight w:val="none"/>
                <w:vertAlign w:val="superscript"/>
                <w:lang w:val="en-US" w:eastAsia="zh-CN"/>
              </w:rPr>
              <w:t>3</w:t>
            </w:r>
            <w:r>
              <w:rPr>
                <w:rFonts w:hint="default" w:ascii="Times New Roman" w:hAnsi="Times New Roman" w:eastAsia="宋体" w:cs="Times New Roman"/>
                <w:b w:val="0"/>
                <w:bCs w:val="0"/>
                <w:color w:val="000000"/>
                <w:sz w:val="24"/>
                <w:szCs w:val="24"/>
                <w:highlight w:val="none"/>
                <w:lang w:val="en-US" w:eastAsia="zh-CN"/>
              </w:rPr>
              <w:t>，满足《炼焦化学工业大气污染物超低排放标准(DB13/2863-2018)表1大气污染物排放限值。</w:t>
            </w:r>
          </w:p>
          <w:p w14:paraId="0D545831">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sz w:val="24"/>
                <w:szCs w:val="24"/>
                <w:highlight w:val="none"/>
                <w:lang w:val="en-US" w:eastAsia="zh-CN"/>
              </w:rPr>
            </w:pPr>
            <w:r>
              <w:rPr>
                <w:rFonts w:hint="default" w:ascii="Times New Roman" w:hAnsi="Times New Roman" w:cs="Times New Roman"/>
                <w:b w:val="0"/>
                <w:bCs w:val="0"/>
                <w:color w:val="000000"/>
                <w:sz w:val="24"/>
                <w:szCs w:val="24"/>
                <w:highlight w:val="none"/>
                <w:lang w:val="en-US" w:eastAsia="zh-CN"/>
              </w:rPr>
              <w:t>②移动破碎机废气</w:t>
            </w:r>
          </w:p>
          <w:p w14:paraId="7354BEB1">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sz w:val="24"/>
                <w:szCs w:val="24"/>
                <w:highlight w:val="none"/>
                <w:lang w:val="en-US" w:eastAsia="zh-CN"/>
              </w:rPr>
            </w:pPr>
            <w:r>
              <w:rPr>
                <w:rFonts w:hint="default" w:ascii="Times New Roman" w:hAnsi="Times New Roman" w:eastAsia="宋体" w:cs="Times New Roman"/>
                <w:b w:val="0"/>
                <w:bCs w:val="0"/>
                <w:color w:val="000000"/>
                <w:sz w:val="24"/>
                <w:szCs w:val="24"/>
                <w:highlight w:val="none"/>
                <w:lang w:val="en-US" w:eastAsia="zh-CN"/>
              </w:rPr>
              <w:t>参照《排放源统计调查产排污核算方法和系数手册》中“2529其他煤炭加工行业</w:t>
            </w:r>
            <w:r>
              <w:rPr>
                <w:rFonts w:hint="eastAsia" w:cs="Times New Roman"/>
                <w:b w:val="0"/>
                <w:bCs w:val="0"/>
                <w:color w:val="000000"/>
                <w:sz w:val="24"/>
                <w:szCs w:val="24"/>
                <w:highlight w:val="none"/>
                <w:lang w:val="en-US" w:eastAsia="zh-CN"/>
              </w:rPr>
              <w:t>—</w:t>
            </w:r>
            <w:r>
              <w:rPr>
                <w:rFonts w:hint="default" w:ascii="Times New Roman" w:hAnsi="Times New Roman" w:eastAsia="宋体" w:cs="Times New Roman"/>
                <w:b w:val="0"/>
                <w:bCs w:val="0"/>
                <w:color w:val="000000"/>
                <w:sz w:val="24"/>
                <w:szCs w:val="24"/>
                <w:highlight w:val="none"/>
                <w:lang w:val="en-US" w:eastAsia="zh-CN"/>
              </w:rPr>
              <w:t>原料破碎、活化料筛分、产品筛分”中颗粒物产污系数为0.23kg/t-产品。项目建设完成产品产量为</w:t>
            </w:r>
            <w:r>
              <w:rPr>
                <w:rFonts w:hint="default" w:ascii="Times New Roman" w:hAnsi="Times New Roman" w:cs="Times New Roman"/>
                <w:b w:val="0"/>
                <w:bCs w:val="0"/>
                <w:color w:val="000000"/>
                <w:sz w:val="24"/>
                <w:szCs w:val="24"/>
                <w:highlight w:val="none"/>
                <w:lang w:val="en-US" w:eastAsia="zh-CN"/>
              </w:rPr>
              <w:t>10</w:t>
            </w:r>
            <w:r>
              <w:rPr>
                <w:rFonts w:hint="default" w:ascii="Times New Roman" w:hAnsi="Times New Roman" w:eastAsia="宋体" w:cs="Times New Roman"/>
                <w:b w:val="0"/>
                <w:bCs w:val="0"/>
                <w:color w:val="000000"/>
                <w:sz w:val="24"/>
                <w:szCs w:val="24"/>
                <w:highlight w:val="none"/>
                <w:lang w:val="en-US" w:eastAsia="zh-CN"/>
              </w:rPr>
              <w:t>万t/a，则颗粒物产生量为</w:t>
            </w:r>
            <w:r>
              <w:rPr>
                <w:rFonts w:hint="default" w:ascii="Times New Roman" w:hAnsi="Times New Roman" w:cs="Times New Roman"/>
                <w:b w:val="0"/>
                <w:bCs w:val="0"/>
                <w:color w:val="000000"/>
                <w:sz w:val="24"/>
                <w:szCs w:val="24"/>
                <w:highlight w:val="none"/>
                <w:lang w:val="en-US" w:eastAsia="zh-CN"/>
              </w:rPr>
              <w:t>23</w:t>
            </w:r>
            <w:r>
              <w:rPr>
                <w:rFonts w:hint="default" w:ascii="Times New Roman" w:hAnsi="Times New Roman" w:eastAsia="宋体" w:cs="Times New Roman"/>
                <w:b w:val="0"/>
                <w:bCs w:val="0"/>
                <w:color w:val="000000"/>
                <w:sz w:val="24"/>
                <w:szCs w:val="24"/>
                <w:highlight w:val="none"/>
                <w:lang w:val="en-US" w:eastAsia="zh-CN"/>
              </w:rPr>
              <w:t>t/a。</w:t>
            </w:r>
          </w:p>
          <w:p w14:paraId="4586C4CB">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sz w:val="24"/>
                <w:szCs w:val="24"/>
                <w:highlight w:val="none"/>
                <w:lang w:val="en-US" w:eastAsia="zh-CN"/>
              </w:rPr>
            </w:pPr>
            <w:r>
              <w:rPr>
                <w:rFonts w:hint="default" w:ascii="Times New Roman" w:hAnsi="Times New Roman" w:eastAsia="宋体" w:cs="Times New Roman"/>
                <w:b w:val="0"/>
                <w:bCs w:val="0"/>
                <w:color w:val="000000"/>
                <w:sz w:val="24"/>
                <w:szCs w:val="24"/>
                <w:highlight w:val="none"/>
                <w:lang w:val="en-US" w:eastAsia="zh-CN"/>
              </w:rPr>
              <w:t>项目有组织废气收集效率按95%计，</w:t>
            </w:r>
            <w:r>
              <w:rPr>
                <w:rFonts w:hint="eastAsia" w:ascii="Times New Roman" w:hAnsi="Times New Roman" w:eastAsia="宋体" w:cs="Times New Roman"/>
                <w:b w:val="0"/>
                <w:bCs w:val="0"/>
                <w:color w:val="000000"/>
                <w:sz w:val="24"/>
                <w:szCs w:val="24"/>
                <w:highlight w:val="none"/>
                <w:lang w:val="en-US" w:eastAsia="zh-CN"/>
              </w:rPr>
              <w:t>脉冲式布袋除尘器</w:t>
            </w:r>
            <w:r>
              <w:rPr>
                <w:rFonts w:hint="default" w:ascii="Times New Roman" w:hAnsi="Times New Roman" w:eastAsia="宋体" w:cs="Times New Roman"/>
                <w:b w:val="0"/>
                <w:bCs w:val="0"/>
                <w:color w:val="000000"/>
                <w:sz w:val="24"/>
                <w:szCs w:val="24"/>
                <w:highlight w:val="none"/>
                <w:lang w:val="en-US" w:eastAsia="zh-CN"/>
              </w:rPr>
              <w:t>处理效率按99%，</w:t>
            </w:r>
            <w:r>
              <w:rPr>
                <w:rFonts w:hint="eastAsia" w:ascii="Times New Roman" w:hAnsi="Times New Roman" w:eastAsia="宋体" w:cs="Times New Roman"/>
                <w:b w:val="0"/>
                <w:bCs w:val="0"/>
                <w:color w:val="000000"/>
                <w:sz w:val="24"/>
                <w:szCs w:val="24"/>
                <w:highlight w:val="none"/>
                <w:lang w:val="en-US" w:eastAsia="zh-CN"/>
              </w:rPr>
              <w:t>脉冲式布袋除尘器</w:t>
            </w:r>
            <w:r>
              <w:rPr>
                <w:rFonts w:hint="default" w:ascii="Times New Roman" w:hAnsi="Times New Roman" w:eastAsia="宋体" w:cs="Times New Roman"/>
                <w:b w:val="0"/>
                <w:bCs w:val="0"/>
                <w:color w:val="000000"/>
                <w:sz w:val="24"/>
                <w:szCs w:val="24"/>
                <w:highlight w:val="none"/>
                <w:lang w:val="en-US" w:eastAsia="zh-CN"/>
              </w:rPr>
              <w:t>设计风量为</w:t>
            </w:r>
            <w:r>
              <w:rPr>
                <w:rFonts w:hint="eastAsia" w:cs="Times New Roman"/>
                <w:b w:val="0"/>
                <w:bCs w:val="0"/>
                <w:color w:val="000000"/>
                <w:sz w:val="24"/>
                <w:szCs w:val="24"/>
                <w:highlight w:val="none"/>
                <w:lang w:val="en-US" w:eastAsia="zh-CN"/>
              </w:rPr>
              <w:t>5</w:t>
            </w:r>
            <w:r>
              <w:rPr>
                <w:rFonts w:hint="default" w:ascii="Times New Roman" w:hAnsi="Times New Roman" w:eastAsia="宋体" w:cs="Times New Roman"/>
                <w:b w:val="0"/>
                <w:bCs w:val="0"/>
                <w:color w:val="000000"/>
                <w:sz w:val="24"/>
                <w:szCs w:val="24"/>
                <w:highlight w:val="none"/>
                <w:lang w:val="en-US" w:eastAsia="zh-CN"/>
              </w:rPr>
              <w:t>5000m</w:t>
            </w:r>
            <w:r>
              <w:rPr>
                <w:rFonts w:hint="default" w:ascii="Times New Roman" w:hAnsi="Times New Roman" w:eastAsia="宋体" w:cs="Times New Roman"/>
                <w:b w:val="0"/>
                <w:bCs w:val="0"/>
                <w:color w:val="000000"/>
                <w:sz w:val="24"/>
                <w:szCs w:val="24"/>
                <w:highlight w:val="none"/>
                <w:vertAlign w:val="superscript"/>
                <w:lang w:val="en-US" w:eastAsia="zh-CN"/>
              </w:rPr>
              <w:t>3</w:t>
            </w:r>
            <w:r>
              <w:rPr>
                <w:rFonts w:hint="default" w:ascii="Times New Roman" w:hAnsi="Times New Roman" w:eastAsia="宋体" w:cs="Times New Roman"/>
                <w:b w:val="0"/>
                <w:bCs w:val="0"/>
                <w:color w:val="000000"/>
                <w:sz w:val="24"/>
                <w:szCs w:val="24"/>
                <w:highlight w:val="none"/>
                <w:lang w:val="en-US" w:eastAsia="zh-CN"/>
              </w:rPr>
              <w:t>/h，项目年有效工作时间</w:t>
            </w:r>
            <w:r>
              <w:rPr>
                <w:rFonts w:hint="default" w:ascii="Times New Roman" w:hAnsi="Times New Roman" w:cs="Times New Roman"/>
                <w:b w:val="0"/>
                <w:bCs w:val="0"/>
                <w:color w:val="000000"/>
                <w:sz w:val="24"/>
                <w:szCs w:val="24"/>
                <w:highlight w:val="none"/>
                <w:lang w:val="en-US" w:eastAsia="zh-CN"/>
              </w:rPr>
              <w:t>7200</w:t>
            </w:r>
            <w:r>
              <w:rPr>
                <w:rFonts w:hint="default" w:ascii="Times New Roman" w:hAnsi="Times New Roman" w:eastAsia="宋体" w:cs="Times New Roman"/>
                <w:b w:val="0"/>
                <w:bCs w:val="0"/>
                <w:color w:val="000000"/>
                <w:sz w:val="24"/>
                <w:szCs w:val="24"/>
                <w:highlight w:val="none"/>
                <w:lang w:val="en-US" w:eastAsia="zh-CN"/>
              </w:rPr>
              <w:t>h。项目有组织颗粒物产生量为</w:t>
            </w:r>
            <w:r>
              <w:rPr>
                <w:rFonts w:hint="default" w:ascii="Times New Roman" w:hAnsi="Times New Roman" w:cs="Times New Roman"/>
                <w:b w:val="0"/>
                <w:bCs w:val="0"/>
                <w:color w:val="000000"/>
                <w:sz w:val="24"/>
                <w:szCs w:val="24"/>
                <w:highlight w:val="none"/>
                <w:lang w:val="en-US" w:eastAsia="zh-CN"/>
              </w:rPr>
              <w:t>21</w:t>
            </w:r>
            <w:r>
              <w:rPr>
                <w:rFonts w:hint="eastAsia" w:cs="Times New Roman"/>
                <w:b w:val="0"/>
                <w:bCs w:val="0"/>
                <w:color w:val="000000"/>
                <w:sz w:val="24"/>
                <w:szCs w:val="24"/>
                <w:highlight w:val="none"/>
                <w:lang w:val="en-US" w:eastAsia="zh-CN"/>
              </w:rPr>
              <w:t>.</w:t>
            </w:r>
            <w:r>
              <w:rPr>
                <w:rFonts w:hint="default" w:ascii="Times New Roman" w:hAnsi="Times New Roman" w:cs="Times New Roman"/>
                <w:b w:val="0"/>
                <w:bCs w:val="0"/>
                <w:color w:val="000000"/>
                <w:sz w:val="24"/>
                <w:szCs w:val="24"/>
                <w:highlight w:val="none"/>
                <w:lang w:val="en-US" w:eastAsia="zh-CN"/>
              </w:rPr>
              <w:t>85</w:t>
            </w:r>
            <w:r>
              <w:rPr>
                <w:rFonts w:hint="default" w:ascii="Times New Roman" w:hAnsi="Times New Roman" w:eastAsia="宋体" w:cs="Times New Roman"/>
                <w:b w:val="0"/>
                <w:bCs w:val="0"/>
                <w:color w:val="000000"/>
                <w:sz w:val="24"/>
                <w:szCs w:val="24"/>
                <w:highlight w:val="none"/>
                <w:lang w:val="en-US" w:eastAsia="zh-CN"/>
              </w:rPr>
              <w:t>t/a，产生速率为</w:t>
            </w:r>
            <w:r>
              <w:rPr>
                <w:rFonts w:hint="eastAsia" w:cs="Times New Roman"/>
                <w:b w:val="0"/>
                <w:bCs w:val="0"/>
                <w:color w:val="000000"/>
                <w:sz w:val="24"/>
                <w:szCs w:val="24"/>
                <w:highlight w:val="none"/>
                <w:lang w:val="en-US" w:eastAsia="zh-CN"/>
              </w:rPr>
              <w:t>3.121</w:t>
            </w:r>
            <w:r>
              <w:rPr>
                <w:rFonts w:hint="default" w:ascii="Times New Roman" w:hAnsi="Times New Roman" w:eastAsia="宋体" w:cs="Times New Roman"/>
                <w:b w:val="0"/>
                <w:bCs w:val="0"/>
                <w:color w:val="000000"/>
                <w:sz w:val="24"/>
                <w:szCs w:val="24"/>
                <w:highlight w:val="none"/>
                <w:lang w:val="en-US" w:eastAsia="zh-CN"/>
              </w:rPr>
              <w:t>kg/h，产生浓度为</w:t>
            </w:r>
            <w:r>
              <w:rPr>
                <w:rFonts w:hint="eastAsia" w:cs="Times New Roman"/>
                <w:b w:val="0"/>
                <w:bCs w:val="0"/>
                <w:color w:val="000000"/>
                <w:sz w:val="24"/>
                <w:szCs w:val="24"/>
                <w:highlight w:val="none"/>
                <w:lang w:val="en-US" w:eastAsia="zh-CN"/>
              </w:rPr>
              <w:t>56.753</w:t>
            </w:r>
            <w:r>
              <w:rPr>
                <w:rFonts w:hint="default" w:ascii="Times New Roman" w:hAnsi="Times New Roman" w:eastAsia="宋体" w:cs="Times New Roman"/>
                <w:b w:val="0"/>
                <w:bCs w:val="0"/>
                <w:color w:val="000000"/>
                <w:sz w:val="24"/>
                <w:szCs w:val="24"/>
                <w:highlight w:val="none"/>
                <w:lang w:val="en-US" w:eastAsia="zh-CN"/>
              </w:rPr>
              <w:t>mg/m</w:t>
            </w:r>
            <w:r>
              <w:rPr>
                <w:rFonts w:hint="default" w:ascii="Times New Roman" w:hAnsi="Times New Roman" w:eastAsia="宋体" w:cs="Times New Roman"/>
                <w:b w:val="0"/>
                <w:bCs w:val="0"/>
                <w:color w:val="000000"/>
                <w:sz w:val="24"/>
                <w:szCs w:val="24"/>
                <w:highlight w:val="none"/>
                <w:vertAlign w:val="superscript"/>
                <w:lang w:val="en-US" w:eastAsia="zh-CN"/>
              </w:rPr>
              <w:t>3</w:t>
            </w:r>
            <w:r>
              <w:rPr>
                <w:rFonts w:hint="default" w:ascii="Times New Roman" w:hAnsi="Times New Roman" w:eastAsia="宋体" w:cs="Times New Roman"/>
                <w:b w:val="0"/>
                <w:bCs w:val="0"/>
                <w:color w:val="000000"/>
                <w:sz w:val="24"/>
                <w:szCs w:val="24"/>
                <w:highlight w:val="none"/>
                <w:lang w:val="en-US" w:eastAsia="zh-CN"/>
              </w:rPr>
              <w:t>，</w:t>
            </w:r>
            <w:r>
              <w:rPr>
                <w:rFonts w:hint="eastAsia" w:ascii="Times New Roman" w:hAnsi="Times New Roman" w:eastAsia="宋体" w:cs="Times New Roman"/>
                <w:b w:val="0"/>
                <w:bCs w:val="0"/>
                <w:color w:val="000000"/>
                <w:sz w:val="24"/>
                <w:szCs w:val="24"/>
                <w:highlight w:val="none"/>
                <w:lang w:val="en-US" w:eastAsia="zh-CN"/>
              </w:rPr>
              <w:t>脉冲式布袋除尘器</w:t>
            </w:r>
            <w:r>
              <w:rPr>
                <w:rFonts w:hint="default" w:ascii="Times New Roman" w:hAnsi="Times New Roman" w:eastAsia="宋体" w:cs="Times New Roman"/>
                <w:b w:val="0"/>
                <w:bCs w:val="0"/>
                <w:color w:val="000000"/>
                <w:sz w:val="24"/>
                <w:szCs w:val="24"/>
                <w:highlight w:val="none"/>
                <w:lang w:val="en-US" w:eastAsia="zh-CN"/>
              </w:rPr>
              <w:t>处理效率为99%，经处理后颗粒物排放量为</w:t>
            </w:r>
            <w:r>
              <w:rPr>
                <w:rFonts w:hint="eastAsia" w:cs="Times New Roman"/>
                <w:b w:val="0"/>
                <w:bCs w:val="0"/>
                <w:color w:val="000000"/>
                <w:sz w:val="24"/>
                <w:szCs w:val="24"/>
                <w:highlight w:val="none"/>
                <w:lang w:val="en-US" w:eastAsia="zh-CN"/>
              </w:rPr>
              <w:t>0.</w:t>
            </w:r>
            <w:r>
              <w:rPr>
                <w:rFonts w:hint="default" w:ascii="Times New Roman" w:hAnsi="Times New Roman" w:cs="Times New Roman"/>
                <w:b w:val="0"/>
                <w:bCs w:val="0"/>
                <w:color w:val="000000"/>
                <w:sz w:val="24"/>
                <w:szCs w:val="24"/>
                <w:highlight w:val="none"/>
                <w:lang w:val="en-US" w:eastAsia="zh-CN"/>
              </w:rPr>
              <w:t>2185</w:t>
            </w:r>
            <w:r>
              <w:rPr>
                <w:rFonts w:hint="default" w:ascii="Times New Roman" w:hAnsi="Times New Roman" w:eastAsia="宋体" w:cs="Times New Roman"/>
                <w:b w:val="0"/>
                <w:bCs w:val="0"/>
                <w:color w:val="000000"/>
                <w:sz w:val="24"/>
                <w:szCs w:val="24"/>
                <w:highlight w:val="none"/>
                <w:lang w:val="en-US" w:eastAsia="zh-CN"/>
              </w:rPr>
              <w:t>t/a，排放速率为0.</w:t>
            </w:r>
            <w:r>
              <w:rPr>
                <w:rFonts w:hint="eastAsia" w:cs="Times New Roman"/>
                <w:b w:val="0"/>
                <w:bCs w:val="0"/>
                <w:color w:val="000000"/>
                <w:sz w:val="24"/>
                <w:szCs w:val="24"/>
                <w:highlight w:val="none"/>
                <w:lang w:val="en-US" w:eastAsia="zh-CN"/>
              </w:rPr>
              <w:t>0</w:t>
            </w:r>
            <w:r>
              <w:rPr>
                <w:rFonts w:hint="default" w:ascii="Times New Roman" w:hAnsi="Times New Roman" w:cs="Times New Roman"/>
                <w:b w:val="0"/>
                <w:bCs w:val="0"/>
                <w:color w:val="000000"/>
                <w:sz w:val="24"/>
                <w:szCs w:val="24"/>
                <w:highlight w:val="none"/>
                <w:lang w:val="en-US" w:eastAsia="zh-CN"/>
              </w:rPr>
              <w:t>3</w:t>
            </w:r>
            <w:r>
              <w:rPr>
                <w:rFonts w:hint="default" w:ascii="Times New Roman" w:hAnsi="Times New Roman" w:eastAsia="宋体" w:cs="Times New Roman"/>
                <w:b w:val="0"/>
                <w:bCs w:val="0"/>
                <w:color w:val="000000"/>
                <w:sz w:val="24"/>
                <w:szCs w:val="24"/>
                <w:highlight w:val="none"/>
                <w:lang w:val="en-US" w:eastAsia="zh-CN"/>
              </w:rPr>
              <w:t>kg/h，排放浓度为</w:t>
            </w:r>
            <w:r>
              <w:rPr>
                <w:rFonts w:hint="eastAsia" w:cs="Times New Roman"/>
                <w:b w:val="0"/>
                <w:bCs w:val="0"/>
                <w:color w:val="000000"/>
                <w:sz w:val="24"/>
                <w:szCs w:val="24"/>
                <w:highlight w:val="none"/>
                <w:lang w:val="en-US" w:eastAsia="zh-CN"/>
              </w:rPr>
              <w:t>0.57</w:t>
            </w:r>
            <w:r>
              <w:rPr>
                <w:rFonts w:hint="default" w:ascii="Times New Roman" w:hAnsi="Times New Roman" w:eastAsia="宋体" w:cs="Times New Roman"/>
                <w:b w:val="0"/>
                <w:bCs w:val="0"/>
                <w:color w:val="000000"/>
                <w:sz w:val="24"/>
                <w:szCs w:val="24"/>
                <w:highlight w:val="none"/>
                <w:lang w:val="en-US" w:eastAsia="zh-CN"/>
              </w:rPr>
              <w:t>mg/m³，满足《炼焦化学工业大气污染物超低排放标准》(DB13/2863-2018)表1大气污染物排放限值。</w:t>
            </w:r>
          </w:p>
          <w:p w14:paraId="2FA6D191">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sz w:val="24"/>
                <w:szCs w:val="24"/>
                <w:highlight w:val="none"/>
                <w:lang w:val="en-US" w:eastAsia="zh-CN"/>
              </w:rPr>
            </w:pPr>
            <w:r>
              <w:rPr>
                <w:rFonts w:hint="default" w:ascii="Times New Roman" w:hAnsi="Times New Roman" w:eastAsia="宋体" w:cs="Times New Roman"/>
                <w:b w:val="0"/>
                <w:bCs w:val="0"/>
                <w:color w:val="000000"/>
                <w:sz w:val="24"/>
                <w:szCs w:val="24"/>
                <w:highlight w:val="none"/>
                <w:lang w:val="en-US" w:eastAsia="zh-CN"/>
              </w:rPr>
              <w:t>③食堂油烟</w:t>
            </w:r>
          </w:p>
          <w:p w14:paraId="23EF06D6">
            <w:pPr>
              <w:keepNext w:val="0"/>
              <w:keepLines w:val="0"/>
              <w:pageBreakBefore w:val="0"/>
              <w:widowControl w:val="0"/>
              <w:kinsoku/>
              <w:wordWrap/>
              <w:overflowPunct/>
              <w:topLinePunct w:val="0"/>
              <w:bidi w:val="0"/>
              <w:adjustRightInd/>
              <w:snapToGrid/>
              <w:spacing w:line="500" w:lineRule="exact"/>
              <w:ind w:firstLine="480" w:firstLineChars="200"/>
              <w:textAlignment w:val="auto"/>
              <w:rPr>
                <w:rFonts w:hint="default" w:ascii="Times New Roman" w:hAnsi="Times New Roman" w:cs="Times New Roman"/>
                <w:color w:val="auto"/>
                <w:lang w:val="zh-CN"/>
              </w:rPr>
            </w:pPr>
            <w:r>
              <w:rPr>
                <w:rFonts w:hint="default" w:ascii="Times New Roman" w:hAnsi="Times New Roman" w:eastAsia="宋体" w:cs="Times New Roman"/>
                <w:b w:val="0"/>
                <w:bCs w:val="0"/>
                <w:color w:val="000000"/>
                <w:sz w:val="24"/>
                <w:szCs w:val="24"/>
                <w:highlight w:val="none"/>
                <w:lang w:val="en-US" w:eastAsia="zh-CN"/>
              </w:rPr>
              <w:t>本项目综合楼一层为食</w:t>
            </w:r>
            <w:r>
              <w:rPr>
                <w:rFonts w:hint="default" w:ascii="Times New Roman" w:hAnsi="Times New Roman" w:eastAsia="宋体" w:cs="Times New Roman"/>
                <w:b w:val="0"/>
                <w:bCs w:val="0"/>
                <w:color w:val="auto"/>
                <w:sz w:val="24"/>
                <w:szCs w:val="24"/>
                <w:highlight w:val="none"/>
                <w:lang w:val="en-US" w:eastAsia="zh-CN"/>
              </w:rPr>
              <w:t>堂，内设</w:t>
            </w:r>
            <w:r>
              <w:rPr>
                <w:rFonts w:hint="eastAsia" w:ascii="Times New Roman" w:hAnsi="Times New Roman" w:eastAsia="宋体" w:cs="Times New Roman"/>
                <w:b w:val="0"/>
                <w:bCs w:val="0"/>
                <w:color w:val="auto"/>
                <w:sz w:val="24"/>
                <w:szCs w:val="24"/>
                <w:highlight w:val="none"/>
                <w:lang w:val="en-US" w:eastAsia="zh-CN"/>
              </w:rPr>
              <w:t>2</w:t>
            </w:r>
            <w:r>
              <w:rPr>
                <w:rFonts w:hint="default" w:ascii="Times New Roman" w:hAnsi="Times New Roman" w:eastAsia="宋体" w:cs="Times New Roman"/>
                <w:b w:val="0"/>
                <w:bCs w:val="0"/>
                <w:color w:val="auto"/>
                <w:sz w:val="24"/>
                <w:szCs w:val="24"/>
                <w:highlight w:val="none"/>
                <w:lang w:val="en-US" w:eastAsia="zh-CN"/>
              </w:rPr>
              <w:t>个标准灶头，每个基准灶头对应的发热功率为1.67×10</w:t>
            </w:r>
            <w:r>
              <w:rPr>
                <w:rFonts w:hint="default" w:ascii="Times New Roman" w:hAnsi="Times New Roman" w:eastAsia="宋体" w:cs="Times New Roman"/>
                <w:b w:val="0"/>
                <w:bCs w:val="0"/>
                <w:color w:val="auto"/>
                <w:sz w:val="24"/>
                <w:szCs w:val="24"/>
                <w:highlight w:val="none"/>
                <w:vertAlign w:val="superscript"/>
                <w:lang w:val="en-US" w:eastAsia="zh-CN"/>
              </w:rPr>
              <w:t>8</w:t>
            </w:r>
            <w:r>
              <w:rPr>
                <w:rFonts w:hint="default" w:ascii="Times New Roman" w:hAnsi="Times New Roman" w:eastAsia="宋体" w:cs="Times New Roman"/>
                <w:b w:val="0"/>
                <w:bCs w:val="0"/>
                <w:color w:val="auto"/>
                <w:sz w:val="24"/>
                <w:szCs w:val="24"/>
                <w:highlight w:val="none"/>
                <w:lang w:val="en-US" w:eastAsia="zh-CN"/>
              </w:rPr>
              <w:t>J/h，对应的排气罩灶面投影面积为1.1m</w:t>
            </w:r>
            <w:r>
              <w:rPr>
                <w:rFonts w:hint="default" w:ascii="Times New Roman" w:hAnsi="Times New Roman" w:eastAsia="宋体" w:cs="Times New Roman"/>
                <w:b w:val="0"/>
                <w:bCs w:val="0"/>
                <w:color w:val="auto"/>
                <w:sz w:val="24"/>
                <w:szCs w:val="24"/>
                <w:highlight w:val="none"/>
                <w:vertAlign w:val="superscript"/>
                <w:lang w:val="en-US" w:eastAsia="zh-CN"/>
              </w:rPr>
              <w:t>2</w:t>
            </w:r>
            <w:r>
              <w:rPr>
                <w:rFonts w:hint="eastAsia" w:ascii="Times New Roman" w:hAnsi="Times New Roman" w:eastAsia="宋体" w:cs="Times New Roman"/>
                <w:b w:val="0"/>
                <w:bCs w:val="0"/>
                <w:color w:val="auto"/>
                <w:sz w:val="24"/>
                <w:szCs w:val="24"/>
                <w:highlight w:val="none"/>
                <w:lang w:val="en-US" w:eastAsia="zh-CN"/>
              </w:rPr>
              <w:t>，最</w:t>
            </w:r>
            <w:r>
              <w:rPr>
                <w:rFonts w:hint="eastAsia" w:cs="Times New Roman"/>
                <w:b w:val="0"/>
                <w:bCs w:val="0"/>
                <w:color w:val="auto"/>
                <w:sz w:val="24"/>
                <w:szCs w:val="24"/>
                <w:highlight w:val="none"/>
                <w:lang w:val="en-US" w:eastAsia="zh-CN"/>
              </w:rPr>
              <w:t>多可供70人就餐，</w:t>
            </w:r>
            <w:r>
              <w:rPr>
                <w:rFonts w:hint="default" w:ascii="Times New Roman" w:hAnsi="Times New Roman" w:cs="Times New Roman"/>
                <w:color w:val="auto"/>
              </w:rPr>
              <w:t>根据</w:t>
            </w:r>
            <w:r>
              <w:rPr>
                <w:rFonts w:hint="default" w:ascii="Times New Roman" w:hAnsi="Times New Roman" w:cs="Times New Roman"/>
                <w:color w:val="auto"/>
                <w:kern w:val="24"/>
                <w:lang w:bidi="ar"/>
              </w:rPr>
              <w:t>《餐饮业大气污染物排放标准》（DB13/5808</w:t>
            </w:r>
            <w:r>
              <w:rPr>
                <w:rFonts w:hint="default" w:ascii="Times New Roman" w:hAnsi="Times New Roman" w:cs="Times New Roman"/>
                <w:color w:val="auto"/>
                <w:sz w:val="21"/>
                <w:szCs w:val="21"/>
                <w:highlight w:val="none"/>
                <w:lang w:val="en-US" w:eastAsia="zh-CN"/>
              </w:rPr>
              <w:t>-</w:t>
            </w:r>
            <w:r>
              <w:rPr>
                <w:rFonts w:hint="default" w:ascii="Times New Roman" w:hAnsi="Times New Roman" w:cs="Times New Roman"/>
                <w:color w:val="auto"/>
                <w:kern w:val="24"/>
                <w:lang w:bidi="ar"/>
              </w:rPr>
              <w:t>2023），</w:t>
            </w:r>
            <w:r>
              <w:rPr>
                <w:rFonts w:hint="default" w:ascii="Times New Roman" w:hAnsi="Times New Roman" w:cs="Times New Roman"/>
                <w:color w:val="auto"/>
              </w:rPr>
              <w:t>属于</w:t>
            </w:r>
            <w:r>
              <w:rPr>
                <w:rFonts w:hint="eastAsia" w:cs="Times New Roman"/>
                <w:color w:val="auto"/>
                <w:lang w:eastAsia="zh-CN"/>
              </w:rPr>
              <w:t>小</w:t>
            </w:r>
            <w:r>
              <w:rPr>
                <w:rFonts w:hint="default" w:ascii="Times New Roman" w:hAnsi="Times New Roman" w:cs="Times New Roman"/>
                <w:color w:val="auto"/>
              </w:rPr>
              <w:t>型食堂规模</w:t>
            </w:r>
            <w:r>
              <w:rPr>
                <w:rFonts w:hint="default" w:ascii="Times New Roman" w:hAnsi="Times New Roman" w:cs="Times New Roman"/>
                <w:color w:val="auto"/>
                <w:highlight w:val="none"/>
              </w:rPr>
              <w:t>，</w:t>
            </w:r>
            <w:r>
              <w:rPr>
                <w:rFonts w:hint="default" w:ascii="Times New Roman" w:hAnsi="Times New Roman" w:cs="Times New Roman"/>
                <w:color w:val="auto"/>
              </w:rPr>
              <w:t>食堂内安装油烟净化器，油烟净化器</w:t>
            </w:r>
            <w:r>
              <w:rPr>
                <w:rFonts w:hint="default" w:ascii="Times New Roman" w:hAnsi="Times New Roman" w:cs="Times New Roman"/>
                <w:color w:val="auto"/>
                <w:kern w:val="24"/>
                <w:lang w:bidi="ar"/>
              </w:rPr>
              <w:t>引风机风量为</w:t>
            </w:r>
            <w:r>
              <w:rPr>
                <w:rFonts w:hint="eastAsia" w:cs="Times New Roman"/>
                <w:color w:val="auto"/>
                <w:kern w:val="24"/>
                <w:lang w:val="en-US" w:eastAsia="zh-CN" w:bidi="ar"/>
              </w:rPr>
              <w:t>4</w:t>
            </w:r>
            <w:r>
              <w:rPr>
                <w:rFonts w:hint="default" w:ascii="Times New Roman" w:hAnsi="Times New Roman" w:cs="Times New Roman"/>
                <w:color w:val="auto"/>
                <w:kern w:val="24"/>
                <w:lang w:bidi="ar"/>
              </w:rPr>
              <w:t>000m</w:t>
            </w:r>
            <w:r>
              <w:rPr>
                <w:rFonts w:hint="default" w:ascii="Times New Roman" w:hAnsi="Times New Roman" w:cs="Times New Roman"/>
                <w:color w:val="auto"/>
                <w:kern w:val="24"/>
                <w:vertAlign w:val="superscript"/>
                <w:lang w:bidi="ar"/>
              </w:rPr>
              <w:t>3</w:t>
            </w:r>
            <w:r>
              <w:rPr>
                <w:rFonts w:hint="default" w:ascii="Times New Roman" w:hAnsi="Times New Roman" w:cs="Times New Roman"/>
                <w:color w:val="auto"/>
                <w:kern w:val="24"/>
                <w:lang w:bidi="ar"/>
              </w:rPr>
              <w:t>/h，油烟处理效率</w:t>
            </w:r>
            <w:r>
              <w:rPr>
                <w:rFonts w:hint="eastAsia" w:cs="Times New Roman"/>
                <w:color w:val="auto"/>
                <w:kern w:val="24"/>
                <w:lang w:val="en-US" w:eastAsia="zh-CN" w:bidi="ar"/>
              </w:rPr>
              <w:t>70</w:t>
            </w:r>
            <w:r>
              <w:rPr>
                <w:rFonts w:hint="default" w:ascii="Times New Roman" w:hAnsi="Times New Roman" w:cs="Times New Roman"/>
                <w:color w:val="auto"/>
                <w:kern w:val="24"/>
                <w:lang w:bidi="ar"/>
              </w:rPr>
              <w:t>%，废气经油烟净化器处理后经食堂烟道达标排放。</w:t>
            </w:r>
            <w:r>
              <w:rPr>
                <w:rFonts w:hint="default" w:ascii="Times New Roman" w:hAnsi="Times New Roman" w:cs="Times New Roman"/>
                <w:color w:val="auto"/>
                <w:kern w:val="24"/>
                <w:lang w:eastAsia="zh-CN" w:bidi="ar"/>
              </w:rPr>
              <w:t>按最大就餐人数</w:t>
            </w:r>
            <w:r>
              <w:rPr>
                <w:rFonts w:hint="eastAsia" w:cs="Times New Roman"/>
                <w:color w:val="auto"/>
                <w:kern w:val="24"/>
                <w:lang w:val="en-US" w:eastAsia="zh-CN" w:bidi="ar"/>
              </w:rPr>
              <w:t>50</w:t>
            </w:r>
            <w:r>
              <w:rPr>
                <w:rFonts w:hint="default" w:ascii="Times New Roman" w:hAnsi="Times New Roman" w:cs="Times New Roman"/>
                <w:color w:val="auto"/>
                <w:kern w:val="24"/>
                <w:lang w:val="en-US" w:eastAsia="zh-CN" w:bidi="ar"/>
              </w:rPr>
              <w:t>人/餐计算，</w:t>
            </w:r>
            <w:r>
              <w:rPr>
                <w:bCs/>
                <w:snapToGrid w:val="0"/>
                <w:color w:val="auto"/>
                <w:sz w:val="24"/>
                <w:highlight w:val="none"/>
                <w:lang w:val="zh-CN"/>
              </w:rPr>
              <w:t>食用油消耗量为</w:t>
            </w:r>
            <w:r>
              <w:rPr>
                <w:rFonts w:hint="eastAsia"/>
                <w:bCs/>
                <w:snapToGrid w:val="0"/>
                <w:color w:val="auto"/>
                <w:sz w:val="24"/>
                <w:highlight w:val="none"/>
                <w:lang w:val="en-US" w:eastAsia="zh-CN"/>
              </w:rPr>
              <w:t>0.5</w:t>
            </w:r>
            <w:r>
              <w:rPr>
                <w:bCs/>
                <w:snapToGrid w:val="0"/>
                <w:color w:val="auto"/>
                <w:sz w:val="24"/>
                <w:highlight w:val="none"/>
                <w:lang w:val="zh-CN"/>
              </w:rPr>
              <w:t>kg</w:t>
            </w:r>
            <w:r>
              <w:rPr>
                <w:bCs/>
                <w:snapToGrid w:val="0"/>
                <w:color w:val="auto"/>
                <w:sz w:val="24"/>
                <w:highlight w:val="none"/>
              </w:rPr>
              <w:t>/</w:t>
            </w:r>
            <w:r>
              <w:rPr>
                <w:rFonts w:hint="default" w:ascii="Times New Roman" w:hAnsi="Times New Roman" w:cs="Times New Roman"/>
                <w:color w:val="auto"/>
                <w:kern w:val="24"/>
                <w:lang w:val="en-US" w:eastAsia="zh-CN" w:bidi="ar"/>
              </w:rPr>
              <w:t>餐</w:t>
            </w:r>
            <w:r>
              <w:rPr>
                <w:bCs/>
                <w:snapToGrid w:val="0"/>
                <w:color w:val="auto"/>
                <w:sz w:val="24"/>
                <w:highlight w:val="none"/>
                <w:lang w:val="zh-CN"/>
              </w:rPr>
              <w:t>（按每人每餐消耗食用油10g，</w:t>
            </w:r>
            <w:r>
              <w:rPr>
                <w:rFonts w:hint="eastAsia"/>
                <w:bCs/>
                <w:snapToGrid w:val="0"/>
                <w:color w:val="auto"/>
                <w:sz w:val="24"/>
                <w:highlight w:val="none"/>
                <w:lang w:val="zh-CN"/>
              </w:rPr>
              <w:t>每</w:t>
            </w:r>
            <w:r>
              <w:rPr>
                <w:bCs/>
                <w:snapToGrid w:val="0"/>
                <w:color w:val="auto"/>
                <w:sz w:val="24"/>
                <w:highlight w:val="none"/>
                <w:lang w:val="zh-CN"/>
              </w:rPr>
              <w:t>餐炊事时间为</w:t>
            </w:r>
            <w:r>
              <w:rPr>
                <w:rFonts w:hint="eastAsia"/>
                <w:bCs/>
                <w:snapToGrid w:val="0"/>
                <w:color w:val="auto"/>
                <w:sz w:val="24"/>
                <w:highlight w:val="none"/>
                <w:lang w:val="en-US" w:eastAsia="zh-CN"/>
              </w:rPr>
              <w:t>2</w:t>
            </w:r>
            <w:r>
              <w:rPr>
                <w:bCs/>
                <w:snapToGrid w:val="0"/>
                <w:color w:val="auto"/>
                <w:sz w:val="24"/>
                <w:highlight w:val="none"/>
                <w:lang w:val="zh-CN"/>
              </w:rPr>
              <w:t>h</w:t>
            </w:r>
            <w:r>
              <w:rPr>
                <w:rFonts w:hint="eastAsia"/>
                <w:bCs/>
                <w:snapToGrid w:val="0"/>
                <w:color w:val="auto"/>
                <w:sz w:val="24"/>
                <w:highlight w:val="none"/>
                <w:lang w:val="zh-CN"/>
              </w:rPr>
              <w:t>）</w:t>
            </w:r>
            <w:r>
              <w:rPr>
                <w:rFonts w:hint="eastAsia" w:cs="Times New Roman"/>
                <w:color w:val="auto"/>
                <w:kern w:val="24"/>
                <w:lang w:eastAsia="zh-CN" w:bidi="ar"/>
              </w:rPr>
              <w:t>，</w:t>
            </w:r>
            <w:r>
              <w:rPr>
                <w:rFonts w:hint="default" w:ascii="Times New Roman" w:hAnsi="Times New Roman" w:cs="Times New Roman"/>
                <w:color w:val="auto"/>
                <w:kern w:val="24"/>
                <w:lang w:bidi="ar"/>
              </w:rPr>
              <w:t>一般油烟挥发量占总耗油量的2-4%，平均为3%</w:t>
            </w:r>
            <w:r>
              <w:rPr>
                <w:rFonts w:hint="default" w:ascii="Times New Roman" w:hAnsi="Times New Roman" w:cs="Times New Roman"/>
                <w:color w:val="auto"/>
                <w:kern w:val="24"/>
                <w:lang w:eastAsia="zh-CN" w:bidi="ar"/>
              </w:rPr>
              <w:t>，</w:t>
            </w:r>
            <w:r>
              <w:rPr>
                <w:rFonts w:hint="default" w:ascii="Times New Roman" w:hAnsi="Times New Roman" w:cs="Times New Roman"/>
                <w:color w:val="auto"/>
                <w:kern w:val="24"/>
                <w:lang w:bidi="ar"/>
              </w:rPr>
              <w:t>则油烟的产生量约为0.</w:t>
            </w:r>
            <w:r>
              <w:rPr>
                <w:rFonts w:hint="eastAsia" w:cs="Times New Roman"/>
                <w:color w:val="auto"/>
                <w:kern w:val="24"/>
                <w:lang w:val="en-US" w:eastAsia="zh-CN" w:bidi="ar"/>
              </w:rPr>
              <w:t>015</w:t>
            </w:r>
            <w:r>
              <w:rPr>
                <w:rFonts w:hint="default" w:ascii="Times New Roman" w:hAnsi="Times New Roman" w:cs="Times New Roman"/>
                <w:color w:val="auto"/>
                <w:kern w:val="24"/>
                <w:lang w:bidi="ar"/>
              </w:rPr>
              <w:t>kg/</w:t>
            </w:r>
            <w:r>
              <w:rPr>
                <w:rFonts w:hint="default" w:ascii="Times New Roman" w:hAnsi="Times New Roman" w:cs="Times New Roman"/>
                <w:color w:val="auto"/>
                <w:kern w:val="24"/>
                <w:lang w:val="en-US" w:eastAsia="zh-CN" w:bidi="ar"/>
              </w:rPr>
              <w:t>餐</w:t>
            </w:r>
            <w:r>
              <w:rPr>
                <w:rFonts w:hint="default" w:ascii="Times New Roman" w:hAnsi="Times New Roman" w:cs="Times New Roman"/>
                <w:color w:val="auto"/>
                <w:kern w:val="24"/>
                <w:lang w:eastAsia="zh-CN" w:bidi="ar"/>
              </w:rPr>
              <w:t>。</w:t>
            </w:r>
            <w:r>
              <w:rPr>
                <w:rFonts w:hint="default" w:ascii="Times New Roman" w:hAnsi="Times New Roman" w:cs="Times New Roman"/>
                <w:color w:val="auto"/>
                <w:kern w:val="24"/>
                <w:lang w:bidi="ar"/>
              </w:rPr>
              <w:t>则油烟产生速率为0.</w:t>
            </w:r>
            <w:r>
              <w:rPr>
                <w:rFonts w:hint="eastAsia" w:cs="Times New Roman"/>
                <w:color w:val="auto"/>
                <w:kern w:val="24"/>
                <w:lang w:val="en-US" w:eastAsia="zh-CN" w:bidi="ar"/>
              </w:rPr>
              <w:t>0075</w:t>
            </w:r>
            <w:r>
              <w:rPr>
                <w:rFonts w:hint="default" w:ascii="Times New Roman" w:hAnsi="Times New Roman" w:cs="Times New Roman"/>
                <w:color w:val="auto"/>
                <w:kern w:val="24"/>
                <w:lang w:bidi="ar"/>
              </w:rPr>
              <w:t>kg/h</w:t>
            </w:r>
            <w:r>
              <w:rPr>
                <w:rFonts w:hint="default" w:ascii="Times New Roman" w:hAnsi="Times New Roman" w:cs="Times New Roman"/>
                <w:color w:val="auto"/>
                <w:kern w:val="24"/>
                <w:lang w:eastAsia="zh-CN" w:bidi="ar"/>
              </w:rPr>
              <w:t>，</w:t>
            </w:r>
            <w:r>
              <w:rPr>
                <w:rFonts w:hint="default" w:ascii="Times New Roman" w:hAnsi="Times New Roman" w:eastAsia="宋体" w:cs="Times New Roman"/>
                <w:b w:val="0"/>
                <w:bCs w:val="0"/>
                <w:color w:val="auto"/>
                <w:sz w:val="24"/>
                <w:szCs w:val="24"/>
                <w:highlight w:val="none"/>
                <w:lang w:val="en-US" w:eastAsia="zh-CN"/>
              </w:rPr>
              <w:t>产生浓度为</w:t>
            </w:r>
            <w:r>
              <w:rPr>
                <w:rFonts w:hint="eastAsia" w:cs="Times New Roman"/>
                <w:b w:val="0"/>
                <w:bCs w:val="0"/>
                <w:color w:val="auto"/>
                <w:sz w:val="24"/>
                <w:szCs w:val="24"/>
                <w:highlight w:val="none"/>
                <w:lang w:val="en-US" w:eastAsia="zh-CN"/>
              </w:rPr>
              <w:t>1.875</w:t>
            </w:r>
            <w:r>
              <w:rPr>
                <w:rFonts w:hint="default" w:ascii="Times New Roman" w:hAnsi="Times New Roman" w:eastAsia="宋体" w:cs="Times New Roman"/>
                <w:b w:val="0"/>
                <w:bCs w:val="0"/>
                <w:color w:val="auto"/>
                <w:sz w:val="24"/>
                <w:szCs w:val="24"/>
                <w:highlight w:val="none"/>
                <w:lang w:val="en-US" w:eastAsia="zh-CN"/>
              </w:rPr>
              <w:t>mg/m</w:t>
            </w:r>
            <w:r>
              <w:rPr>
                <w:rFonts w:hint="default" w:ascii="Times New Roman" w:hAnsi="Times New Roman" w:eastAsia="宋体" w:cs="Times New Roman"/>
                <w:b w:val="0"/>
                <w:bCs w:val="0"/>
                <w:color w:val="auto"/>
                <w:sz w:val="24"/>
                <w:szCs w:val="24"/>
                <w:highlight w:val="none"/>
                <w:vertAlign w:val="superscript"/>
                <w:lang w:val="en-US" w:eastAsia="zh-CN"/>
              </w:rPr>
              <w:t>3</w:t>
            </w:r>
            <w:r>
              <w:rPr>
                <w:rFonts w:hint="default" w:ascii="Times New Roman" w:hAnsi="Times New Roman" w:cs="Times New Roman"/>
                <w:color w:val="auto"/>
              </w:rPr>
              <w:t>。</w:t>
            </w:r>
            <w:r>
              <w:rPr>
                <w:rFonts w:hint="default" w:ascii="Times New Roman" w:hAnsi="Times New Roman" w:cs="Times New Roman"/>
                <w:color w:val="auto"/>
                <w:kern w:val="0"/>
              </w:rPr>
              <w:t>经油烟净化器处理后油烟</w:t>
            </w:r>
            <w:r>
              <w:rPr>
                <w:rFonts w:hint="eastAsia" w:cs="Times New Roman"/>
                <w:color w:val="auto"/>
                <w:kern w:val="0"/>
                <w:lang w:eastAsia="zh-CN"/>
              </w:rPr>
              <w:t>排放量为</w:t>
            </w:r>
            <w:r>
              <w:rPr>
                <w:rFonts w:hint="eastAsia" w:cs="Times New Roman"/>
                <w:color w:val="auto"/>
                <w:kern w:val="0"/>
                <w:lang w:val="en-US" w:eastAsia="zh-CN"/>
              </w:rPr>
              <w:t>0.0045</w:t>
            </w:r>
            <w:r>
              <w:rPr>
                <w:rFonts w:hint="default" w:ascii="Times New Roman" w:hAnsi="Times New Roman" w:cs="Times New Roman"/>
                <w:color w:val="auto"/>
                <w:kern w:val="24"/>
                <w:lang w:bidi="ar"/>
              </w:rPr>
              <w:t>kg/</w:t>
            </w:r>
            <w:r>
              <w:rPr>
                <w:rFonts w:hint="default" w:ascii="Times New Roman" w:hAnsi="Times New Roman" w:cs="Times New Roman"/>
                <w:color w:val="auto"/>
                <w:kern w:val="24"/>
                <w:lang w:val="en-US" w:eastAsia="zh-CN" w:bidi="ar"/>
              </w:rPr>
              <w:t>餐</w:t>
            </w:r>
            <w:r>
              <w:rPr>
                <w:rFonts w:hint="eastAsia" w:cs="Times New Roman"/>
                <w:color w:val="auto"/>
                <w:kern w:val="24"/>
                <w:lang w:eastAsia="zh-CN" w:bidi="ar"/>
              </w:rPr>
              <w:t>，</w:t>
            </w:r>
            <w:r>
              <w:rPr>
                <w:rFonts w:hint="default" w:ascii="Times New Roman" w:hAnsi="Times New Roman" w:cs="Times New Roman"/>
                <w:color w:val="auto"/>
                <w:kern w:val="24"/>
                <w:lang w:bidi="ar"/>
              </w:rPr>
              <w:t>产生速率为</w:t>
            </w:r>
            <w:r>
              <w:rPr>
                <w:rFonts w:hint="eastAsia" w:cs="Times New Roman"/>
                <w:color w:val="auto"/>
                <w:kern w:val="24"/>
                <w:lang w:val="en-US" w:eastAsia="zh-CN" w:bidi="ar"/>
              </w:rPr>
              <w:t>0.0225</w:t>
            </w:r>
            <w:r>
              <w:rPr>
                <w:rFonts w:hint="default" w:ascii="Times New Roman" w:hAnsi="Times New Roman" w:cs="Times New Roman"/>
                <w:color w:val="auto"/>
                <w:kern w:val="24"/>
                <w:lang w:bidi="ar"/>
              </w:rPr>
              <w:t>kg/h</w:t>
            </w:r>
            <w:r>
              <w:rPr>
                <w:rFonts w:hint="default" w:ascii="Times New Roman" w:hAnsi="Times New Roman" w:cs="Times New Roman"/>
                <w:color w:val="auto"/>
                <w:kern w:val="24"/>
                <w:lang w:eastAsia="zh-CN" w:bidi="ar"/>
              </w:rPr>
              <w:t>，</w:t>
            </w:r>
            <w:r>
              <w:rPr>
                <w:rFonts w:hint="eastAsia" w:cs="Times New Roman"/>
                <w:color w:val="auto"/>
                <w:kern w:val="24"/>
                <w:lang w:eastAsia="zh-CN" w:bidi="ar"/>
              </w:rPr>
              <w:t>排放浓度</w:t>
            </w:r>
            <w:r>
              <w:rPr>
                <w:rFonts w:hint="default" w:ascii="Times New Roman" w:hAnsi="Times New Roman" w:cs="Times New Roman"/>
                <w:color w:val="auto"/>
                <w:kern w:val="0"/>
              </w:rPr>
              <w:t>为</w:t>
            </w:r>
            <w:r>
              <w:rPr>
                <w:rFonts w:hint="eastAsia" w:cs="Times New Roman"/>
                <w:color w:val="auto"/>
                <w:kern w:val="0"/>
                <w:lang w:val="en-US" w:eastAsia="zh-CN"/>
              </w:rPr>
              <w:t>0.5625</w:t>
            </w:r>
            <w:r>
              <w:rPr>
                <w:rFonts w:hint="default" w:ascii="Times New Roman" w:hAnsi="Times New Roman" w:eastAsia="宋体" w:cs="Times New Roman"/>
                <w:b w:val="0"/>
                <w:bCs w:val="0"/>
                <w:color w:val="auto"/>
                <w:sz w:val="24"/>
                <w:szCs w:val="24"/>
                <w:highlight w:val="none"/>
                <w:lang w:val="en-US" w:eastAsia="zh-CN"/>
              </w:rPr>
              <w:t>mg/m</w:t>
            </w:r>
            <w:r>
              <w:rPr>
                <w:rFonts w:hint="default" w:ascii="Times New Roman" w:hAnsi="Times New Roman" w:eastAsia="宋体" w:cs="Times New Roman"/>
                <w:b w:val="0"/>
                <w:bCs w:val="0"/>
                <w:color w:val="auto"/>
                <w:sz w:val="24"/>
                <w:szCs w:val="24"/>
                <w:highlight w:val="none"/>
                <w:vertAlign w:val="superscript"/>
                <w:lang w:val="en-US" w:eastAsia="zh-CN"/>
              </w:rPr>
              <w:t>3</w:t>
            </w:r>
            <w:r>
              <w:rPr>
                <w:rFonts w:hint="default" w:ascii="Times New Roman" w:hAnsi="Times New Roman" w:eastAsia="宋体" w:cs="Times New Roman"/>
                <w:b w:val="0"/>
                <w:bCs w:val="0"/>
                <w:color w:val="auto"/>
                <w:sz w:val="24"/>
                <w:szCs w:val="24"/>
                <w:highlight w:val="none"/>
                <w:lang w:val="en-US" w:eastAsia="zh-CN"/>
              </w:rPr>
              <w:t>，</w:t>
            </w:r>
            <w:r>
              <w:rPr>
                <w:rFonts w:hint="default" w:ascii="Times New Roman" w:hAnsi="Times New Roman" w:cs="Times New Roman"/>
                <w:color w:val="auto"/>
                <w:kern w:val="24"/>
                <w:lang w:bidi="ar"/>
              </w:rPr>
              <w:t>油烟排放满足《餐饮业大气污染物排放标准》（DB13/5808</w:t>
            </w:r>
            <w:r>
              <w:rPr>
                <w:rFonts w:hint="default" w:ascii="Times New Roman" w:hAnsi="Times New Roman" w:cs="Times New Roman"/>
                <w:color w:val="auto"/>
                <w:sz w:val="21"/>
                <w:szCs w:val="21"/>
                <w:highlight w:val="none"/>
                <w:lang w:val="en-US" w:eastAsia="zh-CN"/>
              </w:rPr>
              <w:t>-</w:t>
            </w:r>
            <w:r>
              <w:rPr>
                <w:rFonts w:hint="default" w:ascii="Times New Roman" w:hAnsi="Times New Roman" w:cs="Times New Roman"/>
                <w:color w:val="auto"/>
                <w:kern w:val="24"/>
                <w:lang w:bidi="ar"/>
              </w:rPr>
              <w:t>2023），同时满足《唐山市餐饮油烟污染治理专项方案》（唐气领办〔2021〕58号）要求，</w:t>
            </w:r>
            <w:r>
              <w:rPr>
                <w:rFonts w:hint="default" w:ascii="Times New Roman" w:hAnsi="Times New Roman" w:cs="Times New Roman"/>
                <w:color w:val="auto"/>
              </w:rPr>
              <w:t>油烟：1.0mg/m</w:t>
            </w:r>
            <w:r>
              <w:rPr>
                <w:rFonts w:hint="default" w:ascii="Times New Roman" w:hAnsi="Times New Roman" w:cs="Times New Roman"/>
                <w:color w:val="auto"/>
                <w:vertAlign w:val="superscript"/>
              </w:rPr>
              <w:t>3</w:t>
            </w:r>
            <w:r>
              <w:rPr>
                <w:rFonts w:hint="default" w:ascii="Times New Roman" w:hAnsi="Times New Roman" w:cs="Times New Roman"/>
                <w:color w:val="auto"/>
                <w:lang w:val="zh-CN"/>
              </w:rPr>
              <w:t>，对周围环境空气影响较小。</w:t>
            </w:r>
          </w:p>
          <w:p w14:paraId="71B5EC76">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auto"/>
                <w:sz w:val="24"/>
                <w:szCs w:val="24"/>
                <w:highlight w:val="none"/>
                <w:lang w:val="en-US" w:eastAsia="zh-CN"/>
              </w:rPr>
            </w:pPr>
            <w:r>
              <w:rPr>
                <w:rFonts w:hint="default" w:ascii="Times New Roman" w:hAnsi="Times New Roman" w:eastAsia="宋体" w:cs="Times New Roman"/>
                <w:b w:val="0"/>
                <w:bCs w:val="0"/>
                <w:color w:val="auto"/>
                <w:sz w:val="24"/>
                <w:szCs w:val="24"/>
                <w:highlight w:val="none"/>
                <w:lang w:val="en-US" w:eastAsia="zh-CN"/>
              </w:rPr>
              <w:t>（2）无组织废气源强核算</w:t>
            </w:r>
          </w:p>
          <w:p w14:paraId="71CCDE6A">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auto"/>
                <w:sz w:val="24"/>
                <w:szCs w:val="24"/>
                <w:highlight w:val="none"/>
                <w:lang w:val="en-US" w:eastAsia="zh-CN"/>
              </w:rPr>
            </w:pPr>
            <w:r>
              <w:rPr>
                <w:rFonts w:hint="default" w:ascii="Times New Roman" w:hAnsi="Times New Roman" w:eastAsia="宋体" w:cs="Times New Roman"/>
                <w:b w:val="0"/>
                <w:bCs w:val="0"/>
                <w:color w:val="auto"/>
                <w:sz w:val="24"/>
                <w:szCs w:val="24"/>
                <w:highlight w:val="none"/>
                <w:lang w:val="en-US" w:eastAsia="zh-CN"/>
              </w:rPr>
              <w:t>本项目无组织废气主要为</w:t>
            </w:r>
            <w:r>
              <w:rPr>
                <w:rFonts w:hint="eastAsia"/>
                <w:color w:val="auto"/>
                <w:lang w:eastAsia="zh-CN"/>
              </w:rPr>
              <w:t>煤炭加工</w:t>
            </w:r>
            <w:r>
              <w:rPr>
                <w:rFonts w:hint="eastAsia" w:cs="Times New Roman"/>
                <w:b w:val="0"/>
                <w:bCs w:val="0"/>
                <w:color w:val="auto"/>
                <w:sz w:val="24"/>
                <w:szCs w:val="24"/>
                <w:highlight w:val="none"/>
                <w:lang w:val="en-US" w:eastAsia="zh-CN"/>
              </w:rPr>
              <w:t>新能源电动铲车</w:t>
            </w:r>
            <w:r>
              <w:rPr>
                <w:rFonts w:hint="default" w:ascii="Times New Roman" w:hAnsi="Times New Roman" w:eastAsia="宋体" w:cs="Times New Roman"/>
                <w:b w:val="0"/>
                <w:bCs w:val="0"/>
                <w:color w:val="auto"/>
                <w:sz w:val="24"/>
                <w:szCs w:val="24"/>
                <w:highlight w:val="none"/>
                <w:lang w:val="en-US" w:eastAsia="zh-CN"/>
              </w:rPr>
              <w:t>装卸物料、上料、筛分破碎工序</w:t>
            </w:r>
            <w:r>
              <w:rPr>
                <w:rFonts w:hint="default" w:ascii="Times New Roman" w:hAnsi="Times New Roman" w:cs="Times New Roman"/>
                <w:b w:val="0"/>
                <w:bCs w:val="0"/>
                <w:color w:val="auto"/>
                <w:sz w:val="24"/>
                <w:szCs w:val="24"/>
                <w:highlight w:val="none"/>
                <w:lang w:val="en-US" w:eastAsia="zh-CN"/>
              </w:rPr>
              <w:t>、移动破碎工序</w:t>
            </w:r>
            <w:r>
              <w:rPr>
                <w:rFonts w:hint="default" w:ascii="Times New Roman" w:hAnsi="Times New Roman" w:eastAsia="宋体" w:cs="Times New Roman"/>
                <w:b w:val="0"/>
                <w:bCs w:val="0"/>
                <w:color w:val="auto"/>
                <w:sz w:val="24"/>
                <w:szCs w:val="24"/>
                <w:highlight w:val="none"/>
                <w:lang w:val="en-US" w:eastAsia="zh-CN"/>
              </w:rPr>
              <w:t>产生。</w:t>
            </w:r>
            <w:r>
              <w:rPr>
                <w:rFonts w:hint="eastAsia"/>
                <w:color w:val="auto"/>
                <w:lang w:eastAsia="zh-CN"/>
              </w:rPr>
              <w:t>储存的矿建材料主要为</w:t>
            </w:r>
            <w:r>
              <w:rPr>
                <w:rFonts w:hint="eastAsia" w:cs="Times New Roman"/>
                <w:bCs/>
                <w:color w:val="auto"/>
                <w:kern w:val="2"/>
                <w:sz w:val="24"/>
                <w:szCs w:val="21"/>
                <w:vertAlign w:val="baseline"/>
                <w:lang w:val="en-US" w:eastAsia="zh-CN" w:bidi="ar-SA"/>
              </w:rPr>
              <w:t>铁矿石、大理石、花岗岩等石材</w:t>
            </w:r>
            <w:r>
              <w:rPr>
                <w:rFonts w:hint="eastAsia"/>
                <w:color w:val="auto"/>
                <w:lang w:eastAsia="zh-CN"/>
              </w:rPr>
              <w:t>，无粉尘产生。</w:t>
            </w:r>
          </w:p>
          <w:p w14:paraId="4063C16B">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cs="Times New Roman"/>
                <w:b w:val="0"/>
                <w:bCs w:val="0"/>
                <w:color w:val="000000"/>
                <w:sz w:val="24"/>
                <w:szCs w:val="24"/>
                <w:highlight w:val="none"/>
                <w:lang w:val="en-US" w:eastAsia="zh-CN"/>
              </w:rPr>
            </w:pPr>
            <w:r>
              <w:rPr>
                <w:rFonts w:hint="default" w:ascii="Times New Roman" w:hAnsi="Times New Roman" w:cs="Times New Roman"/>
                <w:b w:val="0"/>
                <w:bCs w:val="0"/>
                <w:color w:val="000000"/>
                <w:sz w:val="24"/>
                <w:szCs w:val="24"/>
                <w:highlight w:val="none"/>
                <w:lang w:val="en-US" w:eastAsia="zh-CN"/>
              </w:rPr>
              <w:t>①物料装卸废气</w:t>
            </w:r>
          </w:p>
          <w:p w14:paraId="51195002">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sz w:val="24"/>
                <w:szCs w:val="24"/>
                <w:highlight w:val="none"/>
              </w:rPr>
            </w:pPr>
            <w:r>
              <w:rPr>
                <w:rFonts w:hint="default" w:ascii="Times New Roman" w:hAnsi="Times New Roman" w:eastAsia="宋体" w:cs="Times New Roman"/>
                <w:b w:val="0"/>
                <w:bCs w:val="0"/>
                <w:color w:val="000000"/>
                <w:sz w:val="24"/>
                <w:szCs w:val="24"/>
                <w:highlight w:val="none"/>
                <w:lang w:val="en-US" w:eastAsia="zh-CN"/>
              </w:rPr>
              <w:t>本项目煤炭装卸及存储粉尘产生量，参照《排放源统计调查产排污核算方法和系数手册》中附表2《固体物料堆存颗粒物产排污核算系数手册》中的核算方法进行计算。</w:t>
            </w:r>
          </w:p>
          <w:p w14:paraId="5E949412">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sz w:val="24"/>
                <w:szCs w:val="24"/>
                <w:highlight w:val="none"/>
              </w:rPr>
            </w:pPr>
            <w:r>
              <w:rPr>
                <w:rFonts w:hint="default" w:ascii="Times New Roman" w:hAnsi="Times New Roman" w:cs="Times New Roman"/>
                <w:b w:val="0"/>
                <w:bCs w:val="0"/>
                <w:color w:val="000000"/>
                <w:sz w:val="24"/>
                <w:szCs w:val="24"/>
                <w:highlight w:val="none"/>
                <w:lang w:val="en-US" w:eastAsia="zh-CN"/>
              </w:rPr>
              <w:t>a.</w:t>
            </w:r>
            <w:r>
              <w:rPr>
                <w:rFonts w:hint="default" w:ascii="Times New Roman" w:hAnsi="Times New Roman" w:eastAsia="宋体" w:cs="Times New Roman"/>
                <w:b w:val="0"/>
                <w:bCs w:val="0"/>
                <w:color w:val="000000"/>
                <w:sz w:val="24"/>
                <w:szCs w:val="24"/>
                <w:highlight w:val="none"/>
                <w:lang w:val="en-US" w:eastAsia="zh-CN"/>
              </w:rPr>
              <w:t>颗粒物产生量核算</w:t>
            </w:r>
          </w:p>
          <w:p w14:paraId="014EA844">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sz w:val="24"/>
                <w:szCs w:val="24"/>
                <w:highlight w:val="none"/>
              </w:rPr>
            </w:pPr>
            <w:r>
              <w:rPr>
                <w:rFonts w:hint="default" w:ascii="Times New Roman" w:hAnsi="Times New Roman" w:eastAsia="宋体" w:cs="Times New Roman"/>
                <w:b w:val="0"/>
                <w:bCs w:val="0"/>
                <w:color w:val="000000"/>
                <w:sz w:val="24"/>
                <w:szCs w:val="24"/>
                <w:highlight w:val="none"/>
                <w:lang w:val="en-US" w:eastAsia="zh-CN"/>
              </w:rPr>
              <w:t>工业企业固体物料堆存颗粒物包括装卸扬尘和风蚀扬尘，颗粒物产生量核算公式如下：</w:t>
            </w:r>
          </w:p>
          <w:p w14:paraId="05B7C073">
            <w:pPr>
              <w:keepNext w:val="0"/>
              <w:keepLines w:val="0"/>
              <w:pageBreakBefore w:val="0"/>
              <w:widowControl w:val="0"/>
              <w:kinsoku/>
              <w:wordWrap/>
              <w:overflowPunct/>
              <w:topLinePunct w:val="0"/>
              <w:autoSpaceDE w:val="0"/>
              <w:autoSpaceDN w:val="0"/>
              <w:bidi w:val="0"/>
              <w:adjustRightInd/>
              <w:snapToGrid/>
              <w:spacing w:line="500" w:lineRule="exact"/>
              <w:ind w:firstLine="480" w:firstLineChars="200"/>
              <w:jc w:val="left"/>
              <w:textAlignment w:val="auto"/>
              <w:rPr>
                <w:rFonts w:hint="default" w:ascii="Times New Roman" w:hAnsi="Times New Roman" w:cs="Times New Roman"/>
                <w:kern w:val="24"/>
                <w:highlight w:val="none"/>
                <w:lang w:val="en-US"/>
              </w:rPr>
            </w:pPr>
            <m:oMathPara>
              <m:oMath>
                <m:r>
                  <m:rPr>
                    <m:sty m:val="p"/>
                  </m:rPr>
                  <w:rPr>
                    <w:rFonts w:hint="default" w:ascii="Cambria Math" w:hAnsi="Cambria Math" w:cs="Times New Roman"/>
                    <w:kern w:val="24"/>
                    <w:sz w:val="24"/>
                    <w:szCs w:val="24"/>
                    <w:highlight w:val="none"/>
                    <w:lang w:val="en-US" w:eastAsia="zh-CN" w:bidi="ar-SA"/>
                  </w:rPr>
                  <m:t>P=Z</m:t>
                </m:r>
                <m:sSub>
                  <m:sSubPr>
                    <m:ctrlPr>
                      <w:rPr>
                        <w:rFonts w:hint="default" w:ascii="Cambria Math" w:hAnsi="Cambria Math" w:cs="Times New Roman"/>
                        <w:kern w:val="24"/>
                        <w:sz w:val="24"/>
                        <w:szCs w:val="24"/>
                        <w:highlight w:val="none"/>
                        <w:lang w:val="en-US" w:eastAsia="zh-CN" w:bidi="ar-SA"/>
                      </w:rPr>
                    </m:ctrlPr>
                  </m:sSubPr>
                  <m:e>
                    <m:r>
                      <m:rPr>
                        <m:sty m:val="p"/>
                      </m:rPr>
                      <w:rPr>
                        <w:rFonts w:hint="default" w:ascii="Cambria Math" w:hAnsi="Cambria Math" w:cs="Times New Roman"/>
                        <w:kern w:val="24"/>
                        <w:sz w:val="24"/>
                        <w:szCs w:val="24"/>
                        <w:highlight w:val="none"/>
                        <w:lang w:val="en-US" w:eastAsia="zh-CN" w:bidi="ar-SA"/>
                      </w:rPr>
                      <m:t>C</m:t>
                    </m:r>
                    <m:ctrlPr>
                      <w:rPr>
                        <w:rFonts w:hint="default" w:ascii="Cambria Math" w:hAnsi="Cambria Math" w:cs="Times New Roman"/>
                        <w:kern w:val="24"/>
                        <w:sz w:val="24"/>
                        <w:szCs w:val="24"/>
                        <w:highlight w:val="none"/>
                        <w:lang w:val="en-US" w:eastAsia="zh-CN" w:bidi="ar-SA"/>
                      </w:rPr>
                    </m:ctrlPr>
                  </m:e>
                  <m:sub>
                    <m:r>
                      <m:rPr>
                        <m:sty m:val="p"/>
                      </m:rPr>
                      <w:rPr>
                        <w:rFonts w:hint="default" w:ascii="Cambria Math" w:hAnsi="Cambria Math" w:cs="Times New Roman"/>
                        <w:kern w:val="24"/>
                        <w:sz w:val="24"/>
                        <w:szCs w:val="24"/>
                        <w:highlight w:val="none"/>
                        <w:lang w:val="en-US" w:eastAsia="zh-CN" w:bidi="ar-SA"/>
                      </w:rPr>
                      <m:t>y</m:t>
                    </m:r>
                    <m:ctrlPr>
                      <w:rPr>
                        <w:rFonts w:hint="default" w:ascii="Cambria Math" w:hAnsi="Cambria Math" w:cs="Times New Roman"/>
                        <w:kern w:val="24"/>
                        <w:sz w:val="24"/>
                        <w:szCs w:val="24"/>
                        <w:highlight w:val="none"/>
                        <w:lang w:val="en-US" w:eastAsia="zh-CN" w:bidi="ar-SA"/>
                      </w:rPr>
                    </m:ctrlPr>
                  </m:sub>
                </m:sSub>
                <m:r>
                  <m:rPr>
                    <m:sty m:val="p"/>
                  </m:rPr>
                  <w:rPr>
                    <w:rFonts w:hint="default" w:ascii="Cambria Math" w:hAnsi="Cambria Math" w:cs="Times New Roman"/>
                    <w:kern w:val="24"/>
                    <w:sz w:val="24"/>
                    <w:szCs w:val="24"/>
                    <w:highlight w:val="none"/>
                    <w:lang w:val="en-US" w:eastAsia="zh-CN" w:bidi="ar-SA"/>
                  </w:rPr>
                  <m:t>+F</m:t>
                </m:r>
                <m:sSub>
                  <m:sSubPr>
                    <m:ctrlPr>
                      <w:rPr>
                        <w:rFonts w:hint="default" w:ascii="Cambria Math" w:hAnsi="Cambria Math" w:cs="Times New Roman"/>
                        <w:kern w:val="24"/>
                        <w:sz w:val="24"/>
                        <w:szCs w:val="24"/>
                        <w:highlight w:val="none"/>
                        <w:lang w:val="en-US" w:eastAsia="zh-CN" w:bidi="ar-SA"/>
                      </w:rPr>
                    </m:ctrlPr>
                  </m:sSubPr>
                  <m:e>
                    <m:r>
                      <m:rPr>
                        <m:sty m:val="p"/>
                      </m:rPr>
                      <w:rPr>
                        <w:rFonts w:hint="default" w:ascii="Cambria Math" w:hAnsi="Cambria Math" w:cs="Times New Roman"/>
                        <w:kern w:val="24"/>
                        <w:sz w:val="24"/>
                        <w:szCs w:val="24"/>
                        <w:highlight w:val="none"/>
                        <w:lang w:val="en-US" w:eastAsia="zh-CN" w:bidi="ar-SA"/>
                      </w:rPr>
                      <m:t>C</m:t>
                    </m:r>
                    <m:ctrlPr>
                      <w:rPr>
                        <w:rFonts w:hint="default" w:ascii="Cambria Math" w:hAnsi="Cambria Math" w:cs="Times New Roman"/>
                        <w:kern w:val="24"/>
                        <w:sz w:val="24"/>
                        <w:szCs w:val="24"/>
                        <w:highlight w:val="none"/>
                        <w:lang w:val="en-US" w:eastAsia="zh-CN" w:bidi="ar-SA"/>
                      </w:rPr>
                    </m:ctrlPr>
                  </m:e>
                  <m:sub>
                    <m:r>
                      <m:rPr>
                        <m:sty m:val="p"/>
                      </m:rPr>
                      <w:rPr>
                        <w:rFonts w:hint="default" w:ascii="Cambria Math" w:hAnsi="Cambria Math" w:cs="Times New Roman"/>
                        <w:kern w:val="24"/>
                        <w:sz w:val="24"/>
                        <w:szCs w:val="24"/>
                        <w:highlight w:val="none"/>
                        <w:lang w:val="en-US" w:eastAsia="zh-CN" w:bidi="ar-SA"/>
                      </w:rPr>
                      <m:t>y</m:t>
                    </m:r>
                    <m:ctrlPr>
                      <w:rPr>
                        <w:rFonts w:hint="default" w:ascii="Cambria Math" w:hAnsi="Cambria Math" w:cs="Times New Roman"/>
                        <w:kern w:val="24"/>
                        <w:sz w:val="24"/>
                        <w:szCs w:val="24"/>
                        <w:highlight w:val="none"/>
                        <w:lang w:val="en-US" w:eastAsia="zh-CN" w:bidi="ar-SA"/>
                      </w:rPr>
                    </m:ctrlPr>
                  </m:sub>
                </m:sSub>
                <m:r>
                  <m:rPr>
                    <m:sty m:val="p"/>
                  </m:rPr>
                  <w:rPr>
                    <w:rFonts w:hint="default" w:ascii="Cambria Math" w:hAnsi="Cambria Math" w:cs="Times New Roman"/>
                    <w:kern w:val="24"/>
                    <w:sz w:val="24"/>
                    <w:szCs w:val="24"/>
                    <w:highlight w:val="none"/>
                    <w:lang w:val="en-US" w:eastAsia="zh-CN" w:bidi="ar-SA"/>
                  </w:rPr>
                  <m:t>=</m:t>
                </m:r>
                <m:d>
                  <m:dPr>
                    <m:begChr m:val="{"/>
                    <m:endChr m:val="}"/>
                    <m:ctrlPr>
                      <w:rPr>
                        <w:rFonts w:hint="default" w:ascii="Cambria Math" w:hAnsi="Cambria Math" w:cs="Times New Roman"/>
                        <w:i w:val="0"/>
                        <w:kern w:val="24"/>
                        <w:sz w:val="24"/>
                        <w:szCs w:val="24"/>
                        <w:highlight w:val="none"/>
                        <w:lang w:val="en-US" w:eastAsia="zh-CN" w:bidi="ar-SA"/>
                      </w:rPr>
                    </m:ctrlPr>
                  </m:dPr>
                  <m:e>
                    <m:sSub>
                      <m:sSubPr>
                        <m:ctrlPr>
                          <w:rPr>
                            <w:rFonts w:hint="default" w:ascii="Cambria Math" w:hAnsi="Cambria Math" w:cs="Times New Roman"/>
                            <w:kern w:val="24"/>
                            <w:sz w:val="24"/>
                            <w:szCs w:val="24"/>
                            <w:highlight w:val="none"/>
                            <w:lang w:val="en-US" w:eastAsia="zh-CN" w:bidi="ar-SA"/>
                          </w:rPr>
                        </m:ctrlPr>
                      </m:sSubPr>
                      <m:e>
                        <m:r>
                          <m:rPr>
                            <m:sty m:val="p"/>
                          </m:rPr>
                          <w:rPr>
                            <w:rFonts w:hint="default" w:ascii="Cambria Math" w:hAnsi="Cambria Math" w:cs="Times New Roman"/>
                            <w:kern w:val="24"/>
                            <w:sz w:val="24"/>
                            <w:szCs w:val="24"/>
                            <w:highlight w:val="none"/>
                            <w:lang w:val="en-US" w:eastAsia="zh-CN" w:bidi="ar-SA"/>
                          </w:rPr>
                          <m:t>N</m:t>
                        </m:r>
                        <m:ctrlPr>
                          <w:rPr>
                            <w:rFonts w:hint="default" w:ascii="Cambria Math" w:hAnsi="Cambria Math" w:cs="Times New Roman"/>
                            <w:kern w:val="24"/>
                            <w:sz w:val="24"/>
                            <w:szCs w:val="24"/>
                            <w:highlight w:val="none"/>
                            <w:lang w:val="en-US" w:eastAsia="zh-CN" w:bidi="ar-SA"/>
                          </w:rPr>
                        </m:ctrlPr>
                      </m:e>
                      <m:sub>
                        <m:r>
                          <m:rPr>
                            <m:sty m:val="p"/>
                          </m:rPr>
                          <w:rPr>
                            <w:rFonts w:hint="default" w:ascii="Cambria Math" w:hAnsi="Cambria Math" w:cs="Times New Roman"/>
                            <w:kern w:val="24"/>
                            <w:sz w:val="24"/>
                            <w:szCs w:val="24"/>
                            <w:highlight w:val="none"/>
                            <w:lang w:val="en-US" w:eastAsia="zh-CN" w:bidi="ar-SA"/>
                          </w:rPr>
                          <m:t>c</m:t>
                        </m:r>
                        <m:ctrlPr>
                          <w:rPr>
                            <w:rFonts w:hint="default" w:ascii="Cambria Math" w:hAnsi="Cambria Math" w:cs="Times New Roman"/>
                            <w:kern w:val="24"/>
                            <w:sz w:val="24"/>
                            <w:szCs w:val="24"/>
                            <w:highlight w:val="none"/>
                            <w:lang w:val="en-US" w:eastAsia="zh-CN" w:bidi="ar-SA"/>
                          </w:rPr>
                        </m:ctrlPr>
                      </m:sub>
                    </m:sSub>
                    <m:r>
                      <m:rPr>
                        <m:sty m:val="p"/>
                      </m:rPr>
                      <w:rPr>
                        <w:rFonts w:hint="default" w:ascii="Cambria Math" w:hAnsi="Cambria Math" w:cs="Times New Roman"/>
                        <w:kern w:val="24"/>
                        <w:sz w:val="24"/>
                        <w:szCs w:val="24"/>
                        <w:highlight w:val="none"/>
                        <w:lang w:val="en-US" w:bidi="ar-SA"/>
                      </w:rPr>
                      <m:t>×</m:t>
                    </m:r>
                    <m:r>
                      <m:rPr>
                        <m:sty m:val="p"/>
                      </m:rPr>
                      <w:rPr>
                        <w:rFonts w:hint="default" w:ascii="Cambria Math" w:hAnsi="Cambria Math" w:cs="Times New Roman"/>
                        <w:kern w:val="24"/>
                        <w:sz w:val="24"/>
                        <w:szCs w:val="24"/>
                        <w:highlight w:val="none"/>
                        <w:lang w:val="en-US" w:eastAsia="zh-CN" w:bidi="ar-SA"/>
                      </w:rPr>
                      <m:t>D</m:t>
                    </m:r>
                    <m:r>
                      <m:rPr>
                        <m:sty m:val="p"/>
                      </m:rPr>
                      <w:rPr>
                        <w:rFonts w:hint="default" w:ascii="Cambria Math" w:hAnsi="Cambria Math" w:cs="Times New Roman"/>
                        <w:kern w:val="24"/>
                        <w:sz w:val="24"/>
                        <w:szCs w:val="24"/>
                        <w:highlight w:val="none"/>
                        <w:lang w:val="en-US" w:bidi="ar-SA"/>
                      </w:rPr>
                      <m:t>×</m:t>
                    </m:r>
                    <m:d>
                      <m:dPr>
                        <m:ctrlPr>
                          <w:rPr>
                            <w:rFonts w:hint="default" w:ascii="Cambria Math" w:hAnsi="Cambria Math" w:cs="Times New Roman"/>
                            <w:b w:val="0"/>
                            <w:i w:val="0"/>
                            <w:kern w:val="24"/>
                            <w:sz w:val="24"/>
                            <w:szCs w:val="24"/>
                            <w:highlight w:val="none"/>
                            <w:lang w:val="en-US" w:bidi="ar-SA"/>
                          </w:rPr>
                        </m:ctrlPr>
                      </m:dPr>
                      <m:e>
                        <m:f>
                          <m:fPr>
                            <m:type m:val="lin"/>
                            <m:ctrlPr>
                              <w:rPr>
                                <w:rFonts w:hint="default" w:ascii="Cambria Math" w:hAnsi="Cambria Math" w:cs="Times New Roman"/>
                                <w:b w:val="0"/>
                                <w:i w:val="0"/>
                                <w:kern w:val="24"/>
                                <w:sz w:val="24"/>
                                <w:szCs w:val="24"/>
                                <w:highlight w:val="none"/>
                                <w:lang w:val="en-US" w:bidi="ar-SA"/>
                              </w:rPr>
                            </m:ctrlPr>
                          </m:fPr>
                          <m:num>
                            <m:r>
                              <m:rPr>
                                <m:sty m:val="p"/>
                              </m:rPr>
                              <w:rPr>
                                <w:rFonts w:hint="default" w:ascii="Cambria Math" w:hAnsi="Cambria Math" w:cs="Times New Roman"/>
                                <w:kern w:val="24"/>
                                <w:sz w:val="24"/>
                                <w:szCs w:val="24"/>
                                <w:highlight w:val="none"/>
                                <w:lang w:val="en-US" w:eastAsia="zh-CN" w:bidi="ar-SA"/>
                              </w:rPr>
                              <m:t>a</m:t>
                            </m:r>
                            <m:ctrlPr>
                              <w:rPr>
                                <w:rFonts w:hint="default" w:ascii="Cambria Math" w:hAnsi="Cambria Math" w:cs="Times New Roman"/>
                                <w:b w:val="0"/>
                                <w:i w:val="0"/>
                                <w:kern w:val="24"/>
                                <w:sz w:val="24"/>
                                <w:szCs w:val="24"/>
                                <w:highlight w:val="none"/>
                                <w:lang w:val="en-US" w:bidi="ar-SA"/>
                              </w:rPr>
                            </m:ctrlPr>
                          </m:num>
                          <m:den>
                            <m:r>
                              <m:rPr>
                                <m:sty m:val="p"/>
                              </m:rPr>
                              <w:rPr>
                                <w:rFonts w:hint="default" w:ascii="Cambria Math" w:hAnsi="Cambria Math" w:cs="Times New Roman"/>
                                <w:kern w:val="24"/>
                                <w:sz w:val="24"/>
                                <w:szCs w:val="24"/>
                                <w:highlight w:val="none"/>
                                <w:lang w:val="en-US" w:eastAsia="zh-CN" w:bidi="ar-SA"/>
                              </w:rPr>
                              <m:t>b</m:t>
                            </m:r>
                            <m:ctrlPr>
                              <w:rPr>
                                <w:rFonts w:hint="default" w:ascii="Cambria Math" w:hAnsi="Cambria Math" w:cs="Times New Roman"/>
                                <w:b w:val="0"/>
                                <w:i w:val="0"/>
                                <w:kern w:val="24"/>
                                <w:sz w:val="24"/>
                                <w:szCs w:val="24"/>
                                <w:highlight w:val="none"/>
                                <w:lang w:val="en-US" w:bidi="ar-SA"/>
                              </w:rPr>
                            </m:ctrlPr>
                          </m:den>
                        </m:f>
                        <m:ctrlPr>
                          <w:rPr>
                            <w:rFonts w:hint="default" w:ascii="Cambria Math" w:hAnsi="Cambria Math" w:cs="Times New Roman"/>
                            <w:b w:val="0"/>
                            <w:i w:val="0"/>
                            <w:kern w:val="24"/>
                            <w:sz w:val="24"/>
                            <w:szCs w:val="24"/>
                            <w:highlight w:val="none"/>
                            <w:lang w:val="en-US" w:bidi="ar-SA"/>
                          </w:rPr>
                        </m:ctrlPr>
                      </m:e>
                    </m:d>
                    <m:r>
                      <m:rPr>
                        <m:sty m:val="p"/>
                      </m:rPr>
                      <w:rPr>
                        <w:rFonts w:hint="default" w:ascii="Cambria Math" w:hAnsi="Cambria Math" w:cs="Times New Roman"/>
                        <w:kern w:val="24"/>
                        <w:sz w:val="24"/>
                        <w:szCs w:val="24"/>
                        <w:highlight w:val="none"/>
                        <w:lang w:val="en-US" w:eastAsia="zh-CN" w:bidi="ar-SA"/>
                      </w:rPr>
                      <m:t>+2</m:t>
                    </m:r>
                    <m:r>
                      <m:rPr>
                        <m:sty m:val="p"/>
                      </m:rPr>
                      <w:rPr>
                        <w:rFonts w:hint="default" w:ascii="Cambria Math" w:hAnsi="Cambria Math" w:cs="Times New Roman"/>
                        <w:kern w:val="24"/>
                        <w:sz w:val="24"/>
                        <w:szCs w:val="24"/>
                        <w:highlight w:val="none"/>
                        <w:lang w:val="en-US" w:bidi="ar-SA"/>
                      </w:rPr>
                      <m:t>×</m:t>
                    </m:r>
                    <m:sSub>
                      <m:sSubPr>
                        <m:ctrlPr>
                          <w:rPr>
                            <w:rFonts w:hint="default" w:ascii="Cambria Math" w:hAnsi="Cambria Math" w:cs="Times New Roman"/>
                            <w:b w:val="0"/>
                            <w:i w:val="0"/>
                            <w:kern w:val="24"/>
                            <w:sz w:val="24"/>
                            <w:szCs w:val="24"/>
                            <w:highlight w:val="none"/>
                            <w:lang w:val="en-US" w:bidi="ar-SA"/>
                          </w:rPr>
                        </m:ctrlPr>
                      </m:sSubPr>
                      <m:e>
                        <m:r>
                          <m:rPr>
                            <m:sty m:val="p"/>
                          </m:rPr>
                          <w:rPr>
                            <w:rFonts w:hint="default" w:ascii="Cambria Math" w:hAnsi="Cambria Math" w:cs="Times New Roman"/>
                            <w:kern w:val="24"/>
                            <w:sz w:val="24"/>
                            <w:szCs w:val="24"/>
                            <w:highlight w:val="none"/>
                            <w:lang w:val="en-US" w:eastAsia="zh-CN" w:bidi="ar-SA"/>
                          </w:rPr>
                          <m:t>E</m:t>
                        </m:r>
                        <m:ctrlPr>
                          <w:rPr>
                            <w:rFonts w:hint="default" w:ascii="Cambria Math" w:hAnsi="Cambria Math" w:cs="Times New Roman"/>
                            <w:b w:val="0"/>
                            <w:i w:val="0"/>
                            <w:kern w:val="24"/>
                            <w:sz w:val="24"/>
                            <w:szCs w:val="24"/>
                            <w:highlight w:val="none"/>
                            <w:lang w:val="en-US" w:bidi="ar-SA"/>
                          </w:rPr>
                        </m:ctrlPr>
                      </m:e>
                      <m:sub>
                        <m:r>
                          <m:rPr>
                            <m:sty m:val="p"/>
                          </m:rPr>
                          <w:rPr>
                            <w:rFonts w:hint="default" w:ascii="Cambria Math" w:hAnsi="Cambria Math" w:cs="Times New Roman"/>
                            <w:kern w:val="24"/>
                            <w:sz w:val="24"/>
                            <w:szCs w:val="24"/>
                            <w:highlight w:val="none"/>
                            <w:lang w:val="en-US" w:eastAsia="zh-CN" w:bidi="ar-SA"/>
                          </w:rPr>
                          <m:t>f</m:t>
                        </m:r>
                        <m:ctrlPr>
                          <w:rPr>
                            <w:rFonts w:hint="default" w:ascii="Cambria Math" w:hAnsi="Cambria Math" w:cs="Times New Roman"/>
                            <w:b w:val="0"/>
                            <w:i w:val="0"/>
                            <w:kern w:val="24"/>
                            <w:sz w:val="24"/>
                            <w:szCs w:val="24"/>
                            <w:highlight w:val="none"/>
                            <w:lang w:val="en-US" w:bidi="ar-SA"/>
                          </w:rPr>
                        </m:ctrlPr>
                      </m:sub>
                    </m:sSub>
                    <m:r>
                      <m:rPr>
                        <m:sty m:val="p"/>
                      </m:rPr>
                      <w:rPr>
                        <w:rFonts w:hint="default" w:ascii="Cambria Math" w:hAnsi="Cambria Math" w:cs="Times New Roman"/>
                        <w:kern w:val="24"/>
                        <w:sz w:val="24"/>
                        <w:szCs w:val="24"/>
                        <w:highlight w:val="none"/>
                        <w:lang w:val="en-US" w:bidi="ar-SA"/>
                      </w:rPr>
                      <m:t>×</m:t>
                    </m:r>
                    <m:r>
                      <m:rPr>
                        <m:sty m:val="p"/>
                      </m:rPr>
                      <w:rPr>
                        <w:rFonts w:hint="default" w:ascii="Cambria Math" w:hAnsi="Cambria Math" w:cs="Times New Roman"/>
                        <w:kern w:val="24"/>
                        <w:sz w:val="24"/>
                        <w:szCs w:val="24"/>
                        <w:highlight w:val="none"/>
                        <w:lang w:val="en-US" w:eastAsia="zh-CN" w:bidi="ar-SA"/>
                      </w:rPr>
                      <m:t>S</m:t>
                    </m:r>
                    <m:ctrlPr>
                      <w:rPr>
                        <w:rFonts w:hint="default" w:ascii="Cambria Math" w:hAnsi="Cambria Math" w:cs="Times New Roman"/>
                        <w:i w:val="0"/>
                        <w:kern w:val="24"/>
                        <w:sz w:val="24"/>
                        <w:szCs w:val="24"/>
                        <w:highlight w:val="none"/>
                        <w:lang w:val="en-US" w:eastAsia="zh-CN" w:bidi="ar-SA"/>
                      </w:rPr>
                    </m:ctrlPr>
                  </m:e>
                </m:d>
                <m:r>
                  <m:rPr>
                    <m:sty m:val="p"/>
                  </m:rPr>
                  <w:rPr>
                    <w:rFonts w:hint="default" w:ascii="Cambria Math" w:hAnsi="Cambria Math" w:cs="Times New Roman"/>
                    <w:kern w:val="24"/>
                    <w:sz w:val="24"/>
                    <w:szCs w:val="24"/>
                    <w:highlight w:val="none"/>
                    <w:lang w:val="en-US" w:eastAsia="zh-CN" w:bidi="ar-SA"/>
                  </w:rPr>
                  <m:t>×</m:t>
                </m:r>
                <m:sSup>
                  <m:sSupPr>
                    <m:ctrlPr>
                      <w:rPr>
                        <w:rFonts w:hint="default" w:ascii="Cambria Math" w:hAnsi="Cambria Math" w:cs="Times New Roman"/>
                        <w:i w:val="0"/>
                        <w:kern w:val="24"/>
                        <w:sz w:val="24"/>
                        <w:szCs w:val="24"/>
                        <w:highlight w:val="none"/>
                        <w:lang w:val="en-US" w:eastAsia="zh-CN" w:bidi="ar-SA"/>
                      </w:rPr>
                    </m:ctrlPr>
                  </m:sSupPr>
                  <m:e>
                    <m:r>
                      <m:rPr>
                        <m:sty m:val="p"/>
                      </m:rPr>
                      <w:rPr>
                        <w:rFonts w:hint="default" w:ascii="Cambria Math" w:hAnsi="Cambria Math" w:cs="Times New Roman"/>
                        <w:kern w:val="24"/>
                        <w:sz w:val="24"/>
                        <w:szCs w:val="24"/>
                        <w:highlight w:val="none"/>
                        <w:lang w:val="en-US" w:eastAsia="zh-CN" w:bidi="ar-SA"/>
                      </w:rPr>
                      <m:t>10</m:t>
                    </m:r>
                    <m:ctrlPr>
                      <w:rPr>
                        <w:rFonts w:hint="default" w:ascii="Cambria Math" w:hAnsi="Cambria Math" w:cs="Times New Roman"/>
                        <w:i w:val="0"/>
                        <w:kern w:val="24"/>
                        <w:sz w:val="24"/>
                        <w:szCs w:val="24"/>
                        <w:highlight w:val="none"/>
                        <w:lang w:val="en-US" w:eastAsia="zh-CN" w:bidi="ar-SA"/>
                      </w:rPr>
                    </m:ctrlPr>
                  </m:e>
                  <m:sup>
                    <m:r>
                      <m:rPr>
                        <m:sty m:val="p"/>
                      </m:rPr>
                      <w:rPr>
                        <w:rFonts w:hint="default" w:ascii="Cambria Math" w:hAnsi="Cambria Math" w:cs="Times New Roman"/>
                        <w:kern w:val="24"/>
                        <w:sz w:val="24"/>
                        <w:szCs w:val="24"/>
                        <w:highlight w:val="none"/>
                        <w:lang w:val="en-US" w:eastAsia="zh-CN" w:bidi="ar-SA"/>
                      </w:rPr>
                      <m:t>−3</m:t>
                    </m:r>
                    <m:ctrlPr>
                      <w:rPr>
                        <w:rFonts w:hint="default" w:ascii="Cambria Math" w:hAnsi="Cambria Math" w:cs="Times New Roman"/>
                        <w:i w:val="0"/>
                        <w:kern w:val="24"/>
                        <w:sz w:val="24"/>
                        <w:szCs w:val="24"/>
                        <w:highlight w:val="none"/>
                        <w:lang w:val="en-US" w:eastAsia="zh-CN" w:bidi="ar-SA"/>
                      </w:rPr>
                    </m:ctrlPr>
                  </m:sup>
                </m:sSup>
              </m:oMath>
            </m:oMathPara>
          </w:p>
          <w:p w14:paraId="0072A3EA">
            <w:pPr>
              <w:keepNext w:val="0"/>
              <w:keepLines w:val="0"/>
              <w:pageBreakBefore w:val="0"/>
              <w:widowControl w:val="0"/>
              <w:kinsoku/>
              <w:wordWrap/>
              <w:overflowPunct/>
              <w:topLinePunct w:val="0"/>
              <w:autoSpaceDE w:val="0"/>
              <w:autoSpaceDN w:val="0"/>
              <w:bidi w:val="0"/>
              <w:adjustRightInd/>
              <w:snapToGrid/>
              <w:spacing w:line="500" w:lineRule="exact"/>
              <w:ind w:firstLine="480" w:firstLineChars="200"/>
              <w:jc w:val="left"/>
              <w:textAlignment w:val="auto"/>
              <w:rPr>
                <w:rFonts w:hint="default" w:ascii="Times New Roman" w:hAnsi="Times New Roman" w:cs="Times New Roman"/>
                <w:kern w:val="24"/>
                <w:highlight w:val="none"/>
              </w:rPr>
            </w:pPr>
            <w:r>
              <w:rPr>
                <w:rFonts w:hint="default" w:ascii="Times New Roman" w:hAnsi="Times New Roman" w:cs="Times New Roman"/>
                <w:kern w:val="24"/>
                <w:highlight w:val="none"/>
              </w:rPr>
              <w:t>式中：P</w:t>
            </w:r>
            <w:r>
              <w:rPr>
                <w:rFonts w:hint="default" w:ascii="Times New Roman" w:hAnsi="Times New Roman" w:cs="Times New Roman"/>
                <w:b w:val="0"/>
                <w:bCs w:val="0"/>
                <w:color w:val="000000"/>
                <w:sz w:val="24"/>
                <w:szCs w:val="24"/>
                <w:highlight w:val="none"/>
                <w:lang w:val="en-US" w:eastAsia="zh-CN"/>
              </w:rPr>
              <w:t>—</w:t>
            </w:r>
            <w:r>
              <w:rPr>
                <w:rFonts w:hint="default" w:ascii="Times New Roman" w:hAnsi="Times New Roman" w:cs="Times New Roman"/>
                <w:kern w:val="24"/>
                <w:highlight w:val="none"/>
              </w:rPr>
              <w:t>颗粒物产生量（单位</w:t>
            </w:r>
            <w:r>
              <w:rPr>
                <w:rFonts w:hint="default" w:ascii="Times New Roman" w:hAnsi="Times New Roman" w:cs="Times New Roman"/>
                <w:kern w:val="24"/>
                <w:highlight w:val="none"/>
                <w:lang w:eastAsia="zh-CN"/>
              </w:rPr>
              <w:t>：</w:t>
            </w:r>
            <w:r>
              <w:rPr>
                <w:rFonts w:hint="default" w:ascii="Times New Roman" w:hAnsi="Times New Roman" w:cs="Times New Roman"/>
                <w:kern w:val="24"/>
                <w:highlight w:val="none"/>
              </w:rPr>
              <w:t>吨）；</w:t>
            </w:r>
          </w:p>
          <w:p w14:paraId="2D7CEA81">
            <w:pPr>
              <w:keepNext w:val="0"/>
              <w:keepLines w:val="0"/>
              <w:pageBreakBefore w:val="0"/>
              <w:widowControl w:val="0"/>
              <w:kinsoku/>
              <w:wordWrap/>
              <w:overflowPunct/>
              <w:topLinePunct w:val="0"/>
              <w:autoSpaceDE w:val="0"/>
              <w:autoSpaceDN w:val="0"/>
              <w:bidi w:val="0"/>
              <w:adjustRightInd/>
              <w:snapToGrid/>
              <w:spacing w:line="500" w:lineRule="exact"/>
              <w:ind w:firstLine="1200" w:firstLineChars="500"/>
              <w:jc w:val="left"/>
              <w:textAlignment w:val="auto"/>
              <w:rPr>
                <w:rFonts w:hint="default" w:ascii="Times New Roman" w:hAnsi="Times New Roman" w:cs="Times New Roman"/>
                <w:kern w:val="24"/>
                <w:highlight w:val="none"/>
              </w:rPr>
            </w:pPr>
            <w:r>
              <w:rPr>
                <w:rFonts w:hint="default" w:ascii="Times New Roman" w:hAnsi="Times New Roman" w:cs="Times New Roman"/>
                <w:kern w:val="24"/>
                <w:highlight w:val="none"/>
              </w:rPr>
              <w:t>ZC</w:t>
            </w:r>
            <w:r>
              <w:rPr>
                <w:rFonts w:hint="default" w:ascii="Times New Roman" w:hAnsi="Times New Roman" w:cs="Times New Roman"/>
                <w:kern w:val="24"/>
                <w:highlight w:val="none"/>
                <w:vertAlign w:val="subscript"/>
              </w:rPr>
              <w:t>y</w:t>
            </w:r>
            <w:r>
              <w:rPr>
                <w:rFonts w:hint="default" w:ascii="Times New Roman" w:hAnsi="Times New Roman" w:cs="Times New Roman"/>
                <w:b w:val="0"/>
                <w:bCs w:val="0"/>
                <w:color w:val="000000"/>
                <w:sz w:val="24"/>
                <w:szCs w:val="24"/>
                <w:highlight w:val="none"/>
                <w:lang w:val="en-US" w:eastAsia="zh-CN"/>
              </w:rPr>
              <w:t>—</w:t>
            </w:r>
            <w:r>
              <w:rPr>
                <w:rFonts w:hint="default" w:ascii="Times New Roman" w:hAnsi="Times New Roman" w:cs="Times New Roman"/>
                <w:kern w:val="24"/>
                <w:highlight w:val="none"/>
              </w:rPr>
              <w:t>装卸扬尘产生量（单位：吨）；</w:t>
            </w:r>
          </w:p>
          <w:p w14:paraId="66E00F09">
            <w:pPr>
              <w:keepNext w:val="0"/>
              <w:keepLines w:val="0"/>
              <w:pageBreakBefore w:val="0"/>
              <w:widowControl w:val="0"/>
              <w:kinsoku/>
              <w:wordWrap/>
              <w:overflowPunct/>
              <w:topLinePunct w:val="0"/>
              <w:autoSpaceDE w:val="0"/>
              <w:autoSpaceDN w:val="0"/>
              <w:bidi w:val="0"/>
              <w:adjustRightInd/>
              <w:snapToGrid/>
              <w:spacing w:line="500" w:lineRule="exact"/>
              <w:ind w:firstLine="1200" w:firstLineChars="500"/>
              <w:jc w:val="left"/>
              <w:textAlignment w:val="auto"/>
              <w:rPr>
                <w:rFonts w:hint="default" w:ascii="Times New Roman" w:hAnsi="Times New Roman" w:cs="Times New Roman"/>
                <w:kern w:val="24"/>
                <w:highlight w:val="none"/>
              </w:rPr>
            </w:pPr>
            <w:r>
              <w:rPr>
                <w:rFonts w:hint="default" w:ascii="Times New Roman" w:hAnsi="Times New Roman" w:cs="Times New Roman"/>
                <w:kern w:val="24"/>
                <w:highlight w:val="none"/>
              </w:rPr>
              <w:t>FC</w:t>
            </w:r>
            <w:r>
              <w:rPr>
                <w:rFonts w:hint="default" w:ascii="Times New Roman" w:hAnsi="Times New Roman" w:cs="Times New Roman"/>
                <w:kern w:val="24"/>
                <w:highlight w:val="none"/>
                <w:vertAlign w:val="subscript"/>
              </w:rPr>
              <w:t>y</w:t>
            </w:r>
            <w:r>
              <w:rPr>
                <w:rFonts w:hint="default" w:ascii="Times New Roman" w:hAnsi="Times New Roman" w:cs="Times New Roman"/>
                <w:b w:val="0"/>
                <w:bCs w:val="0"/>
                <w:color w:val="000000"/>
                <w:sz w:val="24"/>
                <w:szCs w:val="24"/>
                <w:highlight w:val="none"/>
                <w:lang w:val="en-US" w:eastAsia="zh-CN"/>
              </w:rPr>
              <w:t>—</w:t>
            </w:r>
            <w:r>
              <w:rPr>
                <w:rFonts w:hint="default" w:ascii="Times New Roman" w:hAnsi="Times New Roman" w:cs="Times New Roman"/>
                <w:kern w:val="24"/>
                <w:highlight w:val="none"/>
              </w:rPr>
              <w:t>风蚀扬尘产生量（单位：吨）；</w:t>
            </w:r>
          </w:p>
          <w:p w14:paraId="6AA03FBD">
            <w:pPr>
              <w:keepNext w:val="0"/>
              <w:keepLines w:val="0"/>
              <w:pageBreakBefore w:val="0"/>
              <w:widowControl w:val="0"/>
              <w:kinsoku/>
              <w:wordWrap/>
              <w:overflowPunct/>
              <w:topLinePunct w:val="0"/>
              <w:autoSpaceDE w:val="0"/>
              <w:autoSpaceDN w:val="0"/>
              <w:bidi w:val="0"/>
              <w:adjustRightInd/>
              <w:snapToGrid/>
              <w:spacing w:line="500" w:lineRule="exact"/>
              <w:ind w:firstLine="1200" w:firstLineChars="500"/>
              <w:jc w:val="left"/>
              <w:textAlignment w:val="auto"/>
              <w:rPr>
                <w:rFonts w:hint="default" w:ascii="Times New Roman" w:hAnsi="Times New Roman" w:cs="Times New Roman"/>
                <w:kern w:val="24"/>
                <w:highlight w:val="none"/>
              </w:rPr>
            </w:pPr>
            <w:r>
              <w:rPr>
                <w:rFonts w:hint="default" w:ascii="Times New Roman" w:hAnsi="Times New Roman" w:cs="Times New Roman"/>
                <w:kern w:val="24"/>
                <w:highlight w:val="none"/>
              </w:rPr>
              <w:t>N</w:t>
            </w:r>
            <w:r>
              <w:rPr>
                <w:rFonts w:hint="default" w:ascii="Times New Roman" w:hAnsi="Times New Roman" w:cs="Times New Roman"/>
                <w:kern w:val="24"/>
                <w:highlight w:val="none"/>
                <w:vertAlign w:val="subscript"/>
              </w:rPr>
              <w:t>c</w:t>
            </w:r>
            <w:r>
              <w:rPr>
                <w:rFonts w:hint="default" w:ascii="Times New Roman" w:hAnsi="Times New Roman" w:cs="Times New Roman"/>
                <w:b w:val="0"/>
                <w:bCs w:val="0"/>
                <w:color w:val="000000"/>
                <w:sz w:val="24"/>
                <w:szCs w:val="24"/>
                <w:highlight w:val="none"/>
                <w:lang w:val="en-US" w:eastAsia="zh-CN"/>
              </w:rPr>
              <w:t>—</w:t>
            </w:r>
            <w:r>
              <w:rPr>
                <w:rFonts w:hint="default" w:ascii="Times New Roman" w:hAnsi="Times New Roman" w:cs="Times New Roman"/>
                <w:kern w:val="24"/>
                <w:highlight w:val="none"/>
              </w:rPr>
              <w:t>年物料运载车次（单位：车）；</w:t>
            </w:r>
          </w:p>
          <w:p w14:paraId="70A882B5">
            <w:pPr>
              <w:keepNext w:val="0"/>
              <w:keepLines w:val="0"/>
              <w:pageBreakBefore w:val="0"/>
              <w:widowControl w:val="0"/>
              <w:kinsoku/>
              <w:wordWrap/>
              <w:overflowPunct/>
              <w:topLinePunct w:val="0"/>
              <w:autoSpaceDE w:val="0"/>
              <w:autoSpaceDN w:val="0"/>
              <w:bidi w:val="0"/>
              <w:adjustRightInd/>
              <w:snapToGrid/>
              <w:spacing w:line="500" w:lineRule="exact"/>
              <w:ind w:firstLine="1200" w:firstLineChars="500"/>
              <w:jc w:val="left"/>
              <w:textAlignment w:val="auto"/>
              <w:rPr>
                <w:rFonts w:hint="default" w:ascii="Times New Roman" w:hAnsi="Times New Roman" w:cs="Times New Roman"/>
                <w:kern w:val="24"/>
                <w:highlight w:val="none"/>
              </w:rPr>
            </w:pPr>
            <w:r>
              <w:rPr>
                <w:rFonts w:hint="default" w:ascii="Times New Roman" w:hAnsi="Times New Roman" w:cs="Times New Roman"/>
                <w:kern w:val="24"/>
                <w:highlight w:val="none"/>
              </w:rPr>
              <w:t>D</w:t>
            </w:r>
            <w:r>
              <w:rPr>
                <w:rFonts w:hint="default" w:ascii="Times New Roman" w:hAnsi="Times New Roman" w:cs="Times New Roman"/>
                <w:b w:val="0"/>
                <w:bCs w:val="0"/>
                <w:color w:val="000000"/>
                <w:sz w:val="24"/>
                <w:szCs w:val="24"/>
                <w:highlight w:val="none"/>
                <w:lang w:val="en-US" w:eastAsia="zh-CN"/>
              </w:rPr>
              <w:t>—</w:t>
            </w:r>
            <w:r>
              <w:rPr>
                <w:rFonts w:hint="default" w:ascii="Times New Roman" w:hAnsi="Times New Roman" w:cs="Times New Roman"/>
                <w:kern w:val="24"/>
                <w:highlight w:val="none"/>
              </w:rPr>
              <w:t>单车平均运载量（单位：吨/车）；</w:t>
            </w:r>
          </w:p>
          <w:p w14:paraId="19DEF036">
            <w:pPr>
              <w:keepNext w:val="0"/>
              <w:keepLines w:val="0"/>
              <w:pageBreakBefore w:val="0"/>
              <w:widowControl w:val="0"/>
              <w:kinsoku/>
              <w:wordWrap/>
              <w:overflowPunct/>
              <w:topLinePunct w:val="0"/>
              <w:autoSpaceDE w:val="0"/>
              <w:autoSpaceDN w:val="0"/>
              <w:bidi w:val="0"/>
              <w:adjustRightInd/>
              <w:snapToGrid/>
              <w:spacing w:line="500" w:lineRule="exact"/>
              <w:ind w:firstLine="1200" w:firstLineChars="500"/>
              <w:jc w:val="left"/>
              <w:textAlignment w:val="auto"/>
              <w:rPr>
                <w:rFonts w:hint="default" w:ascii="Times New Roman" w:hAnsi="Times New Roman" w:eastAsia="宋体" w:cs="Times New Roman"/>
                <w:kern w:val="24"/>
                <w:highlight w:val="none"/>
                <w:lang w:val="en-US" w:eastAsia="zh-CN"/>
              </w:rPr>
            </w:pPr>
            <w:r>
              <w:rPr>
                <w:rFonts w:hint="default" w:ascii="Times New Roman" w:hAnsi="Times New Roman" w:eastAsia="宋体" w:cs="Times New Roman"/>
                <w:b w:val="0"/>
                <w:bCs w:val="0"/>
                <w:color w:val="000000"/>
                <w:sz w:val="24"/>
                <w:szCs w:val="24"/>
                <w:highlight w:val="none"/>
                <w:lang w:val="en-US" w:eastAsia="zh-CN"/>
              </w:rPr>
              <w:t>(</w:t>
            </w:r>
            <m:oMath>
              <m:r>
                <m:rPr>
                  <m:sty m:val="p"/>
                </m:rPr>
                <w:rPr>
                  <w:rFonts w:hint="default" w:ascii="Cambria Math" w:hAnsi="Cambria Math" w:eastAsia="宋体" w:cs="Times New Roman"/>
                  <w:color w:val="000000"/>
                  <w:kern w:val="2"/>
                  <w:sz w:val="24"/>
                  <w:szCs w:val="24"/>
                  <w:highlight w:val="none"/>
                  <w:lang w:val="en-US" w:eastAsia="zh-CN" w:bidi="ar-SA"/>
                </w:rPr>
                <m:t>a⁄b</m:t>
              </m:r>
            </m:oMath>
            <w:r>
              <w:rPr>
                <w:rFonts w:hint="default" w:ascii="Times New Roman" w:hAnsi="Times New Roman" w:eastAsia="宋体" w:cs="Times New Roman"/>
                <w:b w:val="0"/>
                <w:bCs w:val="0"/>
                <w:color w:val="000000"/>
                <w:sz w:val="24"/>
                <w:szCs w:val="24"/>
                <w:highlight w:val="none"/>
                <w:lang w:val="en-US" w:eastAsia="zh-CN"/>
              </w:rPr>
              <w:t>)</w:t>
            </w:r>
            <w:r>
              <w:rPr>
                <w:rFonts w:hint="default" w:ascii="Times New Roman" w:hAnsi="Times New Roman" w:cs="Times New Roman"/>
                <w:b w:val="0"/>
                <w:bCs w:val="0"/>
                <w:color w:val="000000"/>
                <w:sz w:val="24"/>
                <w:szCs w:val="24"/>
                <w:highlight w:val="none"/>
                <w:lang w:val="en-US" w:eastAsia="zh-CN"/>
              </w:rPr>
              <w:t>—</w:t>
            </w:r>
            <w:r>
              <w:rPr>
                <w:rFonts w:hint="default" w:ascii="Times New Roman" w:hAnsi="Times New Roman" w:eastAsia="宋体" w:cs="Times New Roman"/>
                <w:b w:val="0"/>
                <w:bCs w:val="0"/>
                <w:color w:val="000000"/>
                <w:sz w:val="24"/>
                <w:szCs w:val="24"/>
                <w:highlight w:val="none"/>
                <w:lang w:val="en-US" w:eastAsia="zh-CN"/>
              </w:rPr>
              <w:t>装卸扬尘概化系数（单位：千克/吨），a</w:t>
            </w:r>
            <w:r>
              <w:rPr>
                <w:rFonts w:hint="default" w:ascii="Times New Roman" w:hAnsi="Times New Roman" w:cs="Times New Roman"/>
                <w:b w:val="0"/>
                <w:bCs w:val="0"/>
                <w:color w:val="000000"/>
                <w:sz w:val="24"/>
                <w:szCs w:val="24"/>
                <w:highlight w:val="none"/>
                <w:lang w:val="en-US" w:eastAsia="zh-CN"/>
              </w:rPr>
              <w:t>—</w:t>
            </w:r>
            <w:r>
              <w:rPr>
                <w:rFonts w:hint="default" w:ascii="Times New Roman" w:hAnsi="Times New Roman" w:eastAsia="宋体" w:cs="Times New Roman"/>
                <w:b w:val="0"/>
                <w:bCs w:val="0"/>
                <w:color w:val="000000"/>
                <w:sz w:val="24"/>
                <w:szCs w:val="24"/>
                <w:highlight w:val="none"/>
                <w:lang w:val="en-US" w:eastAsia="zh-CN"/>
              </w:rPr>
              <w:t>各省风速概化系</w:t>
            </w:r>
            <w:r>
              <w:rPr>
                <w:rFonts w:hint="default" w:ascii="Times New Roman" w:hAnsi="Times New Roman" w:eastAsia="宋体" w:cs="Times New Roman"/>
                <w:kern w:val="24"/>
                <w:highlight w:val="none"/>
                <w:lang w:val="en-US" w:eastAsia="zh-CN"/>
              </w:rPr>
              <w:t>数，见附录1，b</w:t>
            </w:r>
            <w:r>
              <w:rPr>
                <w:rFonts w:hint="default" w:ascii="Times New Roman" w:hAnsi="Times New Roman" w:cs="Times New Roman"/>
                <w:b w:val="0"/>
                <w:bCs w:val="0"/>
                <w:color w:val="000000"/>
                <w:sz w:val="24"/>
                <w:szCs w:val="24"/>
                <w:highlight w:val="none"/>
                <w:lang w:val="en-US" w:eastAsia="zh-CN"/>
              </w:rPr>
              <w:t>—</w:t>
            </w:r>
            <w:r>
              <w:rPr>
                <w:rFonts w:hint="default" w:ascii="Times New Roman" w:hAnsi="Times New Roman" w:eastAsia="宋体" w:cs="Times New Roman"/>
                <w:kern w:val="24"/>
                <w:highlight w:val="none"/>
                <w:lang w:val="en-US" w:eastAsia="zh-CN"/>
              </w:rPr>
              <w:t>物料含水率概化系数，见附录2；</w:t>
            </w:r>
          </w:p>
          <w:p w14:paraId="1B5DC37E">
            <w:pPr>
              <w:keepNext w:val="0"/>
              <w:keepLines w:val="0"/>
              <w:pageBreakBefore w:val="0"/>
              <w:widowControl w:val="0"/>
              <w:kinsoku/>
              <w:wordWrap/>
              <w:overflowPunct/>
              <w:topLinePunct w:val="0"/>
              <w:autoSpaceDE w:val="0"/>
              <w:autoSpaceDN w:val="0"/>
              <w:bidi w:val="0"/>
              <w:adjustRightInd/>
              <w:snapToGrid/>
              <w:spacing w:line="500" w:lineRule="exact"/>
              <w:ind w:firstLine="1200" w:firstLineChars="500"/>
              <w:jc w:val="left"/>
              <w:textAlignment w:val="auto"/>
              <w:rPr>
                <w:rFonts w:hint="default" w:ascii="Times New Roman" w:hAnsi="Times New Roman" w:eastAsia="宋体" w:cs="Times New Roman"/>
                <w:kern w:val="24"/>
                <w:highlight w:val="none"/>
              </w:rPr>
            </w:pPr>
            <w:r>
              <w:rPr>
                <w:rFonts w:hint="default" w:ascii="Times New Roman" w:hAnsi="Times New Roman" w:eastAsia="宋体" w:cs="Times New Roman"/>
                <w:kern w:val="24"/>
                <w:highlight w:val="none"/>
                <w:lang w:val="en-US" w:eastAsia="zh-CN"/>
              </w:rPr>
              <w:t>E</w:t>
            </w:r>
            <w:r>
              <w:rPr>
                <w:rFonts w:hint="default" w:ascii="Times New Roman" w:hAnsi="Times New Roman" w:eastAsia="宋体" w:cs="Times New Roman"/>
                <w:kern w:val="24"/>
                <w:highlight w:val="none"/>
                <w:vertAlign w:val="subscript"/>
                <w:lang w:val="en-US" w:eastAsia="zh-CN"/>
              </w:rPr>
              <w:t>f</w:t>
            </w:r>
            <w:r>
              <w:rPr>
                <w:rFonts w:hint="default" w:ascii="Times New Roman" w:hAnsi="Times New Roman" w:cs="Times New Roman"/>
                <w:b w:val="0"/>
                <w:bCs w:val="0"/>
                <w:color w:val="000000"/>
                <w:sz w:val="24"/>
                <w:szCs w:val="24"/>
                <w:highlight w:val="none"/>
                <w:lang w:val="en-US" w:eastAsia="zh-CN"/>
              </w:rPr>
              <w:t>—</w:t>
            </w:r>
            <w:r>
              <w:rPr>
                <w:rFonts w:hint="default" w:ascii="Times New Roman" w:hAnsi="Times New Roman" w:eastAsia="宋体" w:cs="Times New Roman"/>
                <w:kern w:val="24"/>
                <w:highlight w:val="none"/>
                <w:lang w:val="en-US" w:eastAsia="zh-CN"/>
              </w:rPr>
              <w:t>堆场风蚀扬尘概化系数，见附录3（单位：千克/平方米）本项目在封闭车间内，车间内风速远小于阈值摩擦风速，E</w:t>
            </w:r>
            <w:r>
              <w:rPr>
                <w:rFonts w:hint="default" w:ascii="Times New Roman" w:hAnsi="Times New Roman" w:eastAsia="宋体" w:cs="Times New Roman"/>
                <w:kern w:val="24"/>
                <w:highlight w:val="none"/>
                <w:vertAlign w:val="subscript"/>
                <w:lang w:val="en-US" w:eastAsia="zh-CN"/>
              </w:rPr>
              <w:t>f</w:t>
            </w:r>
            <w:r>
              <w:rPr>
                <w:rFonts w:hint="default" w:ascii="Times New Roman" w:hAnsi="Times New Roman" w:eastAsia="宋体" w:cs="Times New Roman"/>
                <w:kern w:val="24"/>
                <w:highlight w:val="none"/>
                <w:lang w:val="en-US" w:eastAsia="zh-CN"/>
              </w:rPr>
              <w:t>取值为0；</w:t>
            </w:r>
          </w:p>
          <w:p w14:paraId="20F46580">
            <w:pPr>
              <w:keepNext w:val="0"/>
              <w:keepLines w:val="0"/>
              <w:pageBreakBefore w:val="0"/>
              <w:widowControl w:val="0"/>
              <w:kinsoku/>
              <w:wordWrap/>
              <w:overflowPunct/>
              <w:topLinePunct w:val="0"/>
              <w:autoSpaceDE/>
              <w:autoSpaceDN/>
              <w:bidi w:val="0"/>
              <w:adjustRightInd/>
              <w:snapToGrid/>
              <w:spacing w:line="500" w:lineRule="exact"/>
              <w:ind w:firstLine="1200" w:firstLineChars="500"/>
              <w:jc w:val="both"/>
              <w:textAlignment w:val="auto"/>
              <w:rPr>
                <w:rFonts w:hint="default" w:ascii="Times New Roman" w:hAnsi="Times New Roman" w:eastAsia="宋体" w:cs="Times New Roman"/>
                <w:b w:val="0"/>
                <w:bCs w:val="0"/>
                <w:color w:val="000000"/>
                <w:sz w:val="24"/>
                <w:szCs w:val="24"/>
                <w:highlight w:val="none"/>
                <w:lang w:val="en-US" w:eastAsia="zh-CN"/>
              </w:rPr>
            </w:pPr>
            <w:r>
              <w:rPr>
                <w:rFonts w:hint="default" w:ascii="Times New Roman" w:hAnsi="Times New Roman" w:eastAsia="宋体" w:cs="Times New Roman"/>
                <w:b w:val="0"/>
                <w:bCs w:val="0"/>
                <w:color w:val="000000"/>
                <w:sz w:val="24"/>
                <w:szCs w:val="24"/>
                <w:highlight w:val="none"/>
                <w:lang w:val="en-US" w:eastAsia="zh-CN"/>
              </w:rPr>
              <w:t>S</w:t>
            </w:r>
            <w:r>
              <w:rPr>
                <w:rFonts w:hint="default" w:ascii="Times New Roman" w:hAnsi="Times New Roman" w:cs="Times New Roman"/>
                <w:b w:val="0"/>
                <w:bCs w:val="0"/>
                <w:color w:val="000000"/>
                <w:sz w:val="24"/>
                <w:szCs w:val="24"/>
                <w:highlight w:val="none"/>
                <w:lang w:val="en-US" w:eastAsia="zh-CN"/>
              </w:rPr>
              <w:t>—</w:t>
            </w:r>
            <w:r>
              <w:rPr>
                <w:rFonts w:hint="default" w:ascii="Times New Roman" w:hAnsi="Times New Roman" w:eastAsia="宋体" w:cs="Times New Roman"/>
                <w:b w:val="0"/>
                <w:bCs w:val="0"/>
                <w:color w:val="000000"/>
                <w:sz w:val="24"/>
                <w:szCs w:val="24"/>
                <w:highlight w:val="none"/>
                <w:lang w:val="en-US" w:eastAsia="zh-CN"/>
              </w:rPr>
              <w:t>堆场占地面积（单位：平方米）。</w:t>
            </w:r>
          </w:p>
          <w:p w14:paraId="7045EB5A">
            <w:pPr>
              <w:keepNext w:val="0"/>
              <w:keepLines w:val="0"/>
              <w:pageBreakBefore w:val="0"/>
              <w:widowControl/>
              <w:suppressLineNumbers w:val="0"/>
              <w:kinsoku/>
              <w:wordWrap/>
              <w:overflowPunct/>
              <w:topLinePunct w:val="0"/>
              <w:bidi w:val="0"/>
              <w:adjustRightInd/>
              <w:snapToGrid/>
              <w:spacing w:line="500" w:lineRule="exact"/>
              <w:jc w:val="center"/>
              <w:textAlignment w:val="auto"/>
              <w:rPr>
                <w:b/>
                <w:bCs/>
                <w:kern w:val="24"/>
                <w:highlight w:val="none"/>
              </w:rPr>
            </w:pPr>
            <w:r>
              <w:rPr>
                <w:b/>
                <w:bCs/>
                <w:kern w:val="24"/>
                <w:highlight w:val="none"/>
              </w:rPr>
              <w:t>表</w:t>
            </w:r>
            <w:r>
              <w:rPr>
                <w:rFonts w:hint="eastAsia"/>
                <w:b/>
                <w:bCs/>
                <w:kern w:val="24"/>
                <w:highlight w:val="none"/>
                <w:lang w:val="en-US" w:eastAsia="zh-CN"/>
              </w:rPr>
              <w:t>4-5</w:t>
            </w:r>
            <w:r>
              <w:rPr>
                <w:b/>
                <w:bCs/>
                <w:kern w:val="24"/>
                <w:highlight w:val="none"/>
              </w:rPr>
              <w:t xml:space="preserve"> </w:t>
            </w:r>
            <w:r>
              <w:rPr>
                <w:rFonts w:hint="eastAsia" w:ascii="宋体" w:hAnsi="宋体" w:eastAsia="宋体" w:cs="宋体"/>
                <w:b/>
                <w:bCs/>
                <w:color w:val="000000"/>
                <w:kern w:val="0"/>
                <w:sz w:val="24"/>
                <w:szCs w:val="24"/>
                <w:lang w:val="en-US" w:eastAsia="zh-CN" w:bidi="ar"/>
              </w:rPr>
              <w:t>本项目颗粒物产生量核算</w:t>
            </w:r>
          </w:p>
          <w:tbl>
            <w:tblPr>
              <w:tblStyle w:val="25"/>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441"/>
              <w:gridCol w:w="813"/>
              <w:gridCol w:w="867"/>
              <w:gridCol w:w="872"/>
              <w:gridCol w:w="959"/>
              <w:gridCol w:w="1140"/>
              <w:gridCol w:w="1261"/>
              <w:gridCol w:w="900"/>
              <w:gridCol w:w="905"/>
            </w:tblGrid>
            <w:tr w14:paraId="739DDC6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70" w:type="pct"/>
                  <w:noWrap w:val="0"/>
                  <w:vAlign w:val="center"/>
                </w:tcPr>
                <w:p w14:paraId="663EE314">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rPr>
                  </w:pPr>
                  <w:r>
                    <w:rPr>
                      <w:rFonts w:hint="eastAsia" w:ascii="Times New Roman" w:hAnsi="Times New Roman" w:eastAsia="宋体" w:cs="Times New Roman"/>
                      <w:kern w:val="24"/>
                      <w:sz w:val="21"/>
                      <w:szCs w:val="21"/>
                      <w:highlight w:val="none"/>
                      <w:lang w:val="en-US" w:eastAsia="zh-CN"/>
                    </w:rPr>
                    <w:t>物料</w:t>
                  </w:r>
                </w:p>
              </w:tc>
              <w:tc>
                <w:tcPr>
                  <w:tcW w:w="498" w:type="pct"/>
                  <w:noWrap w:val="0"/>
                  <w:vAlign w:val="center"/>
                </w:tcPr>
                <w:p w14:paraId="30049468">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rPr>
                  </w:pPr>
                  <w:r>
                    <w:rPr>
                      <w:rFonts w:hint="eastAsia" w:ascii="Times New Roman" w:hAnsi="Times New Roman" w:eastAsia="宋体" w:cs="Times New Roman"/>
                      <w:kern w:val="24"/>
                      <w:sz w:val="21"/>
                      <w:szCs w:val="21"/>
                      <w:highlight w:val="none"/>
                      <w:lang w:val="en-US" w:eastAsia="zh-CN"/>
                    </w:rPr>
                    <w:t>年物料运载车</w:t>
                  </w:r>
                  <w:r>
                    <w:rPr>
                      <w:rFonts w:hint="default" w:ascii="Times New Roman" w:hAnsi="Times New Roman" w:eastAsia="宋体" w:cs="Times New Roman"/>
                      <w:kern w:val="24"/>
                      <w:sz w:val="21"/>
                      <w:szCs w:val="21"/>
                      <w:highlight w:val="none"/>
                      <w:lang w:val="en-US" w:eastAsia="zh-CN"/>
                    </w:rPr>
                    <w:t>N</w:t>
                  </w:r>
                  <w:r>
                    <w:rPr>
                      <w:rFonts w:hint="default" w:ascii="Times New Roman" w:hAnsi="Times New Roman" w:eastAsia="宋体" w:cs="Times New Roman"/>
                      <w:kern w:val="24"/>
                      <w:sz w:val="21"/>
                      <w:szCs w:val="21"/>
                      <w:highlight w:val="none"/>
                      <w:vertAlign w:val="subscript"/>
                      <w:lang w:val="en-US" w:eastAsia="zh-CN"/>
                    </w:rPr>
                    <w:t>c</w:t>
                  </w:r>
                  <w:r>
                    <w:rPr>
                      <w:rFonts w:hint="default" w:ascii="Times New Roman" w:hAnsi="Times New Roman" w:eastAsia="宋体" w:cs="Times New Roman"/>
                      <w:kern w:val="24"/>
                      <w:sz w:val="21"/>
                      <w:szCs w:val="21"/>
                      <w:highlight w:val="none"/>
                      <w:lang w:val="en-US" w:eastAsia="zh-CN"/>
                    </w:rPr>
                    <w:t>(</w:t>
                  </w:r>
                  <w:r>
                    <w:rPr>
                      <w:rFonts w:hint="eastAsia" w:ascii="Times New Roman" w:hAnsi="Times New Roman" w:eastAsia="宋体" w:cs="Times New Roman"/>
                      <w:kern w:val="24"/>
                      <w:sz w:val="21"/>
                      <w:szCs w:val="21"/>
                      <w:highlight w:val="none"/>
                      <w:lang w:val="en-US" w:eastAsia="zh-CN"/>
                    </w:rPr>
                    <w:t>车</w:t>
                  </w:r>
                  <w:r>
                    <w:rPr>
                      <w:rFonts w:hint="default" w:ascii="Times New Roman" w:hAnsi="Times New Roman" w:eastAsia="宋体" w:cs="Times New Roman"/>
                      <w:kern w:val="24"/>
                      <w:sz w:val="21"/>
                      <w:szCs w:val="21"/>
                      <w:highlight w:val="none"/>
                      <w:lang w:val="en-US" w:eastAsia="zh-CN"/>
                    </w:rPr>
                    <w:t>)</w:t>
                  </w:r>
                </w:p>
              </w:tc>
              <w:tc>
                <w:tcPr>
                  <w:tcW w:w="531" w:type="pct"/>
                  <w:noWrap w:val="0"/>
                  <w:vAlign w:val="center"/>
                </w:tcPr>
                <w:p w14:paraId="01B8F4BC">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rPr>
                  </w:pPr>
                  <w:r>
                    <w:rPr>
                      <w:rFonts w:hint="eastAsia" w:ascii="Times New Roman" w:hAnsi="Times New Roman" w:eastAsia="宋体" w:cs="Times New Roman"/>
                      <w:kern w:val="24"/>
                      <w:sz w:val="21"/>
                      <w:szCs w:val="21"/>
                      <w:highlight w:val="none"/>
                      <w:lang w:val="en-US" w:eastAsia="zh-CN"/>
                    </w:rPr>
                    <w:t>单车平均运载量</w:t>
                  </w:r>
                  <w:r>
                    <w:rPr>
                      <w:rFonts w:hint="default" w:ascii="Times New Roman" w:hAnsi="Times New Roman" w:eastAsia="宋体" w:cs="Times New Roman"/>
                      <w:kern w:val="24"/>
                      <w:sz w:val="21"/>
                      <w:szCs w:val="21"/>
                      <w:highlight w:val="none"/>
                      <w:lang w:val="en-US" w:eastAsia="zh-CN"/>
                    </w:rPr>
                    <w:t>D(t/</w:t>
                  </w:r>
                  <w:r>
                    <w:rPr>
                      <w:rFonts w:hint="eastAsia" w:ascii="Times New Roman" w:hAnsi="Times New Roman" w:eastAsia="宋体" w:cs="Times New Roman"/>
                      <w:kern w:val="24"/>
                      <w:sz w:val="21"/>
                      <w:szCs w:val="21"/>
                      <w:highlight w:val="none"/>
                      <w:lang w:val="en-US" w:eastAsia="zh-CN"/>
                    </w:rPr>
                    <w:t>车</w:t>
                  </w:r>
                  <w:r>
                    <w:rPr>
                      <w:rFonts w:hint="default" w:ascii="Times New Roman" w:hAnsi="Times New Roman" w:eastAsia="宋体" w:cs="Times New Roman"/>
                      <w:kern w:val="24"/>
                      <w:sz w:val="21"/>
                      <w:szCs w:val="21"/>
                      <w:highlight w:val="none"/>
                      <w:lang w:val="en-US" w:eastAsia="zh-CN"/>
                    </w:rPr>
                    <w:t>)</w:t>
                  </w:r>
                </w:p>
              </w:tc>
              <w:tc>
                <w:tcPr>
                  <w:tcW w:w="534" w:type="pct"/>
                  <w:noWrap w:val="0"/>
                  <w:vAlign w:val="center"/>
                </w:tcPr>
                <w:p w14:paraId="54FB15A5">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rPr>
                  </w:pPr>
                  <w:r>
                    <w:rPr>
                      <w:rFonts w:hint="eastAsia" w:ascii="Times New Roman" w:hAnsi="Times New Roman" w:eastAsia="宋体" w:cs="Times New Roman"/>
                      <w:kern w:val="24"/>
                      <w:sz w:val="21"/>
                      <w:szCs w:val="21"/>
                      <w:highlight w:val="none"/>
                      <w:lang w:val="en-US" w:eastAsia="zh-CN"/>
                    </w:rPr>
                    <w:t>河北省风速概化系数</w:t>
                  </w:r>
                  <w:r>
                    <w:rPr>
                      <w:rFonts w:hint="default" w:ascii="Times New Roman" w:hAnsi="Times New Roman" w:eastAsia="宋体" w:cs="Times New Roman"/>
                      <w:kern w:val="24"/>
                      <w:sz w:val="21"/>
                      <w:szCs w:val="21"/>
                      <w:highlight w:val="none"/>
                      <w:lang w:val="en-US" w:eastAsia="zh-CN"/>
                    </w:rPr>
                    <w:t>a</w:t>
                  </w:r>
                </w:p>
              </w:tc>
              <w:tc>
                <w:tcPr>
                  <w:tcW w:w="587" w:type="pct"/>
                  <w:noWrap w:val="0"/>
                  <w:vAlign w:val="center"/>
                </w:tcPr>
                <w:p w14:paraId="6663318D">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kern w:val="24"/>
                      <w:sz w:val="21"/>
                      <w:szCs w:val="21"/>
                      <w:highlight w:val="none"/>
                      <w:lang w:val="en-US"/>
                    </w:rPr>
                  </w:pPr>
                  <w:r>
                    <w:rPr>
                      <w:rFonts w:hint="eastAsia" w:ascii="Times New Roman" w:hAnsi="Times New Roman" w:eastAsia="宋体" w:cs="Times New Roman"/>
                      <w:kern w:val="24"/>
                      <w:sz w:val="21"/>
                      <w:szCs w:val="21"/>
                      <w:highlight w:val="none"/>
                      <w:lang w:val="en-US" w:eastAsia="zh-CN"/>
                    </w:rPr>
                    <w:t>物料含水率概化系数</w:t>
                  </w:r>
                  <w:r>
                    <w:rPr>
                      <w:rFonts w:hint="eastAsia" w:cs="Times New Roman"/>
                      <w:kern w:val="24"/>
                      <w:sz w:val="21"/>
                      <w:szCs w:val="21"/>
                      <w:highlight w:val="none"/>
                      <w:lang w:val="en-US" w:eastAsia="zh-CN"/>
                    </w:rPr>
                    <w:t>b</w:t>
                  </w:r>
                </w:p>
              </w:tc>
              <w:tc>
                <w:tcPr>
                  <w:tcW w:w="698" w:type="pct"/>
                  <w:noWrap w:val="0"/>
                  <w:vAlign w:val="center"/>
                </w:tcPr>
                <w:p w14:paraId="1B0183F2">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rPr>
                  </w:pPr>
                  <w:r>
                    <w:rPr>
                      <w:rFonts w:hint="eastAsia" w:ascii="Times New Roman" w:hAnsi="Times New Roman" w:eastAsia="宋体" w:cs="Times New Roman"/>
                      <w:kern w:val="24"/>
                      <w:sz w:val="21"/>
                      <w:szCs w:val="21"/>
                      <w:highlight w:val="none"/>
                      <w:lang w:val="en-US" w:eastAsia="zh-CN"/>
                    </w:rPr>
                    <w:t>装卸扬尘概化系数</w:t>
                  </w:r>
                  <w:r>
                    <w:rPr>
                      <w:rFonts w:hint="default" w:ascii="Times New Roman" w:hAnsi="Times New Roman" w:eastAsia="宋体" w:cs="Times New Roman"/>
                      <w:kern w:val="24"/>
                      <w:sz w:val="21"/>
                      <w:szCs w:val="21"/>
                      <w:highlight w:val="none"/>
                      <w:lang w:val="en-US" w:eastAsia="zh-CN"/>
                    </w:rPr>
                    <w:t>(a/b)(kg/t)</w:t>
                  </w:r>
                </w:p>
              </w:tc>
              <w:tc>
                <w:tcPr>
                  <w:tcW w:w="772" w:type="pct"/>
                  <w:noWrap w:val="0"/>
                  <w:vAlign w:val="center"/>
                </w:tcPr>
                <w:p w14:paraId="4AA42747">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rPr>
                  </w:pPr>
                  <w:r>
                    <w:rPr>
                      <w:rFonts w:hint="eastAsia" w:ascii="Times New Roman" w:hAnsi="Times New Roman" w:eastAsia="宋体" w:cs="Times New Roman"/>
                      <w:kern w:val="24"/>
                      <w:sz w:val="21"/>
                      <w:szCs w:val="21"/>
                      <w:highlight w:val="none"/>
                      <w:lang w:val="en-US" w:eastAsia="zh-CN"/>
                    </w:rPr>
                    <w:t>堆场风蚀扬尘概化系数</w:t>
                  </w:r>
                  <w:r>
                    <w:rPr>
                      <w:rFonts w:hint="default" w:ascii="Times New Roman" w:hAnsi="Times New Roman" w:eastAsia="宋体" w:cs="Times New Roman"/>
                      <w:kern w:val="24"/>
                      <w:sz w:val="21"/>
                      <w:szCs w:val="21"/>
                      <w:highlight w:val="none"/>
                      <w:lang w:val="en-US" w:eastAsia="zh-CN"/>
                    </w:rPr>
                    <w:t>E</w:t>
                  </w:r>
                  <w:r>
                    <w:rPr>
                      <w:rFonts w:hint="default" w:ascii="Times New Roman" w:hAnsi="Times New Roman" w:eastAsia="宋体" w:cs="Times New Roman"/>
                      <w:kern w:val="24"/>
                      <w:sz w:val="21"/>
                      <w:szCs w:val="21"/>
                      <w:highlight w:val="none"/>
                      <w:vertAlign w:val="subscript"/>
                      <w:lang w:val="en-US" w:eastAsia="zh-CN"/>
                    </w:rPr>
                    <w:t>f</w:t>
                  </w:r>
                  <w:r>
                    <w:rPr>
                      <w:rFonts w:hint="default" w:ascii="Times New Roman" w:hAnsi="Times New Roman" w:eastAsia="宋体" w:cs="Times New Roman"/>
                      <w:kern w:val="24"/>
                      <w:sz w:val="21"/>
                      <w:szCs w:val="21"/>
                      <w:highlight w:val="none"/>
                      <w:lang w:val="en-US" w:eastAsia="zh-CN"/>
                    </w:rPr>
                    <w:t>(kg/m</w:t>
                  </w:r>
                  <w:r>
                    <w:rPr>
                      <w:rFonts w:hint="default" w:ascii="Times New Roman" w:hAnsi="Times New Roman" w:eastAsia="宋体" w:cs="Times New Roman"/>
                      <w:kern w:val="24"/>
                      <w:sz w:val="21"/>
                      <w:szCs w:val="21"/>
                      <w:highlight w:val="none"/>
                      <w:vertAlign w:val="superscript"/>
                      <w:lang w:val="en-US" w:eastAsia="zh-CN"/>
                    </w:rPr>
                    <w:t>2</w:t>
                  </w:r>
                  <w:r>
                    <w:rPr>
                      <w:rFonts w:hint="default" w:ascii="Times New Roman" w:hAnsi="Times New Roman" w:eastAsia="宋体" w:cs="Times New Roman"/>
                      <w:kern w:val="24"/>
                      <w:sz w:val="21"/>
                      <w:szCs w:val="21"/>
                      <w:highlight w:val="none"/>
                      <w:lang w:val="en-US" w:eastAsia="zh-CN"/>
                    </w:rPr>
                    <w:t>)</w:t>
                  </w:r>
                </w:p>
              </w:tc>
              <w:tc>
                <w:tcPr>
                  <w:tcW w:w="551" w:type="pct"/>
                  <w:noWrap w:val="0"/>
                  <w:vAlign w:val="center"/>
                </w:tcPr>
                <w:p w14:paraId="55DAE2FE">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rPr>
                  </w:pPr>
                  <w:r>
                    <w:rPr>
                      <w:rFonts w:hint="eastAsia" w:ascii="Times New Roman" w:hAnsi="Times New Roman" w:eastAsia="宋体" w:cs="Times New Roman"/>
                      <w:kern w:val="24"/>
                      <w:sz w:val="21"/>
                      <w:szCs w:val="21"/>
                      <w:highlight w:val="none"/>
                      <w:lang w:val="en-US" w:eastAsia="zh-CN"/>
                    </w:rPr>
                    <w:t>堆场占地面积</w:t>
                  </w:r>
                  <w:r>
                    <w:rPr>
                      <w:rFonts w:hint="default" w:ascii="Times New Roman" w:hAnsi="Times New Roman" w:eastAsia="宋体" w:cs="Times New Roman"/>
                      <w:kern w:val="24"/>
                      <w:sz w:val="21"/>
                      <w:szCs w:val="21"/>
                      <w:highlight w:val="none"/>
                      <w:lang w:val="en-US" w:eastAsia="zh-CN"/>
                    </w:rPr>
                    <w:t>(m</w:t>
                  </w:r>
                  <w:r>
                    <w:rPr>
                      <w:rFonts w:hint="default" w:ascii="Times New Roman" w:hAnsi="Times New Roman" w:eastAsia="宋体" w:cs="Times New Roman"/>
                      <w:kern w:val="24"/>
                      <w:sz w:val="21"/>
                      <w:szCs w:val="21"/>
                      <w:highlight w:val="none"/>
                      <w:vertAlign w:val="superscript"/>
                      <w:lang w:val="en-US" w:eastAsia="zh-CN"/>
                    </w:rPr>
                    <w:t>2</w:t>
                  </w:r>
                  <w:r>
                    <w:rPr>
                      <w:rFonts w:hint="default" w:ascii="Times New Roman" w:hAnsi="Times New Roman" w:eastAsia="宋体" w:cs="Times New Roman"/>
                      <w:kern w:val="24"/>
                      <w:sz w:val="21"/>
                      <w:szCs w:val="21"/>
                      <w:highlight w:val="none"/>
                      <w:lang w:val="en-US" w:eastAsia="zh-CN"/>
                    </w:rPr>
                    <w:t>)</w:t>
                  </w:r>
                </w:p>
              </w:tc>
              <w:tc>
                <w:tcPr>
                  <w:tcW w:w="554" w:type="pct"/>
                  <w:noWrap w:val="0"/>
                  <w:vAlign w:val="center"/>
                </w:tcPr>
                <w:p w14:paraId="64E30794">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rPr>
                  </w:pPr>
                  <w:r>
                    <w:rPr>
                      <w:rFonts w:hint="eastAsia" w:ascii="Times New Roman" w:hAnsi="Times New Roman" w:eastAsia="宋体" w:cs="Times New Roman"/>
                      <w:kern w:val="24"/>
                      <w:sz w:val="21"/>
                      <w:szCs w:val="21"/>
                      <w:highlight w:val="none"/>
                      <w:lang w:val="en-US" w:eastAsia="zh-CN"/>
                    </w:rPr>
                    <w:t>颗粒物产生量</w:t>
                  </w:r>
                  <w:r>
                    <w:rPr>
                      <w:rFonts w:hint="default" w:ascii="Times New Roman" w:hAnsi="Times New Roman" w:eastAsia="宋体" w:cs="Times New Roman"/>
                      <w:kern w:val="24"/>
                      <w:sz w:val="21"/>
                      <w:szCs w:val="21"/>
                      <w:highlight w:val="none"/>
                      <w:lang w:val="en-US" w:eastAsia="zh-CN"/>
                    </w:rPr>
                    <w:t>P(t)</w:t>
                  </w:r>
                </w:p>
              </w:tc>
            </w:tr>
            <w:tr w14:paraId="44ACA26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70" w:type="pct"/>
                  <w:noWrap w:val="0"/>
                  <w:vAlign w:val="center"/>
                </w:tcPr>
                <w:p w14:paraId="7C6C1327">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lang w:eastAsia="zh-CN"/>
                    </w:rPr>
                  </w:pPr>
                  <w:r>
                    <w:rPr>
                      <w:rFonts w:hint="eastAsia" w:ascii="Times New Roman" w:hAnsi="Times New Roman" w:eastAsia="宋体" w:cs="Times New Roman"/>
                      <w:kern w:val="24"/>
                      <w:sz w:val="21"/>
                      <w:szCs w:val="21"/>
                      <w:highlight w:val="none"/>
                      <w:lang w:eastAsia="zh-CN"/>
                    </w:rPr>
                    <w:t>煤炭</w:t>
                  </w:r>
                </w:p>
              </w:tc>
              <w:tc>
                <w:tcPr>
                  <w:tcW w:w="498" w:type="pct"/>
                  <w:noWrap w:val="0"/>
                  <w:vAlign w:val="center"/>
                </w:tcPr>
                <w:p w14:paraId="6DAB38FC">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lang w:eastAsia="zh-CN"/>
                    </w:rPr>
                  </w:pPr>
                  <w:r>
                    <w:rPr>
                      <w:rFonts w:hint="eastAsia" w:ascii="Times New Roman" w:hAnsi="Times New Roman" w:eastAsia="宋体" w:cs="Times New Roman"/>
                      <w:kern w:val="24"/>
                      <w:sz w:val="21"/>
                      <w:szCs w:val="21"/>
                      <w:highlight w:val="none"/>
                      <w:lang w:val="en-US" w:eastAsia="zh-CN"/>
                    </w:rPr>
                    <w:t>44446</w:t>
                  </w:r>
                </w:p>
              </w:tc>
              <w:tc>
                <w:tcPr>
                  <w:tcW w:w="531" w:type="pct"/>
                  <w:noWrap w:val="0"/>
                  <w:vAlign w:val="center"/>
                </w:tcPr>
                <w:p w14:paraId="4470D22B">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45</w:t>
                  </w:r>
                </w:p>
              </w:tc>
              <w:tc>
                <w:tcPr>
                  <w:tcW w:w="534" w:type="pct"/>
                  <w:noWrap w:val="0"/>
                  <w:vAlign w:val="center"/>
                </w:tcPr>
                <w:p w14:paraId="49034622">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rPr>
                  </w:pPr>
                  <w:r>
                    <w:rPr>
                      <w:rFonts w:hint="eastAsia" w:ascii="Times New Roman" w:hAnsi="Times New Roman" w:eastAsia="宋体" w:cs="Times New Roman"/>
                      <w:kern w:val="24"/>
                      <w:sz w:val="21"/>
                      <w:szCs w:val="21"/>
                      <w:highlight w:val="none"/>
                    </w:rPr>
                    <w:t>0.0010</w:t>
                  </w:r>
                </w:p>
              </w:tc>
              <w:tc>
                <w:tcPr>
                  <w:tcW w:w="587" w:type="pct"/>
                  <w:noWrap w:val="0"/>
                  <w:vAlign w:val="center"/>
                </w:tcPr>
                <w:p w14:paraId="720FA7BB">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rPr>
                  </w:pPr>
                  <w:r>
                    <w:rPr>
                      <w:rFonts w:hint="eastAsia" w:ascii="Times New Roman" w:hAnsi="Times New Roman" w:eastAsia="宋体" w:cs="Times New Roman"/>
                      <w:kern w:val="24"/>
                      <w:sz w:val="21"/>
                      <w:szCs w:val="21"/>
                      <w:highlight w:val="none"/>
                    </w:rPr>
                    <w:t>0.0054</w:t>
                  </w:r>
                </w:p>
              </w:tc>
              <w:tc>
                <w:tcPr>
                  <w:tcW w:w="698" w:type="pct"/>
                  <w:noWrap w:val="0"/>
                  <w:vAlign w:val="center"/>
                </w:tcPr>
                <w:p w14:paraId="7D598C05">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0.185</w:t>
                  </w:r>
                </w:p>
              </w:tc>
              <w:tc>
                <w:tcPr>
                  <w:tcW w:w="772" w:type="pct"/>
                  <w:noWrap w:val="0"/>
                  <w:vAlign w:val="center"/>
                </w:tcPr>
                <w:p w14:paraId="2A864E3B">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0</w:t>
                  </w:r>
                </w:p>
              </w:tc>
              <w:tc>
                <w:tcPr>
                  <w:tcW w:w="551" w:type="pct"/>
                  <w:noWrap w:val="0"/>
                  <w:vAlign w:val="center"/>
                </w:tcPr>
                <w:p w14:paraId="5C29CDD3">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rPr>
                  </w:pPr>
                  <w:r>
                    <w:rPr>
                      <w:rFonts w:hint="eastAsia" w:ascii="Times New Roman" w:hAnsi="Times New Roman" w:eastAsia="宋体" w:cs="Times New Roman"/>
                      <w:kern w:val="24"/>
                      <w:sz w:val="21"/>
                      <w:szCs w:val="21"/>
                      <w:highlight w:val="none"/>
                      <w:lang w:val="en-US" w:eastAsia="zh-CN"/>
                    </w:rPr>
                    <w:t>21896</w:t>
                  </w:r>
                </w:p>
              </w:tc>
              <w:tc>
                <w:tcPr>
                  <w:tcW w:w="554" w:type="pct"/>
                  <w:noWrap w:val="0"/>
                  <w:vAlign w:val="center"/>
                </w:tcPr>
                <w:p w14:paraId="60B34B49">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kern w:val="24"/>
                      <w:sz w:val="21"/>
                      <w:szCs w:val="21"/>
                      <w:highlight w:val="none"/>
                      <w:lang w:val="en-US" w:eastAsia="zh-CN"/>
                    </w:rPr>
                  </w:pPr>
                  <w:r>
                    <w:rPr>
                      <w:rFonts w:hint="eastAsia" w:cs="Times New Roman"/>
                      <w:kern w:val="24"/>
                      <w:sz w:val="21"/>
                      <w:szCs w:val="21"/>
                      <w:highlight w:val="none"/>
                      <w:lang w:val="en-US" w:eastAsia="zh-CN"/>
                    </w:rPr>
                    <w:t>370.013</w:t>
                  </w:r>
                </w:p>
              </w:tc>
            </w:tr>
          </w:tbl>
          <w:p w14:paraId="7FBBE172">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b w:val="0"/>
                <w:bCs w:val="0"/>
                <w:color w:val="000000"/>
                <w:sz w:val="24"/>
                <w:szCs w:val="24"/>
                <w:highlight w:val="none"/>
                <w:lang w:val="en-US" w:eastAsia="zh-CN"/>
              </w:rPr>
            </w:pPr>
            <w:r>
              <w:rPr>
                <w:rFonts w:hint="eastAsia" w:cs="Times New Roman"/>
                <w:b w:val="0"/>
                <w:bCs w:val="0"/>
                <w:color w:val="000000"/>
                <w:sz w:val="24"/>
                <w:szCs w:val="24"/>
                <w:highlight w:val="none"/>
                <w:lang w:val="en-US" w:eastAsia="zh-CN"/>
              </w:rPr>
              <w:t>b.</w:t>
            </w:r>
            <w:r>
              <w:rPr>
                <w:rFonts w:hint="eastAsia" w:ascii="Times New Roman" w:hAnsi="Times New Roman" w:eastAsia="宋体" w:cs="Times New Roman"/>
                <w:b w:val="0"/>
                <w:bCs w:val="0"/>
                <w:color w:val="000000"/>
                <w:sz w:val="24"/>
                <w:szCs w:val="24"/>
                <w:highlight w:val="none"/>
                <w:lang w:val="en-US" w:eastAsia="zh-CN"/>
              </w:rPr>
              <w:t>颗粒物排放量核算</w:t>
            </w:r>
          </w:p>
          <w:p w14:paraId="750AC01A">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b w:val="0"/>
                <w:bCs w:val="0"/>
                <w:color w:val="000000"/>
                <w:sz w:val="24"/>
                <w:szCs w:val="24"/>
                <w:highlight w:val="none"/>
                <w:lang w:val="en-US" w:eastAsia="zh-CN"/>
              </w:rPr>
            </w:pPr>
            <w:r>
              <w:rPr>
                <w:rFonts w:hint="eastAsia" w:ascii="Times New Roman" w:hAnsi="Times New Roman" w:eastAsia="宋体" w:cs="Times New Roman"/>
                <w:b w:val="0"/>
                <w:bCs w:val="0"/>
                <w:color w:val="000000"/>
                <w:sz w:val="24"/>
                <w:szCs w:val="24"/>
                <w:highlight w:val="none"/>
                <w:lang w:val="en-US" w:eastAsia="zh-CN"/>
              </w:rPr>
              <w:t>工业企业固体物料堆场颗粒物排放量核算公式如下：</w:t>
            </w:r>
          </w:p>
          <w:p w14:paraId="6172ACC1">
            <w:pPr>
              <w:keepNext w:val="0"/>
              <w:keepLines w:val="0"/>
              <w:pageBreakBefore w:val="0"/>
              <w:widowControl w:val="0"/>
              <w:kinsoku/>
              <w:wordWrap/>
              <w:overflowPunct/>
              <w:topLinePunct w:val="0"/>
              <w:autoSpaceDE w:val="0"/>
              <w:autoSpaceDN w:val="0"/>
              <w:bidi w:val="0"/>
              <w:adjustRightInd/>
              <w:snapToGrid/>
              <w:spacing w:line="500" w:lineRule="exact"/>
              <w:ind w:firstLine="480" w:firstLineChars="200"/>
              <w:jc w:val="left"/>
              <w:textAlignment w:val="auto"/>
              <w:rPr>
                <w:kern w:val="24"/>
                <w:sz w:val="24"/>
                <w:szCs w:val="24"/>
                <w:highlight w:val="none"/>
              </w:rPr>
            </w:pPr>
            <m:oMathPara>
              <m:oMath>
                <m:r>
                  <m:rPr>
                    <m:sty m:val="p"/>
                  </m:rPr>
                  <w:rPr>
                    <w:rFonts w:hint="eastAsia" w:ascii="Cambria Math" w:hAnsi="Cambria Math" w:cs="Times New Roman"/>
                    <w:kern w:val="24"/>
                    <w:sz w:val="24"/>
                    <w:szCs w:val="24"/>
                    <w:highlight w:val="none"/>
                    <w:lang w:val="en-US" w:bidi="ar-SA"/>
                  </w:rPr>
                  <m:t>Uc=P×(1−</m:t>
                </m:r>
                <m:r>
                  <m:rPr>
                    <m:sty m:val="p"/>
                  </m:rPr>
                  <w:rPr>
                    <w:rFonts w:hint="default" w:ascii="Times New Roman" w:hAnsi="Times New Roman" w:eastAsia="宋体" w:cs="Times New Roman"/>
                    <w:kern w:val="24"/>
                    <w:sz w:val="24"/>
                    <w:szCs w:val="24"/>
                    <w:highlight w:val="none"/>
                    <w:lang w:val="en-US" w:eastAsia="zh-CN"/>
                  </w:rPr>
                  <m:t>C</m:t>
                </m:r>
                <m:r>
                  <m:rPr>
                    <m:sty m:val="p"/>
                  </m:rPr>
                  <w:rPr>
                    <w:rFonts w:hint="default" w:ascii="Times New Roman" w:hAnsi="Times New Roman" w:eastAsia="宋体" w:cs="Times New Roman"/>
                    <w:kern w:val="24"/>
                    <w:sz w:val="24"/>
                    <w:szCs w:val="24"/>
                    <w:highlight w:val="none"/>
                    <w:vertAlign w:val="subscript"/>
                    <w:lang w:val="en-US" w:eastAsia="zh-CN"/>
                  </w:rPr>
                  <m:t>m</m:t>
                </m:r>
                <m:r>
                  <m:rPr>
                    <m:sty m:val="p"/>
                  </m:rPr>
                  <w:rPr>
                    <w:rFonts w:hint="eastAsia" w:ascii="Cambria Math" w:hAnsi="Cambria Math" w:cs="Times New Roman"/>
                    <w:kern w:val="24"/>
                    <w:sz w:val="24"/>
                    <w:szCs w:val="24"/>
                    <w:highlight w:val="none"/>
                    <w:lang w:val="en-US" w:bidi="ar-SA"/>
                  </w:rPr>
                  <m:t>)×(1−</m:t>
                </m:r>
                <m:r>
                  <m:rPr>
                    <m:sty m:val="p"/>
                  </m:rPr>
                  <w:rPr>
                    <w:rFonts w:hint="default" w:ascii="Times New Roman" w:hAnsi="Times New Roman" w:eastAsia="宋体" w:cs="Times New Roman"/>
                    <w:kern w:val="24"/>
                    <w:sz w:val="24"/>
                    <w:szCs w:val="24"/>
                    <w:highlight w:val="none"/>
                    <w:lang w:val="en-US" w:eastAsia="zh-CN"/>
                  </w:rPr>
                  <m:t>T</m:t>
                </m:r>
                <m:r>
                  <m:rPr>
                    <m:sty m:val="p"/>
                  </m:rPr>
                  <w:rPr>
                    <w:rFonts w:hint="default" w:ascii="Times New Roman" w:hAnsi="Times New Roman" w:eastAsia="宋体" w:cs="Times New Roman"/>
                    <w:kern w:val="24"/>
                    <w:sz w:val="24"/>
                    <w:szCs w:val="24"/>
                    <w:highlight w:val="none"/>
                    <w:vertAlign w:val="subscript"/>
                    <w:lang w:val="en-US" w:eastAsia="zh-CN"/>
                  </w:rPr>
                  <m:t>m</m:t>
                </m:r>
                <m:r>
                  <m:rPr>
                    <m:sty m:val="p"/>
                  </m:rPr>
                  <w:rPr>
                    <w:rFonts w:hint="eastAsia" w:ascii="Cambria Math" w:hAnsi="Cambria Math" w:cs="Times New Roman"/>
                    <w:kern w:val="24"/>
                    <w:sz w:val="24"/>
                    <w:szCs w:val="24"/>
                    <w:highlight w:val="none"/>
                    <w:lang w:val="en-US" w:bidi="ar-SA"/>
                  </w:rPr>
                  <m:t>)</m:t>
                </m:r>
              </m:oMath>
            </m:oMathPara>
          </w:p>
          <w:p w14:paraId="3432C454">
            <w:pPr>
              <w:keepNext w:val="0"/>
              <w:keepLines w:val="0"/>
              <w:pageBreakBefore w:val="0"/>
              <w:widowControl w:val="0"/>
              <w:kinsoku/>
              <w:wordWrap/>
              <w:overflowPunct/>
              <w:topLinePunct w:val="0"/>
              <w:autoSpaceDE w:val="0"/>
              <w:autoSpaceDN w:val="0"/>
              <w:bidi w:val="0"/>
              <w:adjustRightInd/>
              <w:snapToGrid/>
              <w:spacing w:line="500" w:lineRule="exact"/>
              <w:ind w:firstLine="480" w:firstLineChars="200"/>
              <w:jc w:val="left"/>
              <w:textAlignment w:val="auto"/>
              <w:rPr>
                <w:rFonts w:hint="eastAsia" w:ascii="Times New Roman" w:hAnsi="Times New Roman" w:eastAsia="宋体" w:cs="Times New Roman"/>
                <w:kern w:val="24"/>
                <w:highlight w:val="none"/>
                <w:lang w:val="en-US" w:eastAsia="zh-CN"/>
              </w:rPr>
            </w:pPr>
            <w:r>
              <w:rPr>
                <w:rFonts w:hint="eastAsia" w:ascii="Times New Roman" w:hAnsi="Times New Roman" w:eastAsia="宋体" w:cs="Times New Roman"/>
                <w:kern w:val="24"/>
                <w:highlight w:val="none"/>
                <w:lang w:val="en-US" w:eastAsia="zh-CN"/>
              </w:rPr>
              <w:t>式中：P</w:t>
            </w:r>
            <w:r>
              <w:rPr>
                <w:rFonts w:hint="default" w:ascii="Times New Roman" w:hAnsi="Times New Roman" w:cs="Times New Roman"/>
                <w:b w:val="0"/>
                <w:bCs w:val="0"/>
                <w:color w:val="000000"/>
                <w:sz w:val="24"/>
                <w:szCs w:val="24"/>
                <w:highlight w:val="none"/>
                <w:lang w:val="en-US" w:eastAsia="zh-CN"/>
              </w:rPr>
              <w:t>—</w:t>
            </w:r>
            <w:r>
              <w:rPr>
                <w:rFonts w:hint="eastAsia" w:ascii="Times New Roman" w:hAnsi="Times New Roman" w:eastAsia="宋体" w:cs="Times New Roman"/>
                <w:kern w:val="24"/>
                <w:highlight w:val="none"/>
                <w:lang w:val="en-US" w:eastAsia="zh-CN"/>
              </w:rPr>
              <w:t>颗粒物产生量（单位：吨）；</w:t>
            </w:r>
          </w:p>
          <w:p w14:paraId="4762B69D">
            <w:pPr>
              <w:keepNext w:val="0"/>
              <w:keepLines w:val="0"/>
              <w:pageBreakBefore w:val="0"/>
              <w:widowControl w:val="0"/>
              <w:kinsoku/>
              <w:wordWrap/>
              <w:overflowPunct/>
              <w:topLinePunct w:val="0"/>
              <w:autoSpaceDE w:val="0"/>
              <w:autoSpaceDN w:val="0"/>
              <w:bidi w:val="0"/>
              <w:adjustRightInd/>
              <w:snapToGrid/>
              <w:spacing w:line="500" w:lineRule="exact"/>
              <w:ind w:firstLine="1200" w:firstLineChars="500"/>
              <w:jc w:val="left"/>
              <w:textAlignment w:val="auto"/>
              <w:rPr>
                <w:rFonts w:hint="eastAsia" w:ascii="Times New Roman" w:hAnsi="Times New Roman" w:eastAsia="宋体" w:cs="Times New Roman"/>
                <w:kern w:val="24"/>
                <w:highlight w:val="none"/>
                <w:lang w:val="en-US" w:eastAsia="zh-CN"/>
              </w:rPr>
            </w:pPr>
            <w:r>
              <w:rPr>
                <w:rFonts w:hint="eastAsia" w:ascii="Times New Roman" w:hAnsi="Times New Roman" w:eastAsia="宋体" w:cs="Times New Roman"/>
                <w:kern w:val="24"/>
                <w:highlight w:val="none"/>
                <w:lang w:val="en-US" w:eastAsia="zh-CN"/>
              </w:rPr>
              <w:t>Uc</w:t>
            </w:r>
            <w:r>
              <w:rPr>
                <w:rFonts w:hint="default" w:ascii="Times New Roman" w:hAnsi="Times New Roman" w:cs="Times New Roman"/>
                <w:b w:val="0"/>
                <w:bCs w:val="0"/>
                <w:color w:val="000000"/>
                <w:sz w:val="24"/>
                <w:szCs w:val="24"/>
                <w:highlight w:val="none"/>
                <w:lang w:val="en-US" w:eastAsia="zh-CN"/>
              </w:rPr>
              <w:t>—</w:t>
            </w:r>
            <w:r>
              <w:rPr>
                <w:rFonts w:hint="eastAsia" w:ascii="Times New Roman" w:hAnsi="Times New Roman" w:eastAsia="宋体" w:cs="Times New Roman"/>
                <w:kern w:val="24"/>
                <w:highlight w:val="none"/>
                <w:lang w:val="en-US" w:eastAsia="zh-CN"/>
              </w:rPr>
              <w:t>颗粒物排放量（单位：吨）；</w:t>
            </w:r>
          </w:p>
          <w:p w14:paraId="734231A4">
            <w:pPr>
              <w:keepNext w:val="0"/>
              <w:keepLines w:val="0"/>
              <w:pageBreakBefore w:val="0"/>
              <w:widowControl w:val="0"/>
              <w:kinsoku/>
              <w:wordWrap/>
              <w:overflowPunct/>
              <w:topLinePunct w:val="0"/>
              <w:autoSpaceDE w:val="0"/>
              <w:autoSpaceDN w:val="0"/>
              <w:bidi w:val="0"/>
              <w:adjustRightInd/>
              <w:snapToGrid/>
              <w:spacing w:line="500" w:lineRule="exact"/>
              <w:ind w:firstLine="1200" w:firstLineChars="500"/>
              <w:jc w:val="left"/>
              <w:textAlignment w:val="auto"/>
              <w:rPr>
                <w:rFonts w:hint="eastAsia" w:ascii="Times New Roman" w:hAnsi="Times New Roman" w:eastAsia="宋体" w:cs="Times New Roman"/>
                <w:kern w:val="24"/>
                <w:sz w:val="24"/>
                <w:szCs w:val="24"/>
                <w:highlight w:val="none"/>
                <w:lang w:val="en-US" w:eastAsia="zh-CN"/>
              </w:rPr>
            </w:pPr>
            <w:r>
              <w:rPr>
                <w:rFonts w:hint="default" w:ascii="Times New Roman" w:hAnsi="Times New Roman" w:eastAsia="宋体" w:cs="Times New Roman"/>
                <w:kern w:val="24"/>
                <w:sz w:val="24"/>
                <w:szCs w:val="24"/>
                <w:highlight w:val="none"/>
                <w:lang w:val="en-US" w:eastAsia="zh-CN"/>
              </w:rPr>
              <w:t>C</w:t>
            </w:r>
            <w:r>
              <w:rPr>
                <w:rFonts w:hint="default" w:ascii="Times New Roman" w:hAnsi="Times New Roman" w:eastAsia="宋体" w:cs="Times New Roman"/>
                <w:kern w:val="24"/>
                <w:sz w:val="24"/>
                <w:szCs w:val="24"/>
                <w:highlight w:val="none"/>
                <w:vertAlign w:val="subscript"/>
                <w:lang w:val="en-US" w:eastAsia="zh-CN"/>
              </w:rPr>
              <w:t>m</w:t>
            </w:r>
            <w:r>
              <w:rPr>
                <w:rFonts w:hint="default" w:ascii="Times New Roman" w:hAnsi="Times New Roman" w:cs="Times New Roman"/>
                <w:b w:val="0"/>
                <w:bCs w:val="0"/>
                <w:color w:val="000000"/>
                <w:sz w:val="24"/>
                <w:szCs w:val="24"/>
                <w:highlight w:val="none"/>
                <w:lang w:val="en-US" w:eastAsia="zh-CN"/>
              </w:rPr>
              <w:t>—</w:t>
            </w:r>
            <w:r>
              <w:rPr>
                <w:rFonts w:hint="eastAsia" w:ascii="Times New Roman" w:hAnsi="Times New Roman" w:eastAsia="宋体" w:cs="Times New Roman"/>
                <w:kern w:val="24"/>
                <w:sz w:val="24"/>
                <w:szCs w:val="24"/>
                <w:highlight w:val="none"/>
                <w:lang w:val="en-US" w:eastAsia="zh-CN"/>
              </w:rPr>
              <w:t>颗粒物控制措施控制效率（单位：%），见附录4；</w:t>
            </w:r>
          </w:p>
          <w:p w14:paraId="7857C049">
            <w:pPr>
              <w:keepNext w:val="0"/>
              <w:keepLines w:val="0"/>
              <w:pageBreakBefore w:val="0"/>
              <w:widowControl w:val="0"/>
              <w:kinsoku/>
              <w:wordWrap/>
              <w:overflowPunct/>
              <w:topLinePunct w:val="0"/>
              <w:autoSpaceDE w:val="0"/>
              <w:autoSpaceDN w:val="0"/>
              <w:bidi w:val="0"/>
              <w:adjustRightInd/>
              <w:snapToGrid/>
              <w:spacing w:line="500" w:lineRule="exact"/>
              <w:ind w:firstLine="1200" w:firstLineChars="500"/>
              <w:jc w:val="left"/>
              <w:textAlignment w:val="auto"/>
              <w:rPr>
                <w:rFonts w:hint="eastAsia" w:ascii="Times New Roman" w:hAnsi="Times New Roman" w:eastAsia="宋体" w:cs="Times New Roman"/>
                <w:kern w:val="24"/>
                <w:highlight w:val="none"/>
                <w:lang w:val="en-US" w:eastAsia="zh-CN"/>
              </w:rPr>
            </w:pPr>
            <w:r>
              <w:rPr>
                <w:rFonts w:hint="default" w:ascii="Times New Roman" w:hAnsi="Times New Roman" w:eastAsia="宋体" w:cs="Times New Roman"/>
                <w:kern w:val="24"/>
                <w:sz w:val="24"/>
                <w:szCs w:val="24"/>
                <w:highlight w:val="none"/>
                <w:lang w:val="en-US" w:eastAsia="zh-CN"/>
              </w:rPr>
              <w:t>T</w:t>
            </w:r>
            <w:r>
              <w:rPr>
                <w:rFonts w:hint="default" w:ascii="Times New Roman" w:hAnsi="Times New Roman" w:eastAsia="宋体" w:cs="Times New Roman"/>
                <w:kern w:val="24"/>
                <w:sz w:val="24"/>
                <w:szCs w:val="24"/>
                <w:highlight w:val="none"/>
                <w:vertAlign w:val="subscript"/>
                <w:lang w:val="en-US" w:eastAsia="zh-CN"/>
              </w:rPr>
              <w:t>m</w:t>
            </w:r>
            <w:r>
              <w:rPr>
                <w:rFonts w:hint="default" w:ascii="Times New Roman" w:hAnsi="Times New Roman" w:cs="Times New Roman"/>
                <w:b w:val="0"/>
                <w:bCs w:val="0"/>
                <w:color w:val="000000"/>
                <w:sz w:val="24"/>
                <w:szCs w:val="24"/>
                <w:highlight w:val="none"/>
                <w:lang w:val="en-US" w:eastAsia="zh-CN"/>
              </w:rPr>
              <w:t>—</w:t>
            </w:r>
            <w:r>
              <w:rPr>
                <w:rFonts w:hint="eastAsia" w:ascii="Times New Roman" w:hAnsi="Times New Roman" w:eastAsia="宋体" w:cs="Times New Roman"/>
                <w:kern w:val="24"/>
                <w:sz w:val="24"/>
                <w:szCs w:val="24"/>
                <w:highlight w:val="none"/>
                <w:lang w:val="en-US" w:eastAsia="zh-CN"/>
              </w:rPr>
              <w:t>堆场类型控制效率（单位：</w:t>
            </w:r>
            <w:r>
              <w:rPr>
                <w:rFonts w:hint="eastAsia" w:ascii="Times New Roman" w:hAnsi="Times New Roman" w:eastAsia="宋体" w:cs="Times New Roman"/>
                <w:kern w:val="24"/>
                <w:highlight w:val="none"/>
                <w:lang w:val="en-US" w:eastAsia="zh-CN"/>
              </w:rPr>
              <w:t>%），见附录5。</w:t>
            </w:r>
          </w:p>
          <w:p w14:paraId="37EC0F81">
            <w:pPr>
              <w:keepNext w:val="0"/>
              <w:keepLines w:val="0"/>
              <w:widowControl/>
              <w:suppressLineNumbers w:val="0"/>
              <w:jc w:val="center"/>
              <w:rPr>
                <w:b/>
                <w:bCs/>
                <w:kern w:val="24"/>
                <w:highlight w:val="none"/>
              </w:rPr>
            </w:pPr>
            <w:r>
              <w:rPr>
                <w:b/>
                <w:bCs/>
                <w:kern w:val="24"/>
                <w:highlight w:val="none"/>
              </w:rPr>
              <w:t>表</w:t>
            </w:r>
            <w:r>
              <w:rPr>
                <w:rFonts w:hint="eastAsia"/>
                <w:b/>
                <w:bCs/>
                <w:kern w:val="24"/>
                <w:highlight w:val="none"/>
                <w:lang w:val="en-US" w:eastAsia="zh-CN"/>
              </w:rPr>
              <w:t>4-6</w:t>
            </w:r>
            <w:r>
              <w:rPr>
                <w:b/>
                <w:bCs/>
                <w:kern w:val="24"/>
                <w:highlight w:val="none"/>
              </w:rPr>
              <w:t xml:space="preserve"> </w:t>
            </w:r>
            <w:r>
              <w:rPr>
                <w:rFonts w:hint="eastAsia" w:ascii="宋体" w:hAnsi="宋体" w:eastAsia="宋体" w:cs="宋体"/>
                <w:b/>
                <w:bCs/>
                <w:color w:val="000000"/>
                <w:kern w:val="0"/>
                <w:sz w:val="24"/>
                <w:szCs w:val="24"/>
                <w:lang w:val="en-US" w:eastAsia="zh-CN" w:bidi="ar"/>
              </w:rPr>
              <w:t>本项目颗粒物产生量核算</w:t>
            </w:r>
          </w:p>
          <w:tbl>
            <w:tblPr>
              <w:tblStyle w:val="25"/>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05"/>
              <w:gridCol w:w="1198"/>
              <w:gridCol w:w="3109"/>
              <w:gridCol w:w="1546"/>
              <w:gridCol w:w="1400"/>
            </w:tblGrid>
            <w:tr w14:paraId="6B3744E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55" w:type="pct"/>
                  <w:noWrap w:val="0"/>
                  <w:vAlign w:val="center"/>
                </w:tcPr>
                <w:p w14:paraId="3EAB0EA3">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物料</w:t>
                  </w:r>
                </w:p>
              </w:tc>
              <w:tc>
                <w:tcPr>
                  <w:tcW w:w="734" w:type="pct"/>
                  <w:noWrap w:val="0"/>
                  <w:vAlign w:val="center"/>
                </w:tcPr>
                <w:p w14:paraId="0BE4F755">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颗粒物产生量</w:t>
                  </w:r>
                  <w:r>
                    <w:rPr>
                      <w:rFonts w:hint="default" w:ascii="Times New Roman" w:hAnsi="Times New Roman" w:eastAsia="宋体" w:cs="Times New Roman"/>
                      <w:kern w:val="24"/>
                      <w:sz w:val="21"/>
                      <w:szCs w:val="21"/>
                      <w:highlight w:val="none"/>
                      <w:lang w:val="en-US" w:eastAsia="zh-CN"/>
                    </w:rPr>
                    <w:t>P(t)</w:t>
                  </w:r>
                </w:p>
              </w:tc>
              <w:tc>
                <w:tcPr>
                  <w:tcW w:w="1905" w:type="pct"/>
                  <w:noWrap w:val="0"/>
                  <w:vAlign w:val="center"/>
                </w:tcPr>
                <w:p w14:paraId="2BAC33F3">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颗粒物控制措施控制效率</w:t>
                  </w:r>
                  <w:r>
                    <w:rPr>
                      <w:rFonts w:hint="default" w:ascii="Times New Roman" w:hAnsi="Times New Roman" w:eastAsia="宋体" w:cs="Times New Roman"/>
                      <w:kern w:val="24"/>
                      <w:sz w:val="21"/>
                      <w:szCs w:val="21"/>
                      <w:highlight w:val="none"/>
                      <w:lang w:val="en-US" w:eastAsia="zh-CN"/>
                    </w:rPr>
                    <w:t>C</w:t>
                  </w:r>
                  <w:r>
                    <w:rPr>
                      <w:rFonts w:hint="default" w:ascii="Times New Roman" w:hAnsi="Times New Roman" w:eastAsia="宋体" w:cs="Times New Roman"/>
                      <w:kern w:val="24"/>
                      <w:sz w:val="21"/>
                      <w:szCs w:val="21"/>
                      <w:highlight w:val="none"/>
                      <w:vertAlign w:val="subscript"/>
                      <w:lang w:val="en-US" w:eastAsia="zh-CN"/>
                    </w:rPr>
                    <w:t>m</w:t>
                  </w:r>
                  <w:r>
                    <w:rPr>
                      <w:rFonts w:hint="default" w:ascii="Times New Roman" w:hAnsi="Times New Roman" w:eastAsia="宋体" w:cs="Times New Roman"/>
                      <w:kern w:val="24"/>
                      <w:sz w:val="21"/>
                      <w:szCs w:val="21"/>
                      <w:highlight w:val="none"/>
                      <w:lang w:val="en-US" w:eastAsia="zh-CN"/>
                    </w:rPr>
                    <w:t>(%)</w:t>
                  </w:r>
                </w:p>
              </w:tc>
              <w:tc>
                <w:tcPr>
                  <w:tcW w:w="947" w:type="pct"/>
                  <w:noWrap w:val="0"/>
                  <w:vAlign w:val="center"/>
                </w:tcPr>
                <w:p w14:paraId="1FA00D9F">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堆场类型控制</w:t>
                  </w:r>
                </w:p>
                <w:p w14:paraId="59F7B7A7">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效率</w:t>
                  </w:r>
                  <w:r>
                    <w:rPr>
                      <w:rFonts w:hint="default" w:ascii="Times New Roman" w:hAnsi="Times New Roman" w:eastAsia="宋体" w:cs="Times New Roman"/>
                      <w:kern w:val="24"/>
                      <w:sz w:val="21"/>
                      <w:szCs w:val="21"/>
                      <w:highlight w:val="none"/>
                      <w:lang w:val="en-US" w:eastAsia="zh-CN"/>
                    </w:rPr>
                    <w:t>T</w:t>
                  </w:r>
                  <w:r>
                    <w:rPr>
                      <w:rFonts w:hint="default" w:ascii="Times New Roman" w:hAnsi="Times New Roman" w:eastAsia="宋体" w:cs="Times New Roman"/>
                      <w:kern w:val="24"/>
                      <w:sz w:val="21"/>
                      <w:szCs w:val="21"/>
                      <w:highlight w:val="none"/>
                      <w:vertAlign w:val="subscript"/>
                      <w:lang w:val="en-US" w:eastAsia="zh-CN"/>
                    </w:rPr>
                    <w:t>m</w:t>
                  </w:r>
                  <w:r>
                    <w:rPr>
                      <w:rFonts w:hint="default" w:ascii="Times New Roman" w:hAnsi="Times New Roman" w:eastAsia="宋体" w:cs="Times New Roman"/>
                      <w:kern w:val="24"/>
                      <w:sz w:val="21"/>
                      <w:szCs w:val="21"/>
                      <w:highlight w:val="none"/>
                      <w:lang w:val="en-US" w:eastAsia="zh-CN"/>
                    </w:rPr>
                    <w:t>(%)</w:t>
                  </w:r>
                </w:p>
              </w:tc>
              <w:tc>
                <w:tcPr>
                  <w:tcW w:w="858" w:type="pct"/>
                  <w:noWrap w:val="0"/>
                  <w:vAlign w:val="center"/>
                </w:tcPr>
                <w:p w14:paraId="5BFE5736">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颗粒物排放量</w:t>
                  </w:r>
                  <w:r>
                    <w:rPr>
                      <w:rFonts w:hint="default" w:ascii="Times New Roman" w:hAnsi="Times New Roman" w:eastAsia="宋体" w:cs="Times New Roman"/>
                      <w:kern w:val="24"/>
                      <w:sz w:val="21"/>
                      <w:szCs w:val="21"/>
                      <w:highlight w:val="none"/>
                      <w:lang w:val="en-US" w:eastAsia="zh-CN"/>
                    </w:rPr>
                    <w:t>(t</w:t>
                  </w:r>
                  <w:r>
                    <w:rPr>
                      <w:rFonts w:hint="eastAsia" w:cs="Times New Roman"/>
                      <w:kern w:val="24"/>
                      <w:sz w:val="21"/>
                      <w:szCs w:val="21"/>
                      <w:highlight w:val="none"/>
                      <w:lang w:val="en-US" w:eastAsia="zh-CN"/>
                    </w:rPr>
                    <w:t>/a</w:t>
                  </w:r>
                  <w:r>
                    <w:rPr>
                      <w:rFonts w:hint="default" w:ascii="Times New Roman" w:hAnsi="Times New Roman" w:eastAsia="宋体" w:cs="Times New Roman"/>
                      <w:kern w:val="24"/>
                      <w:sz w:val="21"/>
                      <w:szCs w:val="21"/>
                      <w:highlight w:val="none"/>
                      <w:lang w:val="en-US" w:eastAsia="zh-CN"/>
                    </w:rPr>
                    <w:t>)</w:t>
                  </w:r>
                </w:p>
              </w:tc>
            </w:tr>
            <w:tr w14:paraId="79EAE35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55" w:type="pct"/>
                  <w:noWrap w:val="0"/>
                  <w:vAlign w:val="center"/>
                </w:tcPr>
                <w:p w14:paraId="4BDCB376">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lang w:eastAsia="zh-CN"/>
                    </w:rPr>
                  </w:pPr>
                  <w:r>
                    <w:rPr>
                      <w:rFonts w:hint="eastAsia" w:ascii="Times New Roman" w:hAnsi="Times New Roman" w:eastAsia="宋体" w:cs="Times New Roman"/>
                      <w:kern w:val="24"/>
                      <w:sz w:val="21"/>
                      <w:szCs w:val="21"/>
                      <w:highlight w:val="none"/>
                      <w:lang w:eastAsia="zh-CN"/>
                    </w:rPr>
                    <w:t>煤炭</w:t>
                  </w:r>
                </w:p>
              </w:tc>
              <w:tc>
                <w:tcPr>
                  <w:tcW w:w="734" w:type="pct"/>
                  <w:noWrap w:val="0"/>
                  <w:vAlign w:val="center"/>
                </w:tcPr>
                <w:p w14:paraId="4E4C6DDF">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lang w:eastAsia="zh-CN"/>
                    </w:rPr>
                  </w:pPr>
                  <w:r>
                    <w:rPr>
                      <w:rFonts w:hint="eastAsia" w:cs="Times New Roman"/>
                      <w:kern w:val="24"/>
                      <w:sz w:val="21"/>
                      <w:szCs w:val="21"/>
                      <w:highlight w:val="none"/>
                      <w:lang w:val="en-US" w:eastAsia="zh-CN"/>
                    </w:rPr>
                    <w:t>370.013</w:t>
                  </w:r>
                </w:p>
              </w:tc>
              <w:tc>
                <w:tcPr>
                  <w:tcW w:w="1905" w:type="pct"/>
                  <w:noWrap w:val="0"/>
                  <w:vAlign w:val="center"/>
                </w:tcPr>
                <w:p w14:paraId="6926224F">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洒水</w:t>
                  </w:r>
                  <w:r>
                    <w:rPr>
                      <w:rFonts w:hint="default" w:ascii="Times New Roman" w:hAnsi="Times New Roman" w:eastAsia="宋体" w:cs="Times New Roman"/>
                      <w:kern w:val="24"/>
                      <w:sz w:val="21"/>
                      <w:szCs w:val="21"/>
                      <w:highlight w:val="none"/>
                      <w:lang w:val="en-US" w:eastAsia="zh-CN"/>
                    </w:rPr>
                    <w:t>74%</w:t>
                  </w:r>
                  <w:r>
                    <w:rPr>
                      <w:rFonts w:hint="eastAsia" w:ascii="Times New Roman" w:hAnsi="Times New Roman" w:eastAsia="宋体" w:cs="Times New Roman"/>
                      <w:kern w:val="24"/>
                      <w:sz w:val="21"/>
                      <w:szCs w:val="21"/>
                      <w:highlight w:val="none"/>
                      <w:lang w:val="en-US" w:eastAsia="zh-CN"/>
                    </w:rPr>
                    <w:t>；出入车辆冲洗</w:t>
                  </w:r>
                  <w:r>
                    <w:rPr>
                      <w:rFonts w:hint="default" w:ascii="Times New Roman" w:hAnsi="Times New Roman" w:eastAsia="宋体" w:cs="Times New Roman"/>
                      <w:kern w:val="24"/>
                      <w:sz w:val="21"/>
                      <w:szCs w:val="21"/>
                      <w:highlight w:val="none"/>
                      <w:lang w:val="en-US" w:eastAsia="zh-CN"/>
                    </w:rPr>
                    <w:t>78%</w:t>
                  </w:r>
                </w:p>
              </w:tc>
              <w:tc>
                <w:tcPr>
                  <w:tcW w:w="947" w:type="pct"/>
                  <w:noWrap w:val="0"/>
                  <w:vAlign w:val="center"/>
                </w:tcPr>
                <w:p w14:paraId="0808CDC6">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密闭式：</w:t>
                  </w:r>
                  <w:r>
                    <w:rPr>
                      <w:rFonts w:hint="default" w:ascii="Times New Roman" w:hAnsi="Times New Roman" w:eastAsia="宋体" w:cs="Times New Roman"/>
                      <w:kern w:val="24"/>
                      <w:sz w:val="21"/>
                      <w:szCs w:val="21"/>
                      <w:highlight w:val="none"/>
                      <w:lang w:val="en-US" w:eastAsia="zh-CN"/>
                    </w:rPr>
                    <w:t>99%</w:t>
                  </w:r>
                </w:p>
              </w:tc>
              <w:tc>
                <w:tcPr>
                  <w:tcW w:w="858" w:type="pct"/>
                  <w:noWrap w:val="0"/>
                  <w:vAlign w:val="center"/>
                </w:tcPr>
                <w:p w14:paraId="0F9E9194">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0.212</w:t>
                  </w:r>
                </w:p>
              </w:tc>
            </w:tr>
          </w:tbl>
          <w:p w14:paraId="5DC7F6E0">
            <w:pPr>
              <w:keepNext w:val="0"/>
              <w:keepLines w:val="0"/>
              <w:pageBreakBefore w:val="0"/>
              <w:widowControl w:val="0"/>
              <w:kinsoku/>
              <w:wordWrap/>
              <w:overflowPunct/>
              <w:topLinePunct w:val="0"/>
              <w:autoSpaceDE/>
              <w:autoSpaceDN/>
              <w:bidi w:val="0"/>
              <w:spacing w:line="500" w:lineRule="exact"/>
              <w:ind w:firstLine="480" w:firstLineChars="200"/>
              <w:textAlignment w:val="auto"/>
              <w:rPr>
                <w:rFonts w:hint="default" w:ascii="Times New Roman" w:hAnsi="Times New Roman" w:eastAsia="宋体" w:cs="Times New Roman"/>
                <w:b w:val="0"/>
                <w:bCs w:val="0"/>
                <w:highlight w:val="none"/>
                <w:vertAlign w:val="baseline"/>
                <w:lang w:val="en-US" w:eastAsia="zh-CN"/>
              </w:rPr>
            </w:pPr>
            <w:r>
              <w:rPr>
                <w:rFonts w:hint="default" w:ascii="Times New Roman" w:hAnsi="Times New Roman" w:eastAsia="宋体" w:cs="Times New Roman"/>
                <w:b w:val="0"/>
                <w:bCs w:val="0"/>
                <w:highlight w:val="none"/>
                <w:vertAlign w:val="baseline"/>
                <w:lang w:val="en-US" w:eastAsia="zh-CN"/>
              </w:rPr>
              <w:t>因此，本项目物料装卸颗粒物无组织排放量为0.212t</w:t>
            </w:r>
            <w:r>
              <w:rPr>
                <w:rFonts w:hint="default" w:ascii="Times New Roman" w:hAnsi="Times New Roman" w:cs="Times New Roman"/>
                <w:kern w:val="24"/>
                <w:sz w:val="21"/>
                <w:szCs w:val="21"/>
                <w:highlight w:val="none"/>
                <w:lang w:val="en-US" w:eastAsia="zh-CN"/>
              </w:rPr>
              <w:t>/a</w:t>
            </w:r>
            <w:r>
              <w:rPr>
                <w:rFonts w:hint="default" w:ascii="Times New Roman" w:hAnsi="Times New Roman" w:eastAsia="宋体" w:cs="Times New Roman"/>
                <w:b w:val="0"/>
                <w:bCs w:val="0"/>
                <w:highlight w:val="none"/>
                <w:vertAlign w:val="baseline"/>
                <w:lang w:val="en-US" w:eastAsia="zh-CN"/>
              </w:rPr>
              <w:t>。</w:t>
            </w:r>
          </w:p>
          <w:p w14:paraId="1A0C88FE">
            <w:pPr>
              <w:keepNext w:val="0"/>
              <w:keepLines w:val="0"/>
              <w:pageBreakBefore w:val="0"/>
              <w:widowControl w:val="0"/>
              <w:numPr>
                <w:ilvl w:val="0"/>
                <w:numId w:val="0"/>
              </w:numPr>
              <w:kinsoku/>
              <w:wordWrap/>
              <w:overflowPunct/>
              <w:topLinePunct w:val="0"/>
              <w:autoSpaceDE/>
              <w:autoSpaceDN/>
              <w:bidi w:val="0"/>
              <w:spacing w:line="500" w:lineRule="exact"/>
              <w:ind w:firstLine="480" w:firstLineChars="200"/>
              <w:textAlignment w:val="auto"/>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②上料、筛分、</w:t>
            </w:r>
            <w:r>
              <w:rPr>
                <w:rFonts w:hint="eastAsia" w:cs="Times New Roman"/>
                <w:b w:val="0"/>
                <w:bCs w:val="0"/>
                <w:highlight w:val="none"/>
                <w:lang w:val="en-US" w:eastAsia="zh-CN"/>
              </w:rPr>
              <w:t>固定</w:t>
            </w:r>
            <w:r>
              <w:rPr>
                <w:rFonts w:hint="default" w:ascii="Times New Roman" w:hAnsi="Times New Roman" w:cs="Times New Roman"/>
                <w:b w:val="0"/>
                <w:bCs w:val="0"/>
                <w:highlight w:val="none"/>
                <w:lang w:val="en-US" w:eastAsia="zh-CN"/>
              </w:rPr>
              <w:t>破碎工序废气</w:t>
            </w:r>
          </w:p>
          <w:p w14:paraId="4DC5AAFF">
            <w:pPr>
              <w:keepNext w:val="0"/>
              <w:keepLines w:val="0"/>
              <w:pageBreakBefore w:val="0"/>
              <w:widowControl w:val="0"/>
              <w:numPr>
                <w:ilvl w:val="0"/>
                <w:numId w:val="0"/>
              </w:numPr>
              <w:kinsoku/>
              <w:wordWrap/>
              <w:overflowPunct/>
              <w:topLinePunct w:val="0"/>
              <w:autoSpaceDE/>
              <w:autoSpaceDN/>
              <w:bidi w:val="0"/>
              <w:spacing w:line="500" w:lineRule="exact"/>
              <w:ind w:firstLine="480" w:firstLineChars="200"/>
              <w:textAlignment w:val="auto"/>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项目上料、筛分、</w:t>
            </w:r>
            <w:r>
              <w:rPr>
                <w:rFonts w:hint="eastAsia" w:cs="Times New Roman"/>
                <w:b w:val="0"/>
                <w:bCs w:val="0"/>
                <w:highlight w:val="none"/>
                <w:lang w:val="en-US" w:eastAsia="zh-CN"/>
              </w:rPr>
              <w:t>固定</w:t>
            </w:r>
            <w:r>
              <w:rPr>
                <w:rFonts w:hint="default" w:ascii="Times New Roman" w:hAnsi="Times New Roman" w:cs="Times New Roman"/>
                <w:b w:val="0"/>
                <w:bCs w:val="0"/>
                <w:highlight w:val="none"/>
                <w:lang w:val="en-US" w:eastAsia="zh-CN"/>
              </w:rPr>
              <w:t>破碎工序废气收集过程中会有少量粉尘废气无组织散逸，废气收集效率按95%计算，无组织颗粒物产生量为1</w:t>
            </w:r>
            <w:r>
              <w:rPr>
                <w:rFonts w:hint="eastAsia" w:cs="Times New Roman"/>
                <w:b w:val="0"/>
                <w:bCs w:val="0"/>
                <w:highlight w:val="none"/>
                <w:lang w:val="en-US" w:eastAsia="zh-CN"/>
              </w:rPr>
              <w:t>.</w:t>
            </w:r>
            <w:r>
              <w:rPr>
                <w:rFonts w:hint="default" w:ascii="Times New Roman" w:hAnsi="Times New Roman" w:cs="Times New Roman"/>
                <w:b w:val="0"/>
                <w:bCs w:val="0"/>
                <w:highlight w:val="none"/>
                <w:lang w:val="en-US" w:eastAsia="zh-CN"/>
              </w:rPr>
              <w:t>9t/a，采取车间密闭，</w:t>
            </w:r>
            <w:r>
              <w:rPr>
                <w:rFonts w:hint="eastAsia"/>
                <w:lang w:eastAsia="zh-CN"/>
              </w:rPr>
              <w:t>车间门设置自动感应门，物料采用</w:t>
            </w:r>
            <w:r>
              <w:rPr>
                <w:rFonts w:hint="default" w:ascii="Times New Roman" w:hAnsi="Times New Roman" w:cs="Times New Roman"/>
                <w:b w:val="0"/>
                <w:bCs w:val="0"/>
                <w:highlight w:val="none"/>
                <w:lang w:val="en-US" w:eastAsia="zh-CN"/>
              </w:rPr>
              <w:t>封闭带式输送机输送、加强有组织收集，车间顶部设喷淋抑尘装置进行降尘，除尘效率按95%计，则上料、筛分、破碎工序无组织颗粒物排放量为0.</w:t>
            </w:r>
            <w:r>
              <w:rPr>
                <w:rFonts w:hint="eastAsia" w:cs="Times New Roman"/>
                <w:b w:val="0"/>
                <w:bCs w:val="0"/>
                <w:highlight w:val="none"/>
                <w:lang w:val="en-US" w:eastAsia="zh-CN"/>
              </w:rPr>
              <w:t>0</w:t>
            </w:r>
            <w:r>
              <w:rPr>
                <w:rFonts w:hint="default" w:ascii="Times New Roman" w:hAnsi="Times New Roman" w:cs="Times New Roman"/>
                <w:b w:val="0"/>
                <w:bCs w:val="0"/>
                <w:highlight w:val="none"/>
                <w:lang w:val="en-US" w:eastAsia="zh-CN"/>
              </w:rPr>
              <w:t>95t/a，排放速率为0.</w:t>
            </w:r>
            <w:r>
              <w:rPr>
                <w:rFonts w:hint="eastAsia" w:cs="Times New Roman"/>
                <w:b w:val="0"/>
                <w:bCs w:val="0"/>
                <w:highlight w:val="none"/>
                <w:lang w:val="en-US" w:eastAsia="zh-CN"/>
              </w:rPr>
              <w:t>0</w:t>
            </w:r>
            <w:r>
              <w:rPr>
                <w:rFonts w:hint="default" w:ascii="Times New Roman" w:hAnsi="Times New Roman" w:cs="Times New Roman"/>
                <w:b w:val="0"/>
                <w:bCs w:val="0"/>
                <w:highlight w:val="none"/>
                <w:lang w:val="en-US" w:eastAsia="zh-CN"/>
              </w:rPr>
              <w:t>132kg/h。</w:t>
            </w:r>
          </w:p>
          <w:p w14:paraId="749FD121">
            <w:pPr>
              <w:keepNext w:val="0"/>
              <w:keepLines w:val="0"/>
              <w:pageBreakBefore w:val="0"/>
              <w:widowControl w:val="0"/>
              <w:numPr>
                <w:ilvl w:val="0"/>
                <w:numId w:val="0"/>
              </w:numPr>
              <w:kinsoku/>
              <w:wordWrap/>
              <w:overflowPunct/>
              <w:topLinePunct w:val="0"/>
              <w:autoSpaceDE/>
              <w:autoSpaceDN/>
              <w:bidi w:val="0"/>
              <w:spacing w:line="500" w:lineRule="exact"/>
              <w:ind w:firstLine="480" w:firstLineChars="200"/>
              <w:textAlignment w:val="auto"/>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③移动破碎工序废气</w:t>
            </w:r>
          </w:p>
          <w:p w14:paraId="58ACE387">
            <w:pPr>
              <w:keepNext w:val="0"/>
              <w:keepLines w:val="0"/>
              <w:pageBreakBefore w:val="0"/>
              <w:widowControl w:val="0"/>
              <w:numPr>
                <w:ilvl w:val="0"/>
                <w:numId w:val="0"/>
              </w:numPr>
              <w:kinsoku/>
              <w:wordWrap/>
              <w:overflowPunct/>
              <w:topLinePunct w:val="0"/>
              <w:autoSpaceDE/>
              <w:autoSpaceDN/>
              <w:bidi w:val="0"/>
              <w:spacing w:line="500" w:lineRule="exact"/>
              <w:ind w:firstLine="480" w:firstLineChars="200"/>
              <w:textAlignment w:val="auto"/>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项目移动破碎工序废气收集过程中会有少量粉尘废气无组织散逸，废气收集效率按95%计算，无组织颗粒物产生量为1</w:t>
            </w:r>
            <w:r>
              <w:rPr>
                <w:rFonts w:hint="eastAsia" w:cs="Times New Roman"/>
                <w:b w:val="0"/>
                <w:bCs w:val="0"/>
                <w:highlight w:val="none"/>
                <w:lang w:val="en-US" w:eastAsia="zh-CN"/>
              </w:rPr>
              <w:t>.</w:t>
            </w:r>
            <w:r>
              <w:rPr>
                <w:rFonts w:hint="default" w:ascii="Times New Roman" w:hAnsi="Times New Roman" w:cs="Times New Roman"/>
                <w:b w:val="0"/>
                <w:bCs w:val="0"/>
                <w:highlight w:val="none"/>
                <w:lang w:val="en-US" w:eastAsia="zh-CN"/>
              </w:rPr>
              <w:t>15t/a，采取车间密闭，封闭带式输送机输送、加强有组织收集，车间顶部设喷淋抑尘装置进行降尘，除尘效率按95%计，则移动破碎工序无组织颗粒物排放量为0.</w:t>
            </w:r>
            <w:r>
              <w:rPr>
                <w:rFonts w:hint="eastAsia" w:cs="Times New Roman"/>
                <w:b w:val="0"/>
                <w:bCs w:val="0"/>
                <w:highlight w:val="none"/>
                <w:lang w:val="en-US" w:eastAsia="zh-CN"/>
              </w:rPr>
              <w:t>0</w:t>
            </w:r>
            <w:r>
              <w:rPr>
                <w:rFonts w:hint="default" w:ascii="Times New Roman" w:hAnsi="Times New Roman" w:cs="Times New Roman"/>
                <w:b w:val="0"/>
                <w:bCs w:val="0"/>
                <w:highlight w:val="none"/>
                <w:lang w:val="en-US" w:eastAsia="zh-CN"/>
              </w:rPr>
              <w:t>575t/a，排放速率为0.0</w:t>
            </w:r>
            <w:r>
              <w:rPr>
                <w:rFonts w:hint="eastAsia" w:cs="Times New Roman"/>
                <w:b w:val="0"/>
                <w:bCs w:val="0"/>
                <w:highlight w:val="none"/>
                <w:lang w:val="en-US" w:eastAsia="zh-CN"/>
              </w:rPr>
              <w:t>0</w:t>
            </w:r>
            <w:r>
              <w:rPr>
                <w:rFonts w:hint="default" w:ascii="Times New Roman" w:hAnsi="Times New Roman" w:cs="Times New Roman"/>
                <w:b w:val="0"/>
                <w:bCs w:val="0"/>
                <w:highlight w:val="none"/>
                <w:lang w:val="en-US" w:eastAsia="zh-CN"/>
              </w:rPr>
              <w:t>8kg/h。</w:t>
            </w:r>
          </w:p>
          <w:p w14:paraId="73D27208">
            <w:pPr>
              <w:keepNext w:val="0"/>
              <w:keepLines w:val="0"/>
              <w:pageBreakBefore w:val="0"/>
              <w:widowControl w:val="0"/>
              <w:numPr>
                <w:ilvl w:val="0"/>
                <w:numId w:val="0"/>
              </w:numPr>
              <w:kinsoku/>
              <w:wordWrap/>
              <w:overflowPunct/>
              <w:topLinePunct w:val="0"/>
              <w:autoSpaceDE/>
              <w:autoSpaceDN/>
              <w:bidi w:val="0"/>
              <w:spacing w:line="500" w:lineRule="exact"/>
              <w:ind w:firstLine="480" w:firstLineChars="200"/>
              <w:textAlignment w:val="auto"/>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综上所述，本项目无组织废气排放量为</w:t>
            </w:r>
            <w:r>
              <w:rPr>
                <w:rFonts w:hint="eastAsia" w:cs="Times New Roman"/>
                <w:b w:val="0"/>
                <w:bCs w:val="0"/>
                <w:highlight w:val="none"/>
                <w:lang w:val="en-US" w:eastAsia="zh-CN"/>
              </w:rPr>
              <w:t>0.3645</w:t>
            </w:r>
            <w:r>
              <w:rPr>
                <w:rFonts w:hint="default" w:ascii="Times New Roman" w:hAnsi="Times New Roman" w:cs="Times New Roman"/>
                <w:b w:val="0"/>
                <w:bCs w:val="0"/>
                <w:highlight w:val="none"/>
                <w:lang w:val="en-US" w:eastAsia="zh-CN"/>
              </w:rPr>
              <w:t>t/a。</w:t>
            </w:r>
          </w:p>
          <w:p w14:paraId="1A475C84">
            <w:pPr>
              <w:keepNext w:val="0"/>
              <w:keepLines w:val="0"/>
              <w:pageBreakBefore w:val="0"/>
              <w:widowControl w:val="0"/>
              <w:numPr>
                <w:ilvl w:val="0"/>
                <w:numId w:val="0"/>
              </w:numPr>
              <w:kinsoku/>
              <w:wordWrap/>
              <w:overflowPunct/>
              <w:topLinePunct w:val="0"/>
              <w:autoSpaceDE/>
              <w:autoSpaceDN/>
              <w:bidi w:val="0"/>
              <w:spacing w:line="500" w:lineRule="exact"/>
              <w:ind w:firstLine="480" w:firstLineChars="200"/>
              <w:textAlignment w:val="auto"/>
              <w:rPr>
                <w:rFonts w:hint="eastAsia" w:ascii="Times New Roman" w:hAnsi="Times New Roman" w:eastAsia="宋体" w:cs="Times New Roman"/>
                <w:b w:val="0"/>
                <w:bCs w:val="0"/>
                <w:highlight w:val="none"/>
                <w:lang w:val="en-US" w:eastAsia="zh-CN"/>
              </w:rPr>
            </w:pPr>
            <w:r>
              <w:rPr>
                <w:rFonts w:hint="default" w:ascii="Times New Roman" w:hAnsi="Times New Roman" w:cs="Times New Roman"/>
                <w:b w:val="0"/>
                <w:bCs w:val="0"/>
                <w:highlight w:val="none"/>
                <w:lang w:val="en-US" w:eastAsia="zh-CN"/>
              </w:rPr>
              <w:t>本项目以整体生产车间作为一个整体面源，通过AERSCREEN进行预测可知厂界外排颗粒物最大浓度为44.6880μg/m³，无组织颗粒物排放浓度满足</w:t>
            </w:r>
            <w:r>
              <w:rPr>
                <w:rFonts w:hint="eastAsia" w:cs="Times New Roman"/>
                <w:b w:val="0"/>
                <w:bCs w:val="0"/>
                <w:highlight w:val="none"/>
                <w:lang w:val="en-US" w:eastAsia="zh-CN"/>
              </w:rPr>
              <w:t>《</w:t>
            </w:r>
            <w:r>
              <w:rPr>
                <w:rFonts w:hint="eastAsia" w:cs="Times New Roman"/>
                <w:color w:val="auto"/>
                <w:kern w:val="2"/>
                <w:sz w:val="24"/>
                <w:szCs w:val="24"/>
                <w:highlight w:val="none"/>
                <w:lang w:val="en-US" w:eastAsia="zh-CN" w:bidi="ar-SA"/>
              </w:rPr>
              <w:t>炼焦化学工业大气污染物超低排放标准》(DB13/2863-2018)表2企业边界大气污染物排放限值</w:t>
            </w:r>
            <w:r>
              <w:rPr>
                <w:rFonts w:hint="default" w:ascii="Times New Roman" w:hAnsi="Times New Roman" w:cs="Times New Roman"/>
                <w:b w:val="0"/>
                <w:bCs w:val="0"/>
                <w:highlight w:val="none"/>
                <w:lang w:val="en-US" w:eastAsia="zh-CN"/>
              </w:rPr>
              <w:t>，</w:t>
            </w:r>
            <w:r>
              <w:rPr>
                <w:rFonts w:hint="default" w:ascii="Times New Roman" w:hAnsi="Times New Roman" w:cs="Times New Roman"/>
                <w:sz w:val="24"/>
                <w:szCs w:val="24"/>
                <w:highlight w:val="none"/>
                <w:vertAlign w:val="baseline"/>
                <w:lang w:val="en-US" w:eastAsia="zh-CN"/>
              </w:rPr>
              <w:t>即厂界无组织</w:t>
            </w:r>
            <w:r>
              <w:rPr>
                <w:rFonts w:hint="eastAsia" w:cs="Times New Roman"/>
                <w:sz w:val="24"/>
                <w:szCs w:val="24"/>
                <w:highlight w:val="none"/>
                <w:vertAlign w:val="baseline"/>
                <w:lang w:val="en-US" w:eastAsia="zh-CN"/>
              </w:rPr>
              <w:t>1.0</w:t>
            </w:r>
            <w:r>
              <w:rPr>
                <w:rFonts w:hint="default" w:ascii="Times New Roman" w:hAnsi="Times New Roman" w:cs="Times New Roman"/>
                <w:sz w:val="24"/>
                <w:szCs w:val="24"/>
                <w:highlight w:val="none"/>
                <w:vertAlign w:val="baseline"/>
                <w:lang w:val="en-US" w:eastAsia="zh-CN"/>
              </w:rPr>
              <w:t>mg/m</w:t>
            </w:r>
            <w:r>
              <w:rPr>
                <w:rFonts w:hint="default" w:ascii="Times New Roman" w:hAnsi="Times New Roman" w:cs="Times New Roman"/>
                <w:sz w:val="24"/>
                <w:szCs w:val="24"/>
                <w:highlight w:val="none"/>
                <w:vertAlign w:val="superscript"/>
                <w:lang w:val="en-US" w:eastAsia="zh-CN"/>
              </w:rPr>
              <w:t>3</w:t>
            </w:r>
            <w:r>
              <w:rPr>
                <w:rFonts w:hint="default" w:ascii="Times New Roman" w:hAnsi="Times New Roman" w:cs="Times New Roman"/>
                <w:sz w:val="24"/>
                <w:szCs w:val="24"/>
                <w:highlight w:val="none"/>
                <w:vertAlign w:val="baseline"/>
                <w:lang w:val="en-US" w:eastAsia="zh-CN"/>
              </w:rPr>
              <w:t>。</w:t>
            </w:r>
          </w:p>
          <w:p w14:paraId="4A11E124">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sz w:val="24"/>
                <w:szCs w:val="24"/>
                <w:highlight w:val="none"/>
              </w:rPr>
            </w:pPr>
            <w:r>
              <w:rPr>
                <w:rFonts w:hint="default" w:ascii="Times New Roman" w:hAnsi="Times New Roman" w:cs="Times New Roman"/>
                <w:b w:val="0"/>
                <w:bCs w:val="0"/>
                <w:color w:val="000000"/>
                <w:sz w:val="24"/>
                <w:szCs w:val="24"/>
                <w:highlight w:val="none"/>
                <w:lang w:val="en-US" w:eastAsia="zh-CN"/>
              </w:rPr>
              <w:t>2、治理技术可行性分析</w:t>
            </w:r>
          </w:p>
          <w:p w14:paraId="4F3D19B0">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本项目生产工序废气主要污染物为颗粒物，项目上料</w:t>
            </w:r>
            <w:r>
              <w:rPr>
                <w:rFonts w:hint="default" w:ascii="Times New Roman" w:hAnsi="Times New Roman" w:cs="Times New Roman"/>
                <w:color w:val="auto"/>
                <w:sz w:val="24"/>
                <w:szCs w:val="24"/>
                <w:highlight w:val="none"/>
                <w:lang w:val="en-US" w:eastAsia="zh-CN"/>
              </w:rPr>
              <w:t>、筛分、破碎工序</w:t>
            </w:r>
            <w:r>
              <w:rPr>
                <w:rFonts w:hint="default" w:ascii="Times New Roman" w:hAnsi="Times New Roman" w:eastAsia="宋体" w:cs="Times New Roman"/>
                <w:color w:val="auto"/>
                <w:sz w:val="24"/>
                <w:szCs w:val="24"/>
                <w:highlight w:val="none"/>
                <w:lang w:val="en-US" w:eastAsia="zh-CN"/>
              </w:rPr>
              <w:t>废气经脉冲式布袋除尘器处理后由1根</w:t>
            </w:r>
            <w:r>
              <w:rPr>
                <w:rFonts w:hint="eastAsia" w:cs="Times New Roman"/>
                <w:color w:val="auto"/>
                <w:sz w:val="24"/>
                <w:szCs w:val="24"/>
                <w:highlight w:val="none"/>
                <w:lang w:val="en-US" w:eastAsia="zh-CN"/>
              </w:rPr>
              <w:t>25m</w:t>
            </w:r>
            <w:r>
              <w:rPr>
                <w:rFonts w:hint="default" w:ascii="Times New Roman" w:hAnsi="Times New Roman" w:eastAsia="宋体" w:cs="Times New Roman"/>
                <w:color w:val="auto"/>
                <w:sz w:val="24"/>
                <w:szCs w:val="24"/>
                <w:highlight w:val="none"/>
                <w:lang w:val="en-US" w:eastAsia="zh-CN"/>
              </w:rPr>
              <w:t>高排气筒</w:t>
            </w:r>
            <w:r>
              <w:rPr>
                <w:rFonts w:hint="default" w:ascii="Times New Roman" w:hAnsi="Times New Roman" w:cs="Times New Roman"/>
                <w:color w:val="auto"/>
                <w:sz w:val="24"/>
                <w:szCs w:val="24"/>
                <w:highlight w:val="none"/>
                <w:lang w:val="en-US" w:eastAsia="zh-CN"/>
              </w:rPr>
              <w:t>（DA001）</w:t>
            </w:r>
            <w:r>
              <w:rPr>
                <w:rFonts w:hint="default" w:ascii="Times New Roman" w:hAnsi="Times New Roman" w:eastAsia="宋体" w:cs="Times New Roman"/>
                <w:color w:val="auto"/>
                <w:sz w:val="24"/>
                <w:szCs w:val="24"/>
                <w:highlight w:val="none"/>
                <w:lang w:val="en-US" w:eastAsia="zh-CN"/>
              </w:rPr>
              <w:t>排放</w:t>
            </w:r>
            <w:r>
              <w:rPr>
                <w:rFonts w:hint="default" w:ascii="Times New Roman" w:hAnsi="Times New Roman" w:cs="Times New Roman"/>
                <w:color w:val="auto"/>
                <w:sz w:val="24"/>
                <w:szCs w:val="24"/>
                <w:highlight w:val="none"/>
                <w:lang w:val="en-US" w:eastAsia="zh-CN"/>
              </w:rPr>
              <w:t>；移动破碎工序</w:t>
            </w:r>
            <w:r>
              <w:rPr>
                <w:rFonts w:hint="default" w:ascii="Times New Roman" w:hAnsi="Times New Roman" w:eastAsia="宋体" w:cs="Times New Roman"/>
                <w:color w:val="auto"/>
                <w:sz w:val="24"/>
                <w:szCs w:val="24"/>
                <w:highlight w:val="none"/>
                <w:lang w:val="en-US" w:eastAsia="zh-CN"/>
              </w:rPr>
              <w:t>废气经脉冲式布袋除尘器处理后由1根</w:t>
            </w:r>
            <w:r>
              <w:rPr>
                <w:rFonts w:hint="eastAsia" w:cs="Times New Roman"/>
                <w:color w:val="auto"/>
                <w:sz w:val="24"/>
                <w:szCs w:val="24"/>
                <w:highlight w:val="none"/>
                <w:lang w:val="en-US" w:eastAsia="zh-CN"/>
              </w:rPr>
              <w:t>25m</w:t>
            </w:r>
            <w:r>
              <w:rPr>
                <w:rFonts w:hint="default" w:ascii="Times New Roman" w:hAnsi="Times New Roman" w:eastAsia="宋体" w:cs="Times New Roman"/>
                <w:color w:val="auto"/>
                <w:sz w:val="24"/>
                <w:szCs w:val="24"/>
                <w:highlight w:val="none"/>
                <w:lang w:val="en-US" w:eastAsia="zh-CN"/>
              </w:rPr>
              <w:t>高排气筒</w:t>
            </w:r>
            <w:r>
              <w:rPr>
                <w:rFonts w:hint="default" w:ascii="Times New Roman" w:hAnsi="Times New Roman" w:cs="Times New Roman"/>
                <w:color w:val="auto"/>
                <w:sz w:val="24"/>
                <w:szCs w:val="24"/>
                <w:highlight w:val="none"/>
                <w:lang w:val="en-US" w:eastAsia="zh-CN"/>
              </w:rPr>
              <w:t>（DA002）</w:t>
            </w:r>
            <w:r>
              <w:rPr>
                <w:rFonts w:hint="default" w:ascii="Times New Roman" w:hAnsi="Times New Roman" w:eastAsia="宋体" w:cs="Times New Roman"/>
                <w:color w:val="auto"/>
                <w:sz w:val="24"/>
                <w:szCs w:val="24"/>
                <w:highlight w:val="none"/>
                <w:lang w:val="en-US" w:eastAsia="zh-CN"/>
              </w:rPr>
              <w:t>排放，项目</w:t>
            </w:r>
            <w:r>
              <w:rPr>
                <w:rFonts w:hint="default" w:ascii="Times New Roman" w:hAnsi="Times New Roman" w:cs="Times New Roman"/>
                <w:color w:val="auto"/>
                <w:sz w:val="24"/>
                <w:szCs w:val="24"/>
                <w:highlight w:val="none"/>
                <w:lang w:val="en-US" w:eastAsia="zh-CN"/>
              </w:rPr>
              <w:t>物料装卸</w:t>
            </w:r>
            <w:r>
              <w:rPr>
                <w:rFonts w:hint="default" w:ascii="Times New Roman" w:hAnsi="Times New Roman" w:eastAsia="宋体" w:cs="Times New Roman"/>
                <w:color w:val="auto"/>
                <w:sz w:val="24"/>
                <w:szCs w:val="24"/>
                <w:highlight w:val="none"/>
                <w:lang w:val="en-US" w:eastAsia="zh-CN"/>
              </w:rPr>
              <w:t>过程在密闭式车间内进行，</w:t>
            </w:r>
            <w:r>
              <w:rPr>
                <w:rFonts w:hint="default" w:ascii="Times New Roman" w:hAnsi="Times New Roman" w:cs="Times New Roman"/>
                <w:color w:val="auto"/>
                <w:sz w:val="24"/>
                <w:szCs w:val="24"/>
                <w:highlight w:val="none"/>
                <w:lang w:val="en-US" w:eastAsia="zh-CN"/>
              </w:rPr>
              <w:t>厂房</w:t>
            </w:r>
            <w:r>
              <w:rPr>
                <w:rFonts w:hint="default" w:ascii="Times New Roman" w:hAnsi="Times New Roman" w:eastAsia="宋体" w:cs="Times New Roman"/>
                <w:color w:val="auto"/>
                <w:sz w:val="24"/>
                <w:szCs w:val="24"/>
                <w:highlight w:val="none"/>
                <w:lang w:val="en-US" w:eastAsia="zh-CN"/>
              </w:rPr>
              <w:t>设置喷淋</w:t>
            </w:r>
            <w:r>
              <w:rPr>
                <w:rFonts w:hint="default" w:ascii="Times New Roman" w:hAnsi="Times New Roman" w:cs="Times New Roman"/>
                <w:color w:val="auto"/>
                <w:sz w:val="24"/>
                <w:szCs w:val="24"/>
                <w:highlight w:val="none"/>
                <w:lang w:val="en-US" w:eastAsia="zh-CN"/>
              </w:rPr>
              <w:t>装置</w:t>
            </w:r>
            <w:r>
              <w:rPr>
                <w:rFonts w:hint="default" w:ascii="Times New Roman" w:hAnsi="Times New Roman" w:eastAsia="宋体" w:cs="Times New Roman"/>
                <w:color w:val="auto"/>
                <w:sz w:val="24"/>
                <w:szCs w:val="24"/>
                <w:highlight w:val="none"/>
                <w:lang w:val="en-US" w:eastAsia="zh-CN"/>
              </w:rPr>
              <w:t>，进行喷淋降尘</w:t>
            </w:r>
            <w:r>
              <w:rPr>
                <w:rFonts w:hint="default" w:ascii="Times New Roman" w:hAnsi="Times New Roman"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物料输送过程</w:t>
            </w:r>
            <w:r>
              <w:rPr>
                <w:rFonts w:hint="default" w:ascii="Times New Roman" w:hAnsi="Times New Roman" w:cs="Times New Roman"/>
                <w:color w:val="auto"/>
                <w:sz w:val="24"/>
                <w:szCs w:val="24"/>
                <w:highlight w:val="none"/>
                <w:lang w:val="en-US" w:eastAsia="zh-CN"/>
              </w:rPr>
              <w:t>采用封</w:t>
            </w:r>
            <w:r>
              <w:rPr>
                <w:rFonts w:hint="default" w:ascii="Times New Roman" w:hAnsi="Times New Roman" w:eastAsia="宋体" w:cs="Times New Roman"/>
                <w:color w:val="auto"/>
                <w:sz w:val="24"/>
                <w:szCs w:val="24"/>
                <w:highlight w:val="none"/>
                <w:lang w:val="en-US" w:eastAsia="zh-CN"/>
              </w:rPr>
              <w:t>闭式皮带输送机，减少废气排放。</w:t>
            </w:r>
          </w:p>
          <w:p w14:paraId="702471A1">
            <w:pPr>
              <w:widowControl/>
              <w:wordWrap w:val="0"/>
              <w:spacing w:line="480" w:lineRule="exact"/>
              <w:ind w:firstLine="480" w:firstLineChars="200"/>
              <w:rPr>
                <w:color w:val="auto"/>
              </w:rPr>
            </w:pPr>
            <w:r>
              <w:rPr>
                <w:rFonts w:hint="eastAsia" w:ascii="Times New Roman" w:hAnsi="Times New Roman" w:eastAsia="宋体" w:cs="Times New Roman"/>
                <w:color w:val="auto"/>
                <w:kern w:val="0"/>
                <w:sz w:val="24"/>
                <w:lang w:val="en-US" w:eastAsia="zh-CN" w:bidi="ar"/>
              </w:rPr>
              <w:t>脉冲布袋除尘器是通过滤袋滤除含尘气体中粉尘粒子的分离净化装置，是一种干式高效过滤除尘器。其本体结构主要由上部箱体、中部箱体、下部箱体（灰斗）、清灰系统和排灰机构等部分组成。脉冲布袋除尘器的工作原理是通过过滤而阻挡粉尘，当滤袋上的粉尘沉积到一定程度时，通过外力作用使滤袋抖动并变形，沉积的粉尘落入集灰斗，避免了喷吹清灰产生粉尘二次飞扬，其运行稳定，除尘效率高，其主要特点如下：</w:t>
            </w:r>
          </w:p>
          <w:p w14:paraId="75E5774A">
            <w:pPr>
              <w:widowControl/>
              <w:wordWrap w:val="0"/>
              <w:spacing w:line="480" w:lineRule="exact"/>
              <w:ind w:firstLine="482" w:firstLineChars="200"/>
              <w:jc w:val="center"/>
              <w:rPr>
                <w:rFonts w:hint="eastAsia" w:ascii="Times New Roman" w:hAnsi="Times New Roman" w:eastAsia="宋体" w:cs="Times New Roman"/>
                <w:b/>
                <w:bCs/>
                <w:color w:val="auto"/>
                <w:sz w:val="24"/>
                <w:szCs w:val="24"/>
                <w:highlight w:val="none"/>
                <w:lang w:val="en-US" w:eastAsia="zh-CN"/>
              </w:rPr>
            </w:pPr>
            <w:r>
              <w:rPr>
                <w:rFonts w:hint="eastAsia" w:ascii="Times New Roman" w:hAnsi="Times New Roman" w:eastAsia="宋体" w:cs="Times New Roman"/>
                <w:b/>
                <w:bCs/>
                <w:color w:val="auto"/>
                <w:sz w:val="24"/>
                <w:szCs w:val="24"/>
                <w:highlight w:val="none"/>
                <w:lang w:val="en-US" w:eastAsia="zh-CN"/>
              </w:rPr>
              <w:t>表</w:t>
            </w:r>
            <w:r>
              <w:rPr>
                <w:rFonts w:hint="eastAsia" w:ascii="Times New Roman" w:hAnsi="Times New Roman" w:cs="Times New Roman"/>
                <w:b/>
                <w:bCs/>
                <w:color w:val="auto"/>
                <w:sz w:val="24"/>
                <w:szCs w:val="24"/>
                <w:highlight w:val="none"/>
                <w:lang w:val="en-US" w:eastAsia="zh-CN"/>
              </w:rPr>
              <w:t>4-7</w:t>
            </w:r>
            <w:r>
              <w:rPr>
                <w:rFonts w:hint="eastAsia" w:ascii="Times New Roman" w:hAnsi="Times New Roman" w:eastAsia="宋体" w:cs="Times New Roman"/>
                <w:b/>
                <w:bCs/>
                <w:color w:val="auto"/>
                <w:sz w:val="24"/>
                <w:szCs w:val="24"/>
                <w:highlight w:val="none"/>
                <w:lang w:val="en-US" w:eastAsia="zh-CN"/>
              </w:rPr>
              <w:t xml:space="preserve"> </w:t>
            </w:r>
            <w:r>
              <w:rPr>
                <w:rFonts w:hint="eastAsia" w:cs="Times New Roman"/>
                <w:b/>
                <w:bCs/>
                <w:color w:val="auto"/>
                <w:sz w:val="24"/>
                <w:szCs w:val="24"/>
                <w:highlight w:val="none"/>
                <w:lang w:val="en-US" w:eastAsia="zh-CN"/>
              </w:rPr>
              <w:t>本项目布袋除尘器参数一览表</w:t>
            </w:r>
          </w:p>
          <w:tbl>
            <w:tblPr>
              <w:tblStyle w:val="2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54"/>
              <w:gridCol w:w="1335"/>
              <w:gridCol w:w="1136"/>
              <w:gridCol w:w="1025"/>
              <w:gridCol w:w="1027"/>
              <w:gridCol w:w="995"/>
              <w:gridCol w:w="1005"/>
              <w:gridCol w:w="1004"/>
            </w:tblGrid>
            <w:tr w14:paraId="20B74E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trPr>
              <w:tc>
                <w:tcPr>
                  <w:tcW w:w="665" w:type="dxa"/>
                  <w:vAlign w:val="center"/>
                </w:tcPr>
                <w:p w14:paraId="761E62A6">
                  <w:pPr>
                    <w:jc w:val="center"/>
                    <w:rPr>
                      <w:rFonts w:hint="eastAsia" w:ascii="Times New Roman" w:hAnsi="Times New Roman" w:eastAsia="宋体" w:cs="Times New Roman"/>
                      <w:b/>
                      <w:bCs/>
                      <w:color w:val="auto"/>
                      <w:sz w:val="21"/>
                      <w:szCs w:val="21"/>
                      <w:highlight w:val="none"/>
                      <w:lang w:val="en-US" w:eastAsia="zh-CN"/>
                    </w:rPr>
                  </w:pPr>
                  <w:r>
                    <w:rPr>
                      <w:rFonts w:hint="eastAsia" w:ascii="Times New Roman" w:hAnsi="Times New Roman" w:eastAsia="宋体" w:cs="Times New Roman"/>
                      <w:b/>
                      <w:bCs/>
                      <w:color w:val="auto"/>
                      <w:sz w:val="21"/>
                      <w:szCs w:val="21"/>
                      <w:highlight w:val="none"/>
                      <w:lang w:val="en-US" w:eastAsia="zh-CN"/>
                    </w:rPr>
                    <w:t>序号</w:t>
                  </w:r>
                </w:p>
              </w:tc>
              <w:tc>
                <w:tcPr>
                  <w:tcW w:w="1378" w:type="dxa"/>
                  <w:vAlign w:val="center"/>
                </w:tcPr>
                <w:p w14:paraId="56055421">
                  <w:pPr>
                    <w:jc w:val="center"/>
                    <w:rPr>
                      <w:rFonts w:hint="eastAsia" w:ascii="Times New Roman" w:hAnsi="Times New Roman" w:eastAsia="宋体" w:cs="Times New Roman"/>
                      <w:b/>
                      <w:bCs/>
                      <w:color w:val="auto"/>
                      <w:sz w:val="21"/>
                      <w:szCs w:val="21"/>
                      <w:highlight w:val="none"/>
                      <w:lang w:val="en-US" w:eastAsia="zh-CN"/>
                    </w:rPr>
                  </w:pPr>
                  <w:r>
                    <w:rPr>
                      <w:rFonts w:hint="eastAsia" w:ascii="Times New Roman" w:hAnsi="Times New Roman" w:eastAsia="宋体" w:cs="Times New Roman"/>
                      <w:b/>
                      <w:bCs/>
                      <w:color w:val="auto"/>
                      <w:sz w:val="21"/>
                      <w:szCs w:val="21"/>
                      <w:highlight w:val="none"/>
                      <w:lang w:val="en-US" w:eastAsia="zh-CN"/>
                    </w:rPr>
                    <w:t>除尘器</w:t>
                  </w:r>
                </w:p>
              </w:tc>
              <w:tc>
                <w:tcPr>
                  <w:tcW w:w="1021" w:type="dxa"/>
                  <w:vAlign w:val="center"/>
                </w:tcPr>
                <w:p w14:paraId="219BF35F">
                  <w:pPr>
                    <w:jc w:val="center"/>
                    <w:rPr>
                      <w:rFonts w:hint="eastAsia" w:ascii="Times New Roman" w:hAnsi="Times New Roman" w:eastAsia="宋体" w:cs="Times New Roman"/>
                      <w:b/>
                      <w:bCs/>
                      <w:color w:val="auto"/>
                      <w:sz w:val="21"/>
                      <w:szCs w:val="21"/>
                      <w:highlight w:val="none"/>
                      <w:lang w:val="en-US" w:eastAsia="zh-CN"/>
                    </w:rPr>
                  </w:pPr>
                  <w:r>
                    <w:rPr>
                      <w:rFonts w:hint="eastAsia" w:ascii="Times New Roman" w:hAnsi="Times New Roman" w:eastAsia="宋体" w:cs="Times New Roman"/>
                      <w:b/>
                      <w:bCs/>
                      <w:color w:val="auto"/>
                      <w:sz w:val="21"/>
                      <w:szCs w:val="21"/>
                      <w:highlight w:val="none"/>
                      <w:lang w:val="en-US" w:eastAsia="zh-CN"/>
                    </w:rPr>
                    <w:t>风量</w:t>
                  </w:r>
                </w:p>
              </w:tc>
              <w:tc>
                <w:tcPr>
                  <w:tcW w:w="1022" w:type="dxa"/>
                  <w:vAlign w:val="center"/>
                </w:tcPr>
                <w:p w14:paraId="003E38B3">
                  <w:pPr>
                    <w:jc w:val="center"/>
                    <w:rPr>
                      <w:rFonts w:hint="eastAsia" w:ascii="Times New Roman" w:hAnsi="Times New Roman" w:eastAsia="宋体" w:cs="Times New Roman"/>
                      <w:b/>
                      <w:bCs/>
                      <w:color w:val="auto"/>
                      <w:sz w:val="21"/>
                      <w:szCs w:val="21"/>
                      <w:highlight w:val="none"/>
                      <w:lang w:val="en-US" w:eastAsia="zh-CN"/>
                    </w:rPr>
                  </w:pPr>
                  <w:r>
                    <w:rPr>
                      <w:rFonts w:hint="eastAsia" w:ascii="Times New Roman" w:hAnsi="Times New Roman" w:eastAsia="宋体" w:cs="Times New Roman"/>
                      <w:b/>
                      <w:bCs/>
                      <w:color w:val="auto"/>
                      <w:sz w:val="21"/>
                      <w:szCs w:val="21"/>
                      <w:highlight w:val="none"/>
                      <w:lang w:val="en-US" w:eastAsia="zh-CN"/>
                    </w:rPr>
                    <w:t>过滤面积</w:t>
                  </w:r>
                </w:p>
              </w:tc>
              <w:tc>
                <w:tcPr>
                  <w:tcW w:w="1022" w:type="dxa"/>
                  <w:vAlign w:val="center"/>
                </w:tcPr>
                <w:p w14:paraId="5572EFC3">
                  <w:pPr>
                    <w:jc w:val="center"/>
                    <w:rPr>
                      <w:rFonts w:hint="eastAsia" w:ascii="Times New Roman" w:hAnsi="Times New Roman" w:eastAsia="宋体" w:cs="Times New Roman"/>
                      <w:b/>
                      <w:bCs/>
                      <w:color w:val="auto"/>
                      <w:sz w:val="21"/>
                      <w:szCs w:val="21"/>
                      <w:highlight w:val="none"/>
                      <w:lang w:val="en-US" w:eastAsia="zh-CN"/>
                    </w:rPr>
                  </w:pPr>
                  <w:r>
                    <w:rPr>
                      <w:rFonts w:hint="eastAsia" w:cs="Times New Roman"/>
                      <w:b/>
                      <w:bCs/>
                      <w:color w:val="auto"/>
                      <w:sz w:val="21"/>
                      <w:szCs w:val="21"/>
                      <w:highlight w:val="none"/>
                      <w:lang w:val="en-US" w:eastAsia="zh-CN"/>
                    </w:rPr>
                    <w:t>过滤风速</w:t>
                  </w:r>
                </w:p>
              </w:tc>
              <w:tc>
                <w:tcPr>
                  <w:tcW w:w="1022" w:type="dxa"/>
                  <w:vAlign w:val="center"/>
                </w:tcPr>
                <w:p w14:paraId="531729DB">
                  <w:pPr>
                    <w:jc w:val="center"/>
                    <w:rPr>
                      <w:rFonts w:hint="eastAsia" w:ascii="Times New Roman" w:hAnsi="Times New Roman" w:eastAsia="宋体" w:cs="Times New Roman"/>
                      <w:b/>
                      <w:bCs/>
                      <w:color w:val="auto"/>
                      <w:sz w:val="21"/>
                      <w:szCs w:val="21"/>
                      <w:highlight w:val="none"/>
                      <w:lang w:val="en-US" w:eastAsia="zh-CN"/>
                    </w:rPr>
                  </w:pPr>
                  <w:r>
                    <w:rPr>
                      <w:rFonts w:hint="eastAsia" w:ascii="Times New Roman" w:hAnsi="Times New Roman" w:eastAsia="宋体" w:cs="Times New Roman"/>
                      <w:b/>
                      <w:bCs/>
                      <w:color w:val="auto"/>
                      <w:sz w:val="21"/>
                      <w:szCs w:val="21"/>
                      <w:highlight w:val="none"/>
                      <w:lang w:val="en-US" w:eastAsia="zh-CN"/>
                    </w:rPr>
                    <w:t>滤袋材质</w:t>
                  </w:r>
                </w:p>
              </w:tc>
              <w:tc>
                <w:tcPr>
                  <w:tcW w:w="1022" w:type="dxa"/>
                  <w:vAlign w:val="center"/>
                </w:tcPr>
                <w:p w14:paraId="69D62503">
                  <w:pPr>
                    <w:jc w:val="center"/>
                    <w:rPr>
                      <w:rFonts w:hint="eastAsia" w:ascii="Times New Roman" w:hAnsi="Times New Roman" w:eastAsia="宋体" w:cs="Times New Roman"/>
                      <w:b/>
                      <w:bCs/>
                      <w:color w:val="auto"/>
                      <w:sz w:val="21"/>
                      <w:szCs w:val="21"/>
                      <w:highlight w:val="none"/>
                      <w:lang w:val="en-US" w:eastAsia="zh-CN"/>
                    </w:rPr>
                  </w:pPr>
                  <w:r>
                    <w:rPr>
                      <w:rFonts w:hint="eastAsia" w:ascii="Times New Roman" w:hAnsi="Times New Roman" w:eastAsia="宋体" w:cs="Times New Roman"/>
                      <w:b/>
                      <w:bCs/>
                      <w:color w:val="auto"/>
                      <w:sz w:val="21"/>
                      <w:szCs w:val="21"/>
                      <w:highlight w:val="none"/>
                      <w:lang w:val="en-US" w:eastAsia="zh-CN"/>
                    </w:rPr>
                    <w:t>排气筒内径</w:t>
                  </w:r>
                </w:p>
              </w:tc>
              <w:tc>
                <w:tcPr>
                  <w:tcW w:w="1023" w:type="dxa"/>
                  <w:vAlign w:val="center"/>
                </w:tcPr>
                <w:p w14:paraId="7DF2ED43">
                  <w:pPr>
                    <w:jc w:val="center"/>
                    <w:rPr>
                      <w:rFonts w:hint="eastAsia" w:ascii="Times New Roman" w:hAnsi="Times New Roman" w:eastAsia="宋体" w:cs="Times New Roman"/>
                      <w:b/>
                      <w:bCs/>
                      <w:color w:val="auto"/>
                      <w:sz w:val="21"/>
                      <w:szCs w:val="21"/>
                      <w:highlight w:val="none"/>
                      <w:lang w:val="en-US" w:eastAsia="zh-CN"/>
                    </w:rPr>
                  </w:pPr>
                  <w:r>
                    <w:rPr>
                      <w:rFonts w:hint="eastAsia" w:ascii="Times New Roman" w:hAnsi="Times New Roman" w:eastAsia="宋体" w:cs="Times New Roman"/>
                      <w:b/>
                      <w:bCs/>
                      <w:color w:val="auto"/>
                      <w:sz w:val="21"/>
                      <w:szCs w:val="21"/>
                      <w:highlight w:val="none"/>
                      <w:lang w:val="en-US" w:eastAsia="zh-CN"/>
                    </w:rPr>
                    <w:t>排气筒高度</w:t>
                  </w:r>
                </w:p>
              </w:tc>
            </w:tr>
            <w:tr w14:paraId="5A0ADA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665" w:type="dxa"/>
                  <w:vAlign w:val="center"/>
                </w:tcPr>
                <w:p w14:paraId="75386C1B">
                  <w:pPr>
                    <w:jc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1</w:t>
                  </w:r>
                </w:p>
              </w:tc>
              <w:tc>
                <w:tcPr>
                  <w:tcW w:w="1378" w:type="dxa"/>
                  <w:vAlign w:val="center"/>
                </w:tcPr>
                <w:p w14:paraId="0F950474">
                  <w:pPr>
                    <w:jc w:val="center"/>
                    <w:rPr>
                      <w:rFonts w:hint="eastAsia"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脉冲布袋除尘器</w:t>
                  </w:r>
                </w:p>
              </w:tc>
              <w:tc>
                <w:tcPr>
                  <w:tcW w:w="1021" w:type="dxa"/>
                  <w:vAlign w:val="center"/>
                </w:tcPr>
                <w:p w14:paraId="58DBBCDE">
                  <w:pPr>
                    <w:jc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75000</w:t>
                  </w:r>
                  <w:r>
                    <w:rPr>
                      <w:rFonts w:hint="default" w:ascii="Times New Roman" w:hAnsi="Times New Roman" w:eastAsia="宋体" w:cs="Times New Roman"/>
                      <w:color w:val="auto"/>
                      <w:sz w:val="21"/>
                      <w:szCs w:val="21"/>
                      <w:highlight w:val="none"/>
                      <w:lang w:val="en-US" w:eastAsia="zh-CN"/>
                    </w:rPr>
                    <w:t>m</w:t>
                  </w:r>
                  <w:r>
                    <w:rPr>
                      <w:rFonts w:hint="default" w:ascii="Times New Roman" w:hAnsi="Times New Roman" w:eastAsia="宋体" w:cs="Times New Roman"/>
                      <w:color w:val="auto"/>
                      <w:sz w:val="21"/>
                      <w:szCs w:val="21"/>
                      <w:highlight w:val="none"/>
                      <w:vertAlign w:val="superscript"/>
                      <w:lang w:val="en-US" w:eastAsia="zh-CN"/>
                    </w:rPr>
                    <w:t>3</w:t>
                  </w:r>
                  <w:r>
                    <w:rPr>
                      <w:rFonts w:hint="default" w:ascii="Times New Roman" w:hAnsi="Times New Roman" w:eastAsia="宋体" w:cs="Times New Roman"/>
                      <w:color w:val="auto"/>
                      <w:sz w:val="21"/>
                      <w:szCs w:val="21"/>
                      <w:highlight w:val="none"/>
                      <w:lang w:val="en-US" w:eastAsia="zh-CN"/>
                    </w:rPr>
                    <w:t>/h</w:t>
                  </w:r>
                </w:p>
              </w:tc>
              <w:tc>
                <w:tcPr>
                  <w:tcW w:w="1022" w:type="dxa"/>
                  <w:vAlign w:val="center"/>
                </w:tcPr>
                <w:p w14:paraId="1FD0B84F">
                  <w:pPr>
                    <w:jc w:val="center"/>
                    <w:rPr>
                      <w:rFonts w:hint="default"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val="en-US" w:eastAsia="zh-CN"/>
                    </w:rPr>
                    <w:t>1562.5m</w:t>
                  </w:r>
                  <w:r>
                    <w:rPr>
                      <w:rFonts w:hint="eastAsia" w:cs="Times New Roman"/>
                      <w:color w:val="auto"/>
                      <w:sz w:val="21"/>
                      <w:szCs w:val="21"/>
                      <w:highlight w:val="none"/>
                      <w:vertAlign w:val="superscript"/>
                      <w:lang w:val="en-US" w:eastAsia="zh-CN"/>
                    </w:rPr>
                    <w:t>2</w:t>
                  </w:r>
                </w:p>
              </w:tc>
              <w:tc>
                <w:tcPr>
                  <w:tcW w:w="1022" w:type="dxa"/>
                  <w:vAlign w:val="center"/>
                </w:tcPr>
                <w:p w14:paraId="41DB3DCC">
                  <w:pPr>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0.8m/min</w:t>
                  </w:r>
                </w:p>
              </w:tc>
              <w:tc>
                <w:tcPr>
                  <w:tcW w:w="1022" w:type="dxa"/>
                  <w:vAlign w:val="center"/>
                </w:tcPr>
                <w:p w14:paraId="5D9B483B">
                  <w:pPr>
                    <w:jc w:val="center"/>
                    <w:rPr>
                      <w:rFonts w:hint="eastAsia"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覆膜滤袋</w:t>
                  </w:r>
                </w:p>
              </w:tc>
              <w:tc>
                <w:tcPr>
                  <w:tcW w:w="1022" w:type="dxa"/>
                  <w:shd w:val="clear" w:color="auto" w:fill="auto"/>
                  <w:vAlign w:val="center"/>
                </w:tcPr>
                <w:p w14:paraId="7FC820C8">
                  <w:pPr>
                    <w:jc w:val="center"/>
                    <w:rPr>
                      <w:rFonts w:hint="default" w:ascii="Times New Roman" w:hAnsi="Times New Roman" w:eastAsia="宋体" w:cs="Times New Roman"/>
                      <w:color w:val="auto"/>
                      <w:kern w:val="2"/>
                      <w:sz w:val="21"/>
                      <w:szCs w:val="21"/>
                      <w:highlight w:val="none"/>
                      <w:lang w:val="en-US" w:eastAsia="zh-CN" w:bidi="ar-SA"/>
                    </w:rPr>
                  </w:pPr>
                  <w:r>
                    <w:rPr>
                      <w:rFonts w:hint="eastAsia" w:cs="Times New Roman"/>
                      <w:color w:val="auto"/>
                      <w:sz w:val="21"/>
                      <w:szCs w:val="21"/>
                      <w:highlight w:val="none"/>
                      <w:lang w:val="en-US" w:eastAsia="zh-CN"/>
                    </w:rPr>
                    <w:t>1.4m</w:t>
                  </w:r>
                </w:p>
              </w:tc>
              <w:tc>
                <w:tcPr>
                  <w:tcW w:w="1023" w:type="dxa"/>
                  <w:vAlign w:val="center"/>
                </w:tcPr>
                <w:p w14:paraId="53CD83E0">
                  <w:pPr>
                    <w:jc w:val="center"/>
                    <w:rPr>
                      <w:rFonts w:hint="default"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val="en-US" w:eastAsia="zh-CN"/>
                    </w:rPr>
                    <w:t>25m</w:t>
                  </w:r>
                </w:p>
              </w:tc>
            </w:tr>
            <w:tr w14:paraId="324108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5" w:type="dxa"/>
                  <w:vAlign w:val="center"/>
                </w:tcPr>
                <w:p w14:paraId="422D9329">
                  <w:pPr>
                    <w:jc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2</w:t>
                  </w:r>
                </w:p>
              </w:tc>
              <w:tc>
                <w:tcPr>
                  <w:tcW w:w="1378" w:type="dxa"/>
                  <w:vAlign w:val="center"/>
                </w:tcPr>
                <w:p w14:paraId="1059FDD7">
                  <w:pPr>
                    <w:jc w:val="center"/>
                    <w:rPr>
                      <w:rFonts w:hint="eastAsia"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脉冲布袋除尘器</w:t>
                  </w:r>
                </w:p>
              </w:tc>
              <w:tc>
                <w:tcPr>
                  <w:tcW w:w="1021" w:type="dxa"/>
                  <w:vAlign w:val="center"/>
                </w:tcPr>
                <w:p w14:paraId="0E201472">
                  <w:pPr>
                    <w:jc w:val="center"/>
                    <w:rPr>
                      <w:rFonts w:hint="default"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val="en-US" w:eastAsia="zh-CN"/>
                    </w:rPr>
                    <w:t>55000</w:t>
                  </w:r>
                  <w:r>
                    <w:rPr>
                      <w:rFonts w:hint="default" w:ascii="Times New Roman" w:hAnsi="Times New Roman" w:eastAsia="宋体" w:cs="Times New Roman"/>
                      <w:color w:val="auto"/>
                      <w:sz w:val="21"/>
                      <w:szCs w:val="21"/>
                      <w:highlight w:val="none"/>
                      <w:lang w:val="en-US" w:eastAsia="zh-CN"/>
                    </w:rPr>
                    <w:t>m</w:t>
                  </w:r>
                  <w:r>
                    <w:rPr>
                      <w:rFonts w:hint="default" w:ascii="Times New Roman" w:hAnsi="Times New Roman" w:eastAsia="宋体" w:cs="Times New Roman"/>
                      <w:color w:val="auto"/>
                      <w:sz w:val="21"/>
                      <w:szCs w:val="21"/>
                      <w:highlight w:val="none"/>
                      <w:vertAlign w:val="superscript"/>
                      <w:lang w:val="en-US" w:eastAsia="zh-CN"/>
                    </w:rPr>
                    <w:t>3</w:t>
                  </w:r>
                  <w:r>
                    <w:rPr>
                      <w:rFonts w:hint="default" w:ascii="Times New Roman" w:hAnsi="Times New Roman" w:eastAsia="宋体" w:cs="Times New Roman"/>
                      <w:color w:val="auto"/>
                      <w:sz w:val="21"/>
                      <w:szCs w:val="21"/>
                      <w:highlight w:val="none"/>
                      <w:lang w:val="en-US" w:eastAsia="zh-CN"/>
                    </w:rPr>
                    <w:t>/h</w:t>
                  </w:r>
                </w:p>
              </w:tc>
              <w:tc>
                <w:tcPr>
                  <w:tcW w:w="1022" w:type="dxa"/>
                  <w:vAlign w:val="center"/>
                </w:tcPr>
                <w:p w14:paraId="2AF2AAA3">
                  <w:pPr>
                    <w:jc w:val="center"/>
                    <w:rPr>
                      <w:rFonts w:hint="default"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val="en-US" w:eastAsia="zh-CN"/>
                    </w:rPr>
                    <w:t>1145.8m</w:t>
                  </w:r>
                  <w:r>
                    <w:rPr>
                      <w:rFonts w:hint="eastAsia" w:cs="Times New Roman"/>
                      <w:color w:val="auto"/>
                      <w:sz w:val="21"/>
                      <w:szCs w:val="21"/>
                      <w:highlight w:val="none"/>
                      <w:vertAlign w:val="superscript"/>
                      <w:lang w:val="en-US" w:eastAsia="zh-CN"/>
                    </w:rPr>
                    <w:t>2</w:t>
                  </w:r>
                </w:p>
              </w:tc>
              <w:tc>
                <w:tcPr>
                  <w:tcW w:w="1022" w:type="dxa"/>
                  <w:vAlign w:val="center"/>
                </w:tcPr>
                <w:p w14:paraId="20EAF369">
                  <w:pPr>
                    <w:jc w:val="center"/>
                    <w:rPr>
                      <w:rFonts w:hint="eastAsia"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0.8m/min</w:t>
                  </w:r>
                </w:p>
              </w:tc>
              <w:tc>
                <w:tcPr>
                  <w:tcW w:w="1022" w:type="dxa"/>
                  <w:vAlign w:val="center"/>
                </w:tcPr>
                <w:p w14:paraId="73D15A33">
                  <w:pPr>
                    <w:jc w:val="center"/>
                    <w:rPr>
                      <w:rFonts w:hint="eastAsia"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覆膜滤袋</w:t>
                  </w:r>
                </w:p>
              </w:tc>
              <w:tc>
                <w:tcPr>
                  <w:tcW w:w="1022" w:type="dxa"/>
                  <w:shd w:val="clear" w:color="auto" w:fill="auto"/>
                  <w:vAlign w:val="center"/>
                </w:tcPr>
                <w:p w14:paraId="3F2933C6">
                  <w:pPr>
                    <w:jc w:val="center"/>
                    <w:rPr>
                      <w:rFonts w:hint="eastAsia" w:ascii="Times New Roman" w:hAnsi="Times New Roman" w:eastAsia="宋体" w:cs="Times New Roman"/>
                      <w:color w:val="auto"/>
                      <w:kern w:val="2"/>
                      <w:sz w:val="21"/>
                      <w:szCs w:val="21"/>
                      <w:highlight w:val="none"/>
                      <w:lang w:val="en-US" w:eastAsia="zh-CN" w:bidi="ar-SA"/>
                    </w:rPr>
                  </w:pPr>
                  <w:r>
                    <w:rPr>
                      <w:rFonts w:hint="eastAsia" w:cs="Times New Roman"/>
                      <w:color w:val="auto"/>
                      <w:sz w:val="21"/>
                      <w:szCs w:val="21"/>
                      <w:highlight w:val="none"/>
                      <w:lang w:val="en-US" w:eastAsia="zh-CN"/>
                    </w:rPr>
                    <w:t>1.2m</w:t>
                  </w:r>
                </w:p>
              </w:tc>
              <w:tc>
                <w:tcPr>
                  <w:tcW w:w="1023" w:type="dxa"/>
                  <w:vAlign w:val="center"/>
                </w:tcPr>
                <w:p w14:paraId="534CA6C3">
                  <w:pPr>
                    <w:jc w:val="center"/>
                    <w:rPr>
                      <w:rFonts w:hint="default"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val="en-US" w:eastAsia="zh-CN"/>
                    </w:rPr>
                    <w:t>25m</w:t>
                  </w:r>
                </w:p>
              </w:tc>
            </w:tr>
          </w:tbl>
          <w:p w14:paraId="1B26FB09">
            <w:pPr>
              <w:widowControl/>
              <w:wordWrap w:val="0"/>
              <w:spacing w:line="480" w:lineRule="exact"/>
              <w:ind w:firstLine="480" w:firstLineChars="200"/>
              <w:rPr>
                <w:rFonts w:hint="eastAsia" w:ascii="Times New Roman" w:hAnsi="Times New Roman" w:eastAsia="宋体" w:cs="Times New Roman"/>
                <w:color w:val="auto"/>
                <w:kern w:val="0"/>
                <w:sz w:val="24"/>
                <w:lang w:val="en-US" w:eastAsia="zh-CN" w:bidi="ar"/>
              </w:rPr>
            </w:pPr>
            <w:r>
              <w:rPr>
                <w:rFonts w:hint="eastAsia" w:ascii="Times New Roman" w:hAnsi="Times New Roman" w:eastAsia="宋体" w:cs="Times New Roman"/>
                <w:color w:val="auto"/>
                <w:kern w:val="0"/>
                <w:sz w:val="24"/>
                <w:lang w:val="en-US" w:eastAsia="zh-CN" w:bidi="ar"/>
              </w:rPr>
              <w:t>a.脉冲布袋除尘器对净化含微米或亚微米数量级粉尘粒子的气体效率较高，一般可达到99%以上，且能有效去除废气中PM10微细粉尘。</w:t>
            </w:r>
          </w:p>
          <w:p w14:paraId="163BA2E4">
            <w:pPr>
              <w:widowControl/>
              <w:wordWrap w:val="0"/>
              <w:spacing w:line="480" w:lineRule="exact"/>
              <w:ind w:firstLine="480" w:firstLineChars="200"/>
              <w:rPr>
                <w:rFonts w:hint="eastAsia" w:ascii="Times New Roman" w:hAnsi="Times New Roman" w:eastAsia="宋体" w:cs="Times New Roman"/>
                <w:color w:val="auto"/>
                <w:kern w:val="0"/>
                <w:sz w:val="24"/>
                <w:lang w:val="en-US" w:eastAsia="zh-CN" w:bidi="ar"/>
              </w:rPr>
            </w:pPr>
            <w:r>
              <w:rPr>
                <w:rFonts w:hint="eastAsia" w:ascii="Times New Roman" w:hAnsi="Times New Roman" w:eastAsia="宋体" w:cs="Times New Roman"/>
                <w:color w:val="auto"/>
                <w:kern w:val="0"/>
                <w:sz w:val="24"/>
                <w:lang w:val="en-US" w:eastAsia="zh-CN" w:bidi="ar"/>
              </w:rPr>
              <w:t>b.除尘效率不受粉尘比电阻、浓度、粒度等性质的影响，负荷变化、废气量波动对脉冲布袋除尘器出口排放浓度的影响较小。</w:t>
            </w:r>
          </w:p>
          <w:p w14:paraId="0B6A791B">
            <w:pPr>
              <w:widowControl/>
              <w:wordWrap w:val="0"/>
              <w:spacing w:line="480" w:lineRule="exact"/>
              <w:ind w:firstLine="480" w:firstLineChars="200"/>
              <w:rPr>
                <w:rFonts w:hint="eastAsia" w:ascii="Times New Roman" w:hAnsi="Times New Roman" w:eastAsia="宋体" w:cs="Times New Roman"/>
                <w:color w:val="auto"/>
                <w:kern w:val="0"/>
                <w:sz w:val="24"/>
                <w:lang w:val="en-US" w:eastAsia="zh-CN" w:bidi="ar"/>
              </w:rPr>
            </w:pPr>
            <w:r>
              <w:rPr>
                <w:rFonts w:hint="eastAsia" w:ascii="Times New Roman" w:hAnsi="Times New Roman" w:eastAsia="宋体" w:cs="Times New Roman"/>
                <w:color w:val="auto"/>
                <w:kern w:val="0"/>
                <w:sz w:val="24"/>
                <w:lang w:val="en-US" w:eastAsia="zh-CN" w:bidi="ar"/>
              </w:rPr>
              <w:t>c.作为脉冲布袋除尘器的关键问题——滤料材质目前已获得突破，使用寿命一般在2年以上，有的可达4-6年。</w:t>
            </w:r>
          </w:p>
          <w:p w14:paraId="04BC1170">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kern w:val="0"/>
                <w:sz w:val="24"/>
                <w:lang w:val="en-US" w:eastAsia="zh-CN" w:bidi="ar"/>
              </w:rPr>
              <w:t>脉冲布袋除尘器的布袋材质：耐高温覆膜涤纶针刺毡，过滤风速小于等于0.8m/min，清灰方式：离线清灰。且经预测可知均污染物均达标排放，因此治理措施可行。</w:t>
            </w:r>
          </w:p>
          <w:p w14:paraId="11019C0B">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本项目设置环保清扫车和洒水车对厂区地面不定期清扫、洒水抑尘。</w:t>
            </w:r>
          </w:p>
          <w:p w14:paraId="0515AF51">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本项目进出厂区的运输车辆均苫盖篷布，车辆进出车间时经过</w:t>
            </w:r>
            <w:r>
              <w:rPr>
                <w:rFonts w:hint="default" w:ascii="Times New Roman" w:hAnsi="Times New Roman" w:cs="Times New Roman"/>
                <w:color w:val="auto"/>
                <w:sz w:val="24"/>
                <w:szCs w:val="24"/>
                <w:highlight w:val="none"/>
                <w:lang w:val="en-US" w:eastAsia="zh-CN"/>
              </w:rPr>
              <w:t>洗车平台</w:t>
            </w:r>
            <w:r>
              <w:rPr>
                <w:rFonts w:hint="default" w:ascii="Times New Roman" w:hAnsi="Times New Roman" w:eastAsia="宋体" w:cs="Times New Roman"/>
                <w:color w:val="auto"/>
                <w:sz w:val="24"/>
                <w:szCs w:val="24"/>
                <w:highlight w:val="none"/>
                <w:lang w:val="en-US" w:eastAsia="zh-CN"/>
              </w:rPr>
              <w:t>进行冲洗，并配备沉淀池，沉淀池沉淀后的清水</w:t>
            </w:r>
            <w:r>
              <w:rPr>
                <w:rFonts w:hint="default" w:ascii="Times New Roman" w:hAnsi="Times New Roman" w:cs="Times New Roman"/>
                <w:color w:val="auto"/>
                <w:sz w:val="24"/>
                <w:szCs w:val="24"/>
                <w:highlight w:val="none"/>
                <w:lang w:val="en-US" w:eastAsia="zh-CN"/>
              </w:rPr>
              <w:t>回用于</w:t>
            </w:r>
            <w:r>
              <w:rPr>
                <w:rFonts w:hint="eastAsia" w:cs="Times New Roman"/>
                <w:color w:val="auto"/>
                <w:sz w:val="24"/>
                <w:szCs w:val="24"/>
                <w:highlight w:val="none"/>
                <w:lang w:val="en-US" w:eastAsia="zh-CN"/>
              </w:rPr>
              <w:t>车辆清洗</w:t>
            </w:r>
            <w:r>
              <w:rPr>
                <w:rFonts w:hint="default" w:ascii="Times New Roman" w:hAnsi="Times New Roman" w:eastAsia="宋体" w:cs="Times New Roman"/>
                <w:color w:val="auto"/>
                <w:sz w:val="24"/>
                <w:szCs w:val="24"/>
                <w:highlight w:val="none"/>
                <w:lang w:val="en-US" w:eastAsia="zh-CN"/>
              </w:rPr>
              <w:t>。</w:t>
            </w:r>
          </w:p>
          <w:p w14:paraId="769B4E5B">
            <w:pPr>
              <w:spacing w:line="480" w:lineRule="exact"/>
              <w:ind w:firstLine="482" w:firstLineChars="200"/>
              <w:jc w:val="center"/>
              <w:rPr>
                <w:rFonts w:hint="eastAsia" w:ascii="Times New Roman" w:hAnsi="Times New Roman" w:eastAsia="宋体" w:cs="Times New Roman"/>
                <w:b/>
                <w:bCs/>
                <w:color w:val="auto"/>
                <w:sz w:val="24"/>
                <w:szCs w:val="24"/>
                <w:highlight w:val="none"/>
                <w:lang w:val="en-US" w:eastAsia="zh-CN"/>
              </w:rPr>
            </w:pPr>
          </w:p>
          <w:p w14:paraId="7BB6CB29">
            <w:pPr>
              <w:spacing w:line="480" w:lineRule="exact"/>
              <w:ind w:firstLine="482" w:firstLineChars="200"/>
              <w:jc w:val="center"/>
              <w:rPr>
                <w:rFonts w:hint="eastAsia" w:ascii="Times New Roman" w:hAnsi="Times New Roman" w:eastAsia="宋体" w:cs="Times New Roman"/>
                <w:b/>
                <w:bCs/>
                <w:color w:val="auto"/>
                <w:sz w:val="24"/>
                <w:szCs w:val="24"/>
                <w:highlight w:val="none"/>
                <w:lang w:val="en-US" w:eastAsia="zh-CN"/>
              </w:rPr>
            </w:pPr>
          </w:p>
          <w:p w14:paraId="2690EA51">
            <w:pPr>
              <w:spacing w:line="480" w:lineRule="exact"/>
              <w:ind w:firstLine="482" w:firstLineChars="200"/>
              <w:jc w:val="center"/>
              <w:rPr>
                <w:rFonts w:hint="default" w:ascii="Times New Roman" w:hAnsi="Times New Roman" w:eastAsia="宋体" w:cs="Times New Roman"/>
                <w:b/>
                <w:bCs/>
                <w:color w:val="auto"/>
                <w:sz w:val="24"/>
                <w:szCs w:val="24"/>
                <w:highlight w:val="none"/>
                <w:lang w:val="en-US" w:eastAsia="zh-CN"/>
              </w:rPr>
            </w:pPr>
            <w:r>
              <w:rPr>
                <w:rFonts w:hint="eastAsia" w:ascii="Times New Roman" w:hAnsi="Times New Roman" w:eastAsia="宋体" w:cs="Times New Roman"/>
                <w:b/>
                <w:bCs/>
                <w:color w:val="auto"/>
                <w:sz w:val="24"/>
                <w:szCs w:val="24"/>
                <w:highlight w:val="none"/>
                <w:lang w:val="en-US" w:eastAsia="zh-CN"/>
              </w:rPr>
              <w:t>表</w:t>
            </w:r>
            <w:r>
              <w:rPr>
                <w:rFonts w:hint="eastAsia" w:ascii="Times New Roman" w:hAnsi="Times New Roman" w:cs="Times New Roman"/>
                <w:b/>
                <w:bCs/>
                <w:color w:val="auto"/>
                <w:sz w:val="24"/>
                <w:szCs w:val="24"/>
                <w:highlight w:val="none"/>
                <w:lang w:val="en-US" w:eastAsia="zh-CN"/>
              </w:rPr>
              <w:t>4-7</w:t>
            </w:r>
            <w:r>
              <w:rPr>
                <w:rFonts w:hint="eastAsia" w:ascii="Times New Roman" w:hAnsi="Times New Roman" w:eastAsia="宋体" w:cs="Times New Roman"/>
                <w:b/>
                <w:bCs/>
                <w:color w:val="auto"/>
                <w:sz w:val="24"/>
                <w:szCs w:val="24"/>
                <w:highlight w:val="none"/>
                <w:lang w:val="en-US" w:eastAsia="zh-CN"/>
              </w:rPr>
              <w:t xml:space="preserve"> 废气排放口基本情况</w:t>
            </w:r>
          </w:p>
          <w:tbl>
            <w:tblPr>
              <w:tblStyle w:val="26"/>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675"/>
              <w:gridCol w:w="1166"/>
              <w:gridCol w:w="821"/>
              <w:gridCol w:w="1571"/>
              <w:gridCol w:w="1475"/>
              <w:gridCol w:w="507"/>
              <w:gridCol w:w="534"/>
              <w:gridCol w:w="576"/>
              <w:gridCol w:w="853"/>
            </w:tblGrid>
            <w:tr w14:paraId="1B64A3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83" w:hRule="atLeast"/>
                <w:jc w:val="center"/>
              </w:trPr>
              <w:tc>
                <w:tcPr>
                  <w:tcW w:w="412" w:type="pct"/>
                  <w:vMerge w:val="restart"/>
                  <w:tcBorders>
                    <w:tl2br w:val="nil"/>
                    <w:tr2bl w:val="nil"/>
                  </w:tcBorders>
                  <w:noWrap w:val="0"/>
                  <w:vAlign w:val="center"/>
                </w:tcPr>
                <w:p w14:paraId="3BA7E6F4">
                  <w:pPr>
                    <w:jc w:val="center"/>
                    <w:rPr>
                      <w:rFonts w:hint="default" w:ascii="Times New Roman" w:hAnsi="Times New Roman" w:eastAsia="宋体" w:cs="Times New Roman"/>
                      <w:b/>
                      <w:bCs/>
                      <w:color w:val="auto"/>
                      <w:sz w:val="21"/>
                      <w:szCs w:val="21"/>
                      <w:highlight w:val="none"/>
                      <w:lang w:val="en-US" w:eastAsia="zh-CN"/>
                    </w:rPr>
                  </w:pPr>
                  <w:r>
                    <w:rPr>
                      <w:rFonts w:hint="default" w:ascii="Times New Roman" w:hAnsi="Times New Roman" w:eastAsia="宋体" w:cs="Times New Roman"/>
                      <w:b/>
                      <w:bCs/>
                      <w:color w:val="auto"/>
                      <w:sz w:val="21"/>
                      <w:szCs w:val="21"/>
                      <w:highlight w:val="none"/>
                      <w:lang w:val="en-US" w:eastAsia="zh-CN"/>
                    </w:rPr>
                    <w:t>排放口编号</w:t>
                  </w:r>
                </w:p>
              </w:tc>
              <w:tc>
                <w:tcPr>
                  <w:tcW w:w="713" w:type="pct"/>
                  <w:vMerge w:val="restart"/>
                  <w:tcBorders>
                    <w:tl2br w:val="nil"/>
                    <w:tr2bl w:val="nil"/>
                  </w:tcBorders>
                  <w:noWrap w:val="0"/>
                  <w:vAlign w:val="center"/>
                </w:tcPr>
                <w:p w14:paraId="0BAE0445">
                  <w:pPr>
                    <w:jc w:val="center"/>
                    <w:rPr>
                      <w:rFonts w:hint="default" w:ascii="Times New Roman" w:hAnsi="Times New Roman" w:eastAsia="宋体" w:cs="Times New Roman"/>
                      <w:b/>
                      <w:bCs/>
                      <w:color w:val="auto"/>
                      <w:sz w:val="21"/>
                      <w:szCs w:val="21"/>
                      <w:highlight w:val="none"/>
                      <w:lang w:val="en-US" w:eastAsia="zh-CN"/>
                    </w:rPr>
                  </w:pPr>
                  <w:r>
                    <w:rPr>
                      <w:rFonts w:hint="default" w:ascii="Times New Roman" w:hAnsi="Times New Roman" w:eastAsia="宋体" w:cs="Times New Roman"/>
                      <w:b/>
                      <w:bCs/>
                      <w:color w:val="auto"/>
                      <w:sz w:val="21"/>
                      <w:szCs w:val="21"/>
                      <w:highlight w:val="none"/>
                      <w:lang w:val="en-US" w:eastAsia="zh-CN"/>
                    </w:rPr>
                    <w:t>排放口名称</w:t>
                  </w:r>
                </w:p>
              </w:tc>
              <w:tc>
                <w:tcPr>
                  <w:tcW w:w="502" w:type="pct"/>
                  <w:vMerge w:val="restart"/>
                  <w:tcBorders>
                    <w:tl2br w:val="nil"/>
                    <w:tr2bl w:val="nil"/>
                  </w:tcBorders>
                  <w:noWrap w:val="0"/>
                  <w:vAlign w:val="center"/>
                </w:tcPr>
                <w:p w14:paraId="442948E2">
                  <w:pPr>
                    <w:jc w:val="center"/>
                    <w:rPr>
                      <w:rFonts w:hint="default" w:ascii="Times New Roman" w:hAnsi="Times New Roman" w:eastAsia="宋体" w:cs="Times New Roman"/>
                      <w:b/>
                      <w:bCs/>
                      <w:color w:val="auto"/>
                      <w:sz w:val="21"/>
                      <w:szCs w:val="21"/>
                      <w:highlight w:val="none"/>
                      <w:lang w:val="en-US" w:eastAsia="zh-CN"/>
                    </w:rPr>
                  </w:pPr>
                  <w:r>
                    <w:rPr>
                      <w:rFonts w:hint="default" w:ascii="Times New Roman" w:hAnsi="Times New Roman" w:eastAsia="宋体" w:cs="Times New Roman"/>
                      <w:b/>
                      <w:bCs/>
                      <w:color w:val="auto"/>
                      <w:sz w:val="21"/>
                      <w:szCs w:val="21"/>
                      <w:highlight w:val="none"/>
                      <w:lang w:val="en-US" w:eastAsia="zh-CN"/>
                    </w:rPr>
                    <w:t>排放口类型</w:t>
                  </w:r>
                </w:p>
              </w:tc>
              <w:tc>
                <w:tcPr>
                  <w:tcW w:w="1861" w:type="pct"/>
                  <w:gridSpan w:val="2"/>
                  <w:tcBorders>
                    <w:tl2br w:val="nil"/>
                    <w:tr2bl w:val="nil"/>
                  </w:tcBorders>
                  <w:noWrap w:val="0"/>
                  <w:vAlign w:val="center"/>
                </w:tcPr>
                <w:p w14:paraId="10D221BC">
                  <w:pPr>
                    <w:snapToGrid w:val="0"/>
                    <w:jc w:val="center"/>
                    <w:rPr>
                      <w:rFonts w:hint="default" w:ascii="Times New Roman" w:hAnsi="Times New Roman" w:eastAsia="宋体" w:cs="Times New Roman"/>
                      <w:b/>
                      <w:bCs/>
                      <w:color w:val="auto"/>
                      <w:sz w:val="21"/>
                      <w:szCs w:val="21"/>
                      <w:highlight w:val="none"/>
                    </w:rPr>
                  </w:pPr>
                  <w:r>
                    <w:rPr>
                      <w:rFonts w:hint="eastAsia" w:ascii="Times New Roman" w:hAnsi="Times New Roman" w:eastAsia="宋体" w:cs="Times New Roman"/>
                      <w:b/>
                      <w:bCs/>
                      <w:color w:val="auto"/>
                      <w:sz w:val="21"/>
                      <w:szCs w:val="21"/>
                      <w:highlight w:val="none"/>
                      <w:lang w:val="en-US" w:eastAsia="zh-CN"/>
                    </w:rPr>
                    <w:t>地理</w:t>
                  </w:r>
                  <w:r>
                    <w:rPr>
                      <w:rFonts w:hint="default" w:ascii="Times New Roman" w:hAnsi="Times New Roman" w:eastAsia="宋体" w:cs="Times New Roman"/>
                      <w:b/>
                      <w:bCs/>
                      <w:color w:val="auto"/>
                      <w:sz w:val="21"/>
                      <w:szCs w:val="21"/>
                      <w:highlight w:val="none"/>
                    </w:rPr>
                    <w:t>坐标</w:t>
                  </w:r>
                </w:p>
              </w:tc>
              <w:tc>
                <w:tcPr>
                  <w:tcW w:w="988" w:type="pct"/>
                  <w:gridSpan w:val="3"/>
                  <w:tcBorders>
                    <w:tl2br w:val="nil"/>
                    <w:tr2bl w:val="nil"/>
                  </w:tcBorders>
                  <w:noWrap w:val="0"/>
                  <w:vAlign w:val="center"/>
                </w:tcPr>
                <w:p w14:paraId="6669EA6A">
                  <w:pPr>
                    <w:snapToGrid w:val="0"/>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排气筒参数</w:t>
                  </w:r>
                </w:p>
              </w:tc>
              <w:tc>
                <w:tcPr>
                  <w:tcW w:w="521" w:type="pct"/>
                  <w:vMerge w:val="restart"/>
                  <w:tcBorders>
                    <w:tl2br w:val="nil"/>
                    <w:tr2bl w:val="nil"/>
                  </w:tcBorders>
                  <w:noWrap w:val="0"/>
                  <w:vAlign w:val="center"/>
                </w:tcPr>
                <w:p w14:paraId="1C95AFCD">
                  <w:pPr>
                    <w:snapToGrid w:val="0"/>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b/>
                      <w:bCs/>
                      <w:color w:val="auto"/>
                      <w:sz w:val="21"/>
                      <w:szCs w:val="21"/>
                      <w:highlight w:val="none"/>
                      <w:lang w:val="en-US" w:eastAsia="zh-CN"/>
                    </w:rPr>
                    <w:t>污染物名称</w:t>
                  </w:r>
                </w:p>
              </w:tc>
            </w:tr>
            <w:tr w14:paraId="0EB043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65" w:hRule="atLeast"/>
                <w:jc w:val="center"/>
              </w:trPr>
              <w:tc>
                <w:tcPr>
                  <w:tcW w:w="412" w:type="pct"/>
                  <w:vMerge w:val="continue"/>
                  <w:tcBorders>
                    <w:tl2br w:val="nil"/>
                    <w:tr2bl w:val="nil"/>
                  </w:tcBorders>
                  <w:noWrap w:val="0"/>
                  <w:vAlign w:val="center"/>
                </w:tcPr>
                <w:p w14:paraId="11E2AD56">
                  <w:pPr>
                    <w:snapToGrid w:val="0"/>
                    <w:jc w:val="center"/>
                    <w:rPr>
                      <w:rFonts w:hint="default" w:ascii="Times New Roman" w:hAnsi="Times New Roman" w:eastAsia="宋体" w:cs="Times New Roman"/>
                      <w:b/>
                      <w:bCs/>
                      <w:color w:val="auto"/>
                      <w:sz w:val="21"/>
                      <w:szCs w:val="21"/>
                      <w:highlight w:val="none"/>
                    </w:rPr>
                  </w:pPr>
                </w:p>
              </w:tc>
              <w:tc>
                <w:tcPr>
                  <w:tcW w:w="713" w:type="pct"/>
                  <w:vMerge w:val="continue"/>
                  <w:tcBorders>
                    <w:tl2br w:val="nil"/>
                    <w:tr2bl w:val="nil"/>
                  </w:tcBorders>
                  <w:noWrap w:val="0"/>
                  <w:vAlign w:val="center"/>
                </w:tcPr>
                <w:p w14:paraId="3B633CFB">
                  <w:pPr>
                    <w:snapToGrid w:val="0"/>
                    <w:jc w:val="center"/>
                    <w:rPr>
                      <w:rFonts w:hint="default" w:ascii="Times New Roman" w:hAnsi="Times New Roman" w:eastAsia="宋体" w:cs="Times New Roman"/>
                      <w:b/>
                      <w:bCs/>
                      <w:color w:val="auto"/>
                      <w:sz w:val="21"/>
                      <w:szCs w:val="21"/>
                      <w:highlight w:val="none"/>
                    </w:rPr>
                  </w:pPr>
                </w:p>
              </w:tc>
              <w:tc>
                <w:tcPr>
                  <w:tcW w:w="502" w:type="pct"/>
                  <w:vMerge w:val="continue"/>
                  <w:tcBorders>
                    <w:tl2br w:val="nil"/>
                    <w:tr2bl w:val="nil"/>
                  </w:tcBorders>
                  <w:noWrap w:val="0"/>
                  <w:vAlign w:val="center"/>
                </w:tcPr>
                <w:p w14:paraId="34998771">
                  <w:pPr>
                    <w:snapToGrid w:val="0"/>
                    <w:jc w:val="center"/>
                    <w:rPr>
                      <w:rFonts w:hint="default" w:ascii="Times New Roman" w:hAnsi="Times New Roman" w:eastAsia="宋体" w:cs="Times New Roman"/>
                      <w:b/>
                      <w:bCs/>
                      <w:color w:val="auto"/>
                      <w:sz w:val="21"/>
                      <w:szCs w:val="21"/>
                      <w:highlight w:val="none"/>
                    </w:rPr>
                  </w:pPr>
                </w:p>
              </w:tc>
              <w:tc>
                <w:tcPr>
                  <w:tcW w:w="960" w:type="pct"/>
                  <w:tcBorders>
                    <w:tl2br w:val="nil"/>
                    <w:tr2bl w:val="nil"/>
                  </w:tcBorders>
                  <w:noWrap w:val="0"/>
                  <w:vAlign w:val="center"/>
                </w:tcPr>
                <w:p w14:paraId="626AFB60">
                  <w:pPr>
                    <w:snapToGrid w:val="0"/>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经度</w:t>
                  </w:r>
                </w:p>
              </w:tc>
              <w:tc>
                <w:tcPr>
                  <w:tcW w:w="901" w:type="pct"/>
                  <w:tcBorders>
                    <w:tl2br w:val="nil"/>
                    <w:tr2bl w:val="nil"/>
                  </w:tcBorders>
                  <w:noWrap w:val="0"/>
                  <w:vAlign w:val="center"/>
                </w:tcPr>
                <w:p w14:paraId="42035765">
                  <w:pPr>
                    <w:snapToGrid w:val="0"/>
                    <w:jc w:val="center"/>
                    <w:rPr>
                      <w:rFonts w:hint="default" w:ascii="Times New Roman" w:hAnsi="Times New Roman" w:eastAsia="宋体" w:cs="Times New Roman"/>
                      <w:b/>
                      <w:bCs/>
                      <w:color w:val="auto"/>
                      <w:sz w:val="21"/>
                      <w:szCs w:val="21"/>
                      <w:highlight w:val="none"/>
                    </w:rPr>
                  </w:pPr>
                  <w:r>
                    <w:rPr>
                      <w:rFonts w:hint="eastAsia" w:ascii="Times New Roman" w:hAnsi="Times New Roman" w:cs="Times New Roman"/>
                      <w:b/>
                      <w:bCs/>
                      <w:color w:val="auto"/>
                      <w:sz w:val="21"/>
                      <w:szCs w:val="21"/>
                      <w:highlight w:val="none"/>
                      <w:lang w:eastAsia="zh-CN"/>
                    </w:rPr>
                    <w:t>纬</w:t>
                  </w:r>
                  <w:r>
                    <w:rPr>
                      <w:rFonts w:hint="default" w:ascii="Times New Roman" w:hAnsi="Times New Roman" w:eastAsia="宋体" w:cs="Times New Roman"/>
                      <w:b/>
                      <w:bCs/>
                      <w:color w:val="auto"/>
                      <w:sz w:val="21"/>
                      <w:szCs w:val="21"/>
                      <w:highlight w:val="none"/>
                    </w:rPr>
                    <w:t>度</w:t>
                  </w:r>
                </w:p>
              </w:tc>
              <w:tc>
                <w:tcPr>
                  <w:tcW w:w="310" w:type="pct"/>
                  <w:tcBorders>
                    <w:tl2br w:val="nil"/>
                    <w:tr2bl w:val="nil"/>
                  </w:tcBorders>
                  <w:noWrap w:val="0"/>
                  <w:vAlign w:val="center"/>
                </w:tcPr>
                <w:p w14:paraId="58E96C60">
                  <w:pPr>
                    <w:snapToGrid w:val="0"/>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高度</w:t>
                  </w:r>
                </w:p>
                <w:p w14:paraId="73FDC6A3">
                  <w:pPr>
                    <w:snapToGrid w:val="0"/>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(m)</w:t>
                  </w:r>
                </w:p>
              </w:tc>
              <w:tc>
                <w:tcPr>
                  <w:tcW w:w="326" w:type="pct"/>
                  <w:tcBorders>
                    <w:tl2br w:val="nil"/>
                    <w:tr2bl w:val="nil"/>
                  </w:tcBorders>
                  <w:noWrap w:val="0"/>
                  <w:vAlign w:val="center"/>
                </w:tcPr>
                <w:p w14:paraId="56D2B00B">
                  <w:pPr>
                    <w:snapToGrid w:val="0"/>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内径</w:t>
                  </w:r>
                </w:p>
                <w:p w14:paraId="2AC803C8">
                  <w:pPr>
                    <w:snapToGrid w:val="0"/>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(m)</w:t>
                  </w:r>
                </w:p>
              </w:tc>
              <w:tc>
                <w:tcPr>
                  <w:tcW w:w="351" w:type="pct"/>
                  <w:tcBorders>
                    <w:tl2br w:val="nil"/>
                    <w:tr2bl w:val="nil"/>
                  </w:tcBorders>
                  <w:noWrap w:val="0"/>
                  <w:vAlign w:val="center"/>
                </w:tcPr>
                <w:p w14:paraId="5363CEEF">
                  <w:pPr>
                    <w:snapToGrid w:val="0"/>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温度</w:t>
                  </w:r>
                </w:p>
                <w:p w14:paraId="2177B3E7">
                  <w:pPr>
                    <w:snapToGrid w:val="0"/>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w:t>
                  </w:r>
                </w:p>
              </w:tc>
              <w:tc>
                <w:tcPr>
                  <w:tcW w:w="521" w:type="pct"/>
                  <w:vMerge w:val="continue"/>
                  <w:tcBorders>
                    <w:tl2br w:val="nil"/>
                    <w:tr2bl w:val="nil"/>
                  </w:tcBorders>
                  <w:noWrap w:val="0"/>
                  <w:vAlign w:val="center"/>
                </w:tcPr>
                <w:p w14:paraId="43004C97">
                  <w:pPr>
                    <w:snapToGrid w:val="0"/>
                    <w:jc w:val="center"/>
                    <w:rPr>
                      <w:rFonts w:hint="default" w:ascii="Times New Roman" w:hAnsi="Times New Roman" w:eastAsia="宋体" w:cs="Times New Roman"/>
                      <w:color w:val="auto"/>
                      <w:sz w:val="21"/>
                      <w:szCs w:val="21"/>
                      <w:highlight w:val="none"/>
                      <w:lang w:eastAsia="zh-CN"/>
                    </w:rPr>
                  </w:pPr>
                </w:p>
              </w:tc>
            </w:tr>
            <w:tr w14:paraId="2DCD19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308" w:hRule="atLeast"/>
                <w:jc w:val="center"/>
              </w:trPr>
              <w:tc>
                <w:tcPr>
                  <w:tcW w:w="412" w:type="pct"/>
                  <w:tcBorders>
                    <w:tl2br w:val="nil"/>
                    <w:tr2bl w:val="nil"/>
                  </w:tcBorders>
                  <w:noWrap w:val="0"/>
                  <w:vAlign w:val="center"/>
                </w:tcPr>
                <w:p w14:paraId="17FEDC66">
                  <w:pPr>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sz w:val="21"/>
                      <w:szCs w:val="21"/>
                      <w:highlight w:val="none"/>
                      <w:lang w:val="en-US" w:eastAsia="zh-CN"/>
                    </w:rPr>
                    <w:t>DA00</w:t>
                  </w:r>
                  <w:r>
                    <w:rPr>
                      <w:rFonts w:hint="eastAsia" w:ascii="Times New Roman" w:hAnsi="Times New Roman" w:eastAsia="宋体" w:cs="Times New Roman"/>
                      <w:color w:val="auto"/>
                      <w:sz w:val="21"/>
                      <w:szCs w:val="21"/>
                      <w:highlight w:val="none"/>
                      <w:lang w:val="en-US" w:eastAsia="zh-CN"/>
                    </w:rPr>
                    <w:t>1</w:t>
                  </w:r>
                </w:p>
              </w:tc>
              <w:tc>
                <w:tcPr>
                  <w:tcW w:w="713" w:type="pct"/>
                  <w:tcBorders>
                    <w:tl2br w:val="nil"/>
                    <w:tr2bl w:val="nil"/>
                  </w:tcBorders>
                  <w:noWrap w:val="0"/>
                  <w:vAlign w:val="center"/>
                </w:tcPr>
                <w:p w14:paraId="20D844D8">
                  <w:pPr>
                    <w:jc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上料、筛分、破碎工序</w:t>
                  </w:r>
                </w:p>
              </w:tc>
              <w:tc>
                <w:tcPr>
                  <w:tcW w:w="502" w:type="pct"/>
                  <w:tcBorders>
                    <w:tl2br w:val="nil"/>
                    <w:tr2bl w:val="nil"/>
                  </w:tcBorders>
                  <w:noWrap w:val="0"/>
                  <w:vAlign w:val="center"/>
                </w:tcPr>
                <w:p w14:paraId="47D2C67B">
                  <w:pPr>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sz w:val="21"/>
                      <w:szCs w:val="21"/>
                      <w:highlight w:val="none"/>
                      <w:lang w:val="en-US" w:eastAsia="zh-CN"/>
                    </w:rPr>
                    <w:t>一般排放口</w:t>
                  </w:r>
                </w:p>
              </w:tc>
              <w:tc>
                <w:tcPr>
                  <w:tcW w:w="960" w:type="pct"/>
                  <w:tcBorders>
                    <w:tl2br w:val="nil"/>
                    <w:tr2bl w:val="nil"/>
                  </w:tcBorders>
                  <w:noWrap w:val="0"/>
                  <w:vAlign w:val="center"/>
                </w:tcPr>
                <w:p w14:paraId="3A4D9AD3">
                  <w:pPr>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118.39127362</w:t>
                  </w:r>
                  <w:r>
                    <w:rPr>
                      <w:rFonts w:hint="eastAsia" w:ascii="Times New Roman" w:hAnsi="Times New Roman" w:eastAsia="宋体" w:cs="Times New Roman"/>
                      <w:color w:val="auto"/>
                      <w:sz w:val="21"/>
                      <w:szCs w:val="21"/>
                      <w:highlight w:val="none"/>
                      <w:lang w:val="en-US" w:eastAsia="zh-CN"/>
                    </w:rPr>
                    <w:t>°</w:t>
                  </w:r>
                </w:p>
              </w:tc>
              <w:tc>
                <w:tcPr>
                  <w:tcW w:w="901" w:type="pct"/>
                  <w:tcBorders>
                    <w:tl2br w:val="nil"/>
                    <w:tr2bl w:val="nil"/>
                  </w:tcBorders>
                  <w:noWrap w:val="0"/>
                  <w:vAlign w:val="center"/>
                </w:tcPr>
                <w:p w14:paraId="69397BA6">
                  <w:pPr>
                    <w:jc w:val="center"/>
                    <w:rPr>
                      <w:rFonts w:hint="eastAsia"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38.98471171</w:t>
                  </w:r>
                  <w:r>
                    <w:rPr>
                      <w:rFonts w:hint="eastAsia" w:ascii="Times New Roman" w:hAnsi="Times New Roman" w:eastAsia="宋体" w:cs="Times New Roman"/>
                      <w:color w:val="auto"/>
                      <w:sz w:val="21"/>
                      <w:szCs w:val="21"/>
                      <w:highlight w:val="none"/>
                      <w:lang w:val="en-US" w:eastAsia="zh-CN"/>
                    </w:rPr>
                    <w:t>°</w:t>
                  </w:r>
                </w:p>
              </w:tc>
              <w:tc>
                <w:tcPr>
                  <w:tcW w:w="310" w:type="pct"/>
                  <w:tcBorders>
                    <w:tl2br w:val="nil"/>
                    <w:tr2bl w:val="nil"/>
                  </w:tcBorders>
                  <w:noWrap w:val="0"/>
                  <w:vAlign w:val="center"/>
                </w:tcPr>
                <w:p w14:paraId="08658C2A">
                  <w:pPr>
                    <w:jc w:val="center"/>
                    <w:rPr>
                      <w:rFonts w:hint="default"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val="en-US" w:eastAsia="zh-CN"/>
                    </w:rPr>
                    <w:t>25</w:t>
                  </w:r>
                </w:p>
              </w:tc>
              <w:tc>
                <w:tcPr>
                  <w:tcW w:w="326" w:type="pct"/>
                  <w:tcBorders>
                    <w:tl2br w:val="nil"/>
                    <w:tr2bl w:val="nil"/>
                  </w:tcBorders>
                  <w:noWrap w:val="0"/>
                  <w:vAlign w:val="center"/>
                </w:tcPr>
                <w:p w14:paraId="1B274877">
                  <w:pPr>
                    <w:jc w:val="center"/>
                    <w:rPr>
                      <w:rFonts w:hint="default"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val="en-US" w:eastAsia="zh-CN"/>
                    </w:rPr>
                    <w:t>1.4</w:t>
                  </w:r>
                </w:p>
              </w:tc>
              <w:tc>
                <w:tcPr>
                  <w:tcW w:w="351" w:type="pct"/>
                  <w:tcBorders>
                    <w:tl2br w:val="nil"/>
                    <w:tr2bl w:val="nil"/>
                  </w:tcBorders>
                  <w:noWrap w:val="0"/>
                  <w:vAlign w:val="center"/>
                </w:tcPr>
                <w:p w14:paraId="127B7C48">
                  <w:pPr>
                    <w:jc w:val="center"/>
                    <w:rPr>
                      <w:rFonts w:hint="default"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val="en-US" w:eastAsia="zh-CN"/>
                    </w:rPr>
                    <w:t>室温</w:t>
                  </w:r>
                </w:p>
              </w:tc>
              <w:tc>
                <w:tcPr>
                  <w:tcW w:w="521" w:type="pct"/>
                  <w:tcBorders>
                    <w:tl2br w:val="nil"/>
                    <w:tr2bl w:val="nil"/>
                  </w:tcBorders>
                  <w:noWrap w:val="0"/>
                  <w:vAlign w:val="center"/>
                </w:tcPr>
                <w:p w14:paraId="15A2F06F">
                  <w:pPr>
                    <w:widowControl/>
                    <w:spacing w:line="240" w:lineRule="exact"/>
                    <w:ind w:left="-120" w:leftChars="-50" w:right="-120" w:rightChars="-50"/>
                    <w:jc w:val="center"/>
                    <w:rPr>
                      <w:rFonts w:hint="eastAsia" w:eastAsia="宋体"/>
                      <w:color w:val="auto"/>
                      <w:kern w:val="0"/>
                      <w:szCs w:val="21"/>
                      <w:highlight w:val="none"/>
                      <w:lang w:eastAsia="zh-CN"/>
                    </w:rPr>
                  </w:pPr>
                  <w:r>
                    <w:rPr>
                      <w:rFonts w:hint="eastAsia" w:ascii="Times New Roman" w:hAnsi="Times New Roman" w:cs="Times New Roman"/>
                      <w:color w:val="auto"/>
                      <w:kern w:val="2"/>
                      <w:sz w:val="21"/>
                      <w:szCs w:val="21"/>
                      <w:highlight w:val="none"/>
                      <w:lang w:val="en-US" w:eastAsia="zh-CN" w:bidi="ar-SA"/>
                    </w:rPr>
                    <w:t>颗粒物</w:t>
                  </w:r>
                </w:p>
              </w:tc>
            </w:tr>
            <w:tr w14:paraId="608D62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510" w:hRule="atLeast"/>
                <w:jc w:val="center"/>
              </w:trPr>
              <w:tc>
                <w:tcPr>
                  <w:tcW w:w="412" w:type="pct"/>
                  <w:tcBorders>
                    <w:tl2br w:val="nil"/>
                    <w:tr2bl w:val="nil"/>
                  </w:tcBorders>
                  <w:noWrap w:val="0"/>
                  <w:vAlign w:val="center"/>
                </w:tcPr>
                <w:p w14:paraId="697A756E">
                  <w:pPr>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sz w:val="21"/>
                      <w:szCs w:val="21"/>
                      <w:highlight w:val="none"/>
                      <w:lang w:val="en-US" w:eastAsia="zh-CN"/>
                    </w:rPr>
                    <w:t>DA00</w:t>
                  </w:r>
                  <w:r>
                    <w:rPr>
                      <w:rFonts w:hint="eastAsia" w:ascii="Times New Roman" w:hAnsi="Times New Roman" w:eastAsia="宋体" w:cs="Times New Roman"/>
                      <w:color w:val="auto"/>
                      <w:sz w:val="21"/>
                      <w:szCs w:val="21"/>
                      <w:highlight w:val="none"/>
                      <w:lang w:val="en-US" w:eastAsia="zh-CN"/>
                    </w:rPr>
                    <w:t>2</w:t>
                  </w:r>
                </w:p>
              </w:tc>
              <w:tc>
                <w:tcPr>
                  <w:tcW w:w="713" w:type="pct"/>
                  <w:tcBorders>
                    <w:tl2br w:val="nil"/>
                    <w:tr2bl w:val="nil"/>
                  </w:tcBorders>
                  <w:noWrap w:val="0"/>
                  <w:vAlign w:val="center"/>
                </w:tcPr>
                <w:p w14:paraId="7B974F28">
                  <w:pPr>
                    <w:jc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移动破碎机排放口</w:t>
                  </w:r>
                </w:p>
              </w:tc>
              <w:tc>
                <w:tcPr>
                  <w:tcW w:w="502" w:type="pct"/>
                  <w:tcBorders>
                    <w:tl2br w:val="nil"/>
                    <w:tr2bl w:val="nil"/>
                  </w:tcBorders>
                  <w:noWrap w:val="0"/>
                  <w:vAlign w:val="center"/>
                </w:tcPr>
                <w:p w14:paraId="4FB056C3">
                  <w:pPr>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sz w:val="21"/>
                      <w:szCs w:val="21"/>
                      <w:highlight w:val="none"/>
                      <w:lang w:val="en-US" w:eastAsia="zh-CN"/>
                    </w:rPr>
                    <w:t>一般排放口</w:t>
                  </w:r>
                </w:p>
              </w:tc>
              <w:tc>
                <w:tcPr>
                  <w:tcW w:w="960" w:type="pct"/>
                  <w:tcBorders>
                    <w:tl2br w:val="nil"/>
                    <w:tr2bl w:val="nil"/>
                  </w:tcBorders>
                  <w:noWrap w:val="0"/>
                  <w:vAlign w:val="center"/>
                </w:tcPr>
                <w:p w14:paraId="09DDD15C">
                  <w:pPr>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118.38945508</w:t>
                  </w:r>
                  <w:r>
                    <w:rPr>
                      <w:rFonts w:hint="eastAsia" w:ascii="Times New Roman" w:hAnsi="Times New Roman" w:eastAsia="宋体" w:cs="Times New Roman"/>
                      <w:color w:val="auto"/>
                      <w:sz w:val="21"/>
                      <w:szCs w:val="21"/>
                      <w:highlight w:val="none"/>
                      <w:lang w:val="en-US" w:eastAsia="zh-CN"/>
                    </w:rPr>
                    <w:t>°</w:t>
                  </w:r>
                </w:p>
              </w:tc>
              <w:tc>
                <w:tcPr>
                  <w:tcW w:w="901" w:type="pct"/>
                  <w:tcBorders>
                    <w:tl2br w:val="nil"/>
                    <w:tr2bl w:val="nil"/>
                  </w:tcBorders>
                  <w:noWrap w:val="0"/>
                  <w:vAlign w:val="center"/>
                </w:tcPr>
                <w:p w14:paraId="717C18D3">
                  <w:pPr>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38.98440731</w:t>
                  </w:r>
                  <w:r>
                    <w:rPr>
                      <w:rFonts w:hint="eastAsia" w:ascii="Times New Roman" w:hAnsi="Times New Roman" w:eastAsia="宋体" w:cs="Times New Roman"/>
                      <w:color w:val="auto"/>
                      <w:sz w:val="21"/>
                      <w:szCs w:val="21"/>
                      <w:highlight w:val="none"/>
                      <w:lang w:val="en-US" w:eastAsia="zh-CN"/>
                    </w:rPr>
                    <w:t>°</w:t>
                  </w:r>
                </w:p>
              </w:tc>
              <w:tc>
                <w:tcPr>
                  <w:tcW w:w="310" w:type="pct"/>
                  <w:tcBorders>
                    <w:tl2br w:val="nil"/>
                    <w:tr2bl w:val="nil"/>
                  </w:tcBorders>
                  <w:noWrap w:val="0"/>
                  <w:vAlign w:val="center"/>
                </w:tcPr>
                <w:p w14:paraId="46967A02">
                  <w:pPr>
                    <w:jc w:val="center"/>
                    <w:rPr>
                      <w:rFonts w:hint="default" w:ascii="Times New Roman" w:hAnsi="Times New Roman" w:eastAsia="宋体" w:cs="Times New Roman"/>
                      <w:color w:val="auto"/>
                      <w:sz w:val="21"/>
                      <w:szCs w:val="21"/>
                      <w:highlight w:val="none"/>
                      <w:lang w:val="en-US"/>
                    </w:rPr>
                  </w:pPr>
                  <w:r>
                    <w:rPr>
                      <w:rFonts w:hint="eastAsia" w:cs="Times New Roman"/>
                      <w:color w:val="auto"/>
                      <w:sz w:val="21"/>
                      <w:szCs w:val="21"/>
                      <w:highlight w:val="none"/>
                      <w:lang w:val="en-US" w:eastAsia="zh-CN"/>
                    </w:rPr>
                    <w:t>25</w:t>
                  </w:r>
                </w:p>
              </w:tc>
              <w:tc>
                <w:tcPr>
                  <w:tcW w:w="326" w:type="pct"/>
                  <w:tcBorders>
                    <w:tl2br w:val="nil"/>
                    <w:tr2bl w:val="nil"/>
                  </w:tcBorders>
                  <w:noWrap w:val="0"/>
                  <w:vAlign w:val="center"/>
                </w:tcPr>
                <w:p w14:paraId="4C1391F7">
                  <w:pPr>
                    <w:jc w:val="center"/>
                    <w:rPr>
                      <w:rFonts w:hint="default"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val="en-US" w:eastAsia="zh-CN"/>
                    </w:rPr>
                    <w:t>1.2</w:t>
                  </w:r>
                </w:p>
              </w:tc>
              <w:tc>
                <w:tcPr>
                  <w:tcW w:w="351" w:type="pct"/>
                  <w:tcBorders>
                    <w:tl2br w:val="nil"/>
                    <w:tr2bl w:val="nil"/>
                  </w:tcBorders>
                  <w:noWrap w:val="0"/>
                  <w:vAlign w:val="center"/>
                </w:tcPr>
                <w:p w14:paraId="4508D711">
                  <w:pPr>
                    <w:jc w:val="center"/>
                    <w:rPr>
                      <w:rFonts w:hint="default"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val="en-US" w:eastAsia="zh-CN"/>
                    </w:rPr>
                    <w:t>室温</w:t>
                  </w:r>
                </w:p>
              </w:tc>
              <w:tc>
                <w:tcPr>
                  <w:tcW w:w="521" w:type="pct"/>
                  <w:tcBorders>
                    <w:tl2br w:val="nil"/>
                    <w:tr2bl w:val="nil"/>
                  </w:tcBorders>
                  <w:noWrap w:val="0"/>
                  <w:vAlign w:val="center"/>
                </w:tcPr>
                <w:p w14:paraId="3BDD95B7">
                  <w:pPr>
                    <w:widowControl/>
                    <w:spacing w:line="240" w:lineRule="exact"/>
                    <w:ind w:left="-120" w:leftChars="-50" w:right="-120" w:rightChars="-50"/>
                    <w:jc w:val="center"/>
                    <w:rPr>
                      <w:rFonts w:hint="default" w:ascii="Times New Roman" w:hAnsi="Times New Roman" w:cs="Times New Roman"/>
                      <w:color w:val="auto"/>
                      <w:kern w:val="2"/>
                      <w:sz w:val="21"/>
                      <w:szCs w:val="21"/>
                      <w:highlight w:val="none"/>
                      <w:lang w:val="en-US" w:eastAsia="zh-CN" w:bidi="ar-SA"/>
                    </w:rPr>
                  </w:pPr>
                  <w:r>
                    <w:rPr>
                      <w:rFonts w:hint="eastAsia" w:ascii="Times New Roman" w:hAnsi="Times New Roman" w:cs="Times New Roman"/>
                      <w:color w:val="auto"/>
                      <w:kern w:val="2"/>
                      <w:sz w:val="21"/>
                      <w:szCs w:val="21"/>
                      <w:highlight w:val="none"/>
                      <w:lang w:val="en-US" w:eastAsia="zh-CN" w:bidi="ar-SA"/>
                    </w:rPr>
                    <w:t>颗粒物</w:t>
                  </w:r>
                </w:p>
              </w:tc>
            </w:tr>
            <w:tr w14:paraId="47A71D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510" w:hRule="atLeast"/>
                <w:jc w:val="center"/>
              </w:trPr>
              <w:tc>
                <w:tcPr>
                  <w:tcW w:w="412" w:type="pct"/>
                  <w:tcBorders>
                    <w:tl2br w:val="nil"/>
                    <w:tr2bl w:val="nil"/>
                  </w:tcBorders>
                  <w:noWrap w:val="0"/>
                  <w:vAlign w:val="center"/>
                </w:tcPr>
                <w:p w14:paraId="7C86A2B2">
                  <w:pPr>
                    <w:jc w:val="center"/>
                    <w:rPr>
                      <w:rFonts w:hint="eastAsia" w:ascii="Times New Roman" w:hAnsi="Times New Roman" w:eastAsia="宋体" w:cs="Times New Roman"/>
                      <w:color w:val="auto"/>
                      <w:sz w:val="21"/>
                      <w:szCs w:val="21"/>
                      <w:highlight w:val="none"/>
                      <w:lang w:val="en-US" w:eastAsia="zh-CN"/>
                    </w:rPr>
                  </w:pPr>
                  <w:r>
                    <w:rPr>
                      <w:rFonts w:hint="eastAsia"/>
                      <w:sz w:val="21"/>
                      <w:szCs w:val="21"/>
                    </w:rPr>
                    <w:t>食堂</w:t>
                  </w:r>
                  <w:r>
                    <w:rPr>
                      <w:rFonts w:hint="eastAsia"/>
                      <w:sz w:val="21"/>
                      <w:szCs w:val="21"/>
                      <w:lang w:eastAsia="zh-CN"/>
                    </w:rPr>
                    <w:t>废气口</w:t>
                  </w:r>
                </w:p>
              </w:tc>
              <w:tc>
                <w:tcPr>
                  <w:tcW w:w="713" w:type="pct"/>
                  <w:tcBorders>
                    <w:tl2br w:val="nil"/>
                    <w:tr2bl w:val="nil"/>
                  </w:tcBorders>
                  <w:noWrap w:val="0"/>
                  <w:vAlign w:val="center"/>
                </w:tcPr>
                <w:p w14:paraId="7F8D533E">
                  <w:pPr>
                    <w:jc w:val="center"/>
                    <w:rPr>
                      <w:rFonts w:hint="eastAsia"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val="en-US" w:eastAsia="zh-CN"/>
                    </w:rPr>
                    <w:t>食堂</w:t>
                  </w:r>
                </w:p>
              </w:tc>
              <w:tc>
                <w:tcPr>
                  <w:tcW w:w="502" w:type="pct"/>
                  <w:tcBorders>
                    <w:tl2br w:val="nil"/>
                    <w:tr2bl w:val="nil"/>
                  </w:tcBorders>
                  <w:noWrap w:val="0"/>
                  <w:vAlign w:val="center"/>
                </w:tcPr>
                <w:p w14:paraId="7645BF8E">
                  <w:pPr>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一般排放口</w:t>
                  </w:r>
                </w:p>
              </w:tc>
              <w:tc>
                <w:tcPr>
                  <w:tcW w:w="960" w:type="pct"/>
                  <w:tcBorders>
                    <w:tl2br w:val="nil"/>
                    <w:tr2bl w:val="nil"/>
                  </w:tcBorders>
                  <w:noWrap w:val="0"/>
                  <w:vAlign w:val="center"/>
                </w:tcPr>
                <w:p w14:paraId="7EC370DA">
                  <w:pPr>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118.39135525</w:t>
                  </w:r>
                  <w:r>
                    <w:rPr>
                      <w:rFonts w:hint="eastAsia" w:ascii="Times New Roman" w:hAnsi="Times New Roman" w:eastAsia="宋体" w:cs="Times New Roman"/>
                      <w:color w:val="auto"/>
                      <w:sz w:val="21"/>
                      <w:szCs w:val="21"/>
                      <w:highlight w:val="none"/>
                      <w:lang w:val="en-US" w:eastAsia="zh-CN"/>
                    </w:rPr>
                    <w:t>°</w:t>
                  </w:r>
                </w:p>
              </w:tc>
              <w:tc>
                <w:tcPr>
                  <w:tcW w:w="901" w:type="pct"/>
                  <w:tcBorders>
                    <w:tl2br w:val="nil"/>
                    <w:tr2bl w:val="nil"/>
                  </w:tcBorders>
                  <w:noWrap w:val="0"/>
                  <w:vAlign w:val="center"/>
                </w:tcPr>
                <w:p w14:paraId="352A9C14">
                  <w:pPr>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38.97990760</w:t>
                  </w:r>
                  <w:r>
                    <w:rPr>
                      <w:rFonts w:hint="eastAsia" w:ascii="Times New Roman" w:hAnsi="Times New Roman" w:eastAsia="宋体" w:cs="Times New Roman"/>
                      <w:color w:val="auto"/>
                      <w:sz w:val="21"/>
                      <w:szCs w:val="21"/>
                      <w:highlight w:val="none"/>
                      <w:lang w:val="en-US" w:eastAsia="zh-CN"/>
                    </w:rPr>
                    <w:t>°</w:t>
                  </w:r>
                </w:p>
              </w:tc>
              <w:tc>
                <w:tcPr>
                  <w:tcW w:w="310" w:type="pct"/>
                  <w:tcBorders>
                    <w:tl2br w:val="nil"/>
                    <w:tr2bl w:val="nil"/>
                  </w:tcBorders>
                  <w:noWrap w:val="0"/>
                  <w:vAlign w:val="center"/>
                </w:tcPr>
                <w:p w14:paraId="672E35A2">
                  <w:pPr>
                    <w:jc w:val="center"/>
                    <w:rPr>
                      <w:rFonts w:hint="default" w:ascii="Times New Roman" w:hAnsi="Times New Roman" w:cs="Times New Roman"/>
                      <w:color w:val="auto"/>
                      <w:sz w:val="21"/>
                      <w:szCs w:val="21"/>
                      <w:highlight w:val="none"/>
                      <w:lang w:val="en-US" w:eastAsia="zh-CN"/>
                    </w:rPr>
                  </w:pPr>
                  <w:r>
                    <w:rPr>
                      <w:rFonts w:hint="eastAsia" w:cs="Times New Roman"/>
                      <w:color w:val="auto"/>
                      <w:sz w:val="21"/>
                      <w:szCs w:val="21"/>
                      <w:highlight w:val="none"/>
                      <w:lang w:val="en-US" w:eastAsia="zh-CN"/>
                    </w:rPr>
                    <w:t>25</w:t>
                  </w:r>
                </w:p>
              </w:tc>
              <w:tc>
                <w:tcPr>
                  <w:tcW w:w="326" w:type="pct"/>
                  <w:tcBorders>
                    <w:tl2br w:val="nil"/>
                    <w:tr2bl w:val="nil"/>
                  </w:tcBorders>
                  <w:noWrap w:val="0"/>
                  <w:vAlign w:val="center"/>
                </w:tcPr>
                <w:p w14:paraId="30D556D1">
                  <w:pPr>
                    <w:jc w:val="center"/>
                    <w:rPr>
                      <w:rFonts w:hint="default" w:cs="Times New Roman"/>
                      <w:color w:val="auto"/>
                      <w:sz w:val="21"/>
                      <w:szCs w:val="21"/>
                      <w:highlight w:val="none"/>
                      <w:lang w:val="en-US" w:eastAsia="zh-CN"/>
                    </w:rPr>
                  </w:pPr>
                  <w:r>
                    <w:rPr>
                      <w:rFonts w:hint="eastAsia" w:cs="Times New Roman"/>
                      <w:color w:val="auto"/>
                      <w:sz w:val="21"/>
                      <w:szCs w:val="21"/>
                      <w:highlight w:val="none"/>
                      <w:lang w:val="en-US" w:eastAsia="zh-CN"/>
                    </w:rPr>
                    <w:t>0.3</w:t>
                  </w:r>
                </w:p>
              </w:tc>
              <w:tc>
                <w:tcPr>
                  <w:tcW w:w="351" w:type="pct"/>
                  <w:tcBorders>
                    <w:tl2br w:val="nil"/>
                    <w:tr2bl w:val="nil"/>
                  </w:tcBorders>
                  <w:noWrap w:val="0"/>
                  <w:vAlign w:val="center"/>
                </w:tcPr>
                <w:p w14:paraId="1BBFC1F3">
                  <w:pPr>
                    <w:jc w:val="center"/>
                    <w:rPr>
                      <w:rFonts w:hint="default"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val="en-US" w:eastAsia="zh-CN"/>
                    </w:rPr>
                    <w:t>40</w:t>
                  </w:r>
                </w:p>
              </w:tc>
              <w:tc>
                <w:tcPr>
                  <w:tcW w:w="521" w:type="pct"/>
                  <w:tcBorders>
                    <w:tl2br w:val="nil"/>
                    <w:tr2bl w:val="nil"/>
                  </w:tcBorders>
                  <w:noWrap w:val="0"/>
                  <w:vAlign w:val="center"/>
                </w:tcPr>
                <w:p w14:paraId="2A6FFDBA">
                  <w:pPr>
                    <w:keepNext w:val="0"/>
                    <w:keepLines w:val="0"/>
                    <w:pageBreakBefore w:val="0"/>
                    <w:widowControl/>
                    <w:kinsoku/>
                    <w:wordWrap/>
                    <w:overflowPunct/>
                    <w:topLinePunct w:val="0"/>
                    <w:autoSpaceDE/>
                    <w:autoSpaceDN/>
                    <w:bidi w:val="0"/>
                    <w:adjustRightInd/>
                    <w:snapToGrid/>
                    <w:spacing w:line="240" w:lineRule="exact"/>
                    <w:ind w:left="0" w:leftChars="0" w:right="0" w:rightChars="0"/>
                    <w:jc w:val="center"/>
                    <w:textAlignment w:val="auto"/>
                    <w:rPr>
                      <w:rFonts w:hint="eastAsia" w:ascii="Times New Roman" w:hAnsi="Times New Roman" w:cs="Times New Roman"/>
                      <w:color w:val="auto"/>
                      <w:kern w:val="2"/>
                      <w:sz w:val="21"/>
                      <w:szCs w:val="21"/>
                      <w:highlight w:val="none"/>
                      <w:lang w:val="en-US" w:eastAsia="zh-CN" w:bidi="ar-SA"/>
                    </w:rPr>
                  </w:pPr>
                  <w:r>
                    <w:rPr>
                      <w:rFonts w:hint="eastAsia" w:ascii="Times New Roman" w:hAnsi="Times New Roman" w:cs="Times New Roman"/>
                      <w:color w:val="auto"/>
                      <w:kern w:val="2"/>
                      <w:sz w:val="21"/>
                      <w:szCs w:val="21"/>
                      <w:highlight w:val="none"/>
                      <w:lang w:val="en-US" w:eastAsia="zh-CN" w:bidi="ar-SA"/>
                    </w:rPr>
                    <w:t>油烟</w:t>
                  </w:r>
                </w:p>
              </w:tc>
            </w:tr>
          </w:tbl>
          <w:p w14:paraId="70DCB238">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cs="Times New Roman"/>
                <w:color w:val="auto"/>
                <w:sz w:val="24"/>
                <w:szCs w:val="24"/>
                <w:highlight w:val="none"/>
                <w:lang w:val="en-US" w:eastAsia="zh-CN"/>
              </w:rPr>
            </w:pPr>
            <w:r>
              <w:rPr>
                <w:rFonts w:hint="default" w:ascii="Times New Roman" w:hAnsi="Times New Roman" w:cs="Times New Roman"/>
                <w:color w:val="auto"/>
                <w:sz w:val="24"/>
                <w:szCs w:val="24"/>
                <w:highlight w:val="none"/>
                <w:lang w:val="en-US" w:eastAsia="zh-CN"/>
              </w:rPr>
              <w:t>3、非正常工况分析</w:t>
            </w:r>
          </w:p>
          <w:p w14:paraId="47AAC0CE">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cs="Times New Roman"/>
                <w:color w:val="auto"/>
                <w:sz w:val="24"/>
                <w:szCs w:val="24"/>
                <w:highlight w:val="none"/>
                <w:lang w:val="en-US" w:eastAsia="zh-CN"/>
              </w:rPr>
            </w:pPr>
            <w:r>
              <w:rPr>
                <w:rFonts w:hint="default" w:ascii="Times New Roman" w:hAnsi="Times New Roman" w:cs="Times New Roman"/>
                <w:color w:val="auto"/>
                <w:sz w:val="24"/>
                <w:szCs w:val="24"/>
                <w:highlight w:val="none"/>
                <w:lang w:val="en-US" w:eastAsia="zh-CN"/>
              </w:rPr>
              <w:t>非正常生产排污包括开车、停车、检修和非正常工况的污染物排放，如工艺设备、环保设施不能正常运行等。项目为分批次生产，即在完成相应批次后，生产设备中无生产物料，开停机情况下不会有废物产生。</w:t>
            </w:r>
          </w:p>
          <w:p w14:paraId="1C38ED9B">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cs="Times New Roman"/>
                <w:color w:val="auto"/>
                <w:sz w:val="24"/>
                <w:szCs w:val="24"/>
                <w:highlight w:val="none"/>
                <w:lang w:val="en-US" w:eastAsia="zh-CN"/>
              </w:rPr>
            </w:pPr>
            <w:r>
              <w:rPr>
                <w:rFonts w:hint="default" w:ascii="Times New Roman" w:hAnsi="Times New Roman" w:cs="Times New Roman"/>
                <w:color w:val="auto"/>
                <w:sz w:val="24"/>
                <w:szCs w:val="24"/>
                <w:highlight w:val="none"/>
                <w:lang w:val="en-US" w:eastAsia="zh-CN"/>
              </w:rPr>
              <w:t>如发生停电现象或者废气处理设施故障，存在废气非正常排放的可能。本次评价考虑废气处理装置的最坏状况，处理效率为</w:t>
            </w:r>
            <w:r>
              <w:rPr>
                <w:rFonts w:hint="eastAsia" w:cs="Times New Roman"/>
                <w:color w:val="auto"/>
                <w:sz w:val="24"/>
                <w:szCs w:val="24"/>
                <w:highlight w:val="none"/>
                <w:lang w:val="en-US" w:eastAsia="zh-CN"/>
              </w:rPr>
              <w:t>0</w:t>
            </w:r>
            <w:r>
              <w:rPr>
                <w:rFonts w:hint="default" w:ascii="Times New Roman" w:hAnsi="Times New Roman" w:cs="Times New Roman"/>
                <w:color w:val="auto"/>
                <w:sz w:val="24"/>
                <w:szCs w:val="24"/>
                <w:highlight w:val="none"/>
                <w:lang w:val="en-US" w:eastAsia="zh-CN"/>
              </w:rPr>
              <w:t>%时，可引起废气中污染物的超标排放。非正常工况下废气污染物排放情况见下表。</w:t>
            </w:r>
          </w:p>
          <w:p w14:paraId="2B639203">
            <w:pPr>
              <w:keepNext w:val="0"/>
              <w:keepLines w:val="0"/>
              <w:pageBreakBefore w:val="0"/>
              <w:widowControl/>
              <w:suppressLineNumbers w:val="0"/>
              <w:kinsoku/>
              <w:wordWrap/>
              <w:overflowPunct/>
              <w:topLinePunct w:val="0"/>
              <w:autoSpaceDE/>
              <w:autoSpaceDN/>
              <w:bidi w:val="0"/>
              <w:spacing w:line="500" w:lineRule="exact"/>
              <w:jc w:val="center"/>
              <w:textAlignment w:val="auto"/>
              <w:rPr>
                <w:b/>
                <w:bCs/>
                <w:kern w:val="24"/>
                <w:highlight w:val="none"/>
              </w:rPr>
            </w:pPr>
            <w:r>
              <w:rPr>
                <w:b/>
                <w:bCs/>
                <w:kern w:val="24"/>
                <w:highlight w:val="none"/>
              </w:rPr>
              <w:t>表</w:t>
            </w:r>
            <w:r>
              <w:rPr>
                <w:rFonts w:hint="eastAsia"/>
                <w:b/>
                <w:bCs/>
                <w:kern w:val="24"/>
                <w:highlight w:val="none"/>
                <w:lang w:val="en-US" w:eastAsia="zh-CN"/>
              </w:rPr>
              <w:t>4-8</w:t>
            </w:r>
            <w:r>
              <w:rPr>
                <w:b/>
                <w:bCs/>
                <w:kern w:val="24"/>
                <w:highlight w:val="none"/>
              </w:rPr>
              <w:t xml:space="preserve"> </w:t>
            </w:r>
            <w:r>
              <w:rPr>
                <w:rFonts w:hint="eastAsia" w:ascii="宋体" w:hAnsi="宋体" w:cs="宋体"/>
                <w:b/>
                <w:bCs/>
                <w:color w:val="000000"/>
                <w:kern w:val="0"/>
                <w:sz w:val="24"/>
                <w:szCs w:val="24"/>
                <w:lang w:val="en-US" w:eastAsia="zh-CN" w:bidi="ar"/>
              </w:rPr>
              <w:t>非正常工况废气排放一览表</w:t>
            </w:r>
          </w:p>
          <w:tbl>
            <w:tblPr>
              <w:tblStyle w:val="25"/>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58"/>
              <w:gridCol w:w="887"/>
              <w:gridCol w:w="1200"/>
              <w:gridCol w:w="1040"/>
              <w:gridCol w:w="889"/>
              <w:gridCol w:w="925"/>
              <w:gridCol w:w="684"/>
              <w:gridCol w:w="647"/>
              <w:gridCol w:w="848"/>
            </w:tblGrid>
            <w:tr w14:paraId="43699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46" w:type="pct"/>
                  <w:tcBorders>
                    <w:tl2br w:val="nil"/>
                    <w:tr2bl w:val="nil"/>
                  </w:tcBorders>
                  <w:noWrap w:val="0"/>
                  <w:vAlign w:val="center"/>
                </w:tcPr>
                <w:p w14:paraId="76797659">
                  <w:pPr>
                    <w:jc w:val="center"/>
                    <w:rPr>
                      <w:rFonts w:hint="eastAsia" w:ascii="Times New Roman" w:hAnsi="Times New Roman" w:eastAsia="宋体" w:cs="Times New Roman"/>
                      <w:kern w:val="24"/>
                      <w:sz w:val="21"/>
                      <w:szCs w:val="21"/>
                      <w:highlight w:val="none"/>
                      <w:lang w:val="en-US" w:eastAsia="zh-CN"/>
                    </w:rPr>
                  </w:pPr>
                  <w:r>
                    <w:rPr>
                      <w:rFonts w:hint="eastAsia" w:cs="Times New Roman"/>
                      <w:kern w:val="24"/>
                      <w:sz w:val="21"/>
                      <w:szCs w:val="21"/>
                      <w:highlight w:val="none"/>
                      <w:lang w:val="en-US" w:eastAsia="zh-CN"/>
                    </w:rPr>
                    <w:t>污染源</w:t>
                  </w:r>
                </w:p>
              </w:tc>
              <w:tc>
                <w:tcPr>
                  <w:tcW w:w="542" w:type="pct"/>
                  <w:tcBorders>
                    <w:tl2br w:val="nil"/>
                    <w:tr2bl w:val="nil"/>
                  </w:tcBorders>
                  <w:noWrap w:val="0"/>
                  <w:vAlign w:val="center"/>
                </w:tcPr>
                <w:p w14:paraId="30A4FE26">
                  <w:pPr>
                    <w:jc w:val="center"/>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污染物名称</w:t>
                  </w:r>
                </w:p>
              </w:tc>
              <w:tc>
                <w:tcPr>
                  <w:tcW w:w="733" w:type="pct"/>
                  <w:tcBorders>
                    <w:tl2br w:val="nil"/>
                    <w:tr2bl w:val="nil"/>
                  </w:tcBorders>
                  <w:noWrap w:val="0"/>
                  <w:vAlign w:val="center"/>
                </w:tcPr>
                <w:p w14:paraId="1D7F43F0">
                  <w:pPr>
                    <w:jc w:val="center"/>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废气量</w:t>
                  </w:r>
                </w:p>
                <w:p w14:paraId="13EE9FDE">
                  <w:pPr>
                    <w:jc w:val="center"/>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m</w:t>
                  </w:r>
                  <w:r>
                    <w:rPr>
                      <w:rFonts w:hint="eastAsia" w:ascii="Times New Roman" w:hAnsi="Times New Roman" w:eastAsia="宋体" w:cs="Times New Roman"/>
                      <w:kern w:val="24"/>
                      <w:sz w:val="21"/>
                      <w:szCs w:val="21"/>
                      <w:highlight w:val="none"/>
                      <w:vertAlign w:val="superscript"/>
                      <w:lang w:val="en-US" w:eastAsia="zh-CN"/>
                    </w:rPr>
                    <w:t>3</w:t>
                  </w:r>
                  <w:r>
                    <w:rPr>
                      <w:rFonts w:hint="eastAsia" w:ascii="Times New Roman" w:hAnsi="Times New Roman" w:eastAsia="宋体" w:cs="Times New Roman"/>
                      <w:kern w:val="24"/>
                      <w:sz w:val="21"/>
                      <w:szCs w:val="21"/>
                      <w:highlight w:val="none"/>
                      <w:lang w:val="en-US" w:eastAsia="zh-CN"/>
                    </w:rPr>
                    <w:t>/h</w:t>
                  </w:r>
                </w:p>
              </w:tc>
              <w:tc>
                <w:tcPr>
                  <w:tcW w:w="635" w:type="pct"/>
                  <w:tcBorders>
                    <w:tl2br w:val="nil"/>
                    <w:tr2bl w:val="nil"/>
                  </w:tcBorders>
                  <w:noWrap w:val="0"/>
                  <w:vAlign w:val="center"/>
                </w:tcPr>
                <w:p w14:paraId="5B2F9045">
                  <w:pPr>
                    <w:jc w:val="center"/>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排放浓度mg/m</w:t>
                  </w:r>
                  <w:r>
                    <w:rPr>
                      <w:rFonts w:hint="eastAsia" w:ascii="Times New Roman" w:hAnsi="Times New Roman" w:eastAsia="宋体" w:cs="Times New Roman"/>
                      <w:kern w:val="24"/>
                      <w:sz w:val="21"/>
                      <w:szCs w:val="21"/>
                      <w:highlight w:val="none"/>
                      <w:vertAlign w:val="superscript"/>
                      <w:lang w:val="en-US" w:eastAsia="zh-CN"/>
                    </w:rPr>
                    <w:t>3</w:t>
                  </w:r>
                </w:p>
              </w:tc>
              <w:tc>
                <w:tcPr>
                  <w:tcW w:w="543" w:type="pct"/>
                  <w:tcBorders>
                    <w:tl2br w:val="nil"/>
                    <w:tr2bl w:val="nil"/>
                  </w:tcBorders>
                  <w:noWrap w:val="0"/>
                  <w:vAlign w:val="center"/>
                </w:tcPr>
                <w:p w14:paraId="2D9EDE99">
                  <w:pPr>
                    <w:jc w:val="center"/>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排放速率kg/h</w:t>
                  </w:r>
                </w:p>
              </w:tc>
              <w:tc>
                <w:tcPr>
                  <w:tcW w:w="565" w:type="pct"/>
                  <w:tcBorders>
                    <w:tl2br w:val="nil"/>
                    <w:tr2bl w:val="nil"/>
                  </w:tcBorders>
                  <w:noWrap w:val="0"/>
                  <w:vAlign w:val="center"/>
                </w:tcPr>
                <w:p w14:paraId="6C536DF2">
                  <w:pPr>
                    <w:jc w:val="center"/>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排放量t/次</w:t>
                  </w:r>
                </w:p>
              </w:tc>
              <w:tc>
                <w:tcPr>
                  <w:tcW w:w="418" w:type="pct"/>
                  <w:tcBorders>
                    <w:tl2br w:val="nil"/>
                    <w:tr2bl w:val="nil"/>
                  </w:tcBorders>
                  <w:noWrap w:val="0"/>
                  <w:vAlign w:val="center"/>
                </w:tcPr>
                <w:p w14:paraId="744BC02A">
                  <w:pPr>
                    <w:jc w:val="center"/>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单次持续时间</w:t>
                  </w:r>
                  <w:r>
                    <w:rPr>
                      <w:rFonts w:hint="eastAsia" w:cs="Times New Roman"/>
                      <w:kern w:val="24"/>
                      <w:sz w:val="21"/>
                      <w:szCs w:val="21"/>
                      <w:highlight w:val="none"/>
                      <w:lang w:val="en-US" w:eastAsia="zh-CN"/>
                    </w:rPr>
                    <w:t>/min</w:t>
                  </w:r>
                </w:p>
              </w:tc>
              <w:tc>
                <w:tcPr>
                  <w:tcW w:w="395" w:type="pct"/>
                  <w:tcBorders>
                    <w:tl2br w:val="nil"/>
                    <w:tr2bl w:val="nil"/>
                  </w:tcBorders>
                  <w:noWrap w:val="0"/>
                  <w:vAlign w:val="center"/>
                </w:tcPr>
                <w:p w14:paraId="6FE5AE24">
                  <w:pPr>
                    <w:jc w:val="center"/>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年发生频次/次</w:t>
                  </w:r>
                </w:p>
              </w:tc>
              <w:tc>
                <w:tcPr>
                  <w:tcW w:w="518" w:type="pct"/>
                  <w:tcBorders>
                    <w:tl2br w:val="nil"/>
                    <w:tr2bl w:val="nil"/>
                  </w:tcBorders>
                  <w:noWrap w:val="0"/>
                  <w:vAlign w:val="center"/>
                </w:tcPr>
                <w:p w14:paraId="3D89979D">
                  <w:pPr>
                    <w:jc w:val="center"/>
                    <w:rPr>
                      <w:rFonts w:hint="eastAsia"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应对措施</w:t>
                  </w:r>
                </w:p>
              </w:tc>
            </w:tr>
            <w:tr w14:paraId="44BA30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46" w:type="pct"/>
                  <w:tcBorders>
                    <w:tl2br w:val="nil"/>
                    <w:tr2bl w:val="nil"/>
                  </w:tcBorders>
                  <w:noWrap w:val="0"/>
                  <w:vAlign w:val="center"/>
                </w:tcPr>
                <w:p w14:paraId="10CE326F">
                  <w:pPr>
                    <w:jc w:val="center"/>
                    <w:rPr>
                      <w:rFonts w:hint="eastAsia" w:ascii="Times New Roman" w:hAnsi="Times New Roman" w:eastAsia="宋体" w:cs="Times New Roman"/>
                      <w:kern w:val="24"/>
                      <w:sz w:val="21"/>
                      <w:szCs w:val="21"/>
                      <w:highlight w:val="none"/>
                      <w:lang w:val="en-US" w:eastAsia="zh-CN"/>
                    </w:rPr>
                  </w:pPr>
                  <w:r>
                    <w:rPr>
                      <w:rFonts w:hint="eastAsia" w:cs="Times New Roman"/>
                      <w:kern w:val="24"/>
                      <w:sz w:val="21"/>
                      <w:szCs w:val="21"/>
                      <w:highlight w:val="none"/>
                      <w:lang w:val="en-US" w:eastAsia="zh-CN"/>
                    </w:rPr>
                    <w:t>上料、筛分、破碎工序</w:t>
                  </w:r>
                </w:p>
              </w:tc>
              <w:tc>
                <w:tcPr>
                  <w:tcW w:w="542" w:type="pct"/>
                  <w:tcBorders>
                    <w:tl2br w:val="nil"/>
                    <w:tr2bl w:val="nil"/>
                  </w:tcBorders>
                  <w:noWrap w:val="0"/>
                  <w:vAlign w:val="center"/>
                </w:tcPr>
                <w:p w14:paraId="711567D4">
                  <w:pPr>
                    <w:jc w:val="center"/>
                    <w:rPr>
                      <w:rFonts w:hint="eastAsia" w:ascii="Times New Roman" w:hAnsi="Times New Roman" w:eastAsia="宋体" w:cs="Times New Roman"/>
                      <w:kern w:val="24"/>
                      <w:sz w:val="21"/>
                      <w:szCs w:val="21"/>
                      <w:highlight w:val="none"/>
                      <w:lang w:val="en-US" w:eastAsia="zh-CN"/>
                    </w:rPr>
                  </w:pPr>
                  <w:r>
                    <w:rPr>
                      <w:rFonts w:hint="eastAsia" w:cs="Times New Roman"/>
                      <w:kern w:val="24"/>
                      <w:sz w:val="21"/>
                      <w:szCs w:val="21"/>
                      <w:highlight w:val="none"/>
                      <w:lang w:val="en-US" w:eastAsia="zh-CN"/>
                    </w:rPr>
                    <w:t>颗粒物</w:t>
                  </w:r>
                </w:p>
              </w:tc>
              <w:tc>
                <w:tcPr>
                  <w:tcW w:w="733" w:type="pct"/>
                  <w:tcBorders>
                    <w:tl2br w:val="nil"/>
                    <w:tr2bl w:val="nil"/>
                  </w:tcBorders>
                  <w:noWrap w:val="0"/>
                  <w:vAlign w:val="center"/>
                </w:tcPr>
                <w:p w14:paraId="4E4F8D64">
                  <w:pPr>
                    <w:jc w:val="center"/>
                    <w:rPr>
                      <w:rFonts w:hint="default" w:ascii="Times New Roman" w:hAnsi="Times New Roman" w:eastAsia="宋体" w:cs="Times New Roman"/>
                      <w:kern w:val="24"/>
                      <w:sz w:val="21"/>
                      <w:szCs w:val="21"/>
                      <w:highlight w:val="none"/>
                      <w:lang w:val="en-US" w:eastAsia="zh-CN"/>
                    </w:rPr>
                  </w:pPr>
                  <w:r>
                    <w:rPr>
                      <w:rFonts w:hint="eastAsia" w:cs="Times New Roman"/>
                      <w:kern w:val="24"/>
                      <w:sz w:val="21"/>
                      <w:szCs w:val="21"/>
                      <w:highlight w:val="none"/>
                      <w:lang w:val="en-US" w:eastAsia="zh-CN"/>
                    </w:rPr>
                    <w:t>75000</w:t>
                  </w:r>
                </w:p>
              </w:tc>
              <w:tc>
                <w:tcPr>
                  <w:tcW w:w="635" w:type="pct"/>
                  <w:tcBorders>
                    <w:tl2br w:val="nil"/>
                    <w:tr2bl w:val="nil"/>
                  </w:tcBorders>
                  <w:noWrap w:val="0"/>
                  <w:vAlign w:val="center"/>
                </w:tcPr>
                <w:p w14:paraId="114707AE">
                  <w:pPr>
                    <w:jc w:val="center"/>
                    <w:rPr>
                      <w:rFonts w:hint="default" w:ascii="Times New Roman" w:hAnsi="Times New Roman" w:eastAsia="宋体" w:cs="Times New Roman"/>
                      <w:kern w:val="24"/>
                      <w:sz w:val="21"/>
                      <w:szCs w:val="21"/>
                      <w:highlight w:val="none"/>
                      <w:lang w:val="en-US" w:eastAsia="zh-CN"/>
                    </w:rPr>
                  </w:pPr>
                  <w:r>
                    <w:rPr>
                      <w:rFonts w:hint="eastAsia" w:ascii="Times New Roman" w:hAnsi="Times New Roman" w:eastAsia="宋体" w:cs="Times New Roman"/>
                      <w:kern w:val="24"/>
                      <w:sz w:val="21"/>
                      <w:szCs w:val="21"/>
                      <w:highlight w:val="none"/>
                      <w:lang w:val="en-US" w:eastAsia="zh-CN"/>
                    </w:rPr>
                    <w:t>66.852</w:t>
                  </w:r>
                </w:p>
              </w:tc>
              <w:tc>
                <w:tcPr>
                  <w:tcW w:w="543" w:type="pct"/>
                  <w:tcBorders>
                    <w:tl2br w:val="nil"/>
                    <w:tr2bl w:val="nil"/>
                  </w:tcBorders>
                  <w:noWrap w:val="0"/>
                  <w:vAlign w:val="center"/>
                </w:tcPr>
                <w:p w14:paraId="7F46C8F3">
                  <w:pPr>
                    <w:jc w:val="center"/>
                    <w:rPr>
                      <w:rFonts w:hint="default" w:ascii="Times New Roman" w:hAnsi="Times New Roman" w:eastAsia="宋体" w:cs="Times New Roman"/>
                      <w:kern w:val="24"/>
                      <w:sz w:val="21"/>
                      <w:szCs w:val="21"/>
                      <w:highlight w:val="none"/>
                      <w:lang w:val="en-US" w:eastAsia="zh-CN"/>
                    </w:rPr>
                  </w:pPr>
                  <w:r>
                    <w:rPr>
                      <w:rFonts w:hint="default" w:ascii="Times New Roman" w:hAnsi="Times New Roman" w:eastAsia="宋体" w:cs="Times New Roman"/>
                      <w:kern w:val="24"/>
                      <w:sz w:val="21"/>
                      <w:szCs w:val="21"/>
                      <w:highlight w:val="none"/>
                      <w:lang w:val="en-US" w:eastAsia="zh-CN"/>
                    </w:rPr>
                    <w:t>5</w:t>
                  </w:r>
                  <w:r>
                    <w:rPr>
                      <w:rFonts w:hint="eastAsia" w:ascii="Times New Roman" w:hAnsi="Times New Roman" w:eastAsia="宋体" w:cs="Times New Roman"/>
                      <w:kern w:val="24"/>
                      <w:sz w:val="21"/>
                      <w:szCs w:val="21"/>
                      <w:highlight w:val="none"/>
                      <w:lang w:val="en-US" w:eastAsia="zh-CN"/>
                    </w:rPr>
                    <w:t>.</w:t>
                  </w:r>
                  <w:r>
                    <w:rPr>
                      <w:rFonts w:hint="default" w:ascii="Times New Roman" w:hAnsi="Times New Roman" w:eastAsia="宋体" w:cs="Times New Roman"/>
                      <w:kern w:val="24"/>
                      <w:sz w:val="21"/>
                      <w:szCs w:val="21"/>
                      <w:highlight w:val="none"/>
                      <w:lang w:val="en-US" w:eastAsia="zh-CN"/>
                    </w:rPr>
                    <w:t>014</w:t>
                  </w:r>
                </w:p>
              </w:tc>
              <w:tc>
                <w:tcPr>
                  <w:tcW w:w="565" w:type="pct"/>
                  <w:tcBorders>
                    <w:tl2br w:val="nil"/>
                    <w:tr2bl w:val="nil"/>
                  </w:tcBorders>
                  <w:noWrap w:val="0"/>
                  <w:vAlign w:val="center"/>
                </w:tcPr>
                <w:p w14:paraId="0A3C0BC5">
                  <w:pPr>
                    <w:jc w:val="center"/>
                    <w:rPr>
                      <w:rFonts w:hint="default" w:eastAsia="宋体" w:cs="Times New Roman"/>
                      <w:kern w:val="24"/>
                      <w:sz w:val="21"/>
                      <w:szCs w:val="21"/>
                      <w:highlight w:val="none"/>
                      <w:lang w:val="en-US" w:eastAsia="zh-CN"/>
                    </w:rPr>
                  </w:pPr>
                  <w:r>
                    <w:rPr>
                      <w:rFonts w:hint="eastAsia" w:cs="Times New Roman"/>
                      <w:kern w:val="24"/>
                      <w:sz w:val="21"/>
                      <w:szCs w:val="21"/>
                      <w:highlight w:val="none"/>
                      <w:lang w:val="en-US" w:eastAsia="zh-CN"/>
                    </w:rPr>
                    <w:t>0.0025</w:t>
                  </w:r>
                </w:p>
              </w:tc>
              <w:tc>
                <w:tcPr>
                  <w:tcW w:w="418" w:type="pct"/>
                  <w:tcBorders>
                    <w:tl2br w:val="nil"/>
                    <w:tr2bl w:val="nil"/>
                  </w:tcBorders>
                  <w:noWrap w:val="0"/>
                  <w:vAlign w:val="center"/>
                </w:tcPr>
                <w:p w14:paraId="060F031A">
                  <w:pPr>
                    <w:jc w:val="center"/>
                    <w:rPr>
                      <w:rFonts w:hint="default" w:eastAsia="宋体" w:cs="Times New Roman"/>
                      <w:kern w:val="24"/>
                      <w:sz w:val="21"/>
                      <w:szCs w:val="21"/>
                      <w:highlight w:val="none"/>
                      <w:lang w:val="en-US" w:eastAsia="zh-CN"/>
                    </w:rPr>
                  </w:pPr>
                  <w:r>
                    <w:rPr>
                      <w:rFonts w:hint="eastAsia" w:eastAsia="宋体" w:cs="Times New Roman"/>
                      <w:kern w:val="24"/>
                      <w:sz w:val="21"/>
                      <w:szCs w:val="21"/>
                      <w:highlight w:val="none"/>
                      <w:lang w:val="en-US" w:eastAsia="zh-CN"/>
                    </w:rPr>
                    <w:t>30</w:t>
                  </w:r>
                </w:p>
              </w:tc>
              <w:tc>
                <w:tcPr>
                  <w:tcW w:w="395" w:type="pct"/>
                  <w:tcBorders>
                    <w:tl2br w:val="nil"/>
                    <w:tr2bl w:val="nil"/>
                  </w:tcBorders>
                  <w:noWrap w:val="0"/>
                  <w:vAlign w:val="center"/>
                </w:tcPr>
                <w:p w14:paraId="03F8E0C0">
                  <w:pPr>
                    <w:jc w:val="center"/>
                    <w:rPr>
                      <w:rFonts w:hint="default" w:ascii="Times New Roman" w:hAnsi="Times New Roman" w:eastAsia="宋体" w:cs="Times New Roman"/>
                      <w:kern w:val="24"/>
                      <w:sz w:val="21"/>
                      <w:szCs w:val="21"/>
                      <w:highlight w:val="none"/>
                      <w:u w:val="none"/>
                      <w:lang w:val="en-US" w:eastAsia="zh-CN"/>
                    </w:rPr>
                  </w:pPr>
                  <w:r>
                    <w:rPr>
                      <w:rFonts w:hint="eastAsia" w:cs="Times New Roman"/>
                      <w:kern w:val="24"/>
                      <w:sz w:val="21"/>
                      <w:szCs w:val="21"/>
                      <w:highlight w:val="none"/>
                      <w:u w:val="none"/>
                      <w:lang w:val="en-US" w:eastAsia="zh-CN"/>
                    </w:rPr>
                    <w:t>1</w:t>
                  </w:r>
                </w:p>
              </w:tc>
              <w:tc>
                <w:tcPr>
                  <w:tcW w:w="518" w:type="pct"/>
                  <w:vMerge w:val="restart"/>
                  <w:tcBorders>
                    <w:tl2br w:val="nil"/>
                    <w:tr2bl w:val="nil"/>
                  </w:tcBorders>
                  <w:noWrap w:val="0"/>
                  <w:vAlign w:val="center"/>
                </w:tcPr>
                <w:p w14:paraId="179CEC3F">
                  <w:pPr>
                    <w:jc w:val="center"/>
                    <w:rPr>
                      <w:rFonts w:hint="eastAsia" w:ascii="Times New Roman" w:hAnsi="Times New Roman" w:eastAsia="宋体" w:cs="Times New Roman"/>
                      <w:kern w:val="24"/>
                      <w:sz w:val="21"/>
                      <w:szCs w:val="21"/>
                      <w:highlight w:val="none"/>
                      <w:u w:val="none"/>
                      <w:lang w:val="en-US" w:eastAsia="zh-CN"/>
                    </w:rPr>
                  </w:pPr>
                  <w:r>
                    <w:rPr>
                      <w:rFonts w:hint="eastAsia" w:ascii="Times New Roman" w:hAnsi="Times New Roman" w:eastAsia="宋体" w:cs="Times New Roman"/>
                      <w:kern w:val="24"/>
                      <w:sz w:val="21"/>
                      <w:szCs w:val="21"/>
                      <w:highlight w:val="none"/>
                      <w:u w:val="none"/>
                      <w:lang w:val="en-US" w:eastAsia="zh-CN"/>
                    </w:rPr>
                    <w:t>停止生</w:t>
                  </w:r>
                </w:p>
                <w:p w14:paraId="588AFDB1">
                  <w:pPr>
                    <w:jc w:val="center"/>
                    <w:rPr>
                      <w:rFonts w:hint="eastAsia" w:ascii="Times New Roman" w:hAnsi="Times New Roman" w:eastAsia="宋体" w:cs="Times New Roman"/>
                      <w:kern w:val="24"/>
                      <w:sz w:val="21"/>
                      <w:szCs w:val="21"/>
                      <w:highlight w:val="none"/>
                      <w:u w:val="none"/>
                      <w:lang w:val="en-US" w:eastAsia="zh-CN"/>
                    </w:rPr>
                  </w:pPr>
                  <w:r>
                    <w:rPr>
                      <w:rFonts w:hint="eastAsia" w:ascii="Times New Roman" w:hAnsi="Times New Roman" w:eastAsia="宋体" w:cs="Times New Roman"/>
                      <w:kern w:val="24"/>
                      <w:sz w:val="21"/>
                      <w:szCs w:val="21"/>
                      <w:highlight w:val="none"/>
                      <w:u w:val="none"/>
                      <w:lang w:val="en-US" w:eastAsia="zh-CN"/>
                    </w:rPr>
                    <w:t>产、抓紧</w:t>
                  </w:r>
                  <w:r>
                    <w:rPr>
                      <w:rFonts w:hint="eastAsia" w:cs="Times New Roman"/>
                      <w:kern w:val="24"/>
                      <w:sz w:val="21"/>
                      <w:szCs w:val="21"/>
                      <w:highlight w:val="none"/>
                      <w:u w:val="none"/>
                      <w:lang w:val="en-US" w:eastAsia="zh-CN"/>
                    </w:rPr>
                    <w:t>维修</w:t>
                  </w:r>
                </w:p>
              </w:tc>
            </w:tr>
            <w:tr w14:paraId="1A2EAA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46" w:type="pct"/>
                  <w:tcBorders>
                    <w:tl2br w:val="nil"/>
                    <w:tr2bl w:val="nil"/>
                  </w:tcBorders>
                  <w:noWrap w:val="0"/>
                  <w:vAlign w:val="center"/>
                </w:tcPr>
                <w:p w14:paraId="3AEA7C13">
                  <w:pPr>
                    <w:jc w:val="center"/>
                    <w:rPr>
                      <w:rFonts w:hint="eastAsia" w:ascii="Times New Roman" w:hAnsi="Times New Roman" w:eastAsia="宋体" w:cs="Times New Roman"/>
                      <w:kern w:val="24"/>
                      <w:sz w:val="21"/>
                      <w:szCs w:val="21"/>
                      <w:highlight w:val="none"/>
                      <w:lang w:val="en-US" w:eastAsia="zh-CN"/>
                    </w:rPr>
                  </w:pPr>
                  <w:r>
                    <w:rPr>
                      <w:rFonts w:hint="eastAsia" w:cs="Times New Roman"/>
                      <w:kern w:val="24"/>
                      <w:sz w:val="21"/>
                      <w:szCs w:val="21"/>
                      <w:highlight w:val="none"/>
                      <w:lang w:val="en-US" w:eastAsia="zh-CN"/>
                    </w:rPr>
                    <w:t>移动破碎机</w:t>
                  </w:r>
                </w:p>
              </w:tc>
              <w:tc>
                <w:tcPr>
                  <w:tcW w:w="542" w:type="pct"/>
                  <w:tcBorders>
                    <w:tl2br w:val="nil"/>
                    <w:tr2bl w:val="nil"/>
                  </w:tcBorders>
                  <w:noWrap w:val="0"/>
                  <w:vAlign w:val="center"/>
                </w:tcPr>
                <w:p w14:paraId="1C6947EF">
                  <w:pPr>
                    <w:jc w:val="center"/>
                    <w:rPr>
                      <w:rFonts w:hint="eastAsia" w:ascii="Times New Roman" w:hAnsi="Times New Roman" w:eastAsia="宋体" w:cs="Times New Roman"/>
                      <w:kern w:val="24"/>
                      <w:sz w:val="21"/>
                      <w:szCs w:val="21"/>
                      <w:highlight w:val="none"/>
                      <w:lang w:val="en-US" w:eastAsia="zh-CN"/>
                    </w:rPr>
                  </w:pPr>
                  <w:r>
                    <w:rPr>
                      <w:rFonts w:hint="eastAsia" w:cs="Times New Roman"/>
                      <w:kern w:val="24"/>
                      <w:sz w:val="21"/>
                      <w:szCs w:val="21"/>
                      <w:highlight w:val="none"/>
                      <w:lang w:val="en-US" w:eastAsia="zh-CN"/>
                    </w:rPr>
                    <w:t>颗粒物</w:t>
                  </w:r>
                </w:p>
              </w:tc>
              <w:tc>
                <w:tcPr>
                  <w:tcW w:w="733" w:type="pct"/>
                  <w:tcBorders>
                    <w:tl2br w:val="nil"/>
                    <w:tr2bl w:val="nil"/>
                  </w:tcBorders>
                  <w:noWrap w:val="0"/>
                  <w:vAlign w:val="center"/>
                </w:tcPr>
                <w:p w14:paraId="4A317DCA">
                  <w:pPr>
                    <w:jc w:val="center"/>
                    <w:rPr>
                      <w:rFonts w:hint="default" w:ascii="Times New Roman" w:hAnsi="Times New Roman" w:eastAsia="宋体" w:cs="Times New Roman"/>
                      <w:kern w:val="24"/>
                      <w:sz w:val="21"/>
                      <w:szCs w:val="21"/>
                      <w:highlight w:val="none"/>
                      <w:lang w:val="en-US" w:eastAsia="zh-CN"/>
                    </w:rPr>
                  </w:pPr>
                  <w:r>
                    <w:rPr>
                      <w:rFonts w:hint="eastAsia" w:cs="Times New Roman"/>
                      <w:kern w:val="24"/>
                      <w:sz w:val="21"/>
                      <w:szCs w:val="21"/>
                      <w:highlight w:val="none"/>
                      <w:lang w:val="en-US" w:eastAsia="zh-CN"/>
                    </w:rPr>
                    <w:t>55000</w:t>
                  </w:r>
                </w:p>
              </w:tc>
              <w:tc>
                <w:tcPr>
                  <w:tcW w:w="635" w:type="pct"/>
                  <w:tcBorders>
                    <w:tl2br w:val="nil"/>
                    <w:tr2bl w:val="nil"/>
                  </w:tcBorders>
                  <w:noWrap w:val="0"/>
                  <w:vAlign w:val="center"/>
                </w:tcPr>
                <w:p w14:paraId="7706A9C9">
                  <w:pPr>
                    <w:jc w:val="center"/>
                    <w:rPr>
                      <w:rFonts w:hint="default" w:ascii="Times New Roman" w:hAnsi="Times New Roman" w:eastAsia="宋体" w:cs="Times New Roman"/>
                      <w:kern w:val="24"/>
                      <w:sz w:val="21"/>
                      <w:szCs w:val="21"/>
                      <w:highlight w:val="none"/>
                      <w:lang w:val="en-US" w:eastAsia="zh-CN"/>
                    </w:rPr>
                  </w:pPr>
                  <w:r>
                    <w:rPr>
                      <w:rFonts w:hint="eastAsia" w:cs="Times New Roman"/>
                      <w:kern w:val="24"/>
                      <w:sz w:val="21"/>
                      <w:szCs w:val="21"/>
                      <w:highlight w:val="none"/>
                      <w:lang w:val="en-US" w:eastAsia="zh-CN"/>
                    </w:rPr>
                    <w:t>56.753</w:t>
                  </w:r>
                </w:p>
              </w:tc>
              <w:tc>
                <w:tcPr>
                  <w:tcW w:w="543" w:type="pct"/>
                  <w:tcBorders>
                    <w:tl2br w:val="nil"/>
                    <w:tr2bl w:val="nil"/>
                  </w:tcBorders>
                  <w:noWrap w:val="0"/>
                  <w:vAlign w:val="center"/>
                </w:tcPr>
                <w:p w14:paraId="57880D18">
                  <w:pPr>
                    <w:jc w:val="center"/>
                    <w:rPr>
                      <w:rFonts w:hint="default" w:ascii="Times New Roman" w:hAnsi="Times New Roman" w:eastAsia="宋体" w:cs="Times New Roman"/>
                      <w:kern w:val="24"/>
                      <w:sz w:val="21"/>
                      <w:szCs w:val="21"/>
                      <w:highlight w:val="none"/>
                      <w:lang w:val="en-US" w:eastAsia="zh-CN"/>
                    </w:rPr>
                  </w:pPr>
                  <w:r>
                    <w:rPr>
                      <w:rFonts w:hint="eastAsia" w:cs="Times New Roman"/>
                      <w:kern w:val="24"/>
                      <w:sz w:val="21"/>
                      <w:szCs w:val="21"/>
                      <w:highlight w:val="none"/>
                      <w:lang w:val="en-US" w:eastAsia="zh-CN"/>
                    </w:rPr>
                    <w:t>3.121</w:t>
                  </w:r>
                </w:p>
              </w:tc>
              <w:tc>
                <w:tcPr>
                  <w:tcW w:w="565" w:type="pct"/>
                  <w:tcBorders>
                    <w:tl2br w:val="nil"/>
                    <w:tr2bl w:val="nil"/>
                  </w:tcBorders>
                  <w:noWrap w:val="0"/>
                  <w:vAlign w:val="center"/>
                </w:tcPr>
                <w:p w14:paraId="2E7163E8">
                  <w:pPr>
                    <w:jc w:val="center"/>
                    <w:rPr>
                      <w:rFonts w:hint="default" w:eastAsia="宋体" w:cs="Times New Roman"/>
                      <w:kern w:val="24"/>
                      <w:sz w:val="21"/>
                      <w:szCs w:val="21"/>
                      <w:highlight w:val="none"/>
                      <w:lang w:val="en-US" w:eastAsia="zh-CN"/>
                    </w:rPr>
                  </w:pPr>
                  <w:r>
                    <w:rPr>
                      <w:rFonts w:hint="eastAsia" w:cs="Times New Roman"/>
                      <w:kern w:val="24"/>
                      <w:sz w:val="21"/>
                      <w:szCs w:val="21"/>
                      <w:highlight w:val="none"/>
                      <w:lang w:val="en-US" w:eastAsia="zh-CN"/>
                    </w:rPr>
                    <w:t>0.0016</w:t>
                  </w:r>
                </w:p>
              </w:tc>
              <w:tc>
                <w:tcPr>
                  <w:tcW w:w="418" w:type="pct"/>
                  <w:tcBorders>
                    <w:tl2br w:val="nil"/>
                    <w:tr2bl w:val="nil"/>
                  </w:tcBorders>
                  <w:noWrap w:val="0"/>
                  <w:vAlign w:val="center"/>
                </w:tcPr>
                <w:p w14:paraId="15043499">
                  <w:pPr>
                    <w:jc w:val="center"/>
                    <w:rPr>
                      <w:rFonts w:hint="default" w:eastAsia="宋体" w:cs="Times New Roman"/>
                      <w:kern w:val="24"/>
                      <w:sz w:val="21"/>
                      <w:szCs w:val="21"/>
                      <w:highlight w:val="none"/>
                      <w:lang w:val="en-US" w:eastAsia="zh-CN"/>
                    </w:rPr>
                  </w:pPr>
                  <w:r>
                    <w:rPr>
                      <w:rFonts w:hint="eastAsia" w:eastAsia="宋体" w:cs="Times New Roman"/>
                      <w:kern w:val="24"/>
                      <w:sz w:val="21"/>
                      <w:szCs w:val="21"/>
                      <w:highlight w:val="none"/>
                      <w:lang w:val="en-US" w:eastAsia="zh-CN"/>
                    </w:rPr>
                    <w:t>30</w:t>
                  </w:r>
                </w:p>
              </w:tc>
              <w:tc>
                <w:tcPr>
                  <w:tcW w:w="395" w:type="pct"/>
                  <w:tcBorders>
                    <w:tl2br w:val="nil"/>
                    <w:tr2bl w:val="nil"/>
                  </w:tcBorders>
                  <w:noWrap w:val="0"/>
                  <w:vAlign w:val="center"/>
                </w:tcPr>
                <w:p w14:paraId="6B9B35C6">
                  <w:pPr>
                    <w:jc w:val="center"/>
                    <w:rPr>
                      <w:rFonts w:hint="default" w:ascii="Times New Roman" w:hAnsi="Times New Roman" w:eastAsia="宋体" w:cs="Times New Roman"/>
                      <w:kern w:val="24"/>
                      <w:sz w:val="21"/>
                      <w:szCs w:val="21"/>
                      <w:highlight w:val="none"/>
                      <w:lang w:val="en-US" w:eastAsia="zh-CN"/>
                    </w:rPr>
                  </w:pPr>
                  <w:r>
                    <w:rPr>
                      <w:rFonts w:hint="eastAsia" w:cs="Times New Roman"/>
                      <w:kern w:val="24"/>
                      <w:sz w:val="21"/>
                      <w:szCs w:val="21"/>
                      <w:highlight w:val="none"/>
                      <w:lang w:val="en-US" w:eastAsia="zh-CN"/>
                    </w:rPr>
                    <w:t>1</w:t>
                  </w:r>
                </w:p>
              </w:tc>
              <w:tc>
                <w:tcPr>
                  <w:tcW w:w="518" w:type="pct"/>
                  <w:vMerge w:val="continue"/>
                  <w:tcBorders>
                    <w:tl2br w:val="nil"/>
                    <w:tr2bl w:val="nil"/>
                  </w:tcBorders>
                  <w:noWrap w:val="0"/>
                  <w:vAlign w:val="center"/>
                </w:tcPr>
                <w:p w14:paraId="369778AB">
                  <w:pPr>
                    <w:jc w:val="center"/>
                    <w:rPr>
                      <w:rFonts w:hint="eastAsia" w:ascii="Times New Roman" w:hAnsi="Times New Roman" w:eastAsia="宋体" w:cs="Times New Roman"/>
                      <w:kern w:val="24"/>
                      <w:sz w:val="21"/>
                      <w:szCs w:val="21"/>
                      <w:highlight w:val="none"/>
                      <w:lang w:val="en-US" w:eastAsia="zh-CN"/>
                    </w:rPr>
                  </w:pPr>
                </w:p>
              </w:tc>
            </w:tr>
          </w:tbl>
          <w:p w14:paraId="1064C87B">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当项目废气处理系统因出现故障不能正常运行时，采取暂时停止生产、抓紧维修措施，维修完毕后再生产。为减少其对环境的影响，项目在开车前首先打开废气处理系统，然后再开车生产。</w:t>
            </w:r>
          </w:p>
          <w:p w14:paraId="0FDEA122">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4、大气环境监测计划</w:t>
            </w:r>
          </w:p>
          <w:p w14:paraId="592CBB43">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根据本建设项目性质与实际情况，建议企业委托当地环境监测部门承担本项目废气和噪声的常规监测和突发性污染事故的应急监测工作，固废的日常分析记录由本单位负责。根据</w:t>
            </w:r>
            <w:r>
              <w:rPr>
                <w:rFonts w:hint="default" w:ascii="Times New Roman" w:hAnsi="Times New Roman" w:eastAsia="宋体" w:cs="Times New Roman"/>
                <w:color w:val="auto"/>
                <w:sz w:val="24"/>
                <w:szCs w:val="24"/>
                <w:highlight w:val="none"/>
                <w:lang w:val="zh-CN" w:eastAsia="zh-CN"/>
              </w:rPr>
              <w:t>参照</w:t>
            </w:r>
            <w:r>
              <w:rPr>
                <w:rFonts w:hint="default" w:ascii="Times New Roman" w:hAnsi="Times New Roman" w:eastAsia="Times New Roman"/>
                <w:sz w:val="24"/>
                <w:szCs w:val="24"/>
                <w:lang w:val="zh-CN"/>
              </w:rPr>
              <w:t>《排污单位自行监测技术指南总则》（HJ819-2017）</w:t>
            </w:r>
            <w:r>
              <w:rPr>
                <w:rFonts w:hint="eastAsia" w:cs="Times New Roman"/>
                <w:color w:val="auto"/>
                <w:sz w:val="24"/>
                <w:szCs w:val="24"/>
                <w:highlight w:val="none"/>
                <w:lang w:val="zh-CN" w:eastAsia="zh-CN"/>
              </w:rPr>
              <w:t>中相关要求</w:t>
            </w:r>
            <w:r>
              <w:rPr>
                <w:rFonts w:hint="default" w:ascii="Times New Roman" w:hAnsi="Times New Roman" w:eastAsia="宋体" w:cs="Times New Roman"/>
                <w:color w:val="auto"/>
                <w:sz w:val="24"/>
                <w:szCs w:val="24"/>
                <w:highlight w:val="none"/>
                <w:lang w:val="en-US" w:eastAsia="zh-CN"/>
              </w:rPr>
              <w:t>，本项目排污节点监测计划见下表。</w:t>
            </w:r>
          </w:p>
          <w:p w14:paraId="4E1D9086">
            <w:pPr>
              <w:keepNext w:val="0"/>
              <w:keepLines w:val="0"/>
              <w:pageBreakBefore w:val="0"/>
              <w:widowControl w:val="0"/>
              <w:kinsoku/>
              <w:wordWrap/>
              <w:overflowPunct/>
              <w:topLinePunct w:val="0"/>
              <w:autoSpaceDE/>
              <w:autoSpaceDN/>
              <w:bidi w:val="0"/>
              <w:adjustRightInd/>
              <w:snapToGrid/>
              <w:spacing w:line="500" w:lineRule="exact"/>
              <w:ind w:left="0" w:leftChars="0" w:firstLine="1928" w:firstLineChars="800"/>
              <w:textAlignment w:val="auto"/>
              <w:rPr>
                <w:rFonts w:hint="default" w:ascii="Times New Roman" w:hAnsi="Times New Roman" w:eastAsia="宋体" w:cs="Times New Roman"/>
                <w:b/>
                <w:color w:val="auto"/>
                <w:sz w:val="24"/>
                <w:szCs w:val="24"/>
                <w:highlight w:val="none"/>
              </w:rPr>
            </w:pPr>
            <w:r>
              <w:rPr>
                <w:rFonts w:hint="default" w:ascii="Times New Roman" w:hAnsi="Times New Roman" w:eastAsia="宋体" w:cs="Times New Roman"/>
                <w:b/>
                <w:color w:val="auto"/>
                <w:sz w:val="24"/>
                <w:szCs w:val="24"/>
                <w:highlight w:val="none"/>
              </w:rPr>
              <w:t>表</w:t>
            </w:r>
            <w:r>
              <w:rPr>
                <w:rFonts w:hint="eastAsia" w:ascii="Times New Roman" w:hAnsi="Times New Roman" w:eastAsia="宋体" w:cs="Times New Roman"/>
                <w:b/>
                <w:color w:val="auto"/>
                <w:sz w:val="24"/>
                <w:szCs w:val="24"/>
                <w:highlight w:val="none"/>
                <w:lang w:val="en-US" w:eastAsia="zh-CN"/>
              </w:rPr>
              <w:t>4-</w:t>
            </w:r>
            <w:r>
              <w:rPr>
                <w:rFonts w:hint="eastAsia" w:cs="Times New Roman"/>
                <w:b/>
                <w:color w:val="auto"/>
                <w:sz w:val="24"/>
                <w:szCs w:val="24"/>
                <w:highlight w:val="none"/>
                <w:lang w:val="en-US" w:eastAsia="zh-CN"/>
              </w:rPr>
              <w:t>8</w:t>
            </w:r>
            <w:r>
              <w:rPr>
                <w:rFonts w:hint="eastAsia" w:ascii="Times New Roman" w:hAnsi="Times New Roman" w:eastAsia="宋体" w:cs="Times New Roman"/>
                <w:b/>
                <w:color w:val="auto"/>
                <w:sz w:val="24"/>
                <w:szCs w:val="24"/>
                <w:highlight w:val="none"/>
                <w:lang w:val="en-US" w:eastAsia="zh-CN"/>
              </w:rPr>
              <w:t xml:space="preserve"> </w:t>
            </w:r>
            <w:r>
              <w:rPr>
                <w:rFonts w:hint="default" w:ascii="Times New Roman" w:hAnsi="Times New Roman" w:eastAsia="宋体" w:cs="Times New Roman"/>
                <w:b/>
                <w:color w:val="auto"/>
                <w:sz w:val="24"/>
                <w:szCs w:val="24"/>
                <w:highlight w:val="none"/>
                <w:lang w:eastAsia="zh-CN"/>
              </w:rPr>
              <w:t>本项目大气</w:t>
            </w:r>
            <w:r>
              <w:rPr>
                <w:rFonts w:hint="default" w:ascii="Times New Roman" w:hAnsi="Times New Roman" w:eastAsia="宋体" w:cs="Times New Roman"/>
                <w:b/>
                <w:color w:val="auto"/>
                <w:sz w:val="24"/>
                <w:szCs w:val="24"/>
                <w:highlight w:val="none"/>
              </w:rPr>
              <w:t>环境监测计划一览表</w:t>
            </w:r>
          </w:p>
          <w:tbl>
            <w:tblPr>
              <w:tblStyle w:val="25"/>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1315"/>
              <w:gridCol w:w="1108"/>
              <w:gridCol w:w="1062"/>
              <w:gridCol w:w="1625"/>
              <w:gridCol w:w="3068"/>
            </w:tblGrid>
            <w:tr w14:paraId="0E5CFE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3" w:hRule="atLeast"/>
                <w:jc w:val="center"/>
              </w:trPr>
              <w:tc>
                <w:tcPr>
                  <w:tcW w:w="804" w:type="pct"/>
                  <w:tcBorders>
                    <w:tl2br w:val="nil"/>
                    <w:tr2bl w:val="nil"/>
                  </w:tcBorders>
                  <w:noWrap w:val="0"/>
                  <w:vAlign w:val="center"/>
                </w:tcPr>
                <w:p w14:paraId="1A1CFC63">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监测点位</w:t>
                  </w:r>
                </w:p>
              </w:tc>
              <w:tc>
                <w:tcPr>
                  <w:tcW w:w="677" w:type="pct"/>
                  <w:tcBorders>
                    <w:tl2br w:val="nil"/>
                    <w:tr2bl w:val="nil"/>
                  </w:tcBorders>
                  <w:noWrap w:val="0"/>
                  <w:vAlign w:val="center"/>
                </w:tcPr>
                <w:p w14:paraId="205E7633">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rPr>
                    <w:t>监测</w:t>
                  </w:r>
                  <w:r>
                    <w:rPr>
                      <w:rFonts w:hint="default" w:ascii="Times New Roman" w:hAnsi="Times New Roman" w:eastAsia="宋体" w:cs="Times New Roman"/>
                      <w:color w:val="auto"/>
                      <w:sz w:val="21"/>
                      <w:szCs w:val="21"/>
                      <w:highlight w:val="none"/>
                      <w:lang w:eastAsia="zh-CN"/>
                    </w:rPr>
                    <w:t>因子</w:t>
                  </w:r>
                </w:p>
              </w:tc>
              <w:tc>
                <w:tcPr>
                  <w:tcW w:w="649" w:type="pct"/>
                  <w:tcBorders>
                    <w:tl2br w:val="nil"/>
                    <w:tr2bl w:val="nil"/>
                  </w:tcBorders>
                  <w:noWrap w:val="0"/>
                  <w:vAlign w:val="center"/>
                </w:tcPr>
                <w:p w14:paraId="03A6D0B0">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color w:val="auto"/>
                      <w:sz w:val="21"/>
                      <w:szCs w:val="21"/>
                      <w:highlight w:val="none"/>
                      <w:lang w:eastAsia="zh-CN"/>
                    </w:rPr>
                  </w:pPr>
                  <w:r>
                    <w:rPr>
                      <w:rFonts w:hint="eastAsia" w:ascii="Times New Roman" w:hAnsi="Times New Roman" w:eastAsia="宋体" w:cs="Times New Roman"/>
                      <w:color w:val="auto"/>
                      <w:sz w:val="21"/>
                      <w:szCs w:val="21"/>
                      <w:highlight w:val="none"/>
                      <w:lang w:eastAsia="zh-CN"/>
                    </w:rPr>
                    <w:t>标准</w:t>
                  </w:r>
                  <w:r>
                    <w:rPr>
                      <w:rFonts w:hint="default" w:ascii="Times New Roman" w:hAnsi="Times New Roman" w:eastAsia="宋体" w:cs="Times New Roman"/>
                      <w:color w:val="auto"/>
                      <w:sz w:val="21"/>
                      <w:szCs w:val="21"/>
                      <w:highlight w:val="none"/>
                    </w:rPr>
                    <w:t>mg/m</w:t>
                  </w:r>
                  <w:r>
                    <w:rPr>
                      <w:rFonts w:hint="default" w:ascii="Times New Roman" w:hAnsi="Times New Roman" w:eastAsia="宋体" w:cs="Times New Roman"/>
                      <w:color w:val="auto"/>
                      <w:sz w:val="21"/>
                      <w:szCs w:val="21"/>
                      <w:highlight w:val="none"/>
                      <w:vertAlign w:val="superscript"/>
                    </w:rPr>
                    <w:t>3</w:t>
                  </w:r>
                </w:p>
              </w:tc>
              <w:tc>
                <w:tcPr>
                  <w:tcW w:w="993" w:type="pct"/>
                  <w:tcBorders>
                    <w:tl2br w:val="nil"/>
                    <w:tr2bl w:val="nil"/>
                  </w:tcBorders>
                  <w:noWrap w:val="0"/>
                  <w:vAlign w:val="center"/>
                </w:tcPr>
                <w:p w14:paraId="64A48B3C">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监测频次</w:t>
                  </w:r>
                </w:p>
              </w:tc>
              <w:tc>
                <w:tcPr>
                  <w:tcW w:w="1875" w:type="pct"/>
                  <w:tcBorders>
                    <w:tl2br w:val="nil"/>
                    <w:tr2bl w:val="nil"/>
                  </w:tcBorders>
                  <w:noWrap w:val="0"/>
                  <w:vAlign w:val="center"/>
                </w:tcPr>
                <w:p w14:paraId="79D9C9CD">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sz w:val="21"/>
                      <w:szCs w:val="21"/>
                      <w:highlight w:val="none"/>
                      <w:lang w:eastAsia="zh-CN"/>
                    </w:rPr>
                    <w:t>执行排放标准</w:t>
                  </w:r>
                </w:p>
              </w:tc>
            </w:tr>
            <w:tr w14:paraId="705853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3" w:hRule="atLeast"/>
                <w:jc w:val="center"/>
              </w:trPr>
              <w:tc>
                <w:tcPr>
                  <w:tcW w:w="804" w:type="pct"/>
                  <w:tcBorders>
                    <w:tl2br w:val="nil"/>
                    <w:tr2bl w:val="nil"/>
                  </w:tcBorders>
                  <w:noWrap w:val="0"/>
                  <w:vAlign w:val="center"/>
                </w:tcPr>
                <w:p w14:paraId="3F69AB07">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eastAsia="zh-CN"/>
                    </w:rPr>
                    <w:t>上料、筛分、破工序排放口</w:t>
                  </w:r>
                  <w:r>
                    <w:rPr>
                      <w:rFonts w:hint="eastAsia" w:cs="Times New Roman"/>
                      <w:color w:val="auto"/>
                      <w:sz w:val="21"/>
                      <w:szCs w:val="21"/>
                      <w:highlight w:val="none"/>
                      <w:lang w:val="en-US" w:eastAsia="zh-CN"/>
                    </w:rPr>
                    <w:t>DA001</w:t>
                  </w:r>
                </w:p>
              </w:tc>
              <w:tc>
                <w:tcPr>
                  <w:tcW w:w="677" w:type="pct"/>
                  <w:tcBorders>
                    <w:tl2br w:val="nil"/>
                    <w:tr2bl w:val="nil"/>
                  </w:tcBorders>
                  <w:noWrap w:val="0"/>
                  <w:vAlign w:val="center"/>
                </w:tcPr>
                <w:p w14:paraId="1D1FD888">
                  <w:pPr>
                    <w:pStyle w:val="67"/>
                    <w:spacing w:line="240" w:lineRule="auto"/>
                    <w:rPr>
                      <w:rFonts w:hint="default"/>
                      <w:color w:val="auto"/>
                    </w:rPr>
                  </w:pPr>
                  <w:r>
                    <w:rPr>
                      <w:color w:val="auto"/>
                    </w:rPr>
                    <w:t>颗粒物</w:t>
                  </w:r>
                </w:p>
              </w:tc>
              <w:tc>
                <w:tcPr>
                  <w:tcW w:w="649" w:type="pct"/>
                  <w:tcBorders>
                    <w:tl2br w:val="nil"/>
                    <w:tr2bl w:val="nil"/>
                  </w:tcBorders>
                  <w:noWrap w:val="0"/>
                  <w:vAlign w:val="center"/>
                </w:tcPr>
                <w:p w14:paraId="788FADAB">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eastAsia" w:ascii="Times New Roman" w:hAnsi="Times New Roman" w:eastAsia="宋体" w:cs="Times New Roman"/>
                      <w:b w:val="0"/>
                      <w:bCs w:val="0"/>
                      <w:color w:val="000000"/>
                      <w:kern w:val="0"/>
                      <w:sz w:val="21"/>
                      <w:szCs w:val="21"/>
                      <w:highlight w:val="none"/>
                      <w:lang w:val="en-US" w:eastAsia="zh-CN" w:bidi="ar"/>
                    </w:rPr>
                  </w:pPr>
                  <w:r>
                    <w:rPr>
                      <w:rFonts w:hint="default" w:ascii="Times New Roman" w:hAnsi="Times New Roman" w:eastAsia="宋体" w:cs="Times New Roman"/>
                      <w:b w:val="0"/>
                      <w:bCs w:val="0"/>
                      <w:color w:val="000000"/>
                      <w:kern w:val="0"/>
                      <w:sz w:val="21"/>
                      <w:szCs w:val="21"/>
                      <w:highlight w:val="none"/>
                      <w:lang w:val="en-US" w:eastAsia="zh-CN" w:bidi="ar"/>
                    </w:rPr>
                    <w:t>1</w:t>
                  </w:r>
                  <w:r>
                    <w:rPr>
                      <w:rFonts w:hint="eastAsia" w:ascii="Times New Roman" w:hAnsi="Times New Roman" w:eastAsia="宋体" w:cs="Times New Roman"/>
                      <w:b w:val="0"/>
                      <w:bCs w:val="0"/>
                      <w:color w:val="000000"/>
                      <w:kern w:val="0"/>
                      <w:sz w:val="21"/>
                      <w:szCs w:val="21"/>
                      <w:highlight w:val="none"/>
                      <w:lang w:val="en-US" w:eastAsia="zh-CN" w:bidi="ar"/>
                    </w:rPr>
                    <w:t>0</w:t>
                  </w:r>
                </w:p>
              </w:tc>
              <w:tc>
                <w:tcPr>
                  <w:tcW w:w="993" w:type="pct"/>
                  <w:tcBorders>
                    <w:tl2br w:val="nil"/>
                    <w:tr2bl w:val="nil"/>
                  </w:tcBorders>
                  <w:noWrap w:val="0"/>
                  <w:vAlign w:val="center"/>
                </w:tcPr>
                <w:p w14:paraId="2D50DCFA">
                  <w:pPr>
                    <w:pStyle w:val="67"/>
                    <w:spacing w:line="240" w:lineRule="auto"/>
                    <w:rPr>
                      <w:rFonts w:hint="default"/>
                      <w:color w:val="auto"/>
                      <w:lang w:val="en-US" w:eastAsia="zh-CN"/>
                    </w:rPr>
                  </w:pPr>
                  <w:r>
                    <w:rPr>
                      <w:rFonts w:hint="default"/>
                      <w:color w:val="auto"/>
                    </w:rPr>
                    <w:t>1次/</w:t>
                  </w:r>
                  <w:r>
                    <w:rPr>
                      <w:rFonts w:hint="eastAsia"/>
                      <w:color w:val="auto"/>
                      <w:lang w:eastAsia="zh-CN"/>
                    </w:rPr>
                    <w:t>年</w:t>
                  </w:r>
                </w:p>
              </w:tc>
              <w:tc>
                <w:tcPr>
                  <w:tcW w:w="1875" w:type="pct"/>
                  <w:vMerge w:val="restart"/>
                  <w:tcBorders>
                    <w:tl2br w:val="nil"/>
                    <w:tr2bl w:val="nil"/>
                  </w:tcBorders>
                  <w:noWrap w:val="0"/>
                  <w:vAlign w:val="center"/>
                </w:tcPr>
                <w:p w14:paraId="1D211C66">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highlight w:val="none"/>
                      <w:lang w:eastAsia="zh-CN"/>
                    </w:rPr>
                  </w:pPr>
                  <w:r>
                    <w:rPr>
                      <w:rFonts w:hint="eastAsia" w:ascii="Times New Roman" w:hAnsi="宋体" w:eastAsia="宋体" w:cs="Times New Roman"/>
                      <w:color w:val="auto"/>
                      <w:kern w:val="0"/>
                      <w:sz w:val="21"/>
                      <w:szCs w:val="21"/>
                      <w:highlight w:val="none"/>
                      <w:lang w:val="en-US" w:eastAsia="zh-CN"/>
                    </w:rPr>
                    <w:t>《炼焦化学工业大气污染物超低排放标准》(DB13/2863-2018)表1大气污染物排放限值</w:t>
                  </w:r>
                </w:p>
              </w:tc>
            </w:tr>
            <w:tr w14:paraId="3122C6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804" w:type="pct"/>
                  <w:tcBorders>
                    <w:tl2br w:val="nil"/>
                    <w:tr2bl w:val="nil"/>
                  </w:tcBorders>
                  <w:noWrap w:val="0"/>
                  <w:vAlign w:val="center"/>
                </w:tcPr>
                <w:p w14:paraId="5D4ED49F">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cs="Times New Roman"/>
                      <w:color w:val="auto"/>
                      <w:sz w:val="21"/>
                      <w:szCs w:val="21"/>
                      <w:highlight w:val="none"/>
                      <w:lang w:val="en-US" w:eastAsia="zh-CN"/>
                    </w:rPr>
                  </w:pPr>
                  <w:r>
                    <w:rPr>
                      <w:rFonts w:hint="eastAsia" w:cs="Times New Roman"/>
                      <w:color w:val="auto"/>
                      <w:sz w:val="21"/>
                      <w:szCs w:val="21"/>
                      <w:highlight w:val="none"/>
                      <w:lang w:eastAsia="zh-CN"/>
                    </w:rPr>
                    <w:t>移动破碎工序排放口</w:t>
                  </w:r>
                  <w:r>
                    <w:rPr>
                      <w:rFonts w:hint="eastAsia" w:cs="Times New Roman"/>
                      <w:color w:val="auto"/>
                      <w:sz w:val="21"/>
                      <w:szCs w:val="21"/>
                      <w:highlight w:val="none"/>
                      <w:lang w:val="en-US" w:eastAsia="zh-CN"/>
                    </w:rPr>
                    <w:t>DA002</w:t>
                  </w:r>
                </w:p>
              </w:tc>
              <w:tc>
                <w:tcPr>
                  <w:tcW w:w="677" w:type="pct"/>
                  <w:tcBorders>
                    <w:tl2br w:val="nil"/>
                    <w:tr2bl w:val="nil"/>
                  </w:tcBorders>
                  <w:noWrap w:val="0"/>
                  <w:vAlign w:val="center"/>
                </w:tcPr>
                <w:p w14:paraId="68C99A08">
                  <w:pPr>
                    <w:pStyle w:val="67"/>
                    <w:spacing w:line="240" w:lineRule="auto"/>
                    <w:rPr>
                      <w:rFonts w:hint="default" w:ascii="Times New Roman" w:hAnsi="Times New Roman" w:eastAsia="宋体" w:cs="Times New Roman"/>
                      <w:color w:val="auto"/>
                      <w:sz w:val="21"/>
                      <w:szCs w:val="21"/>
                      <w:lang w:val="en-US" w:eastAsia="zh-CN" w:bidi="ar-SA"/>
                    </w:rPr>
                  </w:pPr>
                  <w:r>
                    <w:rPr>
                      <w:color w:val="auto"/>
                    </w:rPr>
                    <w:t>颗粒物</w:t>
                  </w:r>
                </w:p>
              </w:tc>
              <w:tc>
                <w:tcPr>
                  <w:tcW w:w="649" w:type="pct"/>
                  <w:tcBorders>
                    <w:tl2br w:val="nil"/>
                    <w:tr2bl w:val="nil"/>
                  </w:tcBorders>
                  <w:noWrap w:val="0"/>
                  <w:vAlign w:val="center"/>
                </w:tcPr>
                <w:p w14:paraId="2B762FF3">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eastAsia" w:ascii="Times New Roman" w:hAnsi="Times New Roman" w:eastAsia="宋体" w:cs="Times New Roman"/>
                      <w:b w:val="0"/>
                      <w:bCs w:val="0"/>
                      <w:color w:val="000000"/>
                      <w:kern w:val="0"/>
                      <w:sz w:val="21"/>
                      <w:szCs w:val="21"/>
                      <w:highlight w:val="none"/>
                      <w:lang w:val="en-US" w:eastAsia="zh-CN" w:bidi="ar"/>
                    </w:rPr>
                  </w:pPr>
                  <w:r>
                    <w:rPr>
                      <w:rFonts w:hint="default" w:ascii="Times New Roman" w:hAnsi="Times New Roman" w:eastAsia="宋体" w:cs="Times New Roman"/>
                      <w:b w:val="0"/>
                      <w:bCs w:val="0"/>
                      <w:color w:val="000000"/>
                      <w:kern w:val="0"/>
                      <w:sz w:val="21"/>
                      <w:szCs w:val="21"/>
                      <w:highlight w:val="none"/>
                      <w:lang w:val="en-US" w:eastAsia="zh-CN" w:bidi="ar"/>
                    </w:rPr>
                    <w:t>1</w:t>
                  </w:r>
                  <w:r>
                    <w:rPr>
                      <w:rFonts w:hint="eastAsia" w:ascii="Times New Roman" w:hAnsi="Times New Roman" w:eastAsia="宋体" w:cs="Times New Roman"/>
                      <w:b w:val="0"/>
                      <w:bCs w:val="0"/>
                      <w:color w:val="000000"/>
                      <w:kern w:val="0"/>
                      <w:sz w:val="21"/>
                      <w:szCs w:val="21"/>
                      <w:highlight w:val="none"/>
                      <w:lang w:val="en-US" w:eastAsia="zh-CN" w:bidi="ar"/>
                    </w:rPr>
                    <w:t>0</w:t>
                  </w:r>
                </w:p>
              </w:tc>
              <w:tc>
                <w:tcPr>
                  <w:tcW w:w="993" w:type="pct"/>
                  <w:tcBorders>
                    <w:tl2br w:val="nil"/>
                    <w:tr2bl w:val="nil"/>
                  </w:tcBorders>
                  <w:noWrap w:val="0"/>
                  <w:vAlign w:val="center"/>
                </w:tcPr>
                <w:p w14:paraId="27F2475A">
                  <w:pPr>
                    <w:pStyle w:val="67"/>
                    <w:spacing w:line="240" w:lineRule="auto"/>
                    <w:rPr>
                      <w:rFonts w:hint="default"/>
                      <w:color w:val="auto"/>
                      <w:lang w:val="en-US" w:eastAsia="zh-CN"/>
                    </w:rPr>
                  </w:pPr>
                  <w:r>
                    <w:rPr>
                      <w:rFonts w:hint="default"/>
                      <w:color w:val="auto"/>
                    </w:rPr>
                    <w:t>1次/</w:t>
                  </w:r>
                  <w:r>
                    <w:rPr>
                      <w:rFonts w:hint="eastAsia"/>
                      <w:color w:val="auto"/>
                      <w:lang w:eastAsia="zh-CN"/>
                    </w:rPr>
                    <w:t>年</w:t>
                  </w:r>
                </w:p>
              </w:tc>
              <w:tc>
                <w:tcPr>
                  <w:tcW w:w="1875" w:type="pct"/>
                  <w:vMerge w:val="continue"/>
                  <w:tcBorders>
                    <w:tl2br w:val="nil"/>
                    <w:tr2bl w:val="nil"/>
                  </w:tcBorders>
                  <w:noWrap w:val="0"/>
                  <w:vAlign w:val="center"/>
                </w:tcPr>
                <w:p w14:paraId="4C7AF87E">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highlight w:val="none"/>
                      <w:lang w:eastAsia="zh-CN"/>
                    </w:rPr>
                  </w:pPr>
                </w:p>
              </w:tc>
            </w:tr>
            <w:tr w14:paraId="4558B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01" w:hRule="atLeast"/>
                <w:jc w:val="center"/>
              </w:trPr>
              <w:tc>
                <w:tcPr>
                  <w:tcW w:w="804" w:type="pct"/>
                  <w:tcBorders>
                    <w:tl2br w:val="nil"/>
                    <w:tr2bl w:val="nil"/>
                  </w:tcBorders>
                  <w:noWrap w:val="0"/>
                  <w:vAlign w:val="center"/>
                </w:tcPr>
                <w:p w14:paraId="00202547">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eastAsia="宋体" w:cs="Times New Roman"/>
                      <w:color w:val="auto"/>
                      <w:sz w:val="21"/>
                      <w:szCs w:val="21"/>
                      <w:highlight w:val="none"/>
                      <w:lang w:eastAsia="zh-CN"/>
                    </w:rPr>
                  </w:pPr>
                  <w:r>
                    <w:rPr>
                      <w:rFonts w:hint="eastAsia"/>
                      <w:sz w:val="21"/>
                      <w:szCs w:val="21"/>
                    </w:rPr>
                    <w:t>食堂烟</w:t>
                  </w:r>
                  <w:r>
                    <w:rPr>
                      <w:rFonts w:hint="eastAsia"/>
                      <w:sz w:val="21"/>
                      <w:szCs w:val="21"/>
                      <w:lang w:eastAsia="zh-CN"/>
                    </w:rPr>
                    <w:t>道</w:t>
                  </w:r>
                </w:p>
              </w:tc>
              <w:tc>
                <w:tcPr>
                  <w:tcW w:w="677" w:type="pct"/>
                  <w:tcBorders>
                    <w:tl2br w:val="nil"/>
                    <w:tr2bl w:val="nil"/>
                  </w:tcBorders>
                  <w:noWrap w:val="0"/>
                  <w:vAlign w:val="center"/>
                </w:tcPr>
                <w:p w14:paraId="7C1C0478">
                  <w:pPr>
                    <w:pStyle w:val="67"/>
                    <w:spacing w:line="240" w:lineRule="auto"/>
                    <w:rPr>
                      <w:rFonts w:hint="eastAsia" w:eastAsia="宋体"/>
                      <w:color w:val="auto"/>
                      <w:lang w:eastAsia="zh-CN"/>
                    </w:rPr>
                  </w:pPr>
                  <w:r>
                    <w:rPr>
                      <w:rFonts w:hint="eastAsia"/>
                      <w:color w:val="auto"/>
                      <w:lang w:eastAsia="zh-CN"/>
                    </w:rPr>
                    <w:t>油烟</w:t>
                  </w:r>
                </w:p>
              </w:tc>
              <w:tc>
                <w:tcPr>
                  <w:tcW w:w="649" w:type="pct"/>
                  <w:tcBorders>
                    <w:tl2br w:val="nil"/>
                    <w:tr2bl w:val="nil"/>
                  </w:tcBorders>
                  <w:noWrap w:val="0"/>
                  <w:vAlign w:val="center"/>
                </w:tcPr>
                <w:p w14:paraId="0CC10EF5">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b w:val="0"/>
                      <w:bCs w:val="0"/>
                      <w:color w:val="000000"/>
                      <w:kern w:val="0"/>
                      <w:sz w:val="21"/>
                      <w:szCs w:val="21"/>
                      <w:highlight w:val="none"/>
                      <w:lang w:val="en-US" w:eastAsia="zh-CN" w:bidi="ar"/>
                    </w:rPr>
                  </w:pPr>
                  <w:r>
                    <w:rPr>
                      <w:rFonts w:hint="eastAsia" w:cs="Times New Roman"/>
                      <w:b w:val="0"/>
                      <w:bCs w:val="0"/>
                      <w:color w:val="000000"/>
                      <w:kern w:val="0"/>
                      <w:sz w:val="21"/>
                      <w:szCs w:val="21"/>
                      <w:highlight w:val="none"/>
                      <w:lang w:val="en-US" w:eastAsia="zh-CN" w:bidi="ar"/>
                    </w:rPr>
                    <w:t>1.0</w:t>
                  </w:r>
                </w:p>
              </w:tc>
              <w:tc>
                <w:tcPr>
                  <w:tcW w:w="993" w:type="pct"/>
                  <w:tcBorders>
                    <w:tl2br w:val="nil"/>
                    <w:tr2bl w:val="nil"/>
                  </w:tcBorders>
                  <w:noWrap w:val="0"/>
                  <w:vAlign w:val="center"/>
                </w:tcPr>
                <w:p w14:paraId="7180D04F">
                  <w:pPr>
                    <w:pStyle w:val="67"/>
                    <w:spacing w:line="240" w:lineRule="auto"/>
                    <w:rPr>
                      <w:rFonts w:hint="default"/>
                      <w:color w:val="auto"/>
                    </w:rPr>
                  </w:pPr>
                  <w:r>
                    <w:rPr>
                      <w:rFonts w:hint="default"/>
                      <w:color w:val="auto"/>
                    </w:rPr>
                    <w:t>1次/年</w:t>
                  </w:r>
                </w:p>
              </w:tc>
              <w:tc>
                <w:tcPr>
                  <w:tcW w:w="1875" w:type="pct"/>
                  <w:tcBorders>
                    <w:tl2br w:val="nil"/>
                    <w:tr2bl w:val="nil"/>
                  </w:tcBorders>
                  <w:noWrap w:val="0"/>
                  <w:vAlign w:val="center"/>
                </w:tcPr>
                <w:p w14:paraId="4FE4C601">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000000"/>
                      <w:sz w:val="21"/>
                      <w:szCs w:val="21"/>
                      <w:lang w:eastAsia="zh-CN"/>
                    </w:rPr>
                  </w:pPr>
                  <w:r>
                    <w:rPr>
                      <w:rFonts w:hint="eastAsia" w:ascii="Times New Roman" w:hAnsi="Times New Roman" w:eastAsia="宋体" w:cs="Times New Roman"/>
                      <w:color w:val="000000"/>
                      <w:sz w:val="21"/>
                      <w:szCs w:val="21"/>
                    </w:rPr>
                    <w:t>《餐饮业大气污染物排放标准》（DB13/5808</w:t>
                  </w:r>
                  <w:r>
                    <w:rPr>
                      <w:rFonts w:hint="eastAsia" w:ascii="Times New Roman" w:hAnsi="Times New Roman" w:eastAsia="宋体" w:cs="Times New Roman"/>
                      <w:color w:val="000000"/>
                      <w:sz w:val="21"/>
                      <w:szCs w:val="21"/>
                      <w:lang w:val="en-US" w:eastAsia="zh-CN"/>
                    </w:rPr>
                    <w:t>-</w:t>
                  </w:r>
                  <w:r>
                    <w:rPr>
                      <w:rFonts w:hint="eastAsia" w:ascii="Times New Roman" w:hAnsi="Times New Roman" w:eastAsia="宋体" w:cs="Times New Roman"/>
                      <w:color w:val="000000"/>
                      <w:sz w:val="21"/>
                      <w:szCs w:val="21"/>
                    </w:rPr>
                    <w:t>2023）/《唐山市餐饮油烟污染治理专项方案》（唐气领办〔2021〕58号）</w:t>
                  </w:r>
                </w:p>
              </w:tc>
            </w:tr>
            <w:tr w14:paraId="3BD090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97" w:hRule="atLeast"/>
                <w:jc w:val="center"/>
              </w:trPr>
              <w:tc>
                <w:tcPr>
                  <w:tcW w:w="804" w:type="pct"/>
                  <w:tcBorders>
                    <w:tl2br w:val="nil"/>
                    <w:tr2bl w:val="nil"/>
                  </w:tcBorders>
                  <w:noWrap w:val="0"/>
                  <w:vAlign w:val="center"/>
                </w:tcPr>
                <w:p w14:paraId="0DF2603C">
                  <w:pPr>
                    <w:pStyle w:val="67"/>
                    <w:spacing w:line="240" w:lineRule="auto"/>
                    <w:rPr>
                      <w:rFonts w:hint="eastAsia" w:eastAsia="宋体"/>
                      <w:color w:val="auto"/>
                      <w:lang w:eastAsia="zh-CN"/>
                    </w:rPr>
                  </w:pPr>
                  <w:r>
                    <w:rPr>
                      <w:rFonts w:hint="eastAsia"/>
                      <w:color w:val="auto"/>
                      <w:lang w:eastAsia="zh-CN"/>
                    </w:rPr>
                    <w:t>厂界</w:t>
                  </w:r>
                </w:p>
              </w:tc>
              <w:tc>
                <w:tcPr>
                  <w:tcW w:w="677" w:type="pct"/>
                  <w:tcBorders>
                    <w:tl2br w:val="nil"/>
                    <w:tr2bl w:val="nil"/>
                  </w:tcBorders>
                  <w:noWrap w:val="0"/>
                  <w:vAlign w:val="center"/>
                </w:tcPr>
                <w:p w14:paraId="3FFCEC52">
                  <w:pPr>
                    <w:pStyle w:val="67"/>
                    <w:spacing w:line="240" w:lineRule="auto"/>
                    <w:rPr>
                      <w:color w:val="auto"/>
                    </w:rPr>
                  </w:pPr>
                  <w:r>
                    <w:rPr>
                      <w:color w:val="auto"/>
                    </w:rPr>
                    <w:t>颗粒物</w:t>
                  </w:r>
                </w:p>
              </w:tc>
              <w:tc>
                <w:tcPr>
                  <w:tcW w:w="649" w:type="pct"/>
                  <w:tcBorders>
                    <w:tl2br w:val="nil"/>
                    <w:tr2bl w:val="nil"/>
                  </w:tcBorders>
                  <w:noWrap w:val="0"/>
                  <w:vAlign w:val="center"/>
                </w:tcPr>
                <w:p w14:paraId="76B76726">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val="en-US" w:eastAsia="zh-CN"/>
                    </w:rPr>
                    <w:t>1.0</w:t>
                  </w:r>
                </w:p>
              </w:tc>
              <w:tc>
                <w:tcPr>
                  <w:tcW w:w="993" w:type="pct"/>
                  <w:tcBorders>
                    <w:tl2br w:val="nil"/>
                    <w:tr2bl w:val="nil"/>
                  </w:tcBorders>
                  <w:noWrap w:val="0"/>
                  <w:vAlign w:val="center"/>
                </w:tcPr>
                <w:p w14:paraId="3A34A3E4">
                  <w:pPr>
                    <w:pStyle w:val="67"/>
                    <w:spacing w:line="240" w:lineRule="auto"/>
                    <w:rPr>
                      <w:rFonts w:hint="eastAsia" w:eastAsia="宋体"/>
                      <w:color w:val="auto"/>
                      <w:lang w:eastAsia="zh-CN"/>
                    </w:rPr>
                  </w:pPr>
                  <w:r>
                    <w:rPr>
                      <w:rFonts w:hint="default"/>
                      <w:color w:val="auto"/>
                    </w:rPr>
                    <w:t>1次/</w:t>
                  </w:r>
                  <w:r>
                    <w:rPr>
                      <w:rFonts w:hint="eastAsia"/>
                      <w:color w:val="auto"/>
                      <w:lang w:eastAsia="zh-CN"/>
                    </w:rPr>
                    <w:t>年</w:t>
                  </w:r>
                </w:p>
              </w:tc>
              <w:tc>
                <w:tcPr>
                  <w:tcW w:w="1875" w:type="pct"/>
                  <w:tcBorders>
                    <w:tl2br w:val="nil"/>
                    <w:tr2bl w:val="nil"/>
                  </w:tcBorders>
                  <w:noWrap w:val="0"/>
                  <w:vAlign w:val="center"/>
                </w:tcPr>
                <w:p w14:paraId="78324102">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000000"/>
                      <w:sz w:val="21"/>
                      <w:szCs w:val="21"/>
                      <w:lang w:val="en-US" w:eastAsia="zh-CN"/>
                    </w:rPr>
                  </w:pPr>
                  <w:r>
                    <w:rPr>
                      <w:rFonts w:hint="eastAsia" w:ascii="Times New Roman" w:hAnsi="Times New Roman" w:eastAsia="宋体" w:cs="Times New Roman"/>
                      <w:color w:val="000000"/>
                      <w:sz w:val="21"/>
                      <w:szCs w:val="21"/>
                      <w:lang w:val="en-US" w:eastAsia="zh-CN"/>
                    </w:rPr>
                    <w:t>《炼焦化学工业大气污染物超低排放标准》(DB13/2863-2018)表2</w:t>
                  </w:r>
                  <w:r>
                    <w:rPr>
                      <w:rFonts w:hint="eastAsia" w:ascii="Times New Roman" w:hAnsi="Times New Roman" w:eastAsia="宋体" w:cs="Times New Roman"/>
                      <w:sz w:val="21"/>
                      <w:szCs w:val="21"/>
                      <w:highlight w:val="none"/>
                      <w:lang w:val="en-US" w:eastAsia="zh-CN"/>
                    </w:rPr>
                    <w:t>企业边界</w:t>
                  </w:r>
                  <w:r>
                    <w:rPr>
                      <w:rFonts w:hint="eastAsia" w:ascii="Times New Roman" w:hAnsi="Times New Roman" w:eastAsia="宋体" w:cs="Times New Roman"/>
                      <w:color w:val="000000"/>
                      <w:sz w:val="21"/>
                      <w:szCs w:val="21"/>
                      <w:lang w:val="en-US" w:eastAsia="zh-CN"/>
                    </w:rPr>
                    <w:t>大气污染物排放限值</w:t>
                  </w:r>
                </w:p>
              </w:tc>
            </w:tr>
          </w:tbl>
          <w:p w14:paraId="63CC0561">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Chars="0"/>
              <w:textAlignment w:val="auto"/>
              <w:rPr>
                <w:rFonts w:hint="eastAsia"/>
                <w:b/>
                <w:bCs/>
                <w:sz w:val="24"/>
                <w:szCs w:val="24"/>
                <w:lang w:val="en-US" w:eastAsia="zh-CN"/>
              </w:rPr>
            </w:pPr>
            <w:r>
              <w:rPr>
                <w:rFonts w:hint="eastAsia"/>
                <w:b/>
                <w:bCs/>
                <w:sz w:val="24"/>
                <w:szCs w:val="24"/>
                <w:lang w:val="en-US" w:eastAsia="zh-CN"/>
              </w:rPr>
              <w:t>2、水环境影响分析</w:t>
            </w:r>
          </w:p>
          <w:p w14:paraId="309747F5">
            <w:pPr>
              <w:pStyle w:val="72"/>
              <w:keepNext w:val="0"/>
              <w:keepLines w:val="0"/>
              <w:pageBreakBefore w:val="0"/>
              <w:widowControl w:val="0"/>
              <w:kinsoku/>
              <w:wordWrap/>
              <w:overflowPunct/>
              <w:topLinePunct w:val="0"/>
              <w:autoSpaceDE/>
              <w:autoSpaceDN/>
              <w:bidi w:val="0"/>
              <w:adjustRightInd w:val="0"/>
              <w:snapToGrid w:val="0"/>
              <w:spacing w:line="500" w:lineRule="exact"/>
              <w:ind w:left="0" w:leftChars="0" w:firstLine="0" w:firstLineChars="0"/>
              <w:jc w:val="left"/>
              <w:textAlignment w:val="auto"/>
              <w:rPr>
                <w:color w:val="auto"/>
                <w:sz w:val="24"/>
                <w:szCs w:val="24"/>
                <w:highlight w:val="none"/>
              </w:rPr>
            </w:pPr>
            <w:r>
              <w:rPr>
                <w:rFonts w:hint="default" w:ascii="Times New Roman" w:hAnsi="Times New Roman" w:eastAsia="宋体" w:cs="Times New Roman"/>
                <w:b/>
                <w:bCs/>
                <w:color w:val="auto"/>
                <w:kern w:val="0"/>
                <w:sz w:val="24"/>
                <w:szCs w:val="24"/>
                <w:highlight w:val="none"/>
                <w:lang w:val="en-US" w:eastAsia="zh-CN" w:bidi="ar"/>
              </w:rPr>
              <w:t xml:space="preserve">2.1 </w:t>
            </w:r>
            <w:r>
              <w:rPr>
                <w:rFonts w:hint="eastAsia" w:ascii="Times New Roman" w:hAnsi="Times New Roman" w:eastAsia="宋体" w:cs="Times New Roman"/>
                <w:b/>
                <w:bCs/>
                <w:color w:val="auto"/>
                <w:kern w:val="0"/>
                <w:sz w:val="24"/>
                <w:szCs w:val="24"/>
                <w:highlight w:val="none"/>
                <w:lang w:val="en-US" w:eastAsia="zh-CN" w:bidi="ar"/>
              </w:rPr>
              <w:t xml:space="preserve"> </w:t>
            </w:r>
            <w:r>
              <w:rPr>
                <w:rFonts w:hint="eastAsia" w:ascii="宋体" w:hAnsi="宋体" w:eastAsia="宋体" w:cs="宋体"/>
                <w:b/>
                <w:bCs/>
                <w:color w:val="auto"/>
                <w:kern w:val="0"/>
                <w:sz w:val="24"/>
                <w:szCs w:val="24"/>
                <w:highlight w:val="none"/>
                <w:lang w:val="en-US" w:eastAsia="zh-CN" w:bidi="ar"/>
              </w:rPr>
              <w:t>产排污环节</w:t>
            </w:r>
          </w:p>
          <w:p w14:paraId="71901579">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0" w:firstLineChars="200"/>
              <w:textAlignment w:val="auto"/>
              <w:rPr>
                <w:rFonts w:hint="eastAsia" w:ascii="Times New Roman" w:hAnsi="Times New Roman" w:eastAsia="宋体" w:cs="Times New Roman"/>
                <w:b w:val="0"/>
                <w:bCs w:val="0"/>
                <w:color w:val="000000"/>
                <w:kern w:val="0"/>
                <w:sz w:val="24"/>
                <w:szCs w:val="24"/>
                <w:highlight w:val="none"/>
                <w:lang w:val="en-US" w:eastAsia="zh-CN" w:bidi="ar"/>
              </w:rPr>
            </w:pPr>
            <w:r>
              <w:rPr>
                <w:rFonts w:hint="eastAsia" w:ascii="Times New Roman" w:hAnsi="Times New Roman" w:eastAsia="宋体" w:cs="Times New Roman"/>
                <w:b w:val="0"/>
                <w:bCs w:val="0"/>
                <w:color w:val="000000"/>
                <w:kern w:val="0"/>
                <w:sz w:val="24"/>
                <w:szCs w:val="24"/>
                <w:highlight w:val="none"/>
                <w:lang w:val="en-US" w:eastAsia="zh-CN" w:bidi="ar"/>
              </w:rPr>
              <w:t>①生产废水</w:t>
            </w:r>
          </w:p>
          <w:p w14:paraId="0F66096C">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0" w:firstLineChars="200"/>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eastAsia" w:ascii="Times New Roman" w:hAnsi="Times New Roman" w:eastAsia="宋体" w:cs="Times New Roman"/>
                <w:b w:val="0"/>
                <w:bCs w:val="0"/>
                <w:color w:val="000000"/>
                <w:kern w:val="0"/>
                <w:sz w:val="24"/>
                <w:szCs w:val="24"/>
                <w:highlight w:val="none"/>
                <w:lang w:val="en-US" w:eastAsia="zh-CN" w:bidi="ar"/>
              </w:rPr>
              <w:t>本项目产生的生产废水主要为</w:t>
            </w:r>
            <w:r>
              <w:rPr>
                <w:rFonts w:hint="eastAsia" w:cs="Times New Roman"/>
                <w:b w:val="0"/>
                <w:bCs w:val="0"/>
                <w:color w:val="000000"/>
                <w:kern w:val="0"/>
                <w:sz w:val="24"/>
                <w:szCs w:val="24"/>
                <w:highlight w:val="none"/>
                <w:lang w:val="en-US" w:eastAsia="zh-CN" w:bidi="ar"/>
              </w:rPr>
              <w:t>配煤压滤废水</w:t>
            </w:r>
            <w:r>
              <w:rPr>
                <w:rFonts w:hint="eastAsia" w:ascii="Times New Roman" w:hAnsi="Times New Roman" w:eastAsia="宋体" w:cs="Times New Roman"/>
                <w:b w:val="0"/>
                <w:bCs w:val="0"/>
                <w:color w:val="000000"/>
                <w:kern w:val="0"/>
                <w:sz w:val="24"/>
                <w:szCs w:val="24"/>
                <w:highlight w:val="none"/>
                <w:lang w:val="en-US" w:eastAsia="zh-CN" w:bidi="ar"/>
              </w:rPr>
              <w:t>、车辆冲洗废水，主要污染物为</w:t>
            </w:r>
            <w:r>
              <w:rPr>
                <w:rFonts w:hint="default" w:ascii="Times New Roman" w:hAnsi="Times New Roman" w:eastAsia="宋体" w:cs="Times New Roman"/>
                <w:b w:val="0"/>
                <w:bCs w:val="0"/>
                <w:color w:val="000000"/>
                <w:kern w:val="0"/>
                <w:sz w:val="24"/>
                <w:szCs w:val="24"/>
                <w:highlight w:val="none"/>
                <w:lang w:val="zh-CN" w:eastAsia="zh-CN" w:bidi="ar"/>
              </w:rPr>
              <w:t>SS</w:t>
            </w:r>
            <w:r>
              <w:rPr>
                <w:rFonts w:hint="eastAsia" w:cs="Times New Roman"/>
                <w:b w:val="0"/>
                <w:bCs w:val="0"/>
                <w:color w:val="000000"/>
                <w:kern w:val="0"/>
                <w:sz w:val="24"/>
                <w:szCs w:val="24"/>
                <w:highlight w:val="none"/>
                <w:lang w:val="en-US" w:eastAsia="zh-CN" w:bidi="ar"/>
              </w:rPr>
              <w:t>，根据</w:t>
            </w:r>
            <w:r>
              <w:rPr>
                <w:rFonts w:hint="default" w:ascii="Times New Roman" w:hAnsi="Times New Roman" w:eastAsia="宋体" w:cs="Times New Roman"/>
                <w:color w:val="auto"/>
                <w:sz w:val="24"/>
                <w:szCs w:val="24"/>
              </w:rPr>
              <w:t>建设单位提供资料，</w:t>
            </w:r>
            <w:r>
              <w:rPr>
                <w:rFonts w:hint="eastAsia" w:ascii="Times New Roman" w:hAnsi="Times New Roman" w:eastAsia="宋体" w:cs="Times New Roman"/>
                <w:color w:val="auto"/>
                <w:sz w:val="24"/>
                <w:szCs w:val="24"/>
                <w:lang w:eastAsia="zh-CN"/>
              </w:rPr>
              <w:t>本项目配煤加工时使用清水即可，不添加其他物质及试剂，</w:t>
            </w:r>
            <w:r>
              <w:rPr>
                <w:rFonts w:hint="default" w:ascii="Times New Roman" w:hAnsi="Times New Roman" w:eastAsia="宋体" w:cs="Times New Roman"/>
                <w:color w:val="auto"/>
                <w:sz w:val="24"/>
                <w:szCs w:val="24"/>
              </w:rPr>
              <w:t>且本项目工艺用水对水质要求较低，不需对其进行专门处理；</w:t>
            </w:r>
            <w:r>
              <w:rPr>
                <w:rFonts w:hint="eastAsia" w:ascii="Times New Roman" w:hAnsi="Times New Roman" w:eastAsia="宋体" w:cs="Times New Roman"/>
                <w:color w:val="auto"/>
                <w:sz w:val="24"/>
                <w:szCs w:val="24"/>
                <w:lang w:eastAsia="zh-CN"/>
              </w:rPr>
              <w:t>类比同类项目资料，废水中的</w:t>
            </w:r>
            <w:r>
              <w:rPr>
                <w:rFonts w:hint="default" w:ascii="Times New Roman" w:hAnsi="Times New Roman" w:eastAsia="宋体" w:cs="Times New Roman"/>
                <w:b w:val="0"/>
                <w:bCs w:val="0"/>
                <w:color w:val="000000"/>
                <w:kern w:val="0"/>
                <w:sz w:val="24"/>
                <w:szCs w:val="24"/>
                <w:highlight w:val="none"/>
                <w:lang w:val="zh-CN" w:eastAsia="zh-CN" w:bidi="ar"/>
              </w:rPr>
              <w:t>SS</w:t>
            </w:r>
            <w:r>
              <w:rPr>
                <w:rFonts w:hint="eastAsia" w:ascii="Times New Roman" w:hAnsi="Times New Roman" w:eastAsia="宋体" w:cs="Times New Roman"/>
                <w:b w:val="0"/>
                <w:bCs w:val="0"/>
                <w:color w:val="000000"/>
                <w:kern w:val="0"/>
                <w:sz w:val="24"/>
                <w:szCs w:val="24"/>
                <w:highlight w:val="none"/>
                <w:lang w:val="zh-CN" w:eastAsia="zh-CN" w:bidi="ar"/>
              </w:rPr>
              <w:t>经沉淀过滤出后，满足工艺水质要求，可回用于生产工序。因此本项目设计了清水池及沉淀池对废水进行沉淀处理，</w:t>
            </w:r>
            <w:r>
              <w:rPr>
                <w:rFonts w:hint="eastAsia" w:cs="Times New Roman"/>
                <w:b w:val="0"/>
                <w:bCs w:val="0"/>
                <w:color w:val="000000"/>
                <w:kern w:val="0"/>
                <w:sz w:val="24"/>
                <w:szCs w:val="24"/>
                <w:highlight w:val="none"/>
                <w:lang w:val="en-US" w:eastAsia="zh-CN" w:bidi="ar"/>
              </w:rPr>
              <w:t>配煤压滤废水流入1#厂房内清水池沉淀后回用于生产</w:t>
            </w:r>
            <w:r>
              <w:rPr>
                <w:rFonts w:hint="eastAsia" w:cs="Times New Roman"/>
                <w:color w:val="auto"/>
                <w:kern w:val="0"/>
                <w:sz w:val="24"/>
                <w:szCs w:val="24"/>
                <w:highlight w:val="none"/>
                <w:vertAlign w:val="baseline"/>
                <w:lang w:val="en-US" w:eastAsia="zh-CN" w:bidi="ar"/>
              </w:rPr>
              <w:t>；车辆冲洗废水</w:t>
            </w:r>
            <w:r>
              <w:rPr>
                <w:rFonts w:hint="default" w:ascii="Times New Roman" w:hAnsi="Times New Roman" w:eastAsia="宋体" w:cs="Times New Roman"/>
                <w:bCs/>
                <w:szCs w:val="21"/>
                <w:highlight w:val="none"/>
                <w:vertAlign w:val="baseline"/>
                <w:lang w:val="en-US" w:eastAsia="zh-CN"/>
              </w:rPr>
              <w:t>部分蒸发损耗，部分</w:t>
            </w:r>
            <w:r>
              <w:rPr>
                <w:rFonts w:hint="eastAsia" w:cs="Times New Roman"/>
                <w:bCs/>
                <w:szCs w:val="21"/>
                <w:highlight w:val="none"/>
                <w:vertAlign w:val="baseline"/>
                <w:lang w:val="en-US" w:eastAsia="zh-CN"/>
              </w:rPr>
              <w:t>流入配套</w:t>
            </w:r>
            <w:r>
              <w:rPr>
                <w:rFonts w:hint="default" w:ascii="Times New Roman" w:hAnsi="Times New Roman" w:eastAsia="宋体" w:cs="Times New Roman"/>
                <w:bCs/>
                <w:szCs w:val="21"/>
                <w:highlight w:val="none"/>
                <w:vertAlign w:val="baseline"/>
                <w:lang w:val="en-US" w:eastAsia="zh-CN"/>
              </w:rPr>
              <w:t>沉淀池</w:t>
            </w:r>
            <w:r>
              <w:rPr>
                <w:rFonts w:hint="eastAsia" w:cs="Times New Roman"/>
                <w:bCs/>
                <w:szCs w:val="21"/>
                <w:highlight w:val="none"/>
                <w:vertAlign w:val="baseline"/>
                <w:lang w:val="en-US" w:eastAsia="zh-CN"/>
              </w:rPr>
              <w:t>，</w:t>
            </w:r>
            <w:r>
              <w:rPr>
                <w:rFonts w:hint="default" w:ascii="Times New Roman" w:hAnsi="Times New Roman" w:eastAsia="宋体" w:cs="Times New Roman"/>
                <w:bCs/>
                <w:szCs w:val="21"/>
                <w:highlight w:val="none"/>
                <w:vertAlign w:val="baseline"/>
                <w:lang w:val="en-US" w:eastAsia="zh-CN"/>
              </w:rPr>
              <w:t>沉淀后的清水</w:t>
            </w:r>
            <w:r>
              <w:rPr>
                <w:rFonts w:hint="default" w:ascii="Times New Roman" w:hAnsi="Times New Roman" w:cs="Times New Roman"/>
                <w:bCs/>
                <w:szCs w:val="21"/>
                <w:highlight w:val="none"/>
                <w:vertAlign w:val="baseline"/>
                <w:lang w:val="en-US" w:eastAsia="zh-CN"/>
              </w:rPr>
              <w:t>回用于</w:t>
            </w:r>
            <w:r>
              <w:rPr>
                <w:rFonts w:hint="eastAsia" w:ascii="Times New Roman" w:hAnsi="Times New Roman" w:cs="Times New Roman"/>
                <w:bCs/>
                <w:szCs w:val="21"/>
                <w:highlight w:val="none"/>
                <w:vertAlign w:val="baseline"/>
                <w:lang w:val="en-US" w:eastAsia="zh-CN"/>
              </w:rPr>
              <w:t>车辆清洗</w:t>
            </w:r>
            <w:r>
              <w:rPr>
                <w:rFonts w:hint="eastAsia" w:cs="Times New Roman"/>
                <w:bCs/>
                <w:szCs w:val="21"/>
                <w:highlight w:val="none"/>
                <w:vertAlign w:val="baseline"/>
                <w:lang w:val="en-US" w:eastAsia="zh-CN"/>
              </w:rPr>
              <w:t>。本项目生产废水全部回用，不外排。</w:t>
            </w:r>
          </w:p>
          <w:p w14:paraId="7CCD3D47">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eastAsia" w:cs="Times New Roman"/>
                <w:b w:val="0"/>
                <w:bCs w:val="0"/>
                <w:color w:val="000000"/>
                <w:kern w:val="0"/>
                <w:sz w:val="24"/>
                <w:szCs w:val="24"/>
                <w:highlight w:val="none"/>
                <w:vertAlign w:val="baseline"/>
                <w:lang w:val="en-US" w:eastAsia="zh-CN" w:bidi="ar"/>
              </w:rPr>
            </w:pPr>
            <w:r>
              <w:rPr>
                <w:rFonts w:hint="eastAsia" w:cs="Times New Roman"/>
                <w:b w:val="0"/>
                <w:bCs w:val="0"/>
                <w:color w:val="000000"/>
                <w:kern w:val="0"/>
                <w:sz w:val="24"/>
                <w:szCs w:val="24"/>
                <w:highlight w:val="none"/>
                <w:vertAlign w:val="baseline"/>
                <w:lang w:val="en-US" w:eastAsia="zh-CN" w:bidi="ar"/>
              </w:rPr>
              <w:t>①初期雨水</w:t>
            </w:r>
          </w:p>
          <w:p w14:paraId="3D7B78C8">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both"/>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本项目在变电所西侧、5#仓库南侧设置一座</w:t>
            </w:r>
            <w:r>
              <w:rPr>
                <w:rFonts w:hint="eastAsia" w:cs="Times New Roman"/>
                <w:b w:val="0"/>
                <w:bCs w:val="0"/>
                <w:color w:val="000000"/>
                <w:kern w:val="0"/>
                <w:sz w:val="24"/>
                <w:szCs w:val="24"/>
                <w:highlight w:val="none"/>
                <w:lang w:val="en-US" w:eastAsia="zh-CN" w:bidi="ar"/>
              </w:rPr>
              <w:t>初期</w:t>
            </w:r>
            <w:r>
              <w:rPr>
                <w:rFonts w:hint="default" w:ascii="Times New Roman" w:hAnsi="Times New Roman" w:eastAsia="宋体" w:cs="Times New Roman"/>
                <w:b w:val="0"/>
                <w:bCs w:val="0"/>
                <w:color w:val="000000"/>
                <w:kern w:val="0"/>
                <w:sz w:val="24"/>
                <w:szCs w:val="24"/>
                <w:highlight w:val="none"/>
                <w:lang w:val="en-US" w:eastAsia="zh-CN" w:bidi="ar"/>
              </w:rPr>
              <w:t>雨水沉淀池，</w:t>
            </w:r>
            <w:r>
              <w:rPr>
                <w:rFonts w:hint="eastAsia" w:cs="Times New Roman"/>
                <w:b w:val="0"/>
                <w:bCs w:val="0"/>
                <w:color w:val="000000"/>
                <w:kern w:val="0"/>
                <w:sz w:val="24"/>
                <w:szCs w:val="24"/>
                <w:highlight w:val="none"/>
                <w:lang w:val="en-US" w:eastAsia="zh-CN" w:bidi="ar"/>
              </w:rPr>
              <w:t>池体表面</w:t>
            </w:r>
            <w:r>
              <w:rPr>
                <w:rFonts w:hint="eastAsia" w:ascii="Times New Roman" w:hAnsi="Times New Roman" w:eastAsia="宋体" w:cs="Times New Roman"/>
                <w:color w:val="auto"/>
                <w:kern w:val="0"/>
                <w:sz w:val="24"/>
                <w:szCs w:val="24"/>
                <w:highlight w:val="none"/>
                <w:lang w:val="en-US" w:eastAsia="zh-CN" w:bidi="ar"/>
              </w:rPr>
              <w:t>设计尺寸为上底</w:t>
            </w:r>
            <w:r>
              <w:rPr>
                <w:rFonts w:hint="default" w:ascii="Times New Roman" w:hAnsi="Times New Roman" w:eastAsia="宋体" w:cs="Times New Roman"/>
                <w:color w:val="auto"/>
                <w:kern w:val="0"/>
                <w:sz w:val="24"/>
                <w:szCs w:val="24"/>
                <w:highlight w:val="none"/>
                <w:lang w:val="en-US" w:eastAsia="zh-CN" w:bidi="ar"/>
              </w:rPr>
              <w:t>6.5m</w:t>
            </w:r>
            <w:r>
              <w:rPr>
                <w:rFonts w:hint="eastAsia" w:ascii="Times New Roman" w:hAnsi="Times New Roman" w:eastAsia="宋体" w:cs="Times New Roman"/>
                <w:color w:val="auto"/>
                <w:kern w:val="0"/>
                <w:sz w:val="24"/>
                <w:szCs w:val="24"/>
                <w:highlight w:val="none"/>
                <w:lang w:val="en-US" w:eastAsia="zh-CN" w:bidi="ar"/>
              </w:rPr>
              <w:t>、下底</w:t>
            </w:r>
            <w:r>
              <w:rPr>
                <w:rFonts w:hint="default" w:ascii="Times New Roman" w:hAnsi="Times New Roman" w:eastAsia="宋体" w:cs="Times New Roman"/>
                <w:color w:val="auto"/>
                <w:kern w:val="0"/>
                <w:sz w:val="24"/>
                <w:szCs w:val="24"/>
                <w:highlight w:val="none"/>
                <w:lang w:val="en-US" w:eastAsia="zh-CN" w:bidi="ar"/>
              </w:rPr>
              <w:t>31m</w:t>
            </w:r>
            <w:r>
              <w:rPr>
                <w:rFonts w:hint="eastAsia" w:ascii="Times New Roman" w:hAnsi="Times New Roman" w:eastAsia="宋体" w:cs="Times New Roman"/>
                <w:color w:val="auto"/>
                <w:kern w:val="0"/>
                <w:sz w:val="24"/>
                <w:szCs w:val="24"/>
                <w:highlight w:val="none"/>
                <w:lang w:val="en-US" w:eastAsia="zh-CN" w:bidi="ar"/>
              </w:rPr>
              <w:t>、高</w:t>
            </w:r>
            <w:r>
              <w:rPr>
                <w:rFonts w:hint="default" w:ascii="Times New Roman" w:hAnsi="Times New Roman" w:eastAsia="宋体" w:cs="Times New Roman"/>
                <w:color w:val="auto"/>
                <w:kern w:val="0"/>
                <w:sz w:val="24"/>
                <w:szCs w:val="24"/>
                <w:highlight w:val="none"/>
                <w:lang w:val="en-US" w:eastAsia="zh-CN" w:bidi="ar"/>
              </w:rPr>
              <w:t>40m</w:t>
            </w:r>
            <w:r>
              <w:rPr>
                <w:rFonts w:hint="eastAsia" w:ascii="Times New Roman" w:hAnsi="Times New Roman" w:eastAsia="宋体" w:cs="Times New Roman"/>
                <w:color w:val="auto"/>
                <w:kern w:val="0"/>
                <w:sz w:val="24"/>
                <w:szCs w:val="24"/>
                <w:highlight w:val="none"/>
                <w:lang w:val="en-US" w:eastAsia="zh-CN" w:bidi="ar"/>
              </w:rPr>
              <w:t>的规则梯形，容积为</w:t>
            </w:r>
            <w:r>
              <w:rPr>
                <w:rFonts w:hint="default" w:ascii="Times New Roman" w:hAnsi="Times New Roman" w:eastAsia="宋体" w:cs="Times New Roman"/>
                <w:color w:val="auto"/>
                <w:kern w:val="0"/>
                <w:sz w:val="24"/>
                <w:szCs w:val="24"/>
                <w:highlight w:val="none"/>
                <w:lang w:val="en-US" w:eastAsia="zh-CN" w:bidi="ar"/>
              </w:rPr>
              <w:t>4100m</w:t>
            </w:r>
            <w:r>
              <w:rPr>
                <w:rFonts w:hint="default" w:ascii="Times New Roman" w:hAnsi="Times New Roman" w:eastAsia="宋体" w:cs="Times New Roman"/>
                <w:color w:val="auto"/>
                <w:kern w:val="0"/>
                <w:sz w:val="24"/>
                <w:szCs w:val="24"/>
                <w:highlight w:val="none"/>
                <w:vertAlign w:val="superscript"/>
                <w:lang w:val="en-US" w:eastAsia="zh-CN" w:bidi="ar"/>
              </w:rPr>
              <w:t>3</w:t>
            </w:r>
            <w:r>
              <w:rPr>
                <w:rFonts w:hint="eastAsia" w:ascii="Times New Roman" w:hAnsi="Times New Roman" w:eastAsia="宋体" w:cs="Times New Roman"/>
                <w:color w:val="auto"/>
                <w:kern w:val="0"/>
                <w:sz w:val="24"/>
                <w:szCs w:val="24"/>
                <w:highlight w:val="none"/>
                <w:lang w:val="en-US" w:eastAsia="zh-CN" w:bidi="ar"/>
              </w:rPr>
              <w:t>，</w:t>
            </w:r>
            <w:r>
              <w:rPr>
                <w:rFonts w:hint="default" w:ascii="Times New Roman" w:hAnsi="Times New Roman" w:eastAsia="宋体" w:cs="Times New Roman"/>
                <w:b w:val="0"/>
                <w:bCs w:val="0"/>
                <w:color w:val="000000"/>
                <w:kern w:val="0"/>
                <w:sz w:val="24"/>
                <w:szCs w:val="24"/>
                <w:highlight w:val="none"/>
                <w:lang w:val="en-US" w:eastAsia="zh-CN" w:bidi="ar"/>
              </w:rPr>
              <w:t>占地面积750m</w:t>
            </w:r>
            <w:r>
              <w:rPr>
                <w:rFonts w:hint="default" w:ascii="Times New Roman" w:hAnsi="Times New Roman" w:eastAsia="宋体" w:cs="Times New Roman"/>
                <w:b w:val="0"/>
                <w:bCs w:val="0"/>
                <w:color w:val="000000"/>
                <w:kern w:val="0"/>
                <w:sz w:val="24"/>
                <w:szCs w:val="24"/>
                <w:highlight w:val="none"/>
                <w:vertAlign w:val="superscript"/>
                <w:lang w:val="en-US" w:eastAsia="zh-CN" w:bidi="ar"/>
              </w:rPr>
              <w:t>2</w:t>
            </w:r>
            <w:r>
              <w:rPr>
                <w:rFonts w:hint="default" w:ascii="Times New Roman" w:hAnsi="Times New Roman" w:eastAsia="宋体" w:cs="Times New Roman"/>
                <w:b w:val="0"/>
                <w:bCs w:val="0"/>
                <w:color w:val="000000"/>
                <w:kern w:val="0"/>
                <w:sz w:val="24"/>
                <w:szCs w:val="24"/>
                <w:highlight w:val="none"/>
                <w:lang w:val="en-US" w:eastAsia="zh-CN" w:bidi="ar"/>
              </w:rPr>
              <w:t>。本项目厂区内的雨水量，参照《室外排水设计标准》（GB50014-2021）及唐山市暴雨强度</w:t>
            </w:r>
            <w:r>
              <w:rPr>
                <w:rFonts w:hint="eastAsia" w:ascii="Times New Roman" w:hAnsi="Times New Roman" w:eastAsia="宋体" w:cs="Times New Roman"/>
                <w:b w:val="0"/>
                <w:bCs w:val="0"/>
                <w:color w:val="000000"/>
                <w:kern w:val="0"/>
                <w:sz w:val="24"/>
                <w:szCs w:val="24"/>
                <w:highlight w:val="none"/>
                <w:lang w:val="en-US" w:eastAsia="zh-CN" w:bidi="ar"/>
              </w:rPr>
              <w:t>公式</w:t>
            </w:r>
            <w:r>
              <w:rPr>
                <w:rFonts w:hint="default" w:ascii="Times New Roman" w:hAnsi="Times New Roman" w:eastAsia="宋体" w:cs="Times New Roman"/>
                <w:b w:val="0"/>
                <w:bCs w:val="0"/>
                <w:color w:val="000000"/>
                <w:kern w:val="0"/>
                <w:sz w:val="24"/>
                <w:szCs w:val="24"/>
                <w:highlight w:val="none"/>
                <w:lang w:val="en-US" w:eastAsia="zh-CN" w:bidi="ar"/>
              </w:rPr>
              <w:t>计算：</w:t>
            </w:r>
          </w:p>
          <w:p w14:paraId="314942F1">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0" w:firstLineChars="200"/>
              <w:textAlignment w:val="auto"/>
              <w:rPr>
                <w:rFonts w:hint="eastAsia" w:ascii="Times New Roman" w:hAnsi="Times New Roman" w:eastAsia="宋体" w:cs="Times New Roman"/>
                <w:b w:val="0"/>
                <w:bCs w:val="0"/>
                <w:color w:val="000000"/>
                <w:kern w:val="0"/>
                <w:sz w:val="24"/>
                <w:szCs w:val="24"/>
                <w:highlight w:val="none"/>
                <w:lang w:val="en-US" w:eastAsia="zh-CN" w:bidi="ar"/>
              </w:rPr>
            </w:pPr>
            <w:r>
              <w:rPr>
                <w:rFonts w:hint="eastAsia" w:ascii="Times New Roman" w:hAnsi="Times New Roman" w:eastAsia="宋体" w:cs="Times New Roman"/>
                <w:b w:val="0"/>
                <w:bCs w:val="0"/>
                <w:color w:val="000000"/>
                <w:kern w:val="0"/>
                <w:sz w:val="24"/>
                <w:szCs w:val="24"/>
                <w:highlight w:val="none"/>
                <w:lang w:val="en-US" w:eastAsia="zh-CN" w:bidi="ar"/>
              </w:rPr>
              <w:t>雨水量计算公式：</w:t>
            </w:r>
          </w:p>
          <w:p w14:paraId="2AAC3581">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0" w:firstLineChars="200"/>
              <w:textAlignment w:val="auto"/>
              <w:rPr>
                <w:rFonts w:hAnsi="Cambria Math" w:cs="Times New Roman"/>
                <w:b w:val="0"/>
                <w:bCs w:val="0"/>
                <w:i w:val="0"/>
                <w:color w:val="000000"/>
                <w:kern w:val="0"/>
                <w:sz w:val="24"/>
                <w:szCs w:val="24"/>
                <w:highlight w:val="none"/>
                <w:lang w:val="en-US" w:bidi="ar"/>
              </w:rPr>
            </w:pPr>
            <m:oMathPara>
              <m:oMath>
                <m:r>
                  <m:rPr/>
                  <w:rPr>
                    <w:rFonts w:hint="default" w:ascii="Cambria Math" w:hAnsi="Cambria Math" w:eastAsia="宋体" w:cs="Times New Roman"/>
                    <w:color w:val="000000"/>
                    <w:kern w:val="0"/>
                    <w:sz w:val="24"/>
                    <w:szCs w:val="24"/>
                    <w:highlight w:val="none"/>
                    <w:lang w:val="en-US" w:eastAsia="zh-CN" w:bidi="ar-SA"/>
                  </w:rPr>
                  <m:t>q</m:t>
                </m:r>
                <m:r>
                  <m:rPr/>
                  <w:rPr>
                    <w:rFonts w:hint="default" w:ascii="Cambria Math" w:hAnsi="Cambria Math" w:cs="Times New Roman"/>
                    <w:color w:val="000000"/>
                    <w:kern w:val="0"/>
                    <w:sz w:val="24"/>
                    <w:szCs w:val="24"/>
                    <w:highlight w:val="none"/>
                    <w:lang w:val="en-US" w:bidi="ar-SA"/>
                  </w:rPr>
                  <m:t>=</m:t>
                </m:r>
                <m:f>
                  <m:fPr>
                    <m:ctrlPr>
                      <w:rPr>
                        <w:rFonts w:hint="default" w:ascii="Cambria Math" w:hAnsi="Cambria Math" w:cs="Times New Roman"/>
                        <w:b w:val="0"/>
                        <w:i/>
                        <w:color w:val="000000"/>
                        <w:kern w:val="0"/>
                        <w:sz w:val="24"/>
                        <w:szCs w:val="24"/>
                        <w:highlight w:val="none"/>
                        <w:lang w:val="en-US" w:bidi="ar-SA"/>
                      </w:rPr>
                    </m:ctrlPr>
                  </m:fPr>
                  <m:num>
                    <m:r>
                      <m:rPr/>
                      <w:rPr>
                        <w:rFonts w:hint="default" w:ascii="Cambria Math" w:hAnsi="Cambria Math" w:cs="Times New Roman"/>
                        <w:color w:val="000000"/>
                        <w:kern w:val="0"/>
                        <w:sz w:val="24"/>
                        <w:szCs w:val="24"/>
                        <w:highlight w:val="none"/>
                        <w:lang w:val="en-US" w:eastAsia="zh-CN" w:bidi="ar-SA"/>
                      </w:rPr>
                      <m:t>935（1+0.87</m:t>
                    </m:r>
                    <m:func>
                      <m:funcPr>
                        <m:ctrlPr>
                          <w:rPr>
                            <w:rFonts w:hint="default" w:ascii="Cambria Math" w:hAnsi="Cambria Math" w:cs="Times New Roman"/>
                            <w:b w:val="0"/>
                            <w:color w:val="000000"/>
                            <w:kern w:val="0"/>
                            <w:sz w:val="24"/>
                            <w:szCs w:val="24"/>
                            <w:highlight w:val="none"/>
                            <w:lang w:val="en-US" w:eastAsia="zh-CN" w:bidi="ar-SA"/>
                          </w:rPr>
                        </m:ctrlPr>
                      </m:funcPr>
                      <m:fName>
                        <m:r>
                          <m:rPr>
                            <m:sty m:val="p"/>
                          </m:rPr>
                          <w:rPr>
                            <w:rFonts w:hint="default" w:ascii="Cambria Math" w:hAnsi="Cambria Math" w:cs="Times New Roman"/>
                            <w:color w:val="000000"/>
                            <w:kern w:val="0"/>
                            <w:sz w:val="24"/>
                            <w:szCs w:val="24"/>
                            <w:highlight w:val="none"/>
                            <w:lang w:val="en-US" w:bidi="ar-SA"/>
                          </w:rPr>
                          <m:t>lg</m:t>
                        </m:r>
                        <m:ctrlPr>
                          <w:rPr>
                            <w:rFonts w:hint="default" w:ascii="Cambria Math" w:hAnsi="Cambria Math" w:cs="Times New Roman"/>
                            <w:b w:val="0"/>
                            <w:i/>
                            <w:color w:val="000000"/>
                            <w:kern w:val="0"/>
                            <w:sz w:val="24"/>
                            <w:szCs w:val="24"/>
                            <w:highlight w:val="none"/>
                            <w:lang w:val="en-US" w:eastAsia="zh-CN" w:bidi="ar-SA"/>
                          </w:rPr>
                        </m:ctrlPr>
                      </m:fName>
                      <m:e>
                        <m:r>
                          <m:rPr/>
                          <w:rPr>
                            <w:rFonts w:hint="default" w:ascii="Cambria Math" w:hAnsi="Cambria Math" w:cs="Times New Roman"/>
                            <w:color w:val="000000"/>
                            <w:kern w:val="0"/>
                            <w:sz w:val="24"/>
                            <w:szCs w:val="24"/>
                            <w:highlight w:val="none"/>
                            <w:lang w:val="en-US" w:eastAsia="zh-CN" w:bidi="ar-SA"/>
                          </w:rPr>
                          <m:t>P</m:t>
                        </m:r>
                        <m:ctrlPr>
                          <w:rPr>
                            <w:rFonts w:hint="default" w:ascii="Cambria Math" w:hAnsi="Cambria Math" w:cs="Times New Roman"/>
                            <w:b w:val="0"/>
                            <w:i/>
                            <w:color w:val="000000"/>
                            <w:kern w:val="0"/>
                            <w:sz w:val="24"/>
                            <w:szCs w:val="24"/>
                            <w:highlight w:val="none"/>
                            <w:lang w:val="en-US" w:eastAsia="zh-CN" w:bidi="ar-SA"/>
                          </w:rPr>
                        </m:ctrlPr>
                      </m:e>
                    </m:func>
                    <m:r>
                      <m:rPr/>
                      <w:rPr>
                        <w:rFonts w:hint="default" w:ascii="Cambria Math" w:hAnsi="Cambria Math" w:cs="Times New Roman"/>
                        <w:color w:val="000000"/>
                        <w:kern w:val="0"/>
                        <w:sz w:val="24"/>
                        <w:szCs w:val="24"/>
                        <w:highlight w:val="none"/>
                        <w:lang w:val="en-US" w:eastAsia="zh-CN" w:bidi="ar-SA"/>
                      </w:rPr>
                      <m:t>）</m:t>
                    </m:r>
                    <m:ctrlPr>
                      <w:rPr>
                        <w:rFonts w:hint="default" w:ascii="Cambria Math" w:hAnsi="Cambria Math" w:cs="Times New Roman"/>
                        <w:b w:val="0"/>
                        <w:i/>
                        <w:color w:val="000000"/>
                        <w:kern w:val="0"/>
                        <w:sz w:val="24"/>
                        <w:szCs w:val="24"/>
                        <w:highlight w:val="none"/>
                        <w:lang w:val="en-US" w:bidi="ar-SA"/>
                      </w:rPr>
                    </m:ctrlPr>
                  </m:num>
                  <m:den>
                    <m:sSup>
                      <m:sSupPr>
                        <m:ctrlPr>
                          <w:rPr>
                            <w:rFonts w:hint="default" w:ascii="Cambria Math" w:hAnsi="Cambria Math" w:cs="Times New Roman"/>
                            <w:b w:val="0"/>
                            <w:i/>
                            <w:color w:val="000000"/>
                            <w:kern w:val="0"/>
                            <w:sz w:val="24"/>
                            <w:szCs w:val="24"/>
                            <w:highlight w:val="none"/>
                            <w:lang w:val="en-US" w:bidi="ar-SA"/>
                          </w:rPr>
                        </m:ctrlPr>
                      </m:sSupPr>
                      <m:e>
                        <m:r>
                          <m:rPr/>
                          <w:rPr>
                            <w:rFonts w:hint="default" w:ascii="Cambria Math" w:hAnsi="Cambria Math" w:cs="Times New Roman"/>
                            <w:color w:val="000000"/>
                            <w:kern w:val="0"/>
                            <w:sz w:val="24"/>
                            <w:szCs w:val="24"/>
                            <w:highlight w:val="none"/>
                            <w:lang w:val="en-US" w:eastAsia="zh-CN" w:bidi="ar-SA"/>
                          </w:rPr>
                          <m:t>t</m:t>
                        </m:r>
                        <m:ctrlPr>
                          <w:rPr>
                            <w:rFonts w:hint="default" w:ascii="Cambria Math" w:hAnsi="Cambria Math" w:cs="Times New Roman"/>
                            <w:b w:val="0"/>
                            <w:i/>
                            <w:color w:val="000000"/>
                            <w:kern w:val="0"/>
                            <w:sz w:val="24"/>
                            <w:szCs w:val="24"/>
                            <w:highlight w:val="none"/>
                            <w:lang w:val="en-US" w:bidi="ar-SA"/>
                          </w:rPr>
                        </m:ctrlPr>
                      </m:e>
                      <m:sup>
                        <m:r>
                          <m:rPr/>
                          <w:rPr>
                            <w:rFonts w:hint="default" w:ascii="Cambria Math" w:hAnsi="Cambria Math" w:cs="Times New Roman"/>
                            <w:color w:val="000000"/>
                            <w:kern w:val="0"/>
                            <w:sz w:val="24"/>
                            <w:szCs w:val="24"/>
                            <w:highlight w:val="none"/>
                            <w:lang w:val="en-US" w:eastAsia="zh-CN" w:bidi="ar-SA"/>
                          </w:rPr>
                          <m:t>0.6</m:t>
                        </m:r>
                        <m:ctrlPr>
                          <w:rPr>
                            <w:rFonts w:hint="default" w:ascii="Cambria Math" w:hAnsi="Cambria Math" w:cs="Times New Roman"/>
                            <w:b w:val="0"/>
                            <w:i/>
                            <w:color w:val="000000"/>
                            <w:kern w:val="0"/>
                            <w:sz w:val="24"/>
                            <w:szCs w:val="24"/>
                            <w:highlight w:val="none"/>
                            <w:lang w:val="en-US" w:bidi="ar-SA"/>
                          </w:rPr>
                        </m:ctrlPr>
                      </m:sup>
                    </m:sSup>
                    <m:ctrlPr>
                      <w:rPr>
                        <w:rFonts w:hint="default" w:ascii="Cambria Math" w:hAnsi="Cambria Math" w:cs="Times New Roman"/>
                        <w:b w:val="0"/>
                        <w:i/>
                        <w:color w:val="000000"/>
                        <w:kern w:val="0"/>
                        <w:sz w:val="24"/>
                        <w:szCs w:val="24"/>
                        <w:highlight w:val="none"/>
                        <w:lang w:val="en-US" w:bidi="ar-SA"/>
                      </w:rPr>
                    </m:ctrlPr>
                  </m:den>
                </m:f>
              </m:oMath>
            </m:oMathPara>
          </w:p>
          <w:p w14:paraId="51145F03">
            <w:pPr>
              <w:keepNext w:val="0"/>
              <w:keepLines w:val="0"/>
              <w:pageBreakBefore w:val="0"/>
              <w:widowControl w:val="0"/>
              <w:numPr>
                <w:ilvl w:val="0"/>
                <w:numId w:val="0"/>
              </w:numPr>
              <w:kinsoku/>
              <w:wordWrap/>
              <w:overflowPunct/>
              <w:topLinePunct w:val="0"/>
              <w:autoSpaceDE/>
              <w:autoSpaceDN/>
              <w:bidi w:val="0"/>
              <w:adjustRightInd/>
              <w:snapToGrid/>
              <w:spacing w:line="500" w:lineRule="exact"/>
              <w:textAlignment w:val="auto"/>
              <w:rPr>
                <w:rFonts w:hint="eastAsia" w:ascii="Times New Roman" w:hAnsi="Times New Roman" w:eastAsia="宋体" w:cs="Times New Roman"/>
                <w:b w:val="0"/>
                <w:bCs w:val="0"/>
                <w:color w:val="000000"/>
                <w:kern w:val="0"/>
                <w:sz w:val="24"/>
                <w:szCs w:val="24"/>
                <w:highlight w:val="none"/>
                <w:lang w:val="en-US" w:eastAsia="zh-CN" w:bidi="ar"/>
              </w:rPr>
            </w:pPr>
            <w:r>
              <w:rPr>
                <w:rFonts w:hint="eastAsia" w:ascii="Times New Roman" w:hAnsi="Times New Roman" w:eastAsia="宋体" w:cs="Times New Roman"/>
                <w:b w:val="0"/>
                <w:bCs w:val="0"/>
                <w:color w:val="000000"/>
                <w:kern w:val="0"/>
                <w:sz w:val="24"/>
                <w:szCs w:val="24"/>
                <w:highlight w:val="none"/>
                <w:lang w:val="en-US" w:eastAsia="zh-CN" w:bidi="ar"/>
              </w:rPr>
              <w:t>式中：q</w:t>
            </w:r>
            <w:r>
              <w:rPr>
                <w:rFonts w:hint="default" w:ascii="Times New Roman" w:hAnsi="Times New Roman" w:cs="Times New Roman"/>
                <w:b w:val="0"/>
                <w:bCs w:val="0"/>
                <w:color w:val="000000"/>
                <w:sz w:val="24"/>
                <w:szCs w:val="24"/>
                <w:highlight w:val="none"/>
                <w:lang w:val="en-US" w:eastAsia="zh-CN"/>
              </w:rPr>
              <w:t>—</w:t>
            </w:r>
            <w:r>
              <w:rPr>
                <w:rFonts w:hint="eastAsia" w:ascii="Times New Roman" w:hAnsi="Times New Roman" w:eastAsia="宋体" w:cs="Times New Roman"/>
                <w:b w:val="0"/>
                <w:bCs w:val="0"/>
                <w:color w:val="000000"/>
                <w:kern w:val="0"/>
                <w:sz w:val="24"/>
                <w:szCs w:val="24"/>
                <w:highlight w:val="none"/>
                <w:lang w:val="en-US" w:eastAsia="zh-CN" w:bidi="ar"/>
              </w:rPr>
              <w:t>设计暴雨强度</w:t>
            </w:r>
            <w:r>
              <w:rPr>
                <w:rFonts w:hint="default" w:ascii="Times New Roman" w:hAnsi="Times New Roman" w:eastAsia="宋体" w:cs="Times New Roman"/>
                <w:b w:val="0"/>
                <w:bCs w:val="0"/>
                <w:color w:val="000000"/>
                <w:kern w:val="0"/>
                <w:sz w:val="24"/>
                <w:szCs w:val="24"/>
                <w:highlight w:val="none"/>
                <w:lang w:val="en-US" w:eastAsia="zh-CN" w:bidi="ar"/>
              </w:rPr>
              <w:t>[L/</w:t>
            </w:r>
            <w:r>
              <w:rPr>
                <w:rFonts w:hint="eastAsia" w:ascii="Times New Roman" w:hAnsi="Times New Roman" w:eastAsia="宋体" w:cs="Times New Roman"/>
                <w:b w:val="0"/>
                <w:bCs w:val="0"/>
                <w:color w:val="000000"/>
                <w:kern w:val="0"/>
                <w:sz w:val="24"/>
                <w:szCs w:val="24"/>
                <w:highlight w:val="none"/>
                <w:lang w:val="en-US" w:eastAsia="zh-CN" w:bidi="ar"/>
              </w:rPr>
              <w:t>（</w:t>
            </w:r>
            <w:r>
              <w:rPr>
                <w:rFonts w:hint="default" w:ascii="Times New Roman" w:hAnsi="Times New Roman" w:eastAsia="宋体" w:cs="Times New Roman"/>
                <w:b w:val="0"/>
                <w:bCs w:val="0"/>
                <w:color w:val="000000"/>
                <w:kern w:val="0"/>
                <w:sz w:val="24"/>
                <w:szCs w:val="24"/>
                <w:highlight w:val="none"/>
                <w:lang w:val="en-US" w:eastAsia="zh-CN" w:bidi="ar"/>
              </w:rPr>
              <w:t>hm</w:t>
            </w:r>
            <w:r>
              <w:rPr>
                <w:rFonts w:hint="default" w:ascii="Times New Roman" w:hAnsi="Times New Roman" w:eastAsia="宋体" w:cs="Times New Roman"/>
                <w:b w:val="0"/>
                <w:bCs w:val="0"/>
                <w:color w:val="000000"/>
                <w:kern w:val="0"/>
                <w:sz w:val="24"/>
                <w:szCs w:val="24"/>
                <w:highlight w:val="none"/>
                <w:vertAlign w:val="superscript"/>
                <w:lang w:val="en-US" w:eastAsia="zh-CN" w:bidi="ar"/>
              </w:rPr>
              <w:t>2</w:t>
            </w:r>
            <w:r>
              <w:rPr>
                <w:rFonts w:hint="default" w:ascii="Times New Roman" w:hAnsi="Times New Roman" w:eastAsia="宋体" w:cs="Times New Roman"/>
                <w:b w:val="0"/>
                <w:bCs w:val="0"/>
                <w:color w:val="000000"/>
                <w:kern w:val="0"/>
                <w:sz w:val="24"/>
                <w:szCs w:val="24"/>
                <w:highlight w:val="none"/>
                <w:lang w:val="en-US" w:eastAsia="zh-CN" w:bidi="ar"/>
              </w:rPr>
              <w:t>·s</w:t>
            </w:r>
            <w:r>
              <w:rPr>
                <w:rFonts w:hint="eastAsia" w:ascii="Times New Roman" w:hAnsi="Times New Roman" w:eastAsia="宋体" w:cs="Times New Roman"/>
                <w:b w:val="0"/>
                <w:bCs w:val="0"/>
                <w:color w:val="000000"/>
                <w:kern w:val="0"/>
                <w:sz w:val="24"/>
                <w:szCs w:val="24"/>
                <w:highlight w:val="none"/>
                <w:lang w:val="en-US" w:eastAsia="zh-CN" w:bidi="ar"/>
              </w:rPr>
              <w:t>）]</w:t>
            </w:r>
          </w:p>
          <w:p w14:paraId="3E34E429">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0" w:firstLineChars="200"/>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eastAsia" w:ascii="Times New Roman" w:hAnsi="Times New Roman" w:eastAsia="宋体" w:cs="Times New Roman"/>
                <w:b w:val="0"/>
                <w:bCs w:val="0"/>
                <w:color w:val="000000"/>
                <w:kern w:val="0"/>
                <w:sz w:val="24"/>
                <w:szCs w:val="24"/>
                <w:highlight w:val="none"/>
                <w:lang w:val="en-US" w:eastAsia="zh-CN" w:bidi="ar"/>
              </w:rPr>
              <w:t>P</w:t>
            </w:r>
            <w:r>
              <w:rPr>
                <w:rFonts w:hint="default" w:ascii="Times New Roman" w:hAnsi="Times New Roman" w:cs="Times New Roman"/>
                <w:b w:val="0"/>
                <w:bCs w:val="0"/>
                <w:color w:val="000000"/>
                <w:sz w:val="24"/>
                <w:szCs w:val="24"/>
                <w:highlight w:val="none"/>
                <w:lang w:val="en-US" w:eastAsia="zh-CN"/>
              </w:rPr>
              <w:t>—</w:t>
            </w:r>
            <w:r>
              <w:rPr>
                <w:rFonts w:hint="eastAsia" w:ascii="Times New Roman" w:hAnsi="Times New Roman" w:eastAsia="宋体" w:cs="Times New Roman"/>
                <w:b w:val="0"/>
                <w:bCs w:val="0"/>
                <w:color w:val="000000"/>
                <w:kern w:val="0"/>
                <w:sz w:val="24"/>
                <w:szCs w:val="24"/>
                <w:highlight w:val="none"/>
                <w:lang w:val="en-US" w:eastAsia="zh-CN" w:bidi="ar"/>
              </w:rPr>
              <w:t>设计重现期（年），本项目取年</w:t>
            </w:r>
            <w:r>
              <w:rPr>
                <w:rFonts w:hint="default" w:ascii="Times New Roman" w:hAnsi="Times New Roman" w:eastAsia="宋体" w:cs="Times New Roman"/>
                <w:b w:val="0"/>
                <w:bCs w:val="0"/>
                <w:color w:val="000000"/>
                <w:kern w:val="0"/>
                <w:sz w:val="24"/>
                <w:szCs w:val="24"/>
                <w:highlight w:val="none"/>
                <w:lang w:val="en-US" w:eastAsia="zh-CN" w:bidi="ar"/>
              </w:rPr>
              <w:t>2</w:t>
            </w:r>
            <w:r>
              <w:rPr>
                <w:rFonts w:hint="eastAsia" w:ascii="Times New Roman" w:hAnsi="Times New Roman" w:eastAsia="宋体" w:cs="Times New Roman"/>
                <w:b w:val="0"/>
                <w:bCs w:val="0"/>
                <w:color w:val="000000"/>
                <w:kern w:val="0"/>
                <w:sz w:val="24"/>
                <w:szCs w:val="24"/>
                <w:highlight w:val="none"/>
                <w:lang w:val="en-US" w:eastAsia="zh-CN" w:bidi="ar"/>
              </w:rPr>
              <w:t>年；</w:t>
            </w:r>
          </w:p>
          <w:p w14:paraId="78094B67">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0" w:firstLineChars="200"/>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t</w:t>
            </w:r>
            <w:r>
              <w:rPr>
                <w:rFonts w:hint="default" w:ascii="Times New Roman" w:hAnsi="Times New Roman" w:cs="Times New Roman"/>
                <w:b w:val="0"/>
                <w:bCs w:val="0"/>
                <w:color w:val="000000"/>
                <w:sz w:val="24"/>
                <w:szCs w:val="24"/>
                <w:highlight w:val="none"/>
                <w:lang w:val="en-US" w:eastAsia="zh-CN"/>
              </w:rPr>
              <w:t>—</w:t>
            </w:r>
            <w:r>
              <w:rPr>
                <w:rFonts w:hint="eastAsia" w:ascii="Times New Roman" w:hAnsi="Times New Roman" w:eastAsia="宋体" w:cs="Times New Roman"/>
                <w:b w:val="0"/>
                <w:bCs w:val="0"/>
                <w:color w:val="000000"/>
                <w:kern w:val="0"/>
                <w:sz w:val="24"/>
                <w:szCs w:val="24"/>
                <w:highlight w:val="none"/>
                <w:lang w:val="en-US" w:eastAsia="zh-CN" w:bidi="ar"/>
              </w:rPr>
              <w:t>降雨历时（</w:t>
            </w:r>
            <w:r>
              <w:rPr>
                <w:rFonts w:hint="default" w:ascii="Times New Roman" w:hAnsi="Times New Roman" w:eastAsia="宋体" w:cs="Times New Roman"/>
                <w:b w:val="0"/>
                <w:bCs w:val="0"/>
                <w:color w:val="000000"/>
                <w:kern w:val="0"/>
                <w:sz w:val="24"/>
                <w:szCs w:val="24"/>
                <w:highlight w:val="none"/>
                <w:lang w:val="en-US" w:eastAsia="zh-CN" w:bidi="ar"/>
              </w:rPr>
              <w:t>min</w:t>
            </w:r>
            <w:r>
              <w:rPr>
                <w:rFonts w:hint="eastAsia" w:ascii="Times New Roman" w:hAnsi="Times New Roman" w:eastAsia="宋体" w:cs="Times New Roman"/>
                <w:b w:val="0"/>
                <w:bCs w:val="0"/>
                <w:color w:val="000000"/>
                <w:kern w:val="0"/>
                <w:sz w:val="24"/>
                <w:szCs w:val="24"/>
                <w:highlight w:val="none"/>
                <w:lang w:val="en-US" w:eastAsia="zh-CN" w:bidi="ar"/>
              </w:rPr>
              <w:t>），本项目</w:t>
            </w:r>
            <w:r>
              <w:rPr>
                <w:rFonts w:hint="default" w:ascii="Times New Roman" w:hAnsi="Times New Roman" w:eastAsia="宋体" w:cs="Times New Roman"/>
                <w:b w:val="0"/>
                <w:bCs w:val="0"/>
                <w:color w:val="000000"/>
                <w:kern w:val="0"/>
                <w:sz w:val="24"/>
                <w:szCs w:val="24"/>
                <w:highlight w:val="none"/>
                <w:lang w:val="en-US" w:eastAsia="zh-CN" w:bidi="ar"/>
              </w:rPr>
              <w:t>t</w:t>
            </w:r>
            <w:r>
              <w:rPr>
                <w:rFonts w:hint="eastAsia" w:ascii="Times New Roman" w:hAnsi="Times New Roman" w:eastAsia="宋体" w:cs="Times New Roman"/>
                <w:b w:val="0"/>
                <w:bCs w:val="0"/>
                <w:color w:val="000000"/>
                <w:kern w:val="0"/>
                <w:sz w:val="24"/>
                <w:szCs w:val="24"/>
                <w:highlight w:val="none"/>
                <w:lang w:val="en-US" w:eastAsia="zh-CN" w:bidi="ar"/>
              </w:rPr>
              <w:t>取</w:t>
            </w:r>
            <w:r>
              <w:rPr>
                <w:rFonts w:hint="eastAsia" w:eastAsia="宋体" w:cs="Times New Roman"/>
                <w:b w:val="0"/>
                <w:bCs w:val="0"/>
                <w:color w:val="000000"/>
                <w:kern w:val="0"/>
                <w:sz w:val="24"/>
                <w:szCs w:val="24"/>
                <w:highlight w:val="none"/>
                <w:lang w:val="en-US" w:eastAsia="zh-CN" w:bidi="ar"/>
              </w:rPr>
              <w:t>15</w:t>
            </w:r>
            <w:r>
              <w:rPr>
                <w:rFonts w:hint="default" w:ascii="Times New Roman" w:hAnsi="Times New Roman" w:eastAsia="宋体" w:cs="Times New Roman"/>
                <w:b w:val="0"/>
                <w:bCs w:val="0"/>
                <w:color w:val="000000"/>
                <w:kern w:val="0"/>
                <w:sz w:val="24"/>
                <w:szCs w:val="24"/>
                <w:highlight w:val="none"/>
                <w:lang w:val="en-US" w:eastAsia="zh-CN" w:bidi="ar"/>
              </w:rPr>
              <w:t>min</w:t>
            </w:r>
            <w:r>
              <w:rPr>
                <w:rFonts w:hint="eastAsia" w:ascii="Times New Roman" w:hAnsi="Times New Roman" w:eastAsia="宋体" w:cs="Times New Roman"/>
                <w:b w:val="0"/>
                <w:bCs w:val="0"/>
                <w:color w:val="000000"/>
                <w:kern w:val="0"/>
                <w:sz w:val="24"/>
                <w:szCs w:val="24"/>
                <w:highlight w:val="none"/>
                <w:lang w:val="en-US" w:eastAsia="zh-CN" w:bidi="ar"/>
              </w:rPr>
              <w:t>；</w:t>
            </w:r>
          </w:p>
          <w:p w14:paraId="6F085CCA">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0" w:firstLineChars="200"/>
              <w:jc w:val="center"/>
              <w:textAlignment w:val="auto"/>
              <w:rPr>
                <w:rFonts w:hint="eastAsia" w:ascii="Times New Roman" w:hAnsi="Times New Roman" w:eastAsia="宋体" w:cs="Times New Roman"/>
                <w:b w:val="0"/>
                <w:bCs w:val="0"/>
                <w:color w:val="000000"/>
                <w:kern w:val="0"/>
                <w:sz w:val="24"/>
                <w:szCs w:val="24"/>
                <w:highlight w:val="none"/>
                <w:lang w:val="en-US" w:eastAsia="zh-CN" w:bidi="ar"/>
              </w:rPr>
            </w:pPr>
            <w:r>
              <w:rPr>
                <w:rFonts w:hint="eastAsia" w:ascii="Times New Roman" w:hAnsi="Times New Roman" w:eastAsia="宋体" w:cs="Times New Roman"/>
                <w:b w:val="0"/>
                <w:bCs w:val="0"/>
                <w:color w:val="000000"/>
                <w:kern w:val="0"/>
                <w:sz w:val="24"/>
                <w:szCs w:val="24"/>
                <w:highlight w:val="none"/>
                <w:lang w:val="en-US" w:eastAsia="zh-CN" w:bidi="ar"/>
              </w:rPr>
              <w:t>Q=</w:t>
            </w:r>
            <w:r>
              <w:rPr>
                <w:rFonts w:hint="default" w:ascii="Times New Roman" w:hAnsi="Times New Roman" w:eastAsia="宋体" w:cs="Times New Roman"/>
                <w:b w:val="0"/>
                <w:bCs w:val="0"/>
                <w:color w:val="000000"/>
                <w:kern w:val="0"/>
                <w:sz w:val="24"/>
                <w:szCs w:val="24"/>
                <w:highlight w:val="none"/>
                <w:lang w:val="en-US" w:eastAsia="zh-CN" w:bidi="ar"/>
              </w:rPr>
              <w:t>Ψ</w:t>
            </w:r>
            <w:r>
              <w:rPr>
                <w:rFonts w:hint="eastAsia" w:ascii="Times New Roman" w:hAnsi="Times New Roman" w:eastAsia="宋体" w:cs="Times New Roman"/>
                <w:b w:val="0"/>
                <w:bCs w:val="0"/>
                <w:color w:val="000000"/>
                <w:kern w:val="0"/>
                <w:sz w:val="24"/>
                <w:szCs w:val="24"/>
                <w:highlight w:val="none"/>
                <w:lang w:val="en-US" w:eastAsia="zh-CN" w:bidi="ar"/>
              </w:rPr>
              <w:t>qf</w:t>
            </w:r>
          </w:p>
          <w:p w14:paraId="27EC9EC9">
            <w:pPr>
              <w:keepNext w:val="0"/>
              <w:keepLines w:val="0"/>
              <w:pageBreakBefore w:val="0"/>
              <w:widowControl w:val="0"/>
              <w:numPr>
                <w:ilvl w:val="0"/>
                <w:numId w:val="0"/>
              </w:numPr>
              <w:kinsoku/>
              <w:wordWrap/>
              <w:overflowPunct/>
              <w:topLinePunct w:val="0"/>
              <w:autoSpaceDE/>
              <w:autoSpaceDN/>
              <w:bidi w:val="0"/>
              <w:adjustRightInd/>
              <w:snapToGrid/>
              <w:spacing w:line="500" w:lineRule="exact"/>
              <w:textAlignment w:val="auto"/>
              <w:rPr>
                <w:rFonts w:hint="eastAsia"/>
                <w:lang w:val="en-US" w:eastAsia="zh-CN"/>
              </w:rPr>
            </w:pPr>
            <w:r>
              <w:rPr>
                <w:rFonts w:hint="eastAsia" w:ascii="Times New Roman" w:hAnsi="Times New Roman" w:eastAsia="宋体" w:cs="Times New Roman"/>
                <w:b w:val="0"/>
                <w:bCs w:val="0"/>
                <w:color w:val="000000"/>
                <w:kern w:val="0"/>
                <w:sz w:val="24"/>
                <w:szCs w:val="24"/>
                <w:highlight w:val="none"/>
                <w:lang w:val="en-US" w:eastAsia="zh-CN" w:bidi="ar"/>
              </w:rPr>
              <w:t>式中：</w:t>
            </w:r>
            <w:r>
              <w:rPr>
                <w:rFonts w:hint="default" w:ascii="Times New Roman" w:hAnsi="Times New Roman" w:eastAsia="宋体" w:cs="Times New Roman"/>
                <w:b w:val="0"/>
                <w:bCs w:val="0"/>
                <w:color w:val="000000"/>
                <w:kern w:val="0"/>
                <w:sz w:val="24"/>
                <w:szCs w:val="24"/>
                <w:highlight w:val="none"/>
                <w:lang w:val="en-US" w:eastAsia="zh-CN" w:bidi="ar"/>
              </w:rPr>
              <w:t>Q</w:t>
            </w:r>
            <w:r>
              <w:rPr>
                <w:rFonts w:hint="default" w:ascii="Times New Roman" w:hAnsi="Times New Roman" w:cs="Times New Roman"/>
                <w:b w:val="0"/>
                <w:bCs w:val="0"/>
                <w:color w:val="000000"/>
                <w:sz w:val="24"/>
                <w:szCs w:val="24"/>
                <w:highlight w:val="none"/>
                <w:lang w:val="en-US" w:eastAsia="zh-CN"/>
              </w:rPr>
              <w:t>—</w:t>
            </w:r>
            <w:r>
              <w:rPr>
                <w:rFonts w:hint="eastAsia" w:ascii="Times New Roman" w:hAnsi="Times New Roman" w:eastAsia="宋体" w:cs="Times New Roman"/>
                <w:b w:val="0"/>
                <w:bCs w:val="0"/>
                <w:color w:val="000000"/>
                <w:kern w:val="0"/>
                <w:sz w:val="24"/>
                <w:szCs w:val="24"/>
                <w:highlight w:val="none"/>
                <w:lang w:val="en-US" w:eastAsia="zh-CN" w:bidi="ar"/>
              </w:rPr>
              <w:t>雨水设计流量（</w:t>
            </w:r>
            <w:r>
              <w:rPr>
                <w:rFonts w:hint="default" w:ascii="Times New Roman" w:hAnsi="Times New Roman" w:eastAsia="宋体" w:cs="Times New Roman"/>
                <w:b w:val="0"/>
                <w:bCs w:val="0"/>
                <w:color w:val="000000"/>
                <w:kern w:val="0"/>
                <w:sz w:val="24"/>
                <w:szCs w:val="24"/>
                <w:highlight w:val="none"/>
                <w:lang w:val="en-US" w:eastAsia="zh-CN" w:bidi="ar"/>
              </w:rPr>
              <w:t>L/s</w:t>
            </w:r>
            <w:r>
              <w:rPr>
                <w:rFonts w:hint="eastAsia" w:ascii="Times New Roman" w:hAnsi="Times New Roman" w:eastAsia="宋体" w:cs="Times New Roman"/>
                <w:b w:val="0"/>
                <w:bCs w:val="0"/>
                <w:color w:val="000000"/>
                <w:kern w:val="0"/>
                <w:sz w:val="24"/>
                <w:szCs w:val="24"/>
                <w:highlight w:val="none"/>
                <w:lang w:val="en-US" w:eastAsia="zh-CN" w:bidi="ar"/>
              </w:rPr>
              <w:t>）；</w:t>
            </w:r>
          </w:p>
          <w:p w14:paraId="6A193C9B">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720" w:firstLineChars="300"/>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q</w:t>
            </w:r>
            <w:r>
              <w:rPr>
                <w:rFonts w:hint="default" w:ascii="Times New Roman" w:hAnsi="Times New Roman" w:cs="Times New Roman"/>
                <w:b w:val="0"/>
                <w:bCs w:val="0"/>
                <w:color w:val="000000"/>
                <w:sz w:val="24"/>
                <w:szCs w:val="24"/>
                <w:highlight w:val="none"/>
                <w:lang w:val="en-US" w:eastAsia="zh-CN"/>
              </w:rPr>
              <w:t>—</w:t>
            </w:r>
            <w:r>
              <w:rPr>
                <w:rFonts w:hint="default" w:ascii="Times New Roman" w:hAnsi="Times New Roman" w:eastAsia="宋体" w:cs="Times New Roman"/>
                <w:b w:val="0"/>
                <w:bCs w:val="0"/>
                <w:color w:val="000000"/>
                <w:kern w:val="0"/>
                <w:sz w:val="24"/>
                <w:szCs w:val="24"/>
                <w:highlight w:val="none"/>
                <w:lang w:val="en-US" w:eastAsia="zh-CN" w:bidi="ar"/>
              </w:rPr>
              <w:t>设计暴雨强度[L/（hm</w:t>
            </w:r>
            <w:r>
              <w:rPr>
                <w:rFonts w:hint="default" w:ascii="Times New Roman" w:hAnsi="Times New Roman" w:eastAsia="宋体" w:cs="Times New Roman"/>
                <w:b w:val="0"/>
                <w:bCs w:val="0"/>
                <w:color w:val="000000"/>
                <w:kern w:val="0"/>
                <w:sz w:val="24"/>
                <w:szCs w:val="24"/>
                <w:highlight w:val="none"/>
                <w:vertAlign w:val="superscript"/>
                <w:lang w:val="en-US" w:eastAsia="zh-CN" w:bidi="ar"/>
              </w:rPr>
              <w:t>2</w:t>
            </w:r>
            <w:r>
              <w:rPr>
                <w:rFonts w:hint="default" w:ascii="Times New Roman" w:hAnsi="Times New Roman" w:eastAsia="宋体" w:cs="Times New Roman"/>
                <w:b w:val="0"/>
                <w:bCs w:val="0"/>
                <w:color w:val="000000"/>
                <w:kern w:val="0"/>
                <w:sz w:val="24"/>
                <w:szCs w:val="24"/>
                <w:highlight w:val="none"/>
                <w:lang w:val="en-US" w:eastAsia="zh-CN" w:bidi="ar"/>
              </w:rPr>
              <w:t>·s）]；</w:t>
            </w:r>
          </w:p>
          <w:p w14:paraId="3043D021">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720" w:firstLineChars="300"/>
              <w:textAlignment w:val="auto"/>
              <w:rPr>
                <w:rFonts w:hint="default" w:ascii="Times New Roman" w:hAnsi="Times New Roman" w:eastAsia="宋体" w:cs="Times New Roman"/>
                <w:b w:val="0"/>
                <w:bCs w:val="0"/>
                <w:color w:val="0000FF"/>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Ψ</w:t>
            </w:r>
            <w:r>
              <w:rPr>
                <w:rFonts w:hint="default" w:ascii="Times New Roman" w:hAnsi="Times New Roman" w:cs="Times New Roman"/>
                <w:b w:val="0"/>
                <w:bCs w:val="0"/>
                <w:color w:val="000000"/>
                <w:sz w:val="24"/>
                <w:szCs w:val="24"/>
                <w:highlight w:val="none"/>
                <w:lang w:val="en-US" w:eastAsia="zh-CN"/>
              </w:rPr>
              <w:t>—</w:t>
            </w:r>
            <w:r>
              <w:rPr>
                <w:rFonts w:hint="default" w:ascii="Times New Roman" w:hAnsi="Times New Roman" w:eastAsia="宋体" w:cs="Times New Roman"/>
                <w:b w:val="0"/>
                <w:bCs w:val="0"/>
                <w:color w:val="000000"/>
                <w:kern w:val="0"/>
                <w:sz w:val="24"/>
                <w:szCs w:val="24"/>
                <w:highlight w:val="none"/>
                <w:lang w:val="en-US" w:eastAsia="zh-CN" w:bidi="ar"/>
              </w:rPr>
              <w:t>综合径流系数，本项目综合径流系数取0.8；</w:t>
            </w:r>
          </w:p>
          <w:p w14:paraId="22BEB09B">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720" w:firstLineChars="300"/>
              <w:textAlignment w:val="auto"/>
              <w:rPr>
                <w:rFonts w:hint="default" w:ascii="Times New Roman" w:hAnsi="Times New Roman" w:eastAsia="宋体" w:cs="Times New Roman"/>
                <w:b w:val="0"/>
                <w:bCs w:val="0"/>
                <w:color w:val="000000"/>
                <w:kern w:val="0"/>
                <w:sz w:val="24"/>
                <w:szCs w:val="24"/>
                <w:highlight w:val="none"/>
                <w:lang w:val="en-US" w:eastAsia="zh-CN" w:bidi="ar"/>
              </w:rPr>
            </w:pPr>
            <w:r>
              <w:rPr>
                <w:rFonts w:hint="default" w:ascii="Times New Roman" w:hAnsi="Times New Roman" w:eastAsia="宋体" w:cs="Times New Roman"/>
                <w:b w:val="0"/>
                <w:bCs w:val="0"/>
                <w:color w:val="000000"/>
                <w:kern w:val="0"/>
                <w:sz w:val="24"/>
                <w:szCs w:val="24"/>
                <w:highlight w:val="none"/>
                <w:lang w:val="en-US" w:eastAsia="zh-CN" w:bidi="ar"/>
              </w:rPr>
              <w:t>F</w:t>
            </w:r>
            <w:r>
              <w:rPr>
                <w:rFonts w:hint="default" w:ascii="Times New Roman" w:hAnsi="Times New Roman" w:cs="Times New Roman"/>
                <w:b w:val="0"/>
                <w:bCs w:val="0"/>
                <w:color w:val="000000"/>
                <w:sz w:val="24"/>
                <w:szCs w:val="24"/>
                <w:highlight w:val="none"/>
                <w:lang w:val="en-US" w:eastAsia="zh-CN"/>
              </w:rPr>
              <w:t>—</w:t>
            </w:r>
            <w:r>
              <w:rPr>
                <w:rFonts w:hint="default" w:ascii="Times New Roman" w:hAnsi="Times New Roman" w:eastAsia="宋体" w:cs="Times New Roman"/>
                <w:b w:val="0"/>
                <w:bCs w:val="0"/>
                <w:color w:val="000000"/>
                <w:kern w:val="0"/>
                <w:sz w:val="24"/>
                <w:szCs w:val="24"/>
                <w:highlight w:val="none"/>
                <w:lang w:val="en-US" w:eastAsia="zh-CN" w:bidi="ar"/>
              </w:rPr>
              <w:t>汇水面积（hm</w:t>
            </w:r>
            <w:r>
              <w:rPr>
                <w:rFonts w:hint="default" w:ascii="Times New Roman" w:hAnsi="Times New Roman" w:eastAsia="宋体" w:cs="Times New Roman"/>
                <w:b w:val="0"/>
                <w:bCs w:val="0"/>
                <w:color w:val="000000"/>
                <w:kern w:val="0"/>
                <w:sz w:val="24"/>
                <w:szCs w:val="24"/>
                <w:highlight w:val="none"/>
                <w:vertAlign w:val="superscript"/>
                <w:lang w:val="en-US" w:eastAsia="zh-CN" w:bidi="ar"/>
              </w:rPr>
              <w:t>2</w:t>
            </w:r>
            <w:r>
              <w:rPr>
                <w:rFonts w:hint="default" w:ascii="Times New Roman" w:hAnsi="Times New Roman" w:eastAsia="宋体" w:cs="Times New Roman"/>
                <w:b w:val="0"/>
                <w:bCs w:val="0"/>
                <w:color w:val="000000"/>
                <w:kern w:val="0"/>
                <w:sz w:val="24"/>
                <w:szCs w:val="24"/>
                <w:highlight w:val="none"/>
                <w:lang w:val="en-US" w:eastAsia="zh-CN" w:bidi="ar"/>
              </w:rPr>
              <w:t>），本项目汇水面积为厂区占地面积11.5387hm</w:t>
            </w:r>
            <w:r>
              <w:rPr>
                <w:rFonts w:hint="default" w:ascii="Times New Roman" w:hAnsi="Times New Roman" w:eastAsia="宋体" w:cs="Times New Roman"/>
                <w:b w:val="0"/>
                <w:bCs w:val="0"/>
                <w:color w:val="000000"/>
                <w:kern w:val="0"/>
                <w:sz w:val="24"/>
                <w:szCs w:val="24"/>
                <w:highlight w:val="none"/>
                <w:vertAlign w:val="superscript"/>
                <w:lang w:val="en-US" w:eastAsia="zh-CN" w:bidi="ar"/>
              </w:rPr>
              <w:t>2</w:t>
            </w:r>
            <w:r>
              <w:rPr>
                <w:rFonts w:hint="default" w:ascii="Times New Roman" w:hAnsi="Times New Roman" w:eastAsia="宋体" w:cs="Times New Roman"/>
                <w:b w:val="0"/>
                <w:bCs w:val="0"/>
                <w:color w:val="000000"/>
                <w:kern w:val="0"/>
                <w:sz w:val="24"/>
                <w:szCs w:val="24"/>
                <w:highlight w:val="none"/>
                <w:lang w:val="en-US" w:eastAsia="zh-CN" w:bidi="ar"/>
              </w:rPr>
              <w:t>。</w:t>
            </w:r>
          </w:p>
          <w:p w14:paraId="234E5196">
            <w:pPr>
              <w:keepNext w:val="0"/>
              <w:keepLines w:val="0"/>
              <w:pageBreakBefore w:val="0"/>
              <w:widowControl w:val="0"/>
              <w:kinsoku/>
              <w:wordWrap/>
              <w:overflowPunct/>
              <w:topLinePunct w:val="0"/>
              <w:autoSpaceDE/>
              <w:autoSpaceDN/>
              <w:bidi w:val="0"/>
              <w:adjustRightInd/>
              <w:snapToGrid w:val="0"/>
              <w:spacing w:line="500" w:lineRule="exact"/>
              <w:ind w:left="0" w:right="0" w:firstLine="480" w:firstLineChars="200"/>
              <w:jc w:val="both"/>
              <w:textAlignment w:val="auto"/>
              <w:rPr>
                <w:rFonts w:hint="eastAsia" w:eastAsia="宋体" w:cs="Times New Roman"/>
                <w:color w:val="auto"/>
                <w:kern w:val="0"/>
                <w:sz w:val="24"/>
                <w:szCs w:val="24"/>
                <w:highlight w:val="none"/>
                <w:lang w:val="en-US" w:eastAsia="zh-CN" w:bidi="ar"/>
              </w:rPr>
            </w:pPr>
            <w:r>
              <w:rPr>
                <w:rFonts w:hint="default" w:ascii="Times New Roman" w:hAnsi="Times New Roman" w:eastAsia="宋体" w:cs="Times New Roman"/>
                <w:color w:val="auto"/>
                <w:kern w:val="0"/>
                <w:sz w:val="24"/>
                <w:szCs w:val="24"/>
                <w:highlight w:val="none"/>
                <w:lang w:val="en-US" w:eastAsia="zh-CN" w:bidi="ar"/>
              </w:rPr>
              <w:t>经计算得到暴雨强度为</w:t>
            </w:r>
            <w:r>
              <w:rPr>
                <w:rFonts w:hint="eastAsia" w:ascii="Times New Roman" w:hAnsi="Times New Roman" w:eastAsia="宋体" w:cs="Times New Roman"/>
                <w:color w:val="auto"/>
                <w:kern w:val="0"/>
                <w:sz w:val="24"/>
                <w:szCs w:val="24"/>
                <w:highlight w:val="none"/>
                <w:lang w:val="en-US" w:eastAsia="zh-CN" w:bidi="ar"/>
              </w:rPr>
              <w:t>232.37</w:t>
            </w:r>
            <w:r>
              <w:rPr>
                <w:rFonts w:hint="default" w:ascii="Times New Roman" w:hAnsi="Times New Roman" w:eastAsia="宋体" w:cs="Times New Roman"/>
                <w:color w:val="auto"/>
                <w:kern w:val="0"/>
                <w:sz w:val="24"/>
                <w:szCs w:val="24"/>
                <w:highlight w:val="none"/>
                <w:lang w:val="en-US" w:eastAsia="zh-CN" w:bidi="ar"/>
              </w:rPr>
              <w:t>L/（hm</w:t>
            </w:r>
            <w:r>
              <w:rPr>
                <w:rFonts w:hint="default" w:ascii="Times New Roman" w:hAnsi="Times New Roman" w:eastAsia="宋体" w:cs="Times New Roman"/>
                <w:color w:val="auto"/>
                <w:kern w:val="0"/>
                <w:sz w:val="24"/>
                <w:szCs w:val="24"/>
                <w:highlight w:val="none"/>
                <w:vertAlign w:val="superscript"/>
                <w:lang w:val="en-US" w:eastAsia="zh-CN" w:bidi="ar"/>
              </w:rPr>
              <w:t>2</w:t>
            </w:r>
            <w:r>
              <w:rPr>
                <w:rFonts w:hint="default" w:ascii="Times New Roman" w:hAnsi="Times New Roman" w:eastAsia="宋体" w:cs="Times New Roman"/>
                <w:color w:val="auto"/>
                <w:kern w:val="0"/>
                <w:sz w:val="24"/>
                <w:szCs w:val="24"/>
                <w:highlight w:val="none"/>
                <w:lang w:val="en-US" w:eastAsia="zh-CN" w:bidi="ar"/>
              </w:rPr>
              <w:t>·s），雨水流量为</w:t>
            </w:r>
            <w:r>
              <w:rPr>
                <w:rFonts w:hint="eastAsia" w:ascii="Times New Roman" w:hAnsi="Times New Roman" w:eastAsia="宋体" w:cs="Times New Roman"/>
                <w:color w:val="auto"/>
                <w:kern w:val="0"/>
                <w:sz w:val="24"/>
                <w:szCs w:val="24"/>
                <w:highlight w:val="none"/>
                <w:lang w:val="en-US" w:eastAsia="zh-CN" w:bidi="ar"/>
              </w:rPr>
              <w:t>2145</w:t>
            </w:r>
            <w:r>
              <w:rPr>
                <w:rFonts w:hint="default" w:ascii="Times New Roman" w:hAnsi="Times New Roman" w:eastAsia="宋体" w:cs="Times New Roman"/>
                <w:color w:val="auto"/>
                <w:kern w:val="0"/>
                <w:sz w:val="24"/>
                <w:szCs w:val="24"/>
                <w:highlight w:val="none"/>
                <w:lang w:val="en-US" w:eastAsia="zh-CN" w:bidi="ar"/>
              </w:rPr>
              <w:t>L/s，则前</w:t>
            </w:r>
            <w:r>
              <w:rPr>
                <w:rFonts w:hint="eastAsia" w:ascii="Times New Roman" w:hAnsi="Times New Roman" w:eastAsia="宋体" w:cs="Times New Roman"/>
                <w:color w:val="auto"/>
                <w:kern w:val="0"/>
                <w:sz w:val="24"/>
                <w:szCs w:val="24"/>
                <w:highlight w:val="none"/>
                <w:lang w:val="en-US" w:eastAsia="zh-CN" w:bidi="ar"/>
              </w:rPr>
              <w:t>15</w:t>
            </w:r>
            <w:r>
              <w:rPr>
                <w:rFonts w:hint="default" w:ascii="Times New Roman" w:hAnsi="Times New Roman" w:eastAsia="宋体" w:cs="Times New Roman"/>
                <w:color w:val="auto"/>
                <w:kern w:val="0"/>
                <w:sz w:val="24"/>
                <w:szCs w:val="24"/>
                <w:highlight w:val="none"/>
                <w:lang w:val="en-US" w:eastAsia="zh-CN" w:bidi="ar"/>
              </w:rPr>
              <w:t>分钟初期雨水量为1930.5m</w:t>
            </w:r>
            <w:r>
              <w:rPr>
                <w:rFonts w:hint="default" w:ascii="Times New Roman" w:hAnsi="Times New Roman" w:eastAsia="宋体" w:cs="Times New Roman"/>
                <w:color w:val="auto"/>
                <w:kern w:val="0"/>
                <w:sz w:val="24"/>
                <w:szCs w:val="24"/>
                <w:highlight w:val="none"/>
                <w:vertAlign w:val="superscript"/>
                <w:lang w:val="en-US" w:eastAsia="zh-CN" w:bidi="ar"/>
              </w:rPr>
              <w:t>3</w:t>
            </w:r>
            <w:r>
              <w:rPr>
                <w:rFonts w:hint="default" w:ascii="Times New Roman" w:hAnsi="Times New Roman" w:eastAsia="宋体" w:cs="Times New Roman"/>
                <w:color w:val="auto"/>
                <w:kern w:val="0"/>
                <w:sz w:val="24"/>
                <w:szCs w:val="24"/>
                <w:highlight w:val="none"/>
                <w:lang w:val="en-US" w:eastAsia="zh-CN" w:bidi="ar"/>
              </w:rPr>
              <w:t>/次。</w:t>
            </w:r>
            <w:r>
              <w:rPr>
                <w:rFonts w:hint="eastAsia" w:eastAsia="宋体" w:cs="Times New Roman"/>
                <w:color w:val="auto"/>
                <w:kern w:val="0"/>
                <w:sz w:val="24"/>
                <w:szCs w:val="24"/>
                <w:highlight w:val="none"/>
                <w:lang w:val="en-US" w:eastAsia="zh-CN" w:bidi="ar"/>
              </w:rPr>
              <w:t>初期雨水经过沉淀后回用于厂区，</w:t>
            </w:r>
            <w:r>
              <w:rPr>
                <w:rFonts w:hint="eastAsia" w:cs="Times New Roman"/>
                <w:color w:val="auto"/>
                <w:kern w:val="0"/>
                <w:sz w:val="24"/>
                <w:szCs w:val="24"/>
                <w:highlight w:val="none"/>
                <w:lang w:val="en-US" w:eastAsia="zh-CN" w:bidi="ar"/>
              </w:rPr>
              <w:t>不</w:t>
            </w:r>
            <w:r>
              <w:rPr>
                <w:rFonts w:hint="eastAsia" w:eastAsia="宋体" w:cs="Times New Roman"/>
                <w:color w:val="auto"/>
                <w:kern w:val="0"/>
                <w:sz w:val="24"/>
                <w:szCs w:val="24"/>
                <w:highlight w:val="none"/>
                <w:lang w:val="en-US" w:eastAsia="zh-CN" w:bidi="ar"/>
              </w:rPr>
              <w:t>外排。</w:t>
            </w:r>
          </w:p>
          <w:p w14:paraId="6348F6F7">
            <w:pPr>
              <w:keepNext w:val="0"/>
              <w:keepLines w:val="0"/>
              <w:pageBreakBefore w:val="0"/>
              <w:widowControl w:val="0"/>
              <w:kinsoku/>
              <w:wordWrap/>
              <w:overflowPunct/>
              <w:topLinePunct w:val="0"/>
              <w:autoSpaceDE/>
              <w:autoSpaceDN/>
              <w:bidi w:val="0"/>
              <w:adjustRightInd/>
              <w:snapToGrid w:val="0"/>
              <w:spacing w:line="500" w:lineRule="exact"/>
              <w:ind w:left="0" w:right="0" w:firstLine="480" w:firstLineChars="200"/>
              <w:jc w:val="both"/>
              <w:textAlignment w:val="auto"/>
              <w:rPr>
                <w:rFonts w:hint="default" w:ascii="Times New Roman" w:hAnsi="Times New Roman" w:eastAsia="宋体" w:cs="Times New Roman"/>
                <w:color w:val="auto"/>
                <w:kern w:val="2"/>
                <w:sz w:val="24"/>
                <w:szCs w:val="24"/>
                <w:highlight w:val="none"/>
                <w:lang w:val="en-US" w:eastAsia="zh-CN" w:bidi="ar-SA"/>
              </w:rPr>
            </w:pPr>
            <w:r>
              <w:rPr>
                <w:rFonts w:hint="eastAsia" w:ascii="Times New Roman" w:hAnsi="Times New Roman" w:eastAsia="宋体" w:cs="Times New Roman"/>
                <w:color w:val="auto"/>
                <w:kern w:val="2"/>
                <w:sz w:val="24"/>
                <w:szCs w:val="24"/>
                <w:highlight w:val="none"/>
                <w:lang w:val="en-US" w:eastAsia="zh-CN" w:bidi="ar-SA"/>
              </w:rPr>
              <w:t>②生活污水、食堂废水</w:t>
            </w:r>
          </w:p>
          <w:p w14:paraId="2FCEA363">
            <w:pPr>
              <w:keepNext w:val="0"/>
              <w:keepLines w:val="0"/>
              <w:pageBreakBefore w:val="0"/>
              <w:widowControl w:val="0"/>
              <w:kinsoku/>
              <w:wordWrap/>
              <w:overflowPunct/>
              <w:topLinePunct w:val="0"/>
              <w:autoSpaceDE/>
              <w:autoSpaceDN/>
              <w:bidi w:val="0"/>
              <w:adjustRightInd/>
              <w:snapToGrid w:val="0"/>
              <w:spacing w:line="500" w:lineRule="exact"/>
              <w:ind w:left="0" w:right="0" w:firstLine="480" w:firstLineChars="200"/>
              <w:jc w:val="both"/>
              <w:textAlignment w:val="auto"/>
              <w:rPr>
                <w:rFonts w:hint="eastAsia" w:ascii="Times New Roman" w:hAnsi="Times New Roman" w:eastAsia="宋体" w:cs="Times New Roman"/>
                <w:color w:val="auto"/>
                <w:kern w:val="2"/>
                <w:sz w:val="24"/>
                <w:szCs w:val="24"/>
                <w:highlight w:val="none"/>
                <w:lang w:val="en-US" w:eastAsia="zh-CN" w:bidi="ar-SA"/>
              </w:rPr>
            </w:pPr>
            <w:r>
              <w:rPr>
                <w:szCs w:val="32"/>
              </w:rPr>
              <w:t>本项</w:t>
            </w:r>
            <w:r>
              <w:rPr>
                <w:rFonts w:hint="eastAsia"/>
                <w:szCs w:val="32"/>
                <w:lang w:eastAsia="zh-CN"/>
              </w:rPr>
              <w:t>目</w:t>
            </w:r>
            <w:r>
              <w:rPr>
                <w:rFonts w:hint="eastAsia"/>
                <w:szCs w:val="32"/>
              </w:rPr>
              <w:t>废水主要为生活污水和食堂废水</w:t>
            </w:r>
            <w:r>
              <w:rPr>
                <w:rFonts w:hint="eastAsia"/>
                <w:szCs w:val="32"/>
                <w:lang w:eastAsia="zh-CN"/>
              </w:rPr>
              <w:t>，</w:t>
            </w:r>
            <w:r>
              <w:rPr>
                <w:rFonts w:hint="eastAsia" w:ascii="Times New Roman" w:hAnsi="Times New Roman" w:eastAsia="宋体" w:cs="Times New Roman"/>
                <w:b w:val="0"/>
                <w:bCs w:val="0"/>
                <w:color w:val="000000"/>
                <w:kern w:val="0"/>
                <w:sz w:val="24"/>
                <w:szCs w:val="24"/>
                <w:highlight w:val="none"/>
                <w:lang w:val="en-US" w:eastAsia="zh-CN" w:bidi="ar"/>
              </w:rPr>
              <w:t>生活污水直接排入市政污水管网；</w:t>
            </w:r>
            <w:r>
              <w:rPr>
                <w:rFonts w:hint="eastAsia"/>
                <w:szCs w:val="32"/>
              </w:rPr>
              <w:t>食堂废水经油水分离器处理后排</w:t>
            </w:r>
            <w:r>
              <w:rPr>
                <w:rFonts w:hint="eastAsia"/>
                <w:szCs w:val="32"/>
                <w:lang w:eastAsia="zh-CN"/>
              </w:rPr>
              <w:t>入</w:t>
            </w:r>
            <w:r>
              <w:rPr>
                <w:rFonts w:hint="eastAsia"/>
                <w:szCs w:val="32"/>
              </w:rPr>
              <w:t>市政污水管网</w:t>
            </w:r>
            <w:r>
              <w:rPr>
                <w:rFonts w:hint="eastAsia"/>
                <w:szCs w:val="32"/>
                <w:lang w:eastAsia="zh-CN"/>
              </w:rPr>
              <w:t>。</w:t>
            </w:r>
            <w:r>
              <w:rPr>
                <w:rFonts w:hint="eastAsia"/>
                <w:szCs w:val="32"/>
              </w:rPr>
              <w:t>出水水质满足《污水综合排放标准》（GB8978-1996）中三级排放标准和《污水排入城镇下水道水质标准》（GB/T 31962-2015）。项目废水量、废水水质及各污染物排放量见下表：</w:t>
            </w:r>
          </w:p>
          <w:p w14:paraId="74DA6F31">
            <w:pPr>
              <w:spacing w:line="480" w:lineRule="exact"/>
              <w:jc w:val="center"/>
              <w:rPr>
                <w:rFonts w:hint="default" w:ascii="Times New Roman" w:hAnsi="Times New Roman" w:eastAsia="宋体" w:cs="Times New Roman"/>
                <w:b/>
                <w:bCs/>
                <w:szCs w:val="32"/>
              </w:rPr>
            </w:pPr>
          </w:p>
          <w:p w14:paraId="12580190">
            <w:pPr>
              <w:spacing w:line="480" w:lineRule="exact"/>
              <w:jc w:val="center"/>
              <w:rPr>
                <w:rFonts w:hint="default" w:ascii="Times New Roman" w:hAnsi="Times New Roman" w:eastAsia="宋体" w:cs="Times New Roman"/>
                <w:b/>
                <w:bCs/>
                <w:szCs w:val="32"/>
              </w:rPr>
            </w:pPr>
          </w:p>
          <w:p w14:paraId="6FD25662">
            <w:pPr>
              <w:spacing w:line="480" w:lineRule="exact"/>
              <w:jc w:val="center"/>
              <w:rPr>
                <w:rFonts w:hint="default" w:ascii="Times New Roman" w:hAnsi="Times New Roman" w:eastAsia="宋体" w:cs="Times New Roman"/>
                <w:b/>
                <w:bCs/>
                <w:szCs w:val="32"/>
              </w:rPr>
            </w:pPr>
          </w:p>
          <w:p w14:paraId="15498053">
            <w:pPr>
              <w:spacing w:line="480" w:lineRule="exact"/>
              <w:jc w:val="center"/>
              <w:rPr>
                <w:rFonts w:hint="default" w:ascii="Times New Roman" w:hAnsi="Times New Roman" w:eastAsia="宋体" w:cs="Times New Roman"/>
                <w:b/>
                <w:bCs/>
                <w:szCs w:val="32"/>
              </w:rPr>
            </w:pPr>
            <w:r>
              <w:rPr>
                <w:rFonts w:hint="default" w:ascii="Times New Roman" w:hAnsi="Times New Roman" w:eastAsia="宋体" w:cs="Times New Roman"/>
                <w:b/>
                <w:bCs/>
                <w:szCs w:val="32"/>
              </w:rPr>
              <w:t>表4-</w:t>
            </w:r>
            <w:r>
              <w:rPr>
                <w:rFonts w:hint="eastAsia" w:cs="Times New Roman"/>
                <w:b/>
                <w:bCs/>
                <w:szCs w:val="32"/>
                <w:lang w:val="en-US" w:eastAsia="zh-CN"/>
              </w:rPr>
              <w:t>9</w:t>
            </w:r>
            <w:r>
              <w:rPr>
                <w:rFonts w:hint="default" w:ascii="Times New Roman" w:hAnsi="Times New Roman" w:eastAsia="宋体" w:cs="Times New Roman"/>
                <w:b/>
                <w:bCs/>
                <w:szCs w:val="32"/>
              </w:rPr>
              <w:t xml:space="preserve"> 污染物排放浓度及排放量</w:t>
            </w:r>
          </w:p>
          <w:tbl>
            <w:tblPr>
              <w:tblStyle w:val="25"/>
              <w:tblW w:w="0" w:type="auto"/>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794"/>
              <w:gridCol w:w="653"/>
              <w:gridCol w:w="1019"/>
              <w:gridCol w:w="1072"/>
              <w:gridCol w:w="1206"/>
              <w:gridCol w:w="1156"/>
              <w:gridCol w:w="1157"/>
              <w:gridCol w:w="902"/>
            </w:tblGrid>
            <w:tr w14:paraId="4FD5D1A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78" w:hRule="atLeast"/>
                <w:jc w:val="center"/>
              </w:trPr>
              <w:tc>
                <w:tcPr>
                  <w:tcW w:w="794" w:type="dxa"/>
                  <w:tcBorders>
                    <w:tl2br w:val="nil"/>
                    <w:tr2bl w:val="nil"/>
                  </w:tcBorders>
                  <w:noWrap w:val="0"/>
                  <w:vAlign w:val="center"/>
                </w:tcPr>
                <w:p w14:paraId="4D5244C9">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产排污环节</w:t>
                  </w:r>
                </w:p>
              </w:tc>
              <w:tc>
                <w:tcPr>
                  <w:tcW w:w="653" w:type="dxa"/>
                  <w:tcBorders>
                    <w:tl2br w:val="nil"/>
                    <w:tr2bl w:val="nil"/>
                  </w:tcBorders>
                  <w:noWrap w:val="0"/>
                  <w:vAlign w:val="center"/>
                </w:tcPr>
                <w:p w14:paraId="17AABA50">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类别</w:t>
                  </w:r>
                </w:p>
              </w:tc>
              <w:tc>
                <w:tcPr>
                  <w:tcW w:w="1019" w:type="dxa"/>
                  <w:tcBorders>
                    <w:tl2br w:val="nil"/>
                    <w:tr2bl w:val="nil"/>
                  </w:tcBorders>
                  <w:noWrap w:val="0"/>
                  <w:vAlign w:val="center"/>
                </w:tcPr>
                <w:p w14:paraId="24CF4221">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废水量（m</w:t>
                  </w:r>
                  <w:r>
                    <w:rPr>
                      <w:rFonts w:hint="default" w:ascii="Times New Roman" w:hAnsi="Times New Roman" w:eastAsia="宋体" w:cs="Times New Roman"/>
                      <w:sz w:val="21"/>
                      <w:szCs w:val="21"/>
                      <w:vertAlign w:val="superscript"/>
                    </w:rPr>
                    <w:t>3</w:t>
                  </w:r>
                  <w:r>
                    <w:rPr>
                      <w:rFonts w:hint="default" w:ascii="Times New Roman" w:hAnsi="Times New Roman" w:eastAsia="宋体" w:cs="Times New Roman"/>
                      <w:sz w:val="21"/>
                      <w:szCs w:val="21"/>
                    </w:rPr>
                    <w:t>/a）</w:t>
                  </w:r>
                </w:p>
              </w:tc>
              <w:tc>
                <w:tcPr>
                  <w:tcW w:w="1072" w:type="dxa"/>
                  <w:tcBorders>
                    <w:tl2br w:val="nil"/>
                    <w:tr2bl w:val="nil"/>
                  </w:tcBorders>
                  <w:noWrap w:val="0"/>
                  <w:vAlign w:val="center"/>
                </w:tcPr>
                <w:p w14:paraId="7F536A6B">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污染物种类</w:t>
                  </w:r>
                </w:p>
              </w:tc>
              <w:tc>
                <w:tcPr>
                  <w:tcW w:w="1206" w:type="dxa"/>
                  <w:tcBorders>
                    <w:tl2br w:val="nil"/>
                    <w:tr2bl w:val="nil"/>
                  </w:tcBorders>
                  <w:noWrap w:val="0"/>
                  <w:tcMar>
                    <w:left w:w="0" w:type="dxa"/>
                    <w:right w:w="0" w:type="dxa"/>
                  </w:tcMar>
                  <w:vAlign w:val="center"/>
                </w:tcPr>
                <w:p w14:paraId="4B0A9A45">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排放浓度（mg/L）</w:t>
                  </w:r>
                </w:p>
              </w:tc>
              <w:tc>
                <w:tcPr>
                  <w:tcW w:w="1156" w:type="dxa"/>
                  <w:tcBorders>
                    <w:tl2br w:val="nil"/>
                    <w:tr2bl w:val="nil"/>
                  </w:tcBorders>
                  <w:noWrap w:val="0"/>
                  <w:vAlign w:val="center"/>
                </w:tcPr>
                <w:p w14:paraId="0BC44CFB">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排放量（t/a）</w:t>
                  </w:r>
                </w:p>
              </w:tc>
              <w:tc>
                <w:tcPr>
                  <w:tcW w:w="1157" w:type="dxa"/>
                  <w:tcBorders>
                    <w:tl2br w:val="nil"/>
                    <w:tr2bl w:val="nil"/>
                  </w:tcBorders>
                  <w:noWrap w:val="0"/>
                  <w:vAlign w:val="center"/>
                </w:tcPr>
                <w:p w14:paraId="437D2640">
                  <w:pPr>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排放限值（</w:t>
                  </w:r>
                  <w:r>
                    <w:rPr>
                      <w:rFonts w:hint="eastAsia" w:ascii="Times New Roman" w:hAnsi="Times New Roman" w:eastAsia="宋体" w:cs="Times New Roman"/>
                      <w:sz w:val="21"/>
                      <w:szCs w:val="21"/>
                      <w:lang w:val="en-US" w:eastAsia="zh-CN"/>
                    </w:rPr>
                    <w:t>mg/L</w:t>
                  </w:r>
                  <w:r>
                    <w:rPr>
                      <w:rFonts w:hint="eastAsia" w:ascii="Times New Roman" w:hAnsi="Times New Roman" w:eastAsia="宋体" w:cs="Times New Roman"/>
                      <w:sz w:val="21"/>
                      <w:szCs w:val="21"/>
                      <w:lang w:eastAsia="zh-CN"/>
                    </w:rPr>
                    <w:t>）</w:t>
                  </w:r>
                </w:p>
              </w:tc>
              <w:tc>
                <w:tcPr>
                  <w:tcW w:w="902" w:type="dxa"/>
                  <w:tcBorders>
                    <w:tl2br w:val="nil"/>
                    <w:tr2bl w:val="nil"/>
                  </w:tcBorders>
                  <w:noWrap w:val="0"/>
                  <w:vAlign w:val="center"/>
                </w:tcPr>
                <w:p w14:paraId="6168F343">
                  <w:pPr>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达标分析</w:t>
                  </w:r>
                </w:p>
              </w:tc>
            </w:tr>
            <w:tr w14:paraId="35C14933">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83" w:hRule="atLeast"/>
                <w:jc w:val="center"/>
              </w:trPr>
              <w:tc>
                <w:tcPr>
                  <w:tcW w:w="794" w:type="dxa"/>
                  <w:vMerge w:val="restart"/>
                  <w:tcBorders>
                    <w:tl2br w:val="nil"/>
                    <w:tr2bl w:val="nil"/>
                  </w:tcBorders>
                  <w:noWrap w:val="0"/>
                  <w:tcMar>
                    <w:left w:w="0" w:type="dxa"/>
                    <w:right w:w="0" w:type="dxa"/>
                  </w:tcMar>
                  <w:vAlign w:val="center"/>
                </w:tcPr>
                <w:p w14:paraId="46EA18AF">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职工生活</w:t>
                  </w:r>
                </w:p>
              </w:tc>
              <w:tc>
                <w:tcPr>
                  <w:tcW w:w="653" w:type="dxa"/>
                  <w:vMerge w:val="restart"/>
                  <w:tcBorders>
                    <w:tl2br w:val="nil"/>
                    <w:tr2bl w:val="nil"/>
                  </w:tcBorders>
                  <w:noWrap w:val="0"/>
                  <w:tcMar>
                    <w:left w:w="0" w:type="dxa"/>
                    <w:right w:w="0" w:type="dxa"/>
                  </w:tcMar>
                  <w:vAlign w:val="center"/>
                </w:tcPr>
                <w:p w14:paraId="70569730">
                  <w:pPr>
                    <w:jc w:val="center"/>
                    <w:rPr>
                      <w:rFonts w:hint="eastAsia" w:ascii="Times New Roman" w:hAnsi="Times New Roman" w:eastAsia="宋体" w:cs="Times New Roman"/>
                      <w:sz w:val="21"/>
                      <w:szCs w:val="21"/>
                      <w:lang w:eastAsia="zh-CN"/>
                    </w:rPr>
                  </w:pPr>
                  <w:r>
                    <w:rPr>
                      <w:rFonts w:hint="default" w:ascii="Times New Roman" w:hAnsi="Times New Roman" w:eastAsia="宋体" w:cs="Times New Roman"/>
                      <w:sz w:val="21"/>
                      <w:szCs w:val="21"/>
                    </w:rPr>
                    <w:t>生活污水</w:t>
                  </w:r>
                  <w:r>
                    <w:rPr>
                      <w:rFonts w:hint="eastAsia" w:ascii="Times New Roman" w:hAnsi="Times New Roman" w:eastAsia="宋体" w:cs="Times New Roman"/>
                      <w:sz w:val="21"/>
                      <w:szCs w:val="21"/>
                      <w:lang w:eastAsia="zh-CN"/>
                    </w:rPr>
                    <w:t>、食堂废水</w:t>
                  </w:r>
                </w:p>
              </w:tc>
              <w:tc>
                <w:tcPr>
                  <w:tcW w:w="1019" w:type="dxa"/>
                  <w:vMerge w:val="restart"/>
                  <w:tcBorders>
                    <w:tl2br w:val="nil"/>
                    <w:tr2bl w:val="nil"/>
                  </w:tcBorders>
                  <w:noWrap w:val="0"/>
                  <w:tcMar>
                    <w:left w:w="0" w:type="dxa"/>
                    <w:right w:w="0" w:type="dxa"/>
                  </w:tcMar>
                  <w:vAlign w:val="center"/>
                </w:tcPr>
                <w:p w14:paraId="1B3ED671">
                  <w:pPr>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2295</w:t>
                  </w:r>
                </w:p>
              </w:tc>
              <w:tc>
                <w:tcPr>
                  <w:tcW w:w="1072" w:type="dxa"/>
                  <w:tcBorders>
                    <w:tl2br w:val="nil"/>
                    <w:tr2bl w:val="nil"/>
                  </w:tcBorders>
                  <w:noWrap w:val="0"/>
                  <w:tcMar>
                    <w:left w:w="0" w:type="dxa"/>
                    <w:right w:w="0" w:type="dxa"/>
                  </w:tcMar>
                  <w:vAlign w:val="center"/>
                </w:tcPr>
                <w:p w14:paraId="76FC91A3">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pH</w:t>
                  </w:r>
                </w:p>
              </w:tc>
              <w:tc>
                <w:tcPr>
                  <w:tcW w:w="1206" w:type="dxa"/>
                  <w:tcBorders>
                    <w:tl2br w:val="nil"/>
                    <w:tr2bl w:val="nil"/>
                  </w:tcBorders>
                  <w:noWrap w:val="0"/>
                  <w:tcMar>
                    <w:left w:w="0" w:type="dxa"/>
                    <w:right w:w="0" w:type="dxa"/>
                  </w:tcMar>
                  <w:vAlign w:val="center"/>
                </w:tcPr>
                <w:p w14:paraId="25DE8F7D">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b w:val="0"/>
                      <w:bCs w:val="0"/>
                      <w:color w:val="000000"/>
                      <w:kern w:val="0"/>
                      <w:sz w:val="21"/>
                      <w:szCs w:val="21"/>
                      <w:highlight w:val="none"/>
                      <w:lang w:val="en-US" w:eastAsia="zh-CN" w:bidi="ar"/>
                    </w:rPr>
                  </w:pPr>
                  <w:r>
                    <w:rPr>
                      <w:rFonts w:hint="eastAsia" w:cs="Times New Roman"/>
                      <w:sz w:val="21"/>
                      <w:szCs w:val="21"/>
                      <w:lang w:val="en-US" w:eastAsia="zh-CN"/>
                    </w:rPr>
                    <w:t>-</w:t>
                  </w:r>
                </w:p>
              </w:tc>
              <w:tc>
                <w:tcPr>
                  <w:tcW w:w="1156" w:type="dxa"/>
                  <w:tcBorders>
                    <w:tl2br w:val="nil"/>
                    <w:tr2bl w:val="nil"/>
                  </w:tcBorders>
                  <w:noWrap w:val="0"/>
                  <w:tcMar>
                    <w:left w:w="0" w:type="dxa"/>
                    <w:right w:w="0" w:type="dxa"/>
                  </w:tcMar>
                  <w:vAlign w:val="center"/>
                </w:tcPr>
                <w:p w14:paraId="6BB2A64E">
                  <w:pPr>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c>
                <w:tcPr>
                  <w:tcW w:w="1157" w:type="dxa"/>
                  <w:tcBorders>
                    <w:tl2br w:val="nil"/>
                    <w:tr2bl w:val="nil"/>
                  </w:tcBorders>
                  <w:noWrap w:val="0"/>
                  <w:tcMar>
                    <w:left w:w="0" w:type="dxa"/>
                    <w:right w:w="0" w:type="dxa"/>
                  </w:tcMar>
                  <w:vAlign w:val="center"/>
                </w:tcPr>
                <w:p w14:paraId="099006B0">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6~9</w:t>
                  </w:r>
                </w:p>
              </w:tc>
              <w:tc>
                <w:tcPr>
                  <w:tcW w:w="902" w:type="dxa"/>
                  <w:tcBorders>
                    <w:tl2br w:val="nil"/>
                    <w:tr2bl w:val="nil"/>
                  </w:tcBorders>
                  <w:noWrap w:val="0"/>
                  <w:tcMar>
                    <w:left w:w="0" w:type="dxa"/>
                    <w:right w:w="0" w:type="dxa"/>
                  </w:tcMar>
                  <w:vAlign w:val="center"/>
                </w:tcPr>
                <w:p w14:paraId="09D7527F">
                  <w:pPr>
                    <w:jc w:val="center"/>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eastAsia="zh-CN"/>
                    </w:rPr>
                    <w:t>达标</w:t>
                  </w:r>
                </w:p>
              </w:tc>
            </w:tr>
            <w:tr w14:paraId="561287F2">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63" w:hRule="atLeast"/>
                <w:jc w:val="center"/>
              </w:trPr>
              <w:tc>
                <w:tcPr>
                  <w:tcW w:w="794" w:type="dxa"/>
                  <w:vMerge w:val="continue"/>
                  <w:tcBorders>
                    <w:tl2br w:val="nil"/>
                    <w:tr2bl w:val="nil"/>
                  </w:tcBorders>
                  <w:noWrap w:val="0"/>
                  <w:tcMar>
                    <w:left w:w="0" w:type="dxa"/>
                    <w:right w:w="0" w:type="dxa"/>
                  </w:tcMar>
                  <w:vAlign w:val="center"/>
                </w:tcPr>
                <w:p w14:paraId="18AC13E2">
                  <w:pPr>
                    <w:jc w:val="center"/>
                    <w:rPr>
                      <w:rFonts w:hint="default" w:ascii="Times New Roman" w:hAnsi="Times New Roman" w:eastAsia="宋体" w:cs="Times New Roman"/>
                      <w:sz w:val="21"/>
                      <w:szCs w:val="21"/>
                    </w:rPr>
                  </w:pPr>
                </w:p>
              </w:tc>
              <w:tc>
                <w:tcPr>
                  <w:tcW w:w="653" w:type="dxa"/>
                  <w:vMerge w:val="continue"/>
                  <w:tcBorders>
                    <w:tl2br w:val="nil"/>
                    <w:tr2bl w:val="nil"/>
                  </w:tcBorders>
                  <w:noWrap w:val="0"/>
                  <w:tcMar>
                    <w:left w:w="0" w:type="dxa"/>
                    <w:right w:w="0" w:type="dxa"/>
                  </w:tcMar>
                  <w:vAlign w:val="center"/>
                </w:tcPr>
                <w:p w14:paraId="748FB3CA">
                  <w:pPr>
                    <w:jc w:val="center"/>
                    <w:rPr>
                      <w:rFonts w:hint="default" w:ascii="Times New Roman" w:hAnsi="Times New Roman" w:eastAsia="宋体" w:cs="Times New Roman"/>
                      <w:sz w:val="21"/>
                      <w:szCs w:val="21"/>
                    </w:rPr>
                  </w:pPr>
                </w:p>
              </w:tc>
              <w:tc>
                <w:tcPr>
                  <w:tcW w:w="1019" w:type="dxa"/>
                  <w:vMerge w:val="continue"/>
                  <w:tcBorders>
                    <w:tl2br w:val="nil"/>
                    <w:tr2bl w:val="nil"/>
                  </w:tcBorders>
                  <w:noWrap w:val="0"/>
                  <w:tcMar>
                    <w:left w:w="0" w:type="dxa"/>
                    <w:right w:w="0" w:type="dxa"/>
                  </w:tcMar>
                  <w:vAlign w:val="center"/>
                </w:tcPr>
                <w:p w14:paraId="759A57CE">
                  <w:pPr>
                    <w:jc w:val="center"/>
                    <w:rPr>
                      <w:rFonts w:hint="default" w:ascii="Times New Roman" w:hAnsi="Times New Roman" w:eastAsia="宋体" w:cs="Times New Roman"/>
                      <w:sz w:val="21"/>
                      <w:szCs w:val="21"/>
                    </w:rPr>
                  </w:pPr>
                </w:p>
              </w:tc>
              <w:tc>
                <w:tcPr>
                  <w:tcW w:w="1072" w:type="dxa"/>
                  <w:tcBorders>
                    <w:tl2br w:val="nil"/>
                    <w:tr2bl w:val="nil"/>
                  </w:tcBorders>
                  <w:noWrap w:val="0"/>
                  <w:tcMar>
                    <w:left w:w="0" w:type="dxa"/>
                    <w:right w:w="0" w:type="dxa"/>
                  </w:tcMar>
                  <w:vAlign w:val="center"/>
                </w:tcPr>
                <w:p w14:paraId="5C4B51D1">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COD</w:t>
                  </w:r>
                </w:p>
              </w:tc>
              <w:tc>
                <w:tcPr>
                  <w:tcW w:w="1206" w:type="dxa"/>
                  <w:tcBorders>
                    <w:tl2br w:val="nil"/>
                    <w:tr2bl w:val="nil"/>
                  </w:tcBorders>
                  <w:noWrap w:val="0"/>
                  <w:tcMar>
                    <w:left w:w="0" w:type="dxa"/>
                    <w:right w:w="0" w:type="dxa"/>
                  </w:tcMar>
                  <w:vAlign w:val="center"/>
                </w:tcPr>
                <w:p w14:paraId="15E2DF8F">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b w:val="0"/>
                      <w:bCs w:val="0"/>
                      <w:color w:val="000000"/>
                      <w:kern w:val="0"/>
                      <w:sz w:val="21"/>
                      <w:szCs w:val="21"/>
                      <w:highlight w:val="none"/>
                      <w:lang w:val="en-US" w:eastAsia="zh-CN" w:bidi="ar"/>
                    </w:rPr>
                  </w:pPr>
                  <w:r>
                    <w:rPr>
                      <w:rFonts w:hint="eastAsia" w:ascii="Times New Roman" w:hAnsi="Times New Roman" w:eastAsia="宋体" w:cs="Times New Roman"/>
                      <w:b w:val="0"/>
                      <w:bCs w:val="0"/>
                      <w:color w:val="000000"/>
                      <w:kern w:val="0"/>
                      <w:sz w:val="21"/>
                      <w:szCs w:val="21"/>
                      <w:highlight w:val="none"/>
                      <w:lang w:val="en-US" w:eastAsia="zh-CN" w:bidi="ar"/>
                    </w:rPr>
                    <w:t>350</w:t>
                  </w:r>
                </w:p>
              </w:tc>
              <w:tc>
                <w:tcPr>
                  <w:tcW w:w="1156" w:type="dxa"/>
                  <w:tcBorders>
                    <w:tl2br w:val="nil"/>
                    <w:tr2bl w:val="nil"/>
                  </w:tcBorders>
                  <w:noWrap w:val="0"/>
                  <w:tcMar>
                    <w:left w:w="0" w:type="dxa"/>
                    <w:right w:w="0" w:type="dxa"/>
                  </w:tcMar>
                  <w:vAlign w:val="center"/>
                </w:tcPr>
                <w:p w14:paraId="34474010">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0.80</w:t>
                  </w:r>
                </w:p>
              </w:tc>
              <w:tc>
                <w:tcPr>
                  <w:tcW w:w="1157" w:type="dxa"/>
                  <w:tcBorders>
                    <w:tl2br w:val="nil"/>
                    <w:tr2bl w:val="nil"/>
                  </w:tcBorders>
                  <w:noWrap w:val="0"/>
                  <w:tcMar>
                    <w:left w:w="0" w:type="dxa"/>
                    <w:right w:w="0" w:type="dxa"/>
                  </w:tcMar>
                  <w:vAlign w:val="center"/>
                </w:tcPr>
                <w:p w14:paraId="6B647C9A">
                  <w:pPr>
                    <w:keepNext w:val="0"/>
                    <w:keepLines w:val="0"/>
                    <w:pageBreakBefore w:val="0"/>
                    <w:widowControl w:val="0"/>
                    <w:kinsoku/>
                    <w:wordWrap/>
                    <w:overflowPunct/>
                    <w:topLinePunct w:val="0"/>
                    <w:autoSpaceDE/>
                    <w:autoSpaceDN/>
                    <w:bidi w:val="0"/>
                    <w:adjustRightInd w:val="0"/>
                    <w:snapToGrid w:val="0"/>
                    <w:spacing w:line="0" w:lineRule="atLeast"/>
                    <w:ind w:firstLine="0" w:firstLineChars="0"/>
                    <w:jc w:val="center"/>
                    <w:textAlignment w:val="auto"/>
                    <w:rPr>
                      <w:rFonts w:hint="default" w:ascii="Times New Roman" w:hAnsi="Times New Roman" w:eastAsia="宋体" w:cs="Times New Roman"/>
                      <w:b w:val="0"/>
                      <w:bCs w:val="0"/>
                      <w:color w:val="auto"/>
                      <w:kern w:val="0"/>
                      <w:sz w:val="21"/>
                      <w:szCs w:val="21"/>
                      <w:highlight w:val="none"/>
                      <w:lang w:val="en-US" w:eastAsia="zh-CN" w:bidi="ar"/>
                    </w:rPr>
                  </w:pPr>
                  <w:r>
                    <w:rPr>
                      <w:rFonts w:hint="default" w:ascii="Times New Roman" w:hAnsi="Times New Roman" w:cs="Times New Roman"/>
                      <w:b w:val="0"/>
                      <w:bCs w:val="0"/>
                      <w:color w:val="auto"/>
                      <w:sz w:val="21"/>
                      <w:szCs w:val="21"/>
                      <w:highlight w:val="none"/>
                      <w:lang w:bidi="ar"/>
                    </w:rPr>
                    <w:t>350</w:t>
                  </w:r>
                </w:p>
              </w:tc>
              <w:tc>
                <w:tcPr>
                  <w:tcW w:w="902" w:type="dxa"/>
                  <w:tcBorders>
                    <w:tl2br w:val="nil"/>
                    <w:tr2bl w:val="nil"/>
                  </w:tcBorders>
                  <w:noWrap w:val="0"/>
                  <w:tcMar>
                    <w:left w:w="0" w:type="dxa"/>
                    <w:right w:w="0" w:type="dxa"/>
                  </w:tcMar>
                  <w:vAlign w:val="center"/>
                </w:tcPr>
                <w:p w14:paraId="3CFEF6E3">
                  <w:pPr>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eastAsia="zh-CN"/>
                    </w:rPr>
                    <w:t>达标</w:t>
                  </w:r>
                </w:p>
              </w:tc>
            </w:tr>
            <w:tr w14:paraId="481FCC4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794" w:type="dxa"/>
                  <w:vMerge w:val="continue"/>
                  <w:tcBorders>
                    <w:tl2br w:val="nil"/>
                    <w:tr2bl w:val="nil"/>
                  </w:tcBorders>
                  <w:noWrap w:val="0"/>
                  <w:tcMar>
                    <w:left w:w="0" w:type="dxa"/>
                    <w:right w:w="0" w:type="dxa"/>
                  </w:tcMar>
                  <w:vAlign w:val="center"/>
                </w:tcPr>
                <w:p w14:paraId="3615E898">
                  <w:pPr>
                    <w:jc w:val="center"/>
                    <w:rPr>
                      <w:rFonts w:hint="default" w:ascii="Times New Roman" w:hAnsi="Times New Roman" w:eastAsia="宋体" w:cs="Times New Roman"/>
                      <w:sz w:val="21"/>
                      <w:szCs w:val="21"/>
                    </w:rPr>
                  </w:pPr>
                </w:p>
              </w:tc>
              <w:tc>
                <w:tcPr>
                  <w:tcW w:w="653" w:type="dxa"/>
                  <w:vMerge w:val="continue"/>
                  <w:tcBorders>
                    <w:tl2br w:val="nil"/>
                    <w:tr2bl w:val="nil"/>
                  </w:tcBorders>
                  <w:noWrap w:val="0"/>
                  <w:tcMar>
                    <w:left w:w="0" w:type="dxa"/>
                    <w:right w:w="0" w:type="dxa"/>
                  </w:tcMar>
                  <w:vAlign w:val="center"/>
                </w:tcPr>
                <w:p w14:paraId="29C083E6">
                  <w:pPr>
                    <w:jc w:val="center"/>
                    <w:rPr>
                      <w:rFonts w:hint="default" w:ascii="Times New Roman" w:hAnsi="Times New Roman" w:eastAsia="宋体" w:cs="Times New Roman"/>
                      <w:sz w:val="21"/>
                      <w:szCs w:val="21"/>
                    </w:rPr>
                  </w:pPr>
                </w:p>
              </w:tc>
              <w:tc>
                <w:tcPr>
                  <w:tcW w:w="1019" w:type="dxa"/>
                  <w:vMerge w:val="continue"/>
                  <w:tcBorders>
                    <w:tl2br w:val="nil"/>
                    <w:tr2bl w:val="nil"/>
                  </w:tcBorders>
                  <w:noWrap w:val="0"/>
                  <w:tcMar>
                    <w:left w:w="0" w:type="dxa"/>
                    <w:right w:w="0" w:type="dxa"/>
                  </w:tcMar>
                  <w:vAlign w:val="center"/>
                </w:tcPr>
                <w:p w14:paraId="6EA04BE8">
                  <w:pPr>
                    <w:jc w:val="center"/>
                    <w:rPr>
                      <w:rFonts w:hint="default" w:ascii="Times New Roman" w:hAnsi="Times New Roman" w:eastAsia="宋体" w:cs="Times New Roman"/>
                      <w:sz w:val="21"/>
                      <w:szCs w:val="21"/>
                    </w:rPr>
                  </w:pPr>
                </w:p>
              </w:tc>
              <w:tc>
                <w:tcPr>
                  <w:tcW w:w="1072" w:type="dxa"/>
                  <w:tcBorders>
                    <w:tl2br w:val="nil"/>
                    <w:tr2bl w:val="nil"/>
                  </w:tcBorders>
                  <w:noWrap w:val="0"/>
                  <w:tcMar>
                    <w:left w:w="0" w:type="dxa"/>
                    <w:right w:w="0" w:type="dxa"/>
                  </w:tcMar>
                  <w:vAlign w:val="center"/>
                </w:tcPr>
                <w:p w14:paraId="59F17BDE">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BOD</w:t>
                  </w:r>
                  <w:r>
                    <w:rPr>
                      <w:rFonts w:hint="default" w:ascii="Times New Roman" w:hAnsi="Times New Roman" w:eastAsia="宋体" w:cs="Times New Roman"/>
                      <w:sz w:val="21"/>
                      <w:szCs w:val="21"/>
                      <w:vertAlign w:val="subscript"/>
                    </w:rPr>
                    <w:t>5</w:t>
                  </w:r>
                </w:p>
              </w:tc>
              <w:tc>
                <w:tcPr>
                  <w:tcW w:w="1206" w:type="dxa"/>
                  <w:tcBorders>
                    <w:tl2br w:val="nil"/>
                    <w:tr2bl w:val="nil"/>
                  </w:tcBorders>
                  <w:noWrap w:val="0"/>
                  <w:tcMar>
                    <w:left w:w="0" w:type="dxa"/>
                    <w:right w:w="0" w:type="dxa"/>
                  </w:tcMar>
                  <w:vAlign w:val="center"/>
                </w:tcPr>
                <w:p w14:paraId="38739D99">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b w:val="0"/>
                      <w:bCs w:val="0"/>
                      <w:color w:val="000000"/>
                      <w:kern w:val="0"/>
                      <w:sz w:val="21"/>
                      <w:szCs w:val="21"/>
                      <w:highlight w:val="none"/>
                      <w:lang w:val="en-US" w:eastAsia="zh-CN" w:bidi="ar"/>
                    </w:rPr>
                  </w:pPr>
                  <w:r>
                    <w:rPr>
                      <w:rFonts w:hint="eastAsia" w:ascii="Times New Roman" w:hAnsi="Times New Roman" w:eastAsia="宋体" w:cs="Times New Roman"/>
                      <w:b w:val="0"/>
                      <w:bCs w:val="0"/>
                      <w:color w:val="000000"/>
                      <w:kern w:val="0"/>
                      <w:sz w:val="21"/>
                      <w:szCs w:val="21"/>
                      <w:highlight w:val="none"/>
                      <w:lang w:val="en-US" w:eastAsia="zh-CN" w:bidi="ar"/>
                    </w:rPr>
                    <w:t>150</w:t>
                  </w:r>
                </w:p>
              </w:tc>
              <w:tc>
                <w:tcPr>
                  <w:tcW w:w="1156" w:type="dxa"/>
                  <w:tcBorders>
                    <w:tl2br w:val="nil"/>
                    <w:tr2bl w:val="nil"/>
                  </w:tcBorders>
                  <w:noWrap w:val="0"/>
                  <w:tcMar>
                    <w:left w:w="0" w:type="dxa"/>
                    <w:right w:w="0" w:type="dxa"/>
                  </w:tcMar>
                  <w:vAlign w:val="center"/>
                </w:tcPr>
                <w:p w14:paraId="77046BD2">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0.34</w:t>
                  </w:r>
                </w:p>
              </w:tc>
              <w:tc>
                <w:tcPr>
                  <w:tcW w:w="1157" w:type="dxa"/>
                  <w:tcBorders>
                    <w:tl2br w:val="nil"/>
                    <w:tr2bl w:val="nil"/>
                  </w:tcBorders>
                  <w:noWrap w:val="0"/>
                  <w:tcMar>
                    <w:left w:w="0" w:type="dxa"/>
                    <w:right w:w="0" w:type="dxa"/>
                  </w:tcMar>
                  <w:vAlign w:val="center"/>
                </w:tcPr>
                <w:p w14:paraId="2D442368">
                  <w:pPr>
                    <w:keepNext w:val="0"/>
                    <w:keepLines w:val="0"/>
                    <w:pageBreakBefore w:val="0"/>
                    <w:widowControl w:val="0"/>
                    <w:kinsoku/>
                    <w:wordWrap/>
                    <w:overflowPunct/>
                    <w:topLinePunct w:val="0"/>
                    <w:autoSpaceDE/>
                    <w:autoSpaceDN/>
                    <w:bidi w:val="0"/>
                    <w:adjustRightInd w:val="0"/>
                    <w:snapToGrid w:val="0"/>
                    <w:spacing w:line="0" w:lineRule="atLeast"/>
                    <w:ind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default" w:ascii="Times New Roman" w:hAnsi="Times New Roman" w:cs="Times New Roman"/>
                      <w:b w:val="0"/>
                      <w:bCs w:val="0"/>
                      <w:color w:val="auto"/>
                      <w:sz w:val="21"/>
                      <w:szCs w:val="21"/>
                      <w:highlight w:val="none"/>
                      <w:lang w:bidi="ar"/>
                    </w:rPr>
                    <w:t>180</w:t>
                  </w:r>
                </w:p>
              </w:tc>
              <w:tc>
                <w:tcPr>
                  <w:tcW w:w="902" w:type="dxa"/>
                  <w:tcBorders>
                    <w:tl2br w:val="nil"/>
                    <w:tr2bl w:val="nil"/>
                  </w:tcBorders>
                  <w:noWrap w:val="0"/>
                  <w:tcMar>
                    <w:left w:w="0" w:type="dxa"/>
                    <w:right w:w="0" w:type="dxa"/>
                  </w:tcMar>
                  <w:vAlign w:val="center"/>
                </w:tcPr>
                <w:p w14:paraId="70A86058">
                  <w:pPr>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eastAsia="zh-CN"/>
                    </w:rPr>
                    <w:t>达标</w:t>
                  </w:r>
                </w:p>
              </w:tc>
            </w:tr>
            <w:tr w14:paraId="51D7948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63" w:hRule="atLeast"/>
                <w:jc w:val="center"/>
              </w:trPr>
              <w:tc>
                <w:tcPr>
                  <w:tcW w:w="794" w:type="dxa"/>
                  <w:vMerge w:val="continue"/>
                  <w:tcBorders>
                    <w:tl2br w:val="nil"/>
                    <w:tr2bl w:val="nil"/>
                  </w:tcBorders>
                  <w:noWrap w:val="0"/>
                  <w:tcMar>
                    <w:left w:w="0" w:type="dxa"/>
                    <w:right w:w="0" w:type="dxa"/>
                  </w:tcMar>
                  <w:vAlign w:val="center"/>
                </w:tcPr>
                <w:p w14:paraId="7B910278">
                  <w:pPr>
                    <w:jc w:val="center"/>
                    <w:rPr>
                      <w:rFonts w:hint="default" w:ascii="Times New Roman" w:hAnsi="Times New Roman" w:eastAsia="宋体" w:cs="Times New Roman"/>
                      <w:sz w:val="21"/>
                      <w:szCs w:val="21"/>
                    </w:rPr>
                  </w:pPr>
                </w:p>
              </w:tc>
              <w:tc>
                <w:tcPr>
                  <w:tcW w:w="653" w:type="dxa"/>
                  <w:vMerge w:val="continue"/>
                  <w:tcBorders>
                    <w:tl2br w:val="nil"/>
                    <w:tr2bl w:val="nil"/>
                  </w:tcBorders>
                  <w:noWrap w:val="0"/>
                  <w:tcMar>
                    <w:left w:w="0" w:type="dxa"/>
                    <w:right w:w="0" w:type="dxa"/>
                  </w:tcMar>
                  <w:vAlign w:val="center"/>
                </w:tcPr>
                <w:p w14:paraId="4267978F">
                  <w:pPr>
                    <w:jc w:val="center"/>
                    <w:rPr>
                      <w:rFonts w:hint="default" w:ascii="Times New Roman" w:hAnsi="Times New Roman" w:eastAsia="宋体" w:cs="Times New Roman"/>
                      <w:sz w:val="21"/>
                      <w:szCs w:val="21"/>
                    </w:rPr>
                  </w:pPr>
                </w:p>
              </w:tc>
              <w:tc>
                <w:tcPr>
                  <w:tcW w:w="1019" w:type="dxa"/>
                  <w:vMerge w:val="continue"/>
                  <w:tcBorders>
                    <w:tl2br w:val="nil"/>
                    <w:tr2bl w:val="nil"/>
                  </w:tcBorders>
                  <w:noWrap w:val="0"/>
                  <w:tcMar>
                    <w:left w:w="0" w:type="dxa"/>
                    <w:right w:w="0" w:type="dxa"/>
                  </w:tcMar>
                  <w:vAlign w:val="center"/>
                </w:tcPr>
                <w:p w14:paraId="50ADC37B">
                  <w:pPr>
                    <w:jc w:val="center"/>
                    <w:rPr>
                      <w:rFonts w:hint="default" w:ascii="Times New Roman" w:hAnsi="Times New Roman" w:eastAsia="宋体" w:cs="Times New Roman"/>
                      <w:sz w:val="21"/>
                      <w:szCs w:val="21"/>
                    </w:rPr>
                  </w:pPr>
                </w:p>
              </w:tc>
              <w:tc>
                <w:tcPr>
                  <w:tcW w:w="1072" w:type="dxa"/>
                  <w:tcBorders>
                    <w:tl2br w:val="nil"/>
                    <w:tr2bl w:val="nil"/>
                  </w:tcBorders>
                  <w:noWrap w:val="0"/>
                  <w:tcMar>
                    <w:left w:w="0" w:type="dxa"/>
                    <w:right w:w="0" w:type="dxa"/>
                  </w:tcMar>
                  <w:vAlign w:val="center"/>
                </w:tcPr>
                <w:p w14:paraId="5428BC41">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SS</w:t>
                  </w:r>
                </w:p>
              </w:tc>
              <w:tc>
                <w:tcPr>
                  <w:tcW w:w="1206" w:type="dxa"/>
                  <w:tcBorders>
                    <w:tl2br w:val="nil"/>
                    <w:tr2bl w:val="nil"/>
                  </w:tcBorders>
                  <w:noWrap w:val="0"/>
                  <w:tcMar>
                    <w:left w:w="0" w:type="dxa"/>
                    <w:right w:w="0" w:type="dxa"/>
                  </w:tcMar>
                  <w:vAlign w:val="center"/>
                </w:tcPr>
                <w:p w14:paraId="65DD66AF">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b w:val="0"/>
                      <w:bCs w:val="0"/>
                      <w:color w:val="000000"/>
                      <w:kern w:val="0"/>
                      <w:sz w:val="21"/>
                      <w:szCs w:val="21"/>
                      <w:highlight w:val="none"/>
                      <w:lang w:val="en-US" w:eastAsia="zh-CN" w:bidi="ar"/>
                    </w:rPr>
                  </w:pPr>
                  <w:r>
                    <w:rPr>
                      <w:rFonts w:hint="eastAsia" w:ascii="Times New Roman" w:hAnsi="Times New Roman" w:eastAsia="宋体" w:cs="Times New Roman"/>
                      <w:b w:val="0"/>
                      <w:bCs w:val="0"/>
                      <w:color w:val="000000"/>
                      <w:kern w:val="0"/>
                      <w:sz w:val="21"/>
                      <w:szCs w:val="21"/>
                      <w:highlight w:val="none"/>
                      <w:lang w:val="en-US" w:eastAsia="zh-CN" w:bidi="ar"/>
                    </w:rPr>
                    <w:t>200</w:t>
                  </w:r>
                </w:p>
              </w:tc>
              <w:tc>
                <w:tcPr>
                  <w:tcW w:w="1156" w:type="dxa"/>
                  <w:tcBorders>
                    <w:tl2br w:val="nil"/>
                    <w:tr2bl w:val="nil"/>
                  </w:tcBorders>
                  <w:noWrap w:val="0"/>
                  <w:tcMar>
                    <w:left w:w="0" w:type="dxa"/>
                    <w:right w:w="0" w:type="dxa"/>
                  </w:tcMar>
                  <w:vAlign w:val="center"/>
                </w:tcPr>
                <w:p w14:paraId="7518FB2A">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0.46</w:t>
                  </w:r>
                </w:p>
              </w:tc>
              <w:tc>
                <w:tcPr>
                  <w:tcW w:w="1157" w:type="dxa"/>
                  <w:tcBorders>
                    <w:tl2br w:val="nil"/>
                    <w:tr2bl w:val="nil"/>
                  </w:tcBorders>
                  <w:noWrap w:val="0"/>
                  <w:tcMar>
                    <w:left w:w="0" w:type="dxa"/>
                    <w:right w:w="0" w:type="dxa"/>
                  </w:tcMar>
                  <w:vAlign w:val="center"/>
                </w:tcPr>
                <w:p w14:paraId="6B2243C3">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b w:val="0"/>
                      <w:bCs w:val="0"/>
                      <w:color w:val="auto"/>
                      <w:kern w:val="0"/>
                      <w:sz w:val="21"/>
                      <w:szCs w:val="21"/>
                      <w:highlight w:val="none"/>
                      <w:lang w:val="en-US" w:eastAsia="zh-CN" w:bidi="ar"/>
                    </w:rPr>
                  </w:pPr>
                  <w:r>
                    <w:rPr>
                      <w:rFonts w:hint="eastAsia" w:cs="Times New Roman"/>
                      <w:b w:val="0"/>
                      <w:bCs w:val="0"/>
                      <w:color w:val="auto"/>
                      <w:kern w:val="0"/>
                      <w:sz w:val="21"/>
                      <w:szCs w:val="21"/>
                      <w:highlight w:val="none"/>
                      <w:lang w:val="en-US" w:eastAsia="zh-CN" w:bidi="ar"/>
                    </w:rPr>
                    <w:t>300</w:t>
                  </w:r>
                </w:p>
              </w:tc>
              <w:tc>
                <w:tcPr>
                  <w:tcW w:w="902" w:type="dxa"/>
                  <w:tcBorders>
                    <w:tl2br w:val="nil"/>
                    <w:tr2bl w:val="nil"/>
                  </w:tcBorders>
                  <w:noWrap w:val="0"/>
                  <w:tcMar>
                    <w:left w:w="0" w:type="dxa"/>
                    <w:right w:w="0" w:type="dxa"/>
                  </w:tcMar>
                  <w:vAlign w:val="center"/>
                </w:tcPr>
                <w:p w14:paraId="15B600EE">
                  <w:pPr>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eastAsia="zh-CN"/>
                    </w:rPr>
                    <w:t>达标</w:t>
                  </w:r>
                </w:p>
              </w:tc>
            </w:tr>
            <w:tr w14:paraId="11DFAE7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63" w:hRule="atLeast"/>
                <w:jc w:val="center"/>
              </w:trPr>
              <w:tc>
                <w:tcPr>
                  <w:tcW w:w="794" w:type="dxa"/>
                  <w:vMerge w:val="continue"/>
                  <w:tcBorders>
                    <w:tl2br w:val="nil"/>
                    <w:tr2bl w:val="nil"/>
                  </w:tcBorders>
                  <w:noWrap w:val="0"/>
                  <w:tcMar>
                    <w:left w:w="0" w:type="dxa"/>
                    <w:right w:w="0" w:type="dxa"/>
                  </w:tcMar>
                  <w:vAlign w:val="center"/>
                </w:tcPr>
                <w:p w14:paraId="2DAB9A0C">
                  <w:pPr>
                    <w:jc w:val="center"/>
                    <w:rPr>
                      <w:rFonts w:hint="default" w:ascii="Times New Roman" w:hAnsi="Times New Roman" w:eastAsia="宋体" w:cs="Times New Roman"/>
                      <w:sz w:val="21"/>
                      <w:szCs w:val="21"/>
                    </w:rPr>
                  </w:pPr>
                </w:p>
              </w:tc>
              <w:tc>
                <w:tcPr>
                  <w:tcW w:w="653" w:type="dxa"/>
                  <w:vMerge w:val="continue"/>
                  <w:tcBorders>
                    <w:tl2br w:val="nil"/>
                    <w:tr2bl w:val="nil"/>
                  </w:tcBorders>
                  <w:noWrap w:val="0"/>
                  <w:tcMar>
                    <w:left w:w="0" w:type="dxa"/>
                    <w:right w:w="0" w:type="dxa"/>
                  </w:tcMar>
                  <w:vAlign w:val="center"/>
                </w:tcPr>
                <w:p w14:paraId="6CC50EDF">
                  <w:pPr>
                    <w:jc w:val="center"/>
                    <w:rPr>
                      <w:rFonts w:hint="default" w:ascii="Times New Roman" w:hAnsi="Times New Roman" w:eastAsia="宋体" w:cs="Times New Roman"/>
                      <w:sz w:val="21"/>
                      <w:szCs w:val="21"/>
                    </w:rPr>
                  </w:pPr>
                </w:p>
              </w:tc>
              <w:tc>
                <w:tcPr>
                  <w:tcW w:w="1019" w:type="dxa"/>
                  <w:vMerge w:val="continue"/>
                  <w:tcBorders>
                    <w:tl2br w:val="nil"/>
                    <w:tr2bl w:val="nil"/>
                  </w:tcBorders>
                  <w:noWrap w:val="0"/>
                  <w:tcMar>
                    <w:left w:w="0" w:type="dxa"/>
                    <w:right w:w="0" w:type="dxa"/>
                  </w:tcMar>
                  <w:vAlign w:val="center"/>
                </w:tcPr>
                <w:p w14:paraId="6DD5DAE7">
                  <w:pPr>
                    <w:jc w:val="center"/>
                    <w:rPr>
                      <w:rFonts w:hint="default" w:ascii="Times New Roman" w:hAnsi="Times New Roman" w:eastAsia="宋体" w:cs="Times New Roman"/>
                      <w:sz w:val="21"/>
                      <w:szCs w:val="21"/>
                    </w:rPr>
                  </w:pPr>
                </w:p>
              </w:tc>
              <w:tc>
                <w:tcPr>
                  <w:tcW w:w="1072" w:type="dxa"/>
                  <w:tcBorders>
                    <w:tl2br w:val="nil"/>
                    <w:tr2bl w:val="nil"/>
                  </w:tcBorders>
                  <w:noWrap w:val="0"/>
                  <w:tcMar>
                    <w:left w:w="0" w:type="dxa"/>
                    <w:right w:w="0" w:type="dxa"/>
                  </w:tcMar>
                  <w:vAlign w:val="center"/>
                </w:tcPr>
                <w:p w14:paraId="36600424">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氨氮</w:t>
                  </w:r>
                </w:p>
              </w:tc>
              <w:tc>
                <w:tcPr>
                  <w:tcW w:w="1206" w:type="dxa"/>
                  <w:tcBorders>
                    <w:tl2br w:val="nil"/>
                    <w:tr2bl w:val="nil"/>
                  </w:tcBorders>
                  <w:noWrap w:val="0"/>
                  <w:tcMar>
                    <w:left w:w="0" w:type="dxa"/>
                    <w:right w:w="0" w:type="dxa"/>
                  </w:tcMar>
                  <w:vAlign w:val="center"/>
                </w:tcPr>
                <w:p w14:paraId="3E6135DA">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b w:val="0"/>
                      <w:bCs w:val="0"/>
                      <w:color w:val="000000"/>
                      <w:kern w:val="0"/>
                      <w:sz w:val="21"/>
                      <w:szCs w:val="21"/>
                      <w:highlight w:val="none"/>
                      <w:lang w:val="en-US" w:eastAsia="zh-CN" w:bidi="ar"/>
                    </w:rPr>
                  </w:pPr>
                  <w:r>
                    <w:rPr>
                      <w:rFonts w:hint="eastAsia" w:ascii="Times New Roman" w:hAnsi="Times New Roman" w:eastAsia="宋体" w:cs="Times New Roman"/>
                      <w:b w:val="0"/>
                      <w:bCs w:val="0"/>
                      <w:color w:val="000000"/>
                      <w:kern w:val="0"/>
                      <w:sz w:val="21"/>
                      <w:szCs w:val="21"/>
                      <w:highlight w:val="none"/>
                      <w:lang w:val="en-US" w:eastAsia="zh-CN" w:bidi="ar"/>
                    </w:rPr>
                    <w:t>20</w:t>
                  </w:r>
                </w:p>
              </w:tc>
              <w:tc>
                <w:tcPr>
                  <w:tcW w:w="1156" w:type="dxa"/>
                  <w:tcBorders>
                    <w:tl2br w:val="nil"/>
                    <w:tr2bl w:val="nil"/>
                  </w:tcBorders>
                  <w:noWrap w:val="0"/>
                  <w:tcMar>
                    <w:left w:w="0" w:type="dxa"/>
                    <w:right w:w="0" w:type="dxa"/>
                  </w:tcMar>
                  <w:vAlign w:val="center"/>
                </w:tcPr>
                <w:p w14:paraId="7E5F996C">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b w:val="0"/>
                      <w:bCs w:val="0"/>
                      <w:color w:val="auto"/>
                      <w:kern w:val="0"/>
                      <w:sz w:val="21"/>
                      <w:szCs w:val="21"/>
                      <w:highlight w:val="none"/>
                      <w:lang w:val="en-US" w:eastAsia="zh-CN" w:bidi="ar"/>
                    </w:rPr>
                  </w:pPr>
                  <w:r>
                    <w:rPr>
                      <w:rFonts w:hint="eastAsia" w:ascii="Times New Roman" w:hAnsi="Times New Roman" w:eastAsia="宋体" w:cs="Times New Roman"/>
                      <w:b w:val="0"/>
                      <w:bCs w:val="0"/>
                      <w:color w:val="auto"/>
                      <w:kern w:val="0"/>
                      <w:sz w:val="21"/>
                      <w:szCs w:val="21"/>
                      <w:highlight w:val="none"/>
                      <w:lang w:val="en-US" w:eastAsia="zh-CN" w:bidi="ar"/>
                    </w:rPr>
                    <w:t>0.046</w:t>
                  </w:r>
                </w:p>
              </w:tc>
              <w:tc>
                <w:tcPr>
                  <w:tcW w:w="1157" w:type="dxa"/>
                  <w:tcBorders>
                    <w:tl2br w:val="nil"/>
                    <w:tr2bl w:val="nil"/>
                  </w:tcBorders>
                  <w:noWrap w:val="0"/>
                  <w:tcMar>
                    <w:left w:w="0" w:type="dxa"/>
                    <w:right w:w="0" w:type="dxa"/>
                  </w:tcMar>
                  <w:vAlign w:val="center"/>
                </w:tcPr>
                <w:p w14:paraId="7155F9FC">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val="0"/>
                      <w:color w:val="auto"/>
                      <w:kern w:val="0"/>
                      <w:sz w:val="21"/>
                      <w:szCs w:val="21"/>
                      <w:highlight w:val="none"/>
                      <w:lang w:val="en-US" w:eastAsia="zh-CN" w:bidi="ar"/>
                    </w:rPr>
                  </w:pPr>
                  <w:r>
                    <w:rPr>
                      <w:rFonts w:hint="eastAsia" w:cs="Times New Roman"/>
                      <w:b w:val="0"/>
                      <w:bCs w:val="0"/>
                      <w:color w:val="auto"/>
                      <w:kern w:val="0"/>
                      <w:sz w:val="21"/>
                      <w:szCs w:val="21"/>
                      <w:highlight w:val="none"/>
                      <w:lang w:val="en-US" w:eastAsia="zh-CN" w:bidi="ar"/>
                    </w:rPr>
                    <w:t>35</w:t>
                  </w:r>
                </w:p>
              </w:tc>
              <w:tc>
                <w:tcPr>
                  <w:tcW w:w="902" w:type="dxa"/>
                  <w:tcBorders>
                    <w:tl2br w:val="nil"/>
                    <w:tr2bl w:val="nil"/>
                  </w:tcBorders>
                  <w:noWrap w:val="0"/>
                  <w:tcMar>
                    <w:left w:w="0" w:type="dxa"/>
                    <w:right w:w="0" w:type="dxa"/>
                  </w:tcMar>
                  <w:vAlign w:val="center"/>
                </w:tcPr>
                <w:p w14:paraId="299552AB">
                  <w:pPr>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eastAsia="zh-CN"/>
                    </w:rPr>
                    <w:t>达标</w:t>
                  </w:r>
                </w:p>
              </w:tc>
            </w:tr>
            <w:tr w14:paraId="50AE010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63" w:hRule="atLeast"/>
                <w:jc w:val="center"/>
              </w:trPr>
              <w:tc>
                <w:tcPr>
                  <w:tcW w:w="794" w:type="dxa"/>
                  <w:vMerge w:val="continue"/>
                  <w:tcBorders>
                    <w:tl2br w:val="nil"/>
                    <w:tr2bl w:val="nil"/>
                  </w:tcBorders>
                  <w:noWrap w:val="0"/>
                  <w:tcMar>
                    <w:left w:w="0" w:type="dxa"/>
                    <w:right w:w="0" w:type="dxa"/>
                  </w:tcMar>
                  <w:vAlign w:val="center"/>
                </w:tcPr>
                <w:p w14:paraId="50D30033">
                  <w:pPr>
                    <w:jc w:val="center"/>
                    <w:rPr>
                      <w:rFonts w:hint="default" w:ascii="Times New Roman" w:hAnsi="Times New Roman" w:eastAsia="宋体" w:cs="Times New Roman"/>
                      <w:sz w:val="21"/>
                      <w:szCs w:val="21"/>
                    </w:rPr>
                  </w:pPr>
                </w:p>
              </w:tc>
              <w:tc>
                <w:tcPr>
                  <w:tcW w:w="653" w:type="dxa"/>
                  <w:vMerge w:val="continue"/>
                  <w:tcBorders>
                    <w:tl2br w:val="nil"/>
                    <w:tr2bl w:val="nil"/>
                  </w:tcBorders>
                  <w:noWrap w:val="0"/>
                  <w:tcMar>
                    <w:left w:w="0" w:type="dxa"/>
                    <w:right w:w="0" w:type="dxa"/>
                  </w:tcMar>
                  <w:vAlign w:val="center"/>
                </w:tcPr>
                <w:p w14:paraId="38D58655">
                  <w:pPr>
                    <w:jc w:val="center"/>
                    <w:rPr>
                      <w:rFonts w:hint="default" w:ascii="Times New Roman" w:hAnsi="Times New Roman" w:eastAsia="宋体" w:cs="Times New Roman"/>
                      <w:sz w:val="21"/>
                      <w:szCs w:val="21"/>
                    </w:rPr>
                  </w:pPr>
                </w:p>
              </w:tc>
              <w:tc>
                <w:tcPr>
                  <w:tcW w:w="1019" w:type="dxa"/>
                  <w:vMerge w:val="continue"/>
                  <w:tcBorders>
                    <w:tl2br w:val="nil"/>
                    <w:tr2bl w:val="nil"/>
                  </w:tcBorders>
                  <w:noWrap w:val="0"/>
                  <w:tcMar>
                    <w:left w:w="0" w:type="dxa"/>
                    <w:right w:w="0" w:type="dxa"/>
                  </w:tcMar>
                  <w:vAlign w:val="center"/>
                </w:tcPr>
                <w:p w14:paraId="74EFB038">
                  <w:pPr>
                    <w:jc w:val="center"/>
                    <w:rPr>
                      <w:rFonts w:hint="default" w:ascii="Times New Roman" w:hAnsi="Times New Roman" w:eastAsia="宋体" w:cs="Times New Roman"/>
                      <w:sz w:val="21"/>
                      <w:szCs w:val="21"/>
                    </w:rPr>
                  </w:pPr>
                </w:p>
              </w:tc>
              <w:tc>
                <w:tcPr>
                  <w:tcW w:w="1072" w:type="dxa"/>
                  <w:tcBorders>
                    <w:tl2br w:val="nil"/>
                    <w:tr2bl w:val="nil"/>
                  </w:tcBorders>
                  <w:noWrap w:val="0"/>
                  <w:tcMar>
                    <w:left w:w="0" w:type="dxa"/>
                    <w:right w:w="0" w:type="dxa"/>
                  </w:tcMar>
                  <w:vAlign w:val="center"/>
                </w:tcPr>
                <w:p w14:paraId="2B780AA3">
                  <w:pPr>
                    <w:jc w:val="center"/>
                    <w:rPr>
                      <w:rFonts w:hint="eastAsia" w:ascii="Times New Roman" w:hAnsi="Times New Roman" w:eastAsia="宋体" w:cs="Times New Roman"/>
                      <w:sz w:val="21"/>
                      <w:szCs w:val="21"/>
                      <w:lang w:eastAsia="zh-CN"/>
                    </w:rPr>
                  </w:pPr>
                  <w:r>
                    <w:rPr>
                      <w:rFonts w:hint="eastAsia" w:cs="Times New Roman"/>
                      <w:sz w:val="21"/>
                      <w:szCs w:val="21"/>
                      <w:lang w:eastAsia="zh-CN"/>
                    </w:rPr>
                    <w:t>动植物油</w:t>
                  </w:r>
                </w:p>
              </w:tc>
              <w:tc>
                <w:tcPr>
                  <w:tcW w:w="1206" w:type="dxa"/>
                  <w:tcBorders>
                    <w:tl2br w:val="nil"/>
                    <w:tr2bl w:val="nil"/>
                  </w:tcBorders>
                  <w:noWrap w:val="0"/>
                  <w:tcMar>
                    <w:left w:w="0" w:type="dxa"/>
                    <w:right w:w="0" w:type="dxa"/>
                  </w:tcMar>
                  <w:vAlign w:val="center"/>
                </w:tcPr>
                <w:p w14:paraId="0C9B2DB9">
                  <w:pPr>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10</w:t>
                  </w:r>
                </w:p>
              </w:tc>
              <w:tc>
                <w:tcPr>
                  <w:tcW w:w="1156" w:type="dxa"/>
                  <w:tcBorders>
                    <w:tl2br w:val="nil"/>
                    <w:tr2bl w:val="nil"/>
                  </w:tcBorders>
                  <w:noWrap w:val="0"/>
                  <w:tcMar>
                    <w:left w:w="0" w:type="dxa"/>
                    <w:right w:w="0" w:type="dxa"/>
                  </w:tcMar>
                  <w:vAlign w:val="center"/>
                </w:tcPr>
                <w:p w14:paraId="3F62E2F6">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rPr>
                      <w:rFonts w:hint="eastAsia" w:ascii="Times New Roman" w:hAnsi="Times New Roman" w:eastAsia="宋体" w:cs="Times New Roman"/>
                      <w:b w:val="0"/>
                      <w:bCs w:val="0"/>
                      <w:color w:val="auto"/>
                      <w:kern w:val="0"/>
                      <w:sz w:val="21"/>
                      <w:szCs w:val="21"/>
                      <w:highlight w:val="none"/>
                      <w:lang w:val="en-US" w:eastAsia="zh-CN" w:bidi="ar"/>
                    </w:rPr>
                  </w:pPr>
                  <w:r>
                    <w:rPr>
                      <w:rFonts w:hint="default" w:ascii="Times New Roman" w:hAnsi="Times New Roman" w:eastAsia="宋体" w:cs="Times New Roman"/>
                      <w:b w:val="0"/>
                      <w:bCs w:val="0"/>
                      <w:color w:val="auto"/>
                      <w:kern w:val="0"/>
                      <w:sz w:val="21"/>
                      <w:szCs w:val="21"/>
                      <w:highlight w:val="none"/>
                      <w:lang w:val="en-US" w:eastAsia="zh-CN" w:bidi="ar"/>
                    </w:rPr>
                    <w:t>0.02</w:t>
                  </w:r>
                  <w:r>
                    <w:rPr>
                      <w:rFonts w:hint="eastAsia" w:ascii="Times New Roman" w:hAnsi="Times New Roman" w:eastAsia="宋体" w:cs="Times New Roman"/>
                      <w:b w:val="0"/>
                      <w:bCs w:val="0"/>
                      <w:color w:val="auto"/>
                      <w:kern w:val="0"/>
                      <w:sz w:val="21"/>
                      <w:szCs w:val="21"/>
                      <w:highlight w:val="none"/>
                      <w:lang w:val="en-US" w:eastAsia="zh-CN" w:bidi="ar"/>
                    </w:rPr>
                    <w:t>3</w:t>
                  </w:r>
                </w:p>
              </w:tc>
              <w:tc>
                <w:tcPr>
                  <w:tcW w:w="1157" w:type="dxa"/>
                  <w:tcBorders>
                    <w:tl2br w:val="nil"/>
                    <w:tr2bl w:val="nil"/>
                  </w:tcBorders>
                  <w:noWrap w:val="0"/>
                  <w:tcMar>
                    <w:left w:w="0" w:type="dxa"/>
                    <w:right w:w="0" w:type="dxa"/>
                  </w:tcMar>
                  <w:vAlign w:val="center"/>
                </w:tcPr>
                <w:p w14:paraId="4CF7F764">
                  <w:pPr>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color w:val="auto"/>
                      <w:kern w:val="2"/>
                      <w:sz w:val="21"/>
                      <w:szCs w:val="21"/>
                      <w:lang w:val="en-US" w:eastAsia="zh-CN" w:bidi="ar-SA"/>
                    </w:rPr>
                  </w:pPr>
                  <w:r>
                    <w:rPr>
                      <w:rFonts w:hint="eastAsia"/>
                      <w:color w:val="auto"/>
                      <w:sz w:val="21"/>
                      <w:szCs w:val="21"/>
                    </w:rPr>
                    <w:t>100</w:t>
                  </w:r>
                </w:p>
              </w:tc>
              <w:tc>
                <w:tcPr>
                  <w:tcW w:w="902" w:type="dxa"/>
                  <w:tcBorders>
                    <w:tl2br w:val="nil"/>
                    <w:tr2bl w:val="nil"/>
                  </w:tcBorders>
                  <w:noWrap w:val="0"/>
                  <w:tcMar>
                    <w:left w:w="0" w:type="dxa"/>
                    <w:right w:w="0" w:type="dxa"/>
                  </w:tcMar>
                  <w:vAlign w:val="center"/>
                </w:tcPr>
                <w:p w14:paraId="797E3148">
                  <w:pPr>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eastAsia="zh-CN"/>
                    </w:rPr>
                    <w:t>达标</w:t>
                  </w:r>
                </w:p>
              </w:tc>
            </w:tr>
          </w:tbl>
          <w:p w14:paraId="41FEF1FE">
            <w:pPr>
              <w:keepNext w:val="0"/>
              <w:keepLines w:val="0"/>
              <w:pageBreakBefore w:val="0"/>
              <w:widowControl w:val="0"/>
              <w:kinsoku/>
              <w:wordWrap/>
              <w:overflowPunct/>
              <w:topLinePunct w:val="0"/>
              <w:autoSpaceDE/>
              <w:autoSpaceDN/>
              <w:bidi w:val="0"/>
              <w:adjustRightInd/>
              <w:snapToGrid w:val="0"/>
              <w:spacing w:line="480" w:lineRule="exact"/>
              <w:ind w:left="0" w:right="0" w:firstLine="480" w:firstLineChars="200"/>
              <w:jc w:val="both"/>
              <w:textAlignment w:val="auto"/>
              <w:rPr>
                <w:color w:val="auto"/>
              </w:rPr>
            </w:pPr>
            <w:r>
              <w:rPr>
                <w:rFonts w:hint="eastAsia" w:ascii="Times New Roman" w:hAnsi="Times New Roman" w:eastAsia="宋体" w:cs="Times New Roman"/>
                <w:color w:val="auto"/>
                <w:kern w:val="2"/>
                <w:sz w:val="24"/>
                <w:szCs w:val="24"/>
                <w:highlight w:val="none"/>
                <w:lang w:val="en-US" w:eastAsia="zh-CN" w:bidi="ar-SA"/>
              </w:rPr>
              <w:t>综上所述，采取相应的污染防治措施后，全厂无废水外排，项目对当地地表水环境的影响较小。</w:t>
            </w:r>
          </w:p>
          <w:p w14:paraId="7F053C07">
            <w:pPr>
              <w:pStyle w:val="72"/>
              <w:keepNext w:val="0"/>
              <w:keepLines w:val="0"/>
              <w:pageBreakBefore w:val="0"/>
              <w:widowControl w:val="0"/>
              <w:kinsoku/>
              <w:wordWrap/>
              <w:overflowPunct/>
              <w:topLinePunct w:val="0"/>
              <w:autoSpaceDE/>
              <w:autoSpaceDN/>
              <w:bidi w:val="0"/>
              <w:adjustRightInd w:val="0"/>
              <w:snapToGrid w:val="0"/>
              <w:spacing w:line="500" w:lineRule="exact"/>
              <w:ind w:left="0" w:leftChars="0" w:firstLine="0" w:firstLineChars="0"/>
              <w:jc w:val="left"/>
              <w:textAlignment w:val="auto"/>
              <w:rPr>
                <w:color w:val="auto"/>
                <w:sz w:val="24"/>
                <w:szCs w:val="24"/>
                <w:highlight w:val="none"/>
              </w:rPr>
            </w:pPr>
            <w:r>
              <w:rPr>
                <w:rFonts w:hint="default" w:ascii="Times New Roman" w:hAnsi="Times New Roman" w:eastAsia="宋体" w:cs="Times New Roman"/>
                <w:b/>
                <w:bCs/>
                <w:color w:val="auto"/>
                <w:kern w:val="0"/>
                <w:sz w:val="24"/>
                <w:szCs w:val="24"/>
                <w:highlight w:val="none"/>
                <w:lang w:val="en-US" w:eastAsia="zh-CN" w:bidi="ar"/>
              </w:rPr>
              <w:t>2.</w:t>
            </w:r>
            <w:r>
              <w:rPr>
                <w:rFonts w:hint="eastAsia" w:ascii="Times New Roman" w:hAnsi="Times New Roman" w:eastAsia="宋体" w:cs="Times New Roman"/>
                <w:b/>
                <w:bCs/>
                <w:color w:val="auto"/>
                <w:kern w:val="0"/>
                <w:sz w:val="24"/>
                <w:szCs w:val="24"/>
                <w:highlight w:val="none"/>
                <w:lang w:val="en-US" w:eastAsia="zh-CN" w:bidi="ar"/>
              </w:rPr>
              <w:t>2</w:t>
            </w:r>
            <w:r>
              <w:rPr>
                <w:rFonts w:hint="default" w:ascii="Times New Roman" w:hAnsi="Times New Roman" w:eastAsia="宋体" w:cs="Times New Roman"/>
                <w:b/>
                <w:bCs/>
                <w:color w:val="auto"/>
                <w:kern w:val="0"/>
                <w:sz w:val="24"/>
                <w:szCs w:val="24"/>
                <w:highlight w:val="none"/>
                <w:lang w:val="en-US" w:eastAsia="zh-CN" w:bidi="ar"/>
              </w:rPr>
              <w:t xml:space="preserve"> </w:t>
            </w:r>
            <w:r>
              <w:rPr>
                <w:rFonts w:hint="eastAsia" w:ascii="Times New Roman" w:hAnsi="Times New Roman" w:eastAsia="宋体" w:cs="Times New Roman"/>
                <w:b/>
                <w:bCs/>
                <w:color w:val="auto"/>
                <w:kern w:val="0"/>
                <w:sz w:val="24"/>
                <w:szCs w:val="24"/>
                <w:highlight w:val="none"/>
                <w:lang w:val="en-US" w:eastAsia="zh-CN" w:bidi="ar"/>
              </w:rPr>
              <w:t xml:space="preserve"> 排入园区污水管网可行性分析</w:t>
            </w:r>
          </w:p>
          <w:p w14:paraId="58569353">
            <w:pPr>
              <w:keepNext w:val="0"/>
              <w:keepLines w:val="0"/>
              <w:pageBreakBefore w:val="0"/>
              <w:widowControl w:val="0"/>
              <w:kinsoku/>
              <w:wordWrap/>
              <w:overflowPunct/>
              <w:topLinePunct w:val="0"/>
              <w:autoSpaceDE/>
              <w:autoSpaceDN/>
              <w:bidi w:val="0"/>
              <w:adjustRightInd/>
              <w:snapToGrid w:val="0"/>
              <w:spacing w:line="480" w:lineRule="exact"/>
              <w:ind w:left="0" w:right="0" w:firstLine="480" w:firstLineChars="200"/>
              <w:jc w:val="both"/>
              <w:textAlignment w:val="auto"/>
              <w:rPr>
                <w:rFonts w:hint="default" w:ascii="Times New Roman" w:hAnsi="Times New Roman" w:eastAsia="宋体" w:cs="Times New Roman"/>
                <w:color w:val="auto"/>
                <w:kern w:val="2"/>
                <w:sz w:val="24"/>
                <w:szCs w:val="24"/>
                <w:highlight w:val="none"/>
                <w:lang w:val="en-US" w:eastAsia="zh-CN" w:bidi="ar-SA"/>
              </w:rPr>
            </w:pPr>
            <w:r>
              <w:rPr>
                <w:rFonts w:hint="default" w:ascii="Times New Roman" w:hAnsi="Times New Roman" w:eastAsia="宋体" w:cs="Times New Roman"/>
                <w:color w:val="auto"/>
                <w:kern w:val="2"/>
                <w:sz w:val="24"/>
                <w:szCs w:val="24"/>
                <w:highlight w:val="none"/>
                <w:lang w:val="en-US" w:eastAsia="zh-CN" w:bidi="ar-SA"/>
              </w:rPr>
              <w:t>目前曹妃甸工</w:t>
            </w:r>
            <w:r>
              <w:rPr>
                <w:rFonts w:hint="eastAsia" w:ascii="Times New Roman" w:hAnsi="Times New Roman" w:eastAsia="宋体" w:cs="Times New Roman"/>
                <w:color w:val="auto"/>
                <w:kern w:val="2"/>
                <w:sz w:val="24"/>
                <w:szCs w:val="24"/>
                <w:highlight w:val="none"/>
                <w:lang w:val="en-US" w:eastAsia="zh-CN" w:bidi="ar-SA"/>
              </w:rPr>
              <w:t>业</w:t>
            </w:r>
            <w:r>
              <w:rPr>
                <w:rFonts w:hint="default" w:ascii="Times New Roman" w:hAnsi="Times New Roman" w:eastAsia="宋体" w:cs="Times New Roman"/>
                <w:color w:val="auto"/>
                <w:kern w:val="2"/>
                <w:sz w:val="24"/>
                <w:szCs w:val="24"/>
                <w:highlight w:val="none"/>
                <w:lang w:val="en-US" w:eastAsia="zh-CN" w:bidi="ar-SA"/>
              </w:rPr>
              <w:t>区内有2座污水处理厂和1座污水处理站，即曹妃甸工业区起步区（北区）污水处理厂、曹妃甸工业区污水处理厂（南区）和曹妃甸工业区装备制造区污水处理站，在建1座污水处理厂，即石化基地污水处理厂。除园区污水处理厂外，重点涉水排污单位及各码头公司也配套建设了污水处理设施。</w:t>
            </w:r>
          </w:p>
          <w:p w14:paraId="7CF672E1">
            <w:pPr>
              <w:keepNext w:val="0"/>
              <w:keepLines w:val="0"/>
              <w:pageBreakBefore w:val="0"/>
              <w:widowControl w:val="0"/>
              <w:kinsoku/>
              <w:wordWrap/>
              <w:overflowPunct/>
              <w:topLinePunct w:val="0"/>
              <w:autoSpaceDE/>
              <w:autoSpaceDN/>
              <w:bidi w:val="0"/>
              <w:adjustRightInd/>
              <w:snapToGrid w:val="0"/>
              <w:spacing w:line="480" w:lineRule="exact"/>
              <w:ind w:left="0" w:right="0" w:firstLine="480" w:firstLineChars="200"/>
              <w:jc w:val="both"/>
              <w:textAlignment w:val="auto"/>
              <w:rPr>
                <w:rFonts w:hint="default" w:ascii="Times New Roman" w:hAnsi="Times New Roman" w:eastAsia="宋体" w:cs="Times New Roman"/>
                <w:color w:val="auto"/>
                <w:kern w:val="2"/>
                <w:sz w:val="24"/>
                <w:szCs w:val="24"/>
                <w:highlight w:val="none"/>
                <w:lang w:val="en-US" w:eastAsia="zh-CN" w:bidi="ar-SA"/>
              </w:rPr>
            </w:pPr>
            <w:r>
              <w:rPr>
                <w:rFonts w:hint="default" w:ascii="Times New Roman" w:hAnsi="Times New Roman" w:eastAsia="宋体" w:cs="Times New Roman"/>
                <w:color w:val="auto"/>
                <w:kern w:val="2"/>
                <w:sz w:val="24"/>
                <w:szCs w:val="24"/>
                <w:highlight w:val="none"/>
                <w:lang w:val="en-US" w:eastAsia="zh-CN" w:bidi="ar-SA"/>
              </w:rPr>
              <w:t>曹妃甸工业区起步区（北区）污水处理厂位于曹妃甸工业区新城北路北侧、唐曹高速西侧、北煤南运三通道铁路线东侧的三角地带。</w:t>
            </w:r>
            <w:r>
              <w:rPr>
                <w:rFonts w:hint="eastAsia" w:ascii="Times New Roman" w:hAnsi="Times New Roman" w:eastAsia="宋体" w:cs="Times New Roman"/>
                <w:color w:val="auto"/>
                <w:kern w:val="2"/>
                <w:sz w:val="24"/>
                <w:szCs w:val="24"/>
                <w:highlight w:val="none"/>
                <w:lang w:val="en-US" w:eastAsia="zh-CN" w:bidi="ar-SA"/>
              </w:rPr>
              <w:t>目前，</w:t>
            </w:r>
            <w:r>
              <w:rPr>
                <w:rFonts w:hint="default" w:ascii="Times New Roman" w:hAnsi="Times New Roman" w:eastAsia="宋体" w:cs="Times New Roman"/>
                <w:color w:val="auto"/>
                <w:kern w:val="2"/>
                <w:sz w:val="24"/>
                <w:szCs w:val="24"/>
                <w:highlight w:val="none"/>
                <w:lang w:val="en-US" w:eastAsia="zh-CN" w:bidi="ar-SA"/>
              </w:rPr>
              <w:t>4</w:t>
            </w:r>
            <w:r>
              <w:rPr>
                <w:rFonts w:hint="eastAsia" w:ascii="Times New Roman" w:hAnsi="Times New Roman" w:eastAsia="宋体" w:cs="Times New Roman"/>
                <w:color w:val="auto"/>
                <w:kern w:val="2"/>
                <w:sz w:val="24"/>
                <w:szCs w:val="24"/>
                <w:highlight w:val="none"/>
                <w:lang w:val="en-US" w:eastAsia="zh-CN" w:bidi="ar-SA"/>
              </w:rPr>
              <w:t>万吨</w:t>
            </w:r>
            <w:r>
              <w:rPr>
                <w:rFonts w:hint="default" w:ascii="Times New Roman" w:hAnsi="Times New Roman" w:eastAsia="宋体" w:cs="Times New Roman"/>
                <w:color w:val="auto"/>
                <w:kern w:val="2"/>
                <w:sz w:val="24"/>
                <w:szCs w:val="24"/>
                <w:highlight w:val="none"/>
                <w:lang w:val="en-US" w:eastAsia="zh-CN" w:bidi="ar-SA"/>
              </w:rPr>
              <w:t>/</w:t>
            </w:r>
            <w:r>
              <w:rPr>
                <w:rFonts w:hint="eastAsia" w:ascii="Times New Roman" w:hAnsi="Times New Roman" w:eastAsia="宋体" w:cs="Times New Roman"/>
                <w:color w:val="auto"/>
                <w:kern w:val="2"/>
                <w:sz w:val="24"/>
                <w:szCs w:val="24"/>
                <w:highlight w:val="none"/>
                <w:lang w:val="en-US" w:eastAsia="zh-CN" w:bidi="ar-SA"/>
              </w:rPr>
              <w:t>日污水处理厂已建成，</w:t>
            </w:r>
            <w:r>
              <w:rPr>
                <w:rFonts w:hint="default" w:ascii="Times New Roman" w:hAnsi="Times New Roman" w:eastAsia="宋体" w:cs="Times New Roman"/>
                <w:color w:val="auto"/>
                <w:kern w:val="2"/>
                <w:sz w:val="24"/>
                <w:szCs w:val="24"/>
                <w:highlight w:val="none"/>
                <w:lang w:val="en-US" w:eastAsia="zh-CN" w:bidi="ar-SA"/>
              </w:rPr>
              <w:t>处理后水质达到《城镇污水处理厂污染物排放标准》（GB18918-2002）中一级A标准和《城市污水再生利用景观环境用水水质》（GB/T18921-2002），用于河道景观补给用水。北区污水处理厂的最初规划纳污范围北至北环路，南至纳潮河，东至三港池和装备西河，西至高新大街。曹妃甸各园区污水处理设施调整项目实施后，污水厂纳污范围扩大至1号路以西、纳潮河以北的区域（包含临港商务区、新兴产业园区、中日产业园区、再生资源产业园区、二港池以西港口物流园区等）。</w:t>
            </w:r>
            <w:r>
              <w:rPr>
                <w:rFonts w:hint="eastAsia" w:ascii="Times New Roman" w:hAnsi="Times New Roman" w:eastAsia="宋体" w:cs="Times New Roman"/>
                <w:color w:val="auto"/>
                <w:kern w:val="2"/>
                <w:sz w:val="24"/>
                <w:szCs w:val="24"/>
                <w:highlight w:val="none"/>
                <w:lang w:val="en-US" w:eastAsia="zh-CN" w:bidi="ar-SA"/>
              </w:rPr>
              <w:t>本项目位于</w:t>
            </w:r>
            <w:r>
              <w:rPr>
                <w:rFonts w:hint="default" w:ascii="Times New Roman" w:hAnsi="Times New Roman" w:eastAsia="宋体" w:cs="Times New Roman"/>
                <w:color w:val="auto"/>
                <w:kern w:val="2"/>
                <w:sz w:val="24"/>
                <w:szCs w:val="24"/>
                <w:highlight w:val="none"/>
                <w:lang w:val="en-US" w:eastAsia="zh-CN" w:bidi="ar-SA"/>
              </w:rPr>
              <w:t>二港池以西港口物流园区</w:t>
            </w:r>
            <w:r>
              <w:rPr>
                <w:rFonts w:hint="eastAsia" w:ascii="Times New Roman" w:hAnsi="Times New Roman" w:eastAsia="宋体" w:cs="Times New Roman"/>
                <w:color w:val="auto"/>
                <w:kern w:val="2"/>
                <w:sz w:val="24"/>
                <w:szCs w:val="24"/>
                <w:highlight w:val="none"/>
                <w:lang w:val="en-US" w:eastAsia="zh-CN" w:bidi="ar-SA"/>
              </w:rPr>
              <w:t>，属于北区污水处理厂</w:t>
            </w:r>
            <w:r>
              <w:rPr>
                <w:rFonts w:hint="default" w:ascii="Times New Roman" w:hAnsi="Times New Roman" w:eastAsia="宋体" w:cs="Times New Roman"/>
                <w:color w:val="auto"/>
                <w:kern w:val="2"/>
                <w:sz w:val="24"/>
                <w:szCs w:val="24"/>
                <w:highlight w:val="none"/>
                <w:lang w:val="en-US" w:eastAsia="zh-CN" w:bidi="ar-SA"/>
              </w:rPr>
              <w:t>纳污范围</w:t>
            </w:r>
            <w:r>
              <w:rPr>
                <w:rFonts w:hint="eastAsia" w:ascii="Times New Roman" w:hAnsi="Times New Roman" w:eastAsia="宋体" w:cs="Times New Roman"/>
                <w:color w:val="auto"/>
                <w:kern w:val="2"/>
                <w:sz w:val="24"/>
                <w:szCs w:val="24"/>
                <w:highlight w:val="none"/>
                <w:lang w:val="en-US" w:eastAsia="zh-CN" w:bidi="ar-SA"/>
              </w:rPr>
              <w:t>。</w:t>
            </w:r>
          </w:p>
          <w:p w14:paraId="7A836F3C">
            <w:pPr>
              <w:keepNext w:val="0"/>
              <w:keepLines w:val="0"/>
              <w:pageBreakBefore w:val="0"/>
              <w:widowControl w:val="0"/>
              <w:kinsoku/>
              <w:wordWrap/>
              <w:overflowPunct/>
              <w:topLinePunct w:val="0"/>
              <w:autoSpaceDE/>
              <w:autoSpaceDN/>
              <w:bidi w:val="0"/>
              <w:adjustRightInd/>
              <w:snapToGrid w:val="0"/>
              <w:spacing w:line="480" w:lineRule="exact"/>
              <w:ind w:left="0" w:right="0" w:firstLine="480" w:firstLineChars="200"/>
              <w:jc w:val="both"/>
              <w:textAlignment w:val="auto"/>
              <w:rPr>
                <w:rFonts w:hint="default" w:ascii="Times New Roman" w:hAnsi="Times New Roman" w:eastAsia="宋体" w:cs="Times New Roman"/>
                <w:color w:val="auto"/>
                <w:kern w:val="2"/>
                <w:sz w:val="24"/>
                <w:szCs w:val="24"/>
                <w:highlight w:val="none"/>
                <w:lang w:val="en-US" w:eastAsia="zh-CN" w:bidi="ar-SA"/>
              </w:rPr>
            </w:pPr>
            <w:r>
              <w:rPr>
                <w:rFonts w:hint="eastAsia" w:ascii="Times New Roman" w:hAnsi="Times New Roman" w:eastAsia="宋体" w:cs="Times New Roman"/>
                <w:color w:val="auto"/>
                <w:kern w:val="2"/>
                <w:sz w:val="24"/>
                <w:szCs w:val="24"/>
                <w:highlight w:val="none"/>
                <w:lang w:val="en-US" w:eastAsia="zh-CN" w:bidi="ar-SA"/>
              </w:rPr>
              <w:t>由于进水量小，北区污水处理厂建成未运行，在厂内建设</w:t>
            </w:r>
            <w:r>
              <w:rPr>
                <w:rFonts w:hint="default" w:ascii="Times New Roman" w:hAnsi="Times New Roman" w:eastAsia="宋体" w:cs="Times New Roman"/>
                <w:color w:val="auto"/>
                <w:kern w:val="2"/>
                <w:sz w:val="24"/>
                <w:szCs w:val="24"/>
                <w:highlight w:val="none"/>
                <w:lang w:val="en-US" w:eastAsia="zh-CN" w:bidi="ar-SA"/>
              </w:rPr>
              <w:t>3000</w:t>
            </w:r>
            <w:r>
              <w:rPr>
                <w:rFonts w:hint="eastAsia" w:ascii="Times New Roman" w:hAnsi="Times New Roman" w:eastAsia="宋体" w:cs="Times New Roman"/>
                <w:color w:val="auto"/>
                <w:kern w:val="2"/>
                <w:sz w:val="24"/>
                <w:szCs w:val="24"/>
                <w:highlight w:val="none"/>
                <w:lang w:val="en-US" w:eastAsia="zh-CN" w:bidi="ar-SA"/>
              </w:rPr>
              <w:t>吨</w:t>
            </w:r>
            <w:r>
              <w:rPr>
                <w:rFonts w:hint="default" w:ascii="Times New Roman" w:hAnsi="Times New Roman" w:eastAsia="宋体" w:cs="Times New Roman"/>
                <w:color w:val="auto"/>
                <w:kern w:val="2"/>
                <w:sz w:val="24"/>
                <w:szCs w:val="24"/>
                <w:highlight w:val="none"/>
                <w:lang w:val="en-US" w:eastAsia="zh-CN" w:bidi="ar-SA"/>
              </w:rPr>
              <w:t>/</w:t>
            </w:r>
            <w:r>
              <w:rPr>
                <w:rFonts w:hint="eastAsia" w:ascii="Times New Roman" w:hAnsi="Times New Roman" w:eastAsia="宋体" w:cs="Times New Roman"/>
                <w:color w:val="auto"/>
                <w:kern w:val="2"/>
                <w:sz w:val="24"/>
                <w:szCs w:val="24"/>
                <w:highlight w:val="none"/>
                <w:lang w:val="en-US" w:eastAsia="zh-CN" w:bidi="ar-SA"/>
              </w:rPr>
              <w:t>日污水处理站。北区污水处理厂已于</w:t>
            </w:r>
            <w:r>
              <w:rPr>
                <w:rFonts w:hint="default" w:ascii="Times New Roman" w:hAnsi="Times New Roman" w:eastAsia="宋体" w:cs="Times New Roman"/>
                <w:color w:val="auto"/>
                <w:kern w:val="2"/>
                <w:sz w:val="24"/>
                <w:szCs w:val="24"/>
                <w:highlight w:val="none"/>
                <w:lang w:val="en-US" w:eastAsia="zh-CN" w:bidi="ar-SA"/>
              </w:rPr>
              <w:t>2015</w:t>
            </w:r>
            <w:r>
              <w:rPr>
                <w:rFonts w:hint="eastAsia" w:ascii="Times New Roman" w:hAnsi="Times New Roman" w:eastAsia="宋体" w:cs="Times New Roman"/>
                <w:color w:val="auto"/>
                <w:kern w:val="2"/>
                <w:sz w:val="24"/>
                <w:szCs w:val="24"/>
                <w:highlight w:val="none"/>
                <w:lang w:val="en-US" w:eastAsia="zh-CN" w:bidi="ar-SA"/>
              </w:rPr>
              <w:t>年</w:t>
            </w:r>
            <w:r>
              <w:rPr>
                <w:rFonts w:hint="default" w:ascii="Times New Roman" w:hAnsi="Times New Roman" w:eastAsia="宋体" w:cs="Times New Roman"/>
                <w:color w:val="auto"/>
                <w:kern w:val="2"/>
                <w:sz w:val="24"/>
                <w:szCs w:val="24"/>
                <w:highlight w:val="none"/>
                <w:lang w:val="en-US" w:eastAsia="zh-CN" w:bidi="ar-SA"/>
              </w:rPr>
              <w:t>10</w:t>
            </w:r>
            <w:r>
              <w:rPr>
                <w:rFonts w:hint="eastAsia" w:ascii="Times New Roman" w:hAnsi="Times New Roman" w:eastAsia="宋体" w:cs="Times New Roman"/>
                <w:color w:val="auto"/>
                <w:kern w:val="2"/>
                <w:sz w:val="24"/>
                <w:szCs w:val="24"/>
                <w:highlight w:val="none"/>
                <w:lang w:val="en-US" w:eastAsia="zh-CN" w:bidi="ar-SA"/>
              </w:rPr>
              <w:t>月建设完成并通过单体调试，由于纳污范围内污水排放量低（约为</w:t>
            </w:r>
            <w:r>
              <w:rPr>
                <w:rFonts w:hint="default" w:ascii="Times New Roman" w:hAnsi="Times New Roman" w:eastAsia="宋体" w:cs="Times New Roman"/>
                <w:color w:val="auto"/>
                <w:kern w:val="2"/>
                <w:sz w:val="24"/>
                <w:szCs w:val="24"/>
                <w:highlight w:val="none"/>
                <w:lang w:val="en-US" w:eastAsia="zh-CN" w:bidi="ar-SA"/>
              </w:rPr>
              <w:t>1650</w:t>
            </w:r>
            <w:r>
              <w:rPr>
                <w:rFonts w:hint="eastAsia" w:ascii="Times New Roman" w:hAnsi="Times New Roman" w:eastAsia="宋体" w:cs="Times New Roman"/>
                <w:color w:val="auto"/>
                <w:kern w:val="2"/>
                <w:sz w:val="24"/>
                <w:szCs w:val="24"/>
                <w:highlight w:val="none"/>
                <w:lang w:val="en-US" w:eastAsia="zh-CN" w:bidi="ar-SA"/>
              </w:rPr>
              <w:t>吨</w:t>
            </w:r>
            <w:r>
              <w:rPr>
                <w:rFonts w:hint="default" w:ascii="Times New Roman" w:hAnsi="Times New Roman" w:eastAsia="宋体" w:cs="Times New Roman"/>
                <w:color w:val="auto"/>
                <w:kern w:val="2"/>
                <w:sz w:val="24"/>
                <w:szCs w:val="24"/>
                <w:highlight w:val="none"/>
                <w:lang w:val="en-US" w:eastAsia="zh-CN" w:bidi="ar-SA"/>
              </w:rPr>
              <w:t>/</w:t>
            </w:r>
            <w:r>
              <w:rPr>
                <w:rFonts w:hint="eastAsia" w:ascii="Times New Roman" w:hAnsi="Times New Roman" w:eastAsia="宋体" w:cs="Times New Roman"/>
                <w:color w:val="auto"/>
                <w:kern w:val="2"/>
                <w:sz w:val="24"/>
                <w:szCs w:val="24"/>
                <w:highlight w:val="none"/>
                <w:lang w:val="en-US" w:eastAsia="zh-CN" w:bidi="ar-SA"/>
              </w:rPr>
              <w:t>日），污水处理厂暂未启动运行，建设了曹妃甸北区临时污水处理站。该污水处理站位于曹妃甸起步区（北区）污水处理厂厂内，处理能力为</w:t>
            </w:r>
            <w:r>
              <w:rPr>
                <w:rFonts w:hint="default" w:ascii="Times New Roman" w:hAnsi="Times New Roman" w:eastAsia="宋体" w:cs="Times New Roman"/>
                <w:color w:val="auto"/>
                <w:kern w:val="2"/>
                <w:sz w:val="24"/>
                <w:szCs w:val="24"/>
                <w:highlight w:val="none"/>
                <w:lang w:val="en-US" w:eastAsia="zh-CN" w:bidi="ar-SA"/>
              </w:rPr>
              <w:t>3000</w:t>
            </w:r>
            <w:r>
              <w:rPr>
                <w:rFonts w:hint="eastAsia" w:ascii="Times New Roman" w:hAnsi="Times New Roman" w:eastAsia="宋体" w:cs="Times New Roman"/>
                <w:color w:val="auto"/>
                <w:kern w:val="2"/>
                <w:sz w:val="24"/>
                <w:szCs w:val="24"/>
                <w:highlight w:val="none"/>
                <w:lang w:val="en-US" w:eastAsia="zh-CN" w:bidi="ar-SA"/>
              </w:rPr>
              <w:t>吨</w:t>
            </w:r>
            <w:r>
              <w:rPr>
                <w:rFonts w:hint="default" w:ascii="Times New Roman" w:hAnsi="Times New Roman" w:eastAsia="宋体" w:cs="Times New Roman"/>
                <w:color w:val="auto"/>
                <w:kern w:val="2"/>
                <w:sz w:val="24"/>
                <w:szCs w:val="24"/>
                <w:highlight w:val="none"/>
                <w:lang w:val="en-US" w:eastAsia="zh-CN" w:bidi="ar-SA"/>
              </w:rPr>
              <w:t>/</w:t>
            </w:r>
            <w:r>
              <w:rPr>
                <w:rFonts w:hint="eastAsia" w:ascii="Times New Roman" w:hAnsi="Times New Roman" w:eastAsia="宋体" w:cs="Times New Roman"/>
                <w:color w:val="auto"/>
                <w:kern w:val="2"/>
                <w:sz w:val="24"/>
                <w:szCs w:val="24"/>
                <w:highlight w:val="none"/>
                <w:lang w:val="en-US" w:eastAsia="zh-CN" w:bidi="ar-SA"/>
              </w:rPr>
              <w:t>日，设计采用格栅</w:t>
            </w:r>
            <w:r>
              <w:rPr>
                <w:rFonts w:hint="default" w:ascii="Times New Roman" w:hAnsi="Times New Roman" w:eastAsia="宋体" w:cs="Times New Roman"/>
                <w:color w:val="auto"/>
                <w:kern w:val="2"/>
                <w:sz w:val="24"/>
                <w:szCs w:val="24"/>
                <w:highlight w:val="none"/>
                <w:lang w:val="en-US" w:eastAsia="zh-CN" w:bidi="ar-SA"/>
              </w:rPr>
              <w:t>+</w:t>
            </w:r>
            <w:r>
              <w:rPr>
                <w:rFonts w:hint="eastAsia" w:ascii="Times New Roman" w:hAnsi="Times New Roman" w:eastAsia="宋体" w:cs="Times New Roman"/>
                <w:color w:val="auto"/>
                <w:kern w:val="2"/>
                <w:sz w:val="24"/>
                <w:szCs w:val="24"/>
                <w:highlight w:val="none"/>
                <w:lang w:val="en-US" w:eastAsia="zh-CN" w:bidi="ar-SA"/>
              </w:rPr>
              <w:t>一体化净化设备（采用厌氧</w:t>
            </w:r>
            <w:r>
              <w:rPr>
                <w:rFonts w:hint="default" w:ascii="Times New Roman" w:hAnsi="Times New Roman" w:eastAsia="宋体" w:cs="Times New Roman"/>
                <w:color w:val="auto"/>
                <w:kern w:val="2"/>
                <w:sz w:val="24"/>
                <w:szCs w:val="24"/>
                <w:highlight w:val="none"/>
                <w:lang w:val="en-US" w:eastAsia="zh-CN" w:bidi="ar-SA"/>
              </w:rPr>
              <w:t>+</w:t>
            </w:r>
            <w:r>
              <w:rPr>
                <w:rFonts w:hint="eastAsia" w:ascii="Times New Roman" w:hAnsi="Times New Roman" w:eastAsia="宋体" w:cs="Times New Roman"/>
                <w:color w:val="auto"/>
                <w:kern w:val="2"/>
                <w:sz w:val="24"/>
                <w:szCs w:val="24"/>
                <w:highlight w:val="none"/>
                <w:lang w:val="en-US" w:eastAsia="zh-CN" w:bidi="ar-SA"/>
              </w:rPr>
              <w:t>好氧（</w:t>
            </w:r>
            <w:r>
              <w:rPr>
                <w:rFonts w:hint="default" w:ascii="Times New Roman" w:hAnsi="Times New Roman" w:eastAsia="宋体" w:cs="Times New Roman"/>
                <w:color w:val="auto"/>
                <w:kern w:val="2"/>
                <w:sz w:val="24"/>
                <w:szCs w:val="24"/>
                <w:highlight w:val="none"/>
                <w:lang w:val="en-US" w:eastAsia="zh-CN" w:bidi="ar-SA"/>
              </w:rPr>
              <w:t>A/O</w:t>
            </w:r>
            <w:r>
              <w:rPr>
                <w:rFonts w:hint="eastAsia" w:ascii="Times New Roman" w:hAnsi="Times New Roman" w:eastAsia="宋体" w:cs="Times New Roman"/>
                <w:color w:val="auto"/>
                <w:kern w:val="2"/>
                <w:sz w:val="24"/>
                <w:szCs w:val="24"/>
                <w:highlight w:val="none"/>
                <w:lang w:val="en-US" w:eastAsia="zh-CN" w:bidi="ar-SA"/>
              </w:rPr>
              <w:t>）</w:t>
            </w:r>
            <w:r>
              <w:rPr>
                <w:rFonts w:hint="default" w:ascii="Times New Roman" w:hAnsi="Times New Roman" w:eastAsia="宋体" w:cs="Times New Roman"/>
                <w:color w:val="auto"/>
                <w:kern w:val="2"/>
                <w:sz w:val="24"/>
                <w:szCs w:val="24"/>
                <w:highlight w:val="none"/>
                <w:lang w:val="en-US" w:eastAsia="zh-CN" w:bidi="ar-SA"/>
              </w:rPr>
              <w:t>+</w:t>
            </w:r>
            <w:r>
              <w:rPr>
                <w:rFonts w:hint="eastAsia" w:ascii="Times New Roman" w:hAnsi="Times New Roman" w:eastAsia="宋体" w:cs="Times New Roman"/>
                <w:color w:val="auto"/>
                <w:kern w:val="2"/>
                <w:sz w:val="24"/>
                <w:szCs w:val="24"/>
                <w:highlight w:val="none"/>
                <w:lang w:val="en-US" w:eastAsia="zh-CN" w:bidi="ar-SA"/>
              </w:rPr>
              <w:t>沉淀</w:t>
            </w:r>
            <w:r>
              <w:rPr>
                <w:rFonts w:hint="default" w:ascii="Times New Roman" w:hAnsi="Times New Roman" w:eastAsia="宋体" w:cs="Times New Roman"/>
                <w:color w:val="auto"/>
                <w:kern w:val="2"/>
                <w:sz w:val="24"/>
                <w:szCs w:val="24"/>
                <w:highlight w:val="none"/>
                <w:lang w:val="en-US" w:eastAsia="zh-CN" w:bidi="ar-SA"/>
              </w:rPr>
              <w:t>+</w:t>
            </w:r>
            <w:r>
              <w:rPr>
                <w:rFonts w:hint="eastAsia" w:ascii="Times New Roman" w:hAnsi="Times New Roman" w:eastAsia="宋体" w:cs="Times New Roman"/>
                <w:color w:val="auto"/>
                <w:kern w:val="2"/>
                <w:sz w:val="24"/>
                <w:szCs w:val="24"/>
                <w:highlight w:val="none"/>
                <w:lang w:val="en-US" w:eastAsia="zh-CN" w:bidi="ar-SA"/>
              </w:rPr>
              <w:t>消毒）</w:t>
            </w:r>
            <w:r>
              <w:rPr>
                <w:rFonts w:hint="default" w:ascii="Times New Roman" w:hAnsi="Times New Roman" w:eastAsia="宋体" w:cs="Times New Roman"/>
                <w:color w:val="auto"/>
                <w:kern w:val="2"/>
                <w:sz w:val="24"/>
                <w:szCs w:val="24"/>
                <w:highlight w:val="none"/>
                <w:lang w:val="en-US" w:eastAsia="zh-CN" w:bidi="ar-SA"/>
              </w:rPr>
              <w:t>+</w:t>
            </w:r>
            <w:r>
              <w:rPr>
                <w:rFonts w:hint="eastAsia" w:ascii="Times New Roman" w:hAnsi="Times New Roman" w:eastAsia="宋体" w:cs="Times New Roman"/>
                <w:color w:val="auto"/>
                <w:kern w:val="2"/>
                <w:sz w:val="24"/>
                <w:szCs w:val="24"/>
                <w:highlight w:val="none"/>
                <w:lang w:val="en-US" w:eastAsia="zh-CN" w:bidi="ar-SA"/>
              </w:rPr>
              <w:t>深度处理的工艺，出水满足《城镇污水处理厂污染物排放标准》（</w:t>
            </w:r>
            <w:r>
              <w:rPr>
                <w:rFonts w:hint="default" w:ascii="Times New Roman" w:hAnsi="Times New Roman" w:eastAsia="宋体" w:cs="Times New Roman"/>
                <w:color w:val="auto"/>
                <w:kern w:val="2"/>
                <w:sz w:val="24"/>
                <w:szCs w:val="24"/>
                <w:highlight w:val="none"/>
                <w:lang w:val="en-US" w:eastAsia="zh-CN" w:bidi="ar-SA"/>
              </w:rPr>
              <w:t>GB18918-2002</w:t>
            </w:r>
            <w:r>
              <w:rPr>
                <w:rFonts w:hint="eastAsia" w:ascii="Times New Roman" w:hAnsi="Times New Roman" w:eastAsia="宋体" w:cs="Times New Roman"/>
                <w:color w:val="auto"/>
                <w:kern w:val="2"/>
                <w:sz w:val="24"/>
                <w:szCs w:val="24"/>
                <w:highlight w:val="none"/>
                <w:lang w:val="en-US" w:eastAsia="zh-CN" w:bidi="ar-SA"/>
              </w:rPr>
              <w:t>）中一级</w:t>
            </w:r>
            <w:r>
              <w:rPr>
                <w:rFonts w:hint="default" w:ascii="Times New Roman" w:hAnsi="Times New Roman" w:eastAsia="宋体" w:cs="Times New Roman"/>
                <w:color w:val="auto"/>
                <w:kern w:val="2"/>
                <w:sz w:val="24"/>
                <w:szCs w:val="24"/>
                <w:highlight w:val="none"/>
                <w:lang w:val="en-US" w:eastAsia="zh-CN" w:bidi="ar-SA"/>
              </w:rPr>
              <w:t>A</w:t>
            </w:r>
            <w:r>
              <w:rPr>
                <w:rFonts w:hint="eastAsia" w:ascii="Times New Roman" w:hAnsi="Times New Roman" w:eastAsia="宋体" w:cs="Times New Roman"/>
                <w:color w:val="auto"/>
                <w:kern w:val="2"/>
                <w:sz w:val="24"/>
                <w:szCs w:val="24"/>
                <w:highlight w:val="none"/>
                <w:lang w:val="en-US" w:eastAsia="zh-CN" w:bidi="ar-SA"/>
              </w:rPr>
              <w:t>标准。该污水处理站目前该运行稳定，出水各项主要指标达到出水设计标准，排入附近水体。</w:t>
            </w:r>
          </w:p>
          <w:p w14:paraId="3D38E477">
            <w:pPr>
              <w:keepNext w:val="0"/>
              <w:keepLines w:val="0"/>
              <w:pageBreakBefore w:val="0"/>
              <w:widowControl w:val="0"/>
              <w:kinsoku/>
              <w:wordWrap/>
              <w:overflowPunct/>
              <w:topLinePunct w:val="0"/>
              <w:autoSpaceDE/>
              <w:autoSpaceDN/>
              <w:bidi w:val="0"/>
              <w:adjustRightInd/>
              <w:snapToGrid w:val="0"/>
              <w:spacing w:line="480" w:lineRule="exact"/>
              <w:ind w:left="0" w:right="0" w:firstLine="480" w:firstLineChars="200"/>
              <w:jc w:val="both"/>
              <w:textAlignment w:val="auto"/>
              <w:rPr>
                <w:rFonts w:hint="eastAsia"/>
                <w:color w:val="auto"/>
                <w:lang w:val="zh-CN" w:eastAsia="zh-CN"/>
              </w:rPr>
            </w:pPr>
            <w:r>
              <w:rPr>
                <w:rFonts w:hint="eastAsia" w:ascii="Times New Roman" w:hAnsi="Times New Roman" w:eastAsia="宋体" w:cs="Times New Roman"/>
                <w:color w:val="auto"/>
                <w:kern w:val="2"/>
                <w:sz w:val="24"/>
                <w:szCs w:val="24"/>
                <w:highlight w:val="none"/>
                <w:lang w:val="en-US" w:eastAsia="zh-CN" w:bidi="ar-SA"/>
              </w:rPr>
              <w:t>本项目仅排放生活污水，排放量为</w:t>
            </w:r>
            <w:r>
              <w:rPr>
                <w:rFonts w:hint="eastAsia" w:cs="Times New Roman"/>
                <w:color w:val="auto"/>
                <w:szCs w:val="32"/>
                <w:lang w:val="en-US" w:eastAsia="zh-CN"/>
              </w:rPr>
              <w:t>6.75</w:t>
            </w:r>
            <w:r>
              <w:rPr>
                <w:rFonts w:hint="default" w:ascii="Times New Roman" w:hAnsi="Times New Roman" w:eastAsia="宋体" w:cs="Times New Roman"/>
                <w:color w:val="auto"/>
                <w:szCs w:val="32"/>
              </w:rPr>
              <w:t>m</w:t>
            </w:r>
            <w:r>
              <w:rPr>
                <w:rFonts w:hint="default" w:ascii="Times New Roman" w:hAnsi="Times New Roman" w:eastAsia="宋体" w:cs="Times New Roman"/>
                <w:color w:val="auto"/>
                <w:szCs w:val="32"/>
                <w:vertAlign w:val="superscript"/>
              </w:rPr>
              <w:t>3</w:t>
            </w:r>
            <w:r>
              <w:rPr>
                <w:rFonts w:hint="default" w:ascii="Times New Roman" w:hAnsi="Times New Roman" w:eastAsia="宋体" w:cs="Times New Roman"/>
                <w:color w:val="auto"/>
                <w:szCs w:val="32"/>
              </w:rPr>
              <w:t>/d</w:t>
            </w:r>
            <w:r>
              <w:rPr>
                <w:rFonts w:hint="default" w:ascii="Times New Roman" w:hAnsi="Times New Roman" w:eastAsia="宋体" w:cs="Times New Roman"/>
                <w:color w:val="auto"/>
                <w:kern w:val="2"/>
                <w:sz w:val="24"/>
                <w:szCs w:val="24"/>
                <w:highlight w:val="none"/>
                <w:lang w:val="en-US" w:eastAsia="zh-CN" w:bidi="ar-SA"/>
              </w:rPr>
              <w:t>（</w:t>
            </w:r>
            <w:r>
              <w:rPr>
                <w:rFonts w:hint="eastAsia" w:ascii="Times New Roman" w:hAnsi="Times New Roman" w:eastAsia="宋体" w:cs="Times New Roman"/>
                <w:color w:val="auto"/>
                <w:kern w:val="2"/>
                <w:sz w:val="24"/>
                <w:szCs w:val="24"/>
                <w:highlight w:val="none"/>
                <w:lang w:val="en-US" w:eastAsia="zh-CN" w:bidi="ar-SA"/>
              </w:rPr>
              <w:t>2025</w:t>
            </w:r>
            <w:r>
              <w:rPr>
                <w:rFonts w:hint="default" w:ascii="Times New Roman" w:hAnsi="Times New Roman" w:eastAsia="宋体" w:cs="Times New Roman"/>
                <w:color w:val="auto"/>
                <w:kern w:val="2"/>
                <w:sz w:val="24"/>
                <w:szCs w:val="24"/>
                <w:highlight w:val="none"/>
                <w:lang w:val="en-US" w:eastAsia="zh-CN" w:bidi="ar-SA"/>
              </w:rPr>
              <w:t>m</w:t>
            </w:r>
            <w:r>
              <w:rPr>
                <w:rFonts w:hint="default" w:ascii="Times New Roman" w:hAnsi="Times New Roman" w:eastAsia="宋体" w:cs="Times New Roman"/>
                <w:color w:val="auto"/>
                <w:kern w:val="2"/>
                <w:sz w:val="24"/>
                <w:szCs w:val="24"/>
                <w:highlight w:val="none"/>
                <w:vertAlign w:val="superscript"/>
                <w:lang w:val="en-US" w:eastAsia="zh-CN" w:bidi="ar-SA"/>
              </w:rPr>
              <w:t>3</w:t>
            </w:r>
            <w:r>
              <w:rPr>
                <w:rFonts w:hint="default" w:ascii="Times New Roman" w:hAnsi="Times New Roman" w:eastAsia="宋体" w:cs="Times New Roman"/>
                <w:color w:val="auto"/>
                <w:kern w:val="2"/>
                <w:sz w:val="24"/>
                <w:szCs w:val="24"/>
                <w:highlight w:val="none"/>
                <w:lang w:val="en-US" w:eastAsia="zh-CN" w:bidi="ar-SA"/>
              </w:rPr>
              <w:t>/a）</w:t>
            </w:r>
            <w:r>
              <w:rPr>
                <w:rFonts w:hint="eastAsia" w:ascii="Times New Roman" w:hAnsi="Times New Roman" w:eastAsia="宋体" w:cs="Times New Roman"/>
                <w:color w:val="auto"/>
                <w:kern w:val="2"/>
                <w:sz w:val="24"/>
                <w:szCs w:val="24"/>
                <w:highlight w:val="none"/>
                <w:lang w:val="en-US" w:eastAsia="zh-CN" w:bidi="ar-SA"/>
              </w:rPr>
              <w:t>，曹妃甸北区临时污水处理站余量能够满足项目排放需求，本项目生活污水中的污染物主要为pH、COD、BOD</w:t>
            </w:r>
            <w:r>
              <w:rPr>
                <w:rFonts w:hint="eastAsia" w:ascii="Times New Roman" w:hAnsi="Times New Roman" w:eastAsia="宋体" w:cs="Times New Roman"/>
                <w:color w:val="auto"/>
                <w:kern w:val="2"/>
                <w:sz w:val="24"/>
                <w:szCs w:val="24"/>
                <w:highlight w:val="none"/>
                <w:vertAlign w:val="subscript"/>
                <w:lang w:val="en-US" w:eastAsia="zh-CN" w:bidi="ar-SA"/>
              </w:rPr>
              <w:t>5</w:t>
            </w:r>
            <w:r>
              <w:rPr>
                <w:rFonts w:hint="eastAsia" w:ascii="Times New Roman" w:hAnsi="Times New Roman" w:eastAsia="宋体" w:cs="Times New Roman"/>
                <w:color w:val="auto"/>
                <w:kern w:val="2"/>
                <w:sz w:val="24"/>
                <w:szCs w:val="24"/>
                <w:highlight w:val="none"/>
                <w:lang w:val="en-US" w:eastAsia="zh-CN" w:bidi="ar-SA"/>
              </w:rPr>
              <w:t>、SS、氨氮、动植物油等，污染因子简单，满足曹妃甸北区临时污水处理站进水水质要求，因此本项目</w:t>
            </w:r>
            <w:r>
              <w:rPr>
                <w:rFonts w:hint="eastAsia" w:cs="Times New Roman"/>
                <w:color w:val="auto"/>
                <w:kern w:val="2"/>
                <w:sz w:val="24"/>
                <w:szCs w:val="24"/>
                <w:highlight w:val="none"/>
                <w:lang w:val="en-US" w:eastAsia="zh-CN" w:bidi="ar-SA"/>
              </w:rPr>
              <w:t>前期</w:t>
            </w:r>
            <w:r>
              <w:rPr>
                <w:rFonts w:hint="eastAsia" w:ascii="Times New Roman" w:hAnsi="Times New Roman" w:eastAsia="宋体" w:cs="Times New Roman"/>
                <w:color w:val="auto"/>
                <w:kern w:val="2"/>
                <w:sz w:val="24"/>
                <w:szCs w:val="24"/>
                <w:highlight w:val="none"/>
                <w:lang w:val="en-US" w:eastAsia="zh-CN" w:bidi="ar-SA"/>
              </w:rPr>
              <w:t>依托曹妃甸北区临时污水处理站是完全可行的</w:t>
            </w:r>
            <w:r>
              <w:rPr>
                <w:rFonts w:hint="eastAsia" w:cs="Times New Roman"/>
                <w:color w:val="auto"/>
                <w:kern w:val="2"/>
                <w:sz w:val="24"/>
                <w:szCs w:val="24"/>
                <w:highlight w:val="none"/>
                <w:lang w:val="en-US" w:eastAsia="zh-CN" w:bidi="ar-SA"/>
              </w:rPr>
              <w:t>，后期</w:t>
            </w:r>
            <w:r>
              <w:rPr>
                <w:rFonts w:hint="default" w:ascii="Times New Roman" w:hAnsi="Times New Roman" w:eastAsia="宋体" w:cs="Times New Roman"/>
                <w:color w:val="auto"/>
                <w:kern w:val="2"/>
                <w:sz w:val="24"/>
                <w:szCs w:val="24"/>
                <w:highlight w:val="none"/>
                <w:lang w:val="en-US" w:eastAsia="zh-CN" w:bidi="ar-SA"/>
              </w:rPr>
              <w:t>曹妃甸工业区起步区（北区）污水处理厂</w:t>
            </w:r>
            <w:r>
              <w:rPr>
                <w:rFonts w:hint="eastAsia" w:ascii="Times New Roman" w:hAnsi="Times New Roman" w:eastAsia="宋体" w:cs="Times New Roman"/>
                <w:color w:val="auto"/>
                <w:kern w:val="2"/>
                <w:sz w:val="24"/>
                <w:szCs w:val="24"/>
                <w:highlight w:val="none"/>
                <w:lang w:val="en-US" w:eastAsia="zh-CN" w:bidi="ar-SA"/>
              </w:rPr>
              <w:t>启动运行</w:t>
            </w:r>
            <w:r>
              <w:rPr>
                <w:rFonts w:hint="eastAsia" w:cs="Times New Roman"/>
                <w:color w:val="auto"/>
                <w:kern w:val="2"/>
                <w:sz w:val="24"/>
                <w:szCs w:val="24"/>
                <w:highlight w:val="none"/>
                <w:lang w:val="en-US" w:eastAsia="zh-CN" w:bidi="ar-SA"/>
              </w:rPr>
              <w:t>后，</w:t>
            </w:r>
            <w:r>
              <w:rPr>
                <w:rFonts w:hint="eastAsia" w:ascii="Times New Roman" w:hAnsi="Times New Roman" w:eastAsia="宋体" w:cs="Times New Roman"/>
                <w:color w:val="auto"/>
                <w:kern w:val="2"/>
                <w:sz w:val="24"/>
                <w:szCs w:val="24"/>
                <w:highlight w:val="none"/>
                <w:lang w:val="en-US" w:eastAsia="zh-CN" w:bidi="ar-SA"/>
              </w:rPr>
              <w:t>生活污水</w:t>
            </w:r>
            <w:r>
              <w:rPr>
                <w:rFonts w:hint="eastAsia" w:cs="Times New Roman"/>
                <w:color w:val="auto"/>
                <w:kern w:val="2"/>
                <w:sz w:val="24"/>
                <w:szCs w:val="24"/>
                <w:highlight w:val="none"/>
                <w:lang w:val="en-US" w:eastAsia="zh-CN" w:bidi="ar-SA"/>
              </w:rPr>
              <w:t>排入北区污水处理站处理</w:t>
            </w:r>
            <w:r>
              <w:rPr>
                <w:rFonts w:hint="eastAsia" w:ascii="Times New Roman" w:hAnsi="Times New Roman" w:eastAsia="宋体" w:cs="Times New Roman"/>
                <w:color w:val="auto"/>
                <w:kern w:val="2"/>
                <w:sz w:val="24"/>
                <w:szCs w:val="24"/>
                <w:highlight w:val="none"/>
                <w:lang w:val="en-US" w:eastAsia="zh-CN" w:bidi="ar-SA"/>
              </w:rPr>
              <w:t>。</w:t>
            </w:r>
          </w:p>
          <w:p w14:paraId="0D776F22">
            <w:pPr>
              <w:keepNext w:val="0"/>
              <w:keepLines w:val="0"/>
              <w:pageBreakBefore w:val="0"/>
              <w:widowControl w:val="0"/>
              <w:kinsoku/>
              <w:wordWrap/>
              <w:overflowPunct/>
              <w:topLinePunct w:val="0"/>
              <w:autoSpaceDE/>
              <w:autoSpaceDN/>
              <w:bidi w:val="0"/>
              <w:adjustRightInd/>
              <w:snapToGrid/>
              <w:spacing w:line="480" w:lineRule="exact"/>
              <w:jc w:val="both"/>
              <w:textAlignment w:val="auto"/>
              <w:rPr>
                <w:rFonts w:hint="eastAsia" w:cs="Times New Roman"/>
                <w:b/>
                <w:bCs/>
                <w:color w:val="auto"/>
                <w:highlight w:val="none"/>
                <w:lang w:val="en-US" w:eastAsia="zh-CN"/>
              </w:rPr>
            </w:pPr>
            <w:r>
              <w:rPr>
                <w:rFonts w:hint="eastAsia" w:cs="Times New Roman"/>
                <w:b/>
                <w:bCs/>
                <w:color w:val="auto"/>
                <w:highlight w:val="none"/>
                <w:lang w:val="en-US" w:eastAsia="zh-CN"/>
              </w:rPr>
              <w:t>3、噪声</w:t>
            </w:r>
          </w:p>
          <w:p w14:paraId="7DFB6E87">
            <w:pPr>
              <w:keepNext w:val="0"/>
              <w:keepLines w:val="0"/>
              <w:pageBreakBefore w:val="0"/>
              <w:widowControl w:val="0"/>
              <w:kinsoku/>
              <w:wordWrap/>
              <w:overflowPunct/>
              <w:topLinePunct w:val="0"/>
              <w:autoSpaceDE/>
              <w:autoSpaceDN/>
              <w:bidi w:val="0"/>
              <w:adjustRightInd/>
              <w:snapToGrid w:val="0"/>
              <w:spacing w:line="480" w:lineRule="exact"/>
              <w:ind w:left="0" w:right="0" w:firstLine="480" w:firstLineChars="200"/>
              <w:jc w:val="both"/>
              <w:textAlignment w:val="auto"/>
              <w:rPr>
                <w:rFonts w:hint="default" w:ascii="Times New Roman" w:hAnsi="Times New Roman" w:eastAsia="宋体" w:cs="Times New Roman"/>
                <w:color w:val="auto"/>
                <w:kern w:val="2"/>
                <w:sz w:val="24"/>
                <w:szCs w:val="24"/>
                <w:highlight w:val="none"/>
                <w:lang w:val="en-US" w:eastAsia="zh-CN" w:bidi="ar-SA"/>
              </w:rPr>
            </w:pPr>
            <w:r>
              <w:rPr>
                <w:rFonts w:hint="default" w:ascii="Times New Roman" w:hAnsi="Times New Roman" w:eastAsia="宋体" w:cs="Times New Roman"/>
                <w:color w:val="auto"/>
                <w:kern w:val="2"/>
                <w:sz w:val="24"/>
                <w:szCs w:val="24"/>
                <w:highlight w:val="none"/>
                <w:lang w:val="en-US" w:eastAsia="zh-CN" w:bidi="ar-SA"/>
              </w:rPr>
              <w:t>（1）噪声源强及降噪措施</w:t>
            </w:r>
          </w:p>
          <w:p w14:paraId="75852E1D">
            <w:pPr>
              <w:keepNext w:val="0"/>
              <w:keepLines w:val="0"/>
              <w:pageBreakBefore w:val="0"/>
              <w:widowControl w:val="0"/>
              <w:kinsoku/>
              <w:wordWrap/>
              <w:overflowPunct/>
              <w:topLinePunct w:val="0"/>
              <w:autoSpaceDE/>
              <w:autoSpaceDN/>
              <w:bidi w:val="0"/>
              <w:adjustRightInd/>
              <w:snapToGrid w:val="0"/>
              <w:spacing w:line="480" w:lineRule="exact"/>
              <w:ind w:left="0" w:right="0" w:firstLine="480" w:firstLineChars="200"/>
              <w:jc w:val="both"/>
              <w:textAlignment w:val="auto"/>
              <w:rPr>
                <w:rFonts w:hint="eastAsia" w:ascii="Times New Roman" w:hAnsi="Times New Roman" w:eastAsia="宋体" w:cs="Times New Roman"/>
                <w:color w:val="auto"/>
                <w:kern w:val="2"/>
                <w:sz w:val="24"/>
                <w:szCs w:val="24"/>
                <w:highlight w:val="none"/>
                <w:lang w:val="zh-CN" w:eastAsia="zh-CN" w:bidi="ar-SA"/>
              </w:rPr>
            </w:pPr>
            <w:r>
              <w:rPr>
                <w:rFonts w:hint="eastAsia" w:ascii="Times New Roman" w:hAnsi="Times New Roman" w:eastAsia="宋体" w:cs="Times New Roman"/>
                <w:color w:val="auto"/>
                <w:kern w:val="2"/>
                <w:sz w:val="24"/>
                <w:szCs w:val="24"/>
                <w:highlight w:val="none"/>
                <w:lang w:val="zh-CN" w:eastAsia="zh-CN" w:bidi="ar-SA"/>
              </w:rPr>
              <w:t>本项目噪声污染源主要为生产设备等运行过程中产生的噪声，源强为</w:t>
            </w:r>
            <w:r>
              <w:rPr>
                <w:rFonts w:hint="eastAsia" w:cs="Times New Roman"/>
                <w:color w:val="auto"/>
                <w:kern w:val="2"/>
                <w:sz w:val="24"/>
                <w:szCs w:val="24"/>
                <w:highlight w:val="none"/>
                <w:lang w:val="en-US" w:eastAsia="zh-CN" w:bidi="ar-SA"/>
              </w:rPr>
              <w:t>70</w:t>
            </w:r>
            <w:r>
              <w:rPr>
                <w:rFonts w:hint="eastAsia" w:ascii="Times New Roman" w:hAnsi="Times New Roman" w:eastAsia="宋体" w:cs="Times New Roman"/>
                <w:color w:val="auto"/>
                <w:kern w:val="2"/>
                <w:sz w:val="24"/>
                <w:szCs w:val="24"/>
                <w:highlight w:val="none"/>
                <w:lang w:val="zh-CN" w:eastAsia="zh-CN" w:bidi="ar-SA"/>
              </w:rPr>
              <w:t>～</w:t>
            </w:r>
            <w:r>
              <w:rPr>
                <w:rFonts w:hint="eastAsia" w:cs="Times New Roman"/>
                <w:color w:val="auto"/>
                <w:kern w:val="2"/>
                <w:sz w:val="24"/>
                <w:szCs w:val="24"/>
                <w:highlight w:val="none"/>
                <w:lang w:val="en-US" w:eastAsia="zh-CN" w:bidi="ar-SA"/>
              </w:rPr>
              <w:t>90</w:t>
            </w:r>
            <w:r>
              <w:rPr>
                <w:rFonts w:hint="eastAsia" w:ascii="Times New Roman" w:hAnsi="Times New Roman" w:eastAsia="宋体" w:cs="Times New Roman"/>
                <w:color w:val="auto"/>
                <w:kern w:val="2"/>
                <w:sz w:val="24"/>
                <w:szCs w:val="24"/>
                <w:highlight w:val="none"/>
                <w:lang w:val="zh-CN" w:eastAsia="zh-CN" w:bidi="ar-SA"/>
              </w:rPr>
              <w:t>dB（A），采取设备安装减振垫，布置在封闭</w:t>
            </w:r>
            <w:r>
              <w:rPr>
                <w:rFonts w:hint="eastAsia" w:ascii="Times New Roman" w:hAnsi="Times New Roman" w:eastAsia="宋体" w:cs="Times New Roman"/>
                <w:color w:val="auto"/>
                <w:kern w:val="2"/>
                <w:sz w:val="24"/>
                <w:szCs w:val="24"/>
                <w:highlight w:val="none"/>
                <w:lang w:val="en-US" w:eastAsia="zh-CN" w:bidi="ar-SA"/>
              </w:rPr>
              <w:t>厂房</w:t>
            </w:r>
            <w:r>
              <w:rPr>
                <w:rFonts w:hint="eastAsia" w:ascii="Times New Roman" w:hAnsi="Times New Roman" w:eastAsia="宋体" w:cs="Times New Roman"/>
                <w:color w:val="auto"/>
                <w:kern w:val="2"/>
                <w:sz w:val="24"/>
                <w:szCs w:val="24"/>
                <w:highlight w:val="none"/>
                <w:lang w:val="zh-CN" w:eastAsia="zh-CN" w:bidi="ar-SA"/>
              </w:rPr>
              <w:t>内，再经厂房隔声、</w:t>
            </w:r>
            <w:r>
              <w:rPr>
                <w:rFonts w:hint="eastAsia" w:cs="Times New Roman"/>
                <w:color w:val="auto"/>
                <w:kern w:val="2"/>
                <w:sz w:val="24"/>
                <w:szCs w:val="24"/>
                <w:highlight w:val="none"/>
                <w:lang w:val="en-US" w:eastAsia="zh-CN" w:bidi="ar-SA"/>
              </w:rPr>
              <w:t>合理布局</w:t>
            </w:r>
            <w:r>
              <w:rPr>
                <w:rFonts w:hint="eastAsia" w:ascii="Times New Roman" w:hAnsi="Times New Roman" w:eastAsia="宋体" w:cs="Times New Roman"/>
                <w:color w:val="auto"/>
                <w:kern w:val="2"/>
                <w:sz w:val="24"/>
                <w:szCs w:val="24"/>
                <w:highlight w:val="none"/>
                <w:lang w:val="zh-CN" w:eastAsia="zh-CN" w:bidi="ar-SA"/>
              </w:rPr>
              <w:t>等措施，各设备噪声源强及污染防治措施见下表：</w:t>
            </w:r>
          </w:p>
          <w:p w14:paraId="681C8806">
            <w:pPr>
              <w:keepNext w:val="0"/>
              <w:keepLines w:val="0"/>
              <w:pageBreakBefore w:val="0"/>
              <w:widowControl w:val="0"/>
              <w:kinsoku/>
              <w:wordWrap/>
              <w:overflowPunct/>
              <w:topLinePunct w:val="0"/>
              <w:autoSpaceDE/>
              <w:autoSpaceDN/>
              <w:bidi w:val="0"/>
              <w:adjustRightInd/>
              <w:snapToGrid w:val="0"/>
              <w:spacing w:line="480" w:lineRule="exact"/>
              <w:ind w:left="0" w:right="0" w:firstLine="480" w:firstLineChars="200"/>
              <w:jc w:val="both"/>
              <w:textAlignment w:val="auto"/>
              <w:rPr>
                <w:rFonts w:hint="eastAsia" w:ascii="Times New Roman" w:hAnsi="Times New Roman" w:eastAsia="宋体" w:cs="Times New Roman"/>
                <w:color w:val="auto"/>
                <w:kern w:val="2"/>
                <w:sz w:val="24"/>
                <w:szCs w:val="24"/>
                <w:highlight w:val="none"/>
                <w:lang w:val="zh-CN" w:eastAsia="zh-CN" w:bidi="ar-SA"/>
              </w:rPr>
            </w:pPr>
          </w:p>
          <w:p w14:paraId="08235465">
            <w:pPr>
              <w:keepNext w:val="0"/>
              <w:keepLines w:val="0"/>
              <w:pageBreakBefore w:val="0"/>
              <w:widowControl w:val="0"/>
              <w:kinsoku/>
              <w:wordWrap/>
              <w:overflowPunct/>
              <w:topLinePunct w:val="0"/>
              <w:autoSpaceDE/>
              <w:autoSpaceDN/>
              <w:bidi w:val="0"/>
              <w:adjustRightInd/>
              <w:snapToGrid w:val="0"/>
              <w:spacing w:line="480" w:lineRule="exact"/>
              <w:ind w:left="0" w:right="0" w:firstLine="480" w:firstLineChars="200"/>
              <w:jc w:val="both"/>
              <w:textAlignment w:val="auto"/>
              <w:rPr>
                <w:rFonts w:hint="eastAsia" w:ascii="Times New Roman" w:hAnsi="Times New Roman" w:eastAsia="宋体" w:cs="Times New Roman"/>
                <w:color w:val="auto"/>
                <w:kern w:val="2"/>
                <w:sz w:val="24"/>
                <w:szCs w:val="24"/>
                <w:highlight w:val="none"/>
                <w:lang w:val="zh-CN" w:eastAsia="zh-CN" w:bidi="ar-SA"/>
              </w:rPr>
            </w:pPr>
          </w:p>
          <w:p w14:paraId="6C7EDE33">
            <w:pPr>
              <w:keepNext w:val="0"/>
              <w:keepLines w:val="0"/>
              <w:pageBreakBefore w:val="0"/>
              <w:widowControl w:val="0"/>
              <w:kinsoku/>
              <w:wordWrap/>
              <w:overflowPunct/>
              <w:topLinePunct w:val="0"/>
              <w:autoSpaceDE/>
              <w:autoSpaceDN/>
              <w:bidi w:val="0"/>
              <w:adjustRightInd/>
              <w:snapToGrid w:val="0"/>
              <w:spacing w:line="480" w:lineRule="exact"/>
              <w:ind w:right="0"/>
              <w:jc w:val="both"/>
              <w:textAlignment w:val="auto"/>
              <w:rPr>
                <w:rFonts w:hint="eastAsia" w:ascii="Times New Roman" w:hAnsi="Times New Roman" w:eastAsia="宋体" w:cs="Times New Roman"/>
                <w:color w:val="auto"/>
                <w:kern w:val="2"/>
                <w:sz w:val="24"/>
                <w:szCs w:val="24"/>
                <w:highlight w:val="none"/>
                <w:lang w:val="en-US" w:eastAsia="zh-CN" w:bidi="ar-SA"/>
              </w:rPr>
            </w:pPr>
          </w:p>
        </w:tc>
      </w:tr>
    </w:tbl>
    <w:p w14:paraId="1F0997EB">
      <w:pPr>
        <w:adjustRightInd w:val="0"/>
        <w:snapToGrid w:val="0"/>
        <w:spacing w:line="360" w:lineRule="auto"/>
        <w:rPr>
          <w:rFonts w:hint="eastAsia" w:ascii="宋体" w:cs="宋体"/>
          <w:b/>
          <w:kern w:val="0"/>
          <w:sz w:val="28"/>
          <w:szCs w:val="28"/>
          <w:highlight w:val="none"/>
        </w:rPr>
        <w:sectPr>
          <w:pgSz w:w="11905" w:h="16838"/>
          <w:pgMar w:top="1701" w:right="1531" w:bottom="2126" w:left="1531" w:header="851" w:footer="850" w:gutter="0"/>
          <w:pgBorders>
            <w:top w:val="none" w:sz="0" w:space="0"/>
            <w:left w:val="none" w:sz="0" w:space="0"/>
            <w:bottom w:val="none" w:sz="0" w:space="0"/>
            <w:right w:val="none" w:sz="0" w:space="0"/>
          </w:pgBorders>
          <w:pgNumType w:fmt="decimal"/>
          <w:cols w:space="720" w:num="1"/>
          <w:rtlGutter w:val="0"/>
          <w:docGrid w:linePitch="312" w:charSpace="0"/>
        </w:sectPr>
      </w:pPr>
    </w:p>
    <w:tbl>
      <w:tblPr>
        <w:tblStyle w:val="2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34"/>
        <w:gridCol w:w="12593"/>
      </w:tblGrid>
      <w:tr w14:paraId="699099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40" w:hRule="atLeast"/>
        </w:trPr>
        <w:tc>
          <w:tcPr>
            <w:tcW w:w="634" w:type="dxa"/>
            <w:noWrap w:val="0"/>
            <w:vAlign w:val="top"/>
          </w:tcPr>
          <w:p w14:paraId="621F4C38">
            <w:pPr>
              <w:adjustRightInd w:val="0"/>
              <w:snapToGrid w:val="0"/>
              <w:spacing w:line="360" w:lineRule="auto"/>
              <w:rPr>
                <w:rFonts w:hint="eastAsia" w:ascii="宋体" w:cs="宋体"/>
                <w:b/>
                <w:kern w:val="0"/>
                <w:sz w:val="28"/>
                <w:szCs w:val="28"/>
                <w:highlight w:val="none"/>
                <w:vertAlign w:val="baseline"/>
              </w:rPr>
            </w:pPr>
          </w:p>
        </w:tc>
        <w:tc>
          <w:tcPr>
            <w:tcW w:w="12593" w:type="dxa"/>
            <w:noWrap w:val="0"/>
            <w:vAlign w:val="top"/>
          </w:tcPr>
          <w:p w14:paraId="33B21B49">
            <w:pPr>
              <w:jc w:val="center"/>
              <w:rPr>
                <w:rFonts w:hint="eastAsia" w:eastAsia="宋体"/>
                <w:b/>
                <w:bCs/>
                <w:lang w:eastAsia="zh-CN"/>
              </w:rPr>
            </w:pPr>
            <w:r>
              <w:rPr>
                <w:b/>
                <w:bCs/>
              </w:rPr>
              <w:t>表</w:t>
            </w:r>
            <w:r>
              <w:rPr>
                <w:rFonts w:hint="eastAsia"/>
                <w:b/>
                <w:bCs/>
                <w:lang w:val="en-US" w:eastAsia="zh-CN"/>
              </w:rPr>
              <w:t>4-10</w:t>
            </w:r>
            <w:r>
              <w:rPr>
                <w:b/>
                <w:bCs/>
              </w:rPr>
              <w:t xml:space="preserve"> 噪声源强及衰减后源强一览表</w:t>
            </w:r>
            <w:r>
              <w:rPr>
                <w:rFonts w:hint="eastAsia"/>
                <w:b/>
                <w:bCs/>
                <w:lang w:eastAsia="zh-CN"/>
              </w:rPr>
              <w:t>（</w:t>
            </w:r>
            <w:r>
              <w:rPr>
                <w:rFonts w:hint="eastAsia"/>
                <w:b/>
                <w:bCs/>
                <w:lang w:val="en-US" w:eastAsia="zh-CN"/>
              </w:rPr>
              <w:t>室内声源</w:t>
            </w:r>
            <w:r>
              <w:rPr>
                <w:rFonts w:hint="eastAsia"/>
                <w:b/>
                <w:bCs/>
                <w:lang w:eastAsia="zh-CN"/>
              </w:rPr>
              <w:t>）</w:t>
            </w:r>
          </w:p>
          <w:tbl>
            <w:tblPr>
              <w:tblStyle w:val="25"/>
              <w:tblW w:w="4997"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
            <w:tblGrid>
              <w:gridCol w:w="436"/>
              <w:gridCol w:w="1065"/>
              <w:gridCol w:w="795"/>
              <w:gridCol w:w="555"/>
              <w:gridCol w:w="615"/>
              <w:gridCol w:w="645"/>
              <w:gridCol w:w="495"/>
              <w:gridCol w:w="503"/>
              <w:gridCol w:w="503"/>
              <w:gridCol w:w="503"/>
              <w:gridCol w:w="504"/>
              <w:gridCol w:w="472"/>
              <w:gridCol w:w="472"/>
              <w:gridCol w:w="472"/>
              <w:gridCol w:w="474"/>
              <w:gridCol w:w="517"/>
              <w:gridCol w:w="710"/>
              <w:gridCol w:w="476"/>
              <w:gridCol w:w="476"/>
              <w:gridCol w:w="476"/>
              <w:gridCol w:w="477"/>
              <w:gridCol w:w="709"/>
            </w:tblGrid>
            <w:tr w14:paraId="346F5EB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76" w:type="pct"/>
                  <w:vMerge w:val="restart"/>
                  <w:tcBorders>
                    <w:tl2br w:val="nil"/>
                    <w:tr2bl w:val="nil"/>
                  </w:tcBorders>
                  <w:noWrap w:val="0"/>
                  <w:vAlign w:val="center"/>
                </w:tcPr>
                <w:p w14:paraId="3FB0C7E4">
                  <w:pPr>
                    <w:autoSpaceDE w:val="0"/>
                    <w:autoSpaceDN w:val="0"/>
                    <w:adjustRightInd w:val="0"/>
                    <w:snapToGrid w:val="0"/>
                    <w:jc w:val="center"/>
                    <w:rPr>
                      <w:sz w:val="21"/>
                      <w:szCs w:val="21"/>
                    </w:rPr>
                  </w:pPr>
                  <w:r>
                    <w:rPr>
                      <w:rFonts w:hint="eastAsia"/>
                      <w:sz w:val="21"/>
                      <w:szCs w:val="21"/>
                    </w:rPr>
                    <w:t>建筑物名称</w:t>
                  </w:r>
                </w:p>
              </w:tc>
              <w:tc>
                <w:tcPr>
                  <w:tcW w:w="431" w:type="pct"/>
                  <w:vMerge w:val="restart"/>
                  <w:tcBorders>
                    <w:tl2br w:val="nil"/>
                    <w:tr2bl w:val="nil"/>
                  </w:tcBorders>
                  <w:noWrap w:val="0"/>
                  <w:vAlign w:val="center"/>
                </w:tcPr>
                <w:p w14:paraId="2A1E60D8">
                  <w:pPr>
                    <w:autoSpaceDE w:val="0"/>
                    <w:autoSpaceDN w:val="0"/>
                    <w:adjustRightInd w:val="0"/>
                    <w:snapToGrid w:val="0"/>
                    <w:jc w:val="center"/>
                    <w:rPr>
                      <w:rFonts w:hint="eastAsia"/>
                      <w:sz w:val="21"/>
                      <w:szCs w:val="21"/>
                    </w:rPr>
                  </w:pPr>
                  <w:r>
                    <w:rPr>
                      <w:rFonts w:hint="eastAsia"/>
                      <w:sz w:val="21"/>
                      <w:szCs w:val="21"/>
                    </w:rPr>
                    <w:t>声源名称</w:t>
                  </w:r>
                </w:p>
              </w:tc>
              <w:tc>
                <w:tcPr>
                  <w:tcW w:w="321" w:type="pct"/>
                  <w:vMerge w:val="restart"/>
                  <w:tcBorders>
                    <w:tl2br w:val="nil"/>
                    <w:tr2bl w:val="nil"/>
                  </w:tcBorders>
                  <w:noWrap w:val="0"/>
                  <w:vAlign w:val="center"/>
                </w:tcPr>
                <w:p w14:paraId="0B75A536">
                  <w:pPr>
                    <w:autoSpaceDE w:val="0"/>
                    <w:autoSpaceDN w:val="0"/>
                    <w:adjustRightInd w:val="0"/>
                    <w:snapToGrid w:val="0"/>
                    <w:jc w:val="center"/>
                    <w:rPr>
                      <w:rFonts w:hint="eastAsia"/>
                      <w:sz w:val="21"/>
                      <w:szCs w:val="21"/>
                    </w:rPr>
                  </w:pPr>
                  <w:r>
                    <w:rPr>
                      <w:rFonts w:hint="eastAsia"/>
                      <w:sz w:val="21"/>
                      <w:szCs w:val="21"/>
                    </w:rPr>
                    <w:t>声源源强</w:t>
                  </w:r>
                </w:p>
                <w:p w14:paraId="0E8206C5">
                  <w:pPr>
                    <w:autoSpaceDE w:val="0"/>
                    <w:autoSpaceDN w:val="0"/>
                    <w:adjustRightInd w:val="0"/>
                    <w:snapToGrid w:val="0"/>
                    <w:jc w:val="center"/>
                    <w:rPr>
                      <w:rFonts w:hint="eastAsia"/>
                      <w:sz w:val="21"/>
                      <w:szCs w:val="21"/>
                    </w:rPr>
                  </w:pPr>
                  <w:r>
                    <w:rPr>
                      <w:rFonts w:hint="eastAsia"/>
                      <w:sz w:val="21"/>
                      <w:szCs w:val="21"/>
                    </w:rPr>
                    <w:t>/dB（A）</w:t>
                  </w:r>
                </w:p>
              </w:tc>
              <w:tc>
                <w:tcPr>
                  <w:tcW w:w="224" w:type="pct"/>
                  <w:vMerge w:val="restart"/>
                  <w:tcBorders>
                    <w:tl2br w:val="nil"/>
                    <w:tr2bl w:val="nil"/>
                  </w:tcBorders>
                  <w:noWrap w:val="0"/>
                  <w:vAlign w:val="center"/>
                </w:tcPr>
                <w:p w14:paraId="6EEAC321">
                  <w:pPr>
                    <w:autoSpaceDE w:val="0"/>
                    <w:autoSpaceDN w:val="0"/>
                    <w:adjustRightInd w:val="0"/>
                    <w:snapToGrid w:val="0"/>
                    <w:jc w:val="center"/>
                    <w:rPr>
                      <w:sz w:val="21"/>
                      <w:szCs w:val="21"/>
                    </w:rPr>
                  </w:pPr>
                  <w:r>
                    <w:rPr>
                      <w:rFonts w:hint="eastAsia"/>
                      <w:sz w:val="21"/>
                      <w:szCs w:val="21"/>
                    </w:rPr>
                    <w:t>声源控制措施</w:t>
                  </w:r>
                </w:p>
              </w:tc>
              <w:tc>
                <w:tcPr>
                  <w:tcW w:w="710" w:type="pct"/>
                  <w:gridSpan w:val="3"/>
                  <w:tcBorders>
                    <w:tl2br w:val="nil"/>
                    <w:tr2bl w:val="nil"/>
                  </w:tcBorders>
                  <w:noWrap w:val="0"/>
                  <w:vAlign w:val="center"/>
                </w:tcPr>
                <w:p w14:paraId="311293E1">
                  <w:pPr>
                    <w:autoSpaceDE w:val="0"/>
                    <w:autoSpaceDN w:val="0"/>
                    <w:adjustRightInd w:val="0"/>
                    <w:snapToGrid w:val="0"/>
                    <w:jc w:val="center"/>
                    <w:rPr>
                      <w:sz w:val="21"/>
                      <w:szCs w:val="21"/>
                    </w:rPr>
                  </w:pPr>
                  <w:r>
                    <w:rPr>
                      <w:rFonts w:hint="eastAsia"/>
                      <w:sz w:val="21"/>
                      <w:szCs w:val="21"/>
                    </w:rPr>
                    <w:t>空间相对位置/m</w:t>
                  </w:r>
                </w:p>
              </w:tc>
              <w:tc>
                <w:tcPr>
                  <w:tcW w:w="814" w:type="pct"/>
                  <w:gridSpan w:val="4"/>
                  <w:tcBorders>
                    <w:tl2br w:val="nil"/>
                    <w:tr2bl w:val="nil"/>
                  </w:tcBorders>
                  <w:noWrap w:val="0"/>
                  <w:vAlign w:val="center"/>
                </w:tcPr>
                <w:p w14:paraId="68F753D8">
                  <w:pPr>
                    <w:autoSpaceDE w:val="0"/>
                    <w:autoSpaceDN w:val="0"/>
                    <w:adjustRightInd w:val="0"/>
                    <w:snapToGrid w:val="0"/>
                    <w:jc w:val="center"/>
                    <w:rPr>
                      <w:sz w:val="21"/>
                      <w:szCs w:val="21"/>
                    </w:rPr>
                  </w:pPr>
                  <w:r>
                    <w:rPr>
                      <w:rFonts w:hint="eastAsia"/>
                      <w:sz w:val="21"/>
                      <w:szCs w:val="21"/>
                    </w:rPr>
                    <w:t>距室内边界距离/m</w:t>
                  </w:r>
                </w:p>
              </w:tc>
              <w:tc>
                <w:tcPr>
                  <w:tcW w:w="765" w:type="pct"/>
                  <w:gridSpan w:val="4"/>
                  <w:tcBorders>
                    <w:tl2br w:val="nil"/>
                    <w:tr2bl w:val="nil"/>
                  </w:tcBorders>
                  <w:noWrap w:val="0"/>
                  <w:vAlign w:val="center"/>
                </w:tcPr>
                <w:p w14:paraId="1FB19590">
                  <w:pPr>
                    <w:autoSpaceDE w:val="0"/>
                    <w:autoSpaceDN w:val="0"/>
                    <w:adjustRightInd w:val="0"/>
                    <w:snapToGrid w:val="0"/>
                    <w:jc w:val="center"/>
                    <w:rPr>
                      <w:sz w:val="21"/>
                      <w:szCs w:val="21"/>
                    </w:rPr>
                  </w:pPr>
                  <w:r>
                    <w:rPr>
                      <w:rFonts w:hint="eastAsia"/>
                      <w:sz w:val="21"/>
                      <w:szCs w:val="21"/>
                    </w:rPr>
                    <w:t>室内边界声级/dB（A）</w:t>
                  </w:r>
                </w:p>
              </w:tc>
              <w:tc>
                <w:tcPr>
                  <w:tcW w:w="209" w:type="pct"/>
                  <w:vMerge w:val="restart"/>
                  <w:tcBorders>
                    <w:tl2br w:val="nil"/>
                    <w:tr2bl w:val="nil"/>
                  </w:tcBorders>
                  <w:noWrap w:val="0"/>
                  <w:vAlign w:val="center"/>
                </w:tcPr>
                <w:p w14:paraId="37FC130F">
                  <w:pPr>
                    <w:autoSpaceDE w:val="0"/>
                    <w:autoSpaceDN w:val="0"/>
                    <w:adjustRightInd w:val="0"/>
                    <w:snapToGrid w:val="0"/>
                    <w:jc w:val="center"/>
                    <w:rPr>
                      <w:rFonts w:hint="eastAsia" w:ascii="Times New Roman" w:hAnsi="Times New Roman" w:eastAsia="宋体"/>
                      <w:kern w:val="2"/>
                      <w:sz w:val="21"/>
                      <w:szCs w:val="21"/>
                      <w:lang w:val="en-US" w:eastAsia="zh-CN" w:bidi="ar-SA"/>
                    </w:rPr>
                  </w:pPr>
                  <w:r>
                    <w:rPr>
                      <w:rFonts w:hint="eastAsia"/>
                      <w:sz w:val="21"/>
                      <w:szCs w:val="21"/>
                    </w:rPr>
                    <w:t>运行时段</w:t>
                  </w:r>
                </w:p>
              </w:tc>
              <w:tc>
                <w:tcPr>
                  <w:tcW w:w="287" w:type="pct"/>
                  <w:vMerge w:val="restart"/>
                  <w:tcBorders>
                    <w:tl2br w:val="nil"/>
                    <w:tr2bl w:val="nil"/>
                  </w:tcBorders>
                  <w:noWrap w:val="0"/>
                  <w:vAlign w:val="center"/>
                </w:tcPr>
                <w:p w14:paraId="14D44989">
                  <w:pPr>
                    <w:autoSpaceDE w:val="0"/>
                    <w:autoSpaceDN w:val="0"/>
                    <w:adjustRightInd w:val="0"/>
                    <w:snapToGrid w:val="0"/>
                    <w:jc w:val="center"/>
                    <w:rPr>
                      <w:rFonts w:hint="eastAsia"/>
                      <w:sz w:val="21"/>
                      <w:szCs w:val="21"/>
                    </w:rPr>
                  </w:pPr>
                  <w:r>
                    <w:rPr>
                      <w:sz w:val="21"/>
                      <w:szCs w:val="21"/>
                    </w:rPr>
                    <w:t>建筑物插入损失/dB(A)</w:t>
                  </w:r>
                </w:p>
              </w:tc>
              <w:tc>
                <w:tcPr>
                  <w:tcW w:w="1058" w:type="pct"/>
                  <w:gridSpan w:val="5"/>
                  <w:tcBorders>
                    <w:tl2br w:val="nil"/>
                    <w:tr2bl w:val="nil"/>
                  </w:tcBorders>
                  <w:noWrap w:val="0"/>
                  <w:vAlign w:val="center"/>
                </w:tcPr>
                <w:p w14:paraId="6568D1B4">
                  <w:pPr>
                    <w:autoSpaceDE w:val="0"/>
                    <w:autoSpaceDN w:val="0"/>
                    <w:adjustRightInd w:val="0"/>
                    <w:snapToGrid w:val="0"/>
                    <w:jc w:val="center"/>
                    <w:rPr>
                      <w:rFonts w:hint="eastAsia"/>
                      <w:sz w:val="21"/>
                      <w:szCs w:val="21"/>
                    </w:rPr>
                  </w:pPr>
                  <w:r>
                    <w:rPr>
                      <w:sz w:val="21"/>
                      <w:szCs w:val="21"/>
                    </w:rPr>
                    <w:t>建筑物外噪声/dB(A)</w:t>
                  </w:r>
                </w:p>
              </w:tc>
            </w:tr>
            <w:tr w14:paraId="5DD2C12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67" w:hRule="atLeast"/>
                <w:jc w:val="center"/>
              </w:trPr>
              <w:tc>
                <w:tcPr>
                  <w:tcW w:w="176" w:type="pct"/>
                  <w:vMerge w:val="continue"/>
                  <w:tcBorders>
                    <w:tl2br w:val="nil"/>
                    <w:tr2bl w:val="nil"/>
                  </w:tcBorders>
                  <w:noWrap w:val="0"/>
                  <w:vAlign w:val="center"/>
                </w:tcPr>
                <w:p w14:paraId="0546AD37">
                  <w:pPr>
                    <w:autoSpaceDE w:val="0"/>
                    <w:autoSpaceDN w:val="0"/>
                    <w:adjustRightInd w:val="0"/>
                    <w:snapToGrid w:val="0"/>
                    <w:jc w:val="center"/>
                  </w:pPr>
                </w:p>
              </w:tc>
              <w:tc>
                <w:tcPr>
                  <w:tcW w:w="431" w:type="pct"/>
                  <w:vMerge w:val="continue"/>
                  <w:tcBorders>
                    <w:tl2br w:val="nil"/>
                    <w:tr2bl w:val="nil"/>
                  </w:tcBorders>
                  <w:noWrap w:val="0"/>
                  <w:vAlign w:val="center"/>
                </w:tcPr>
                <w:p w14:paraId="1C399A06">
                  <w:pPr>
                    <w:autoSpaceDE w:val="0"/>
                    <w:autoSpaceDN w:val="0"/>
                    <w:adjustRightInd w:val="0"/>
                    <w:snapToGrid w:val="0"/>
                    <w:jc w:val="center"/>
                  </w:pPr>
                </w:p>
              </w:tc>
              <w:tc>
                <w:tcPr>
                  <w:tcW w:w="321" w:type="pct"/>
                  <w:vMerge w:val="continue"/>
                  <w:tcBorders>
                    <w:tl2br w:val="nil"/>
                    <w:tr2bl w:val="nil"/>
                  </w:tcBorders>
                  <w:noWrap w:val="0"/>
                  <w:vAlign w:val="center"/>
                </w:tcPr>
                <w:p w14:paraId="641FDF9A">
                  <w:pPr>
                    <w:autoSpaceDE w:val="0"/>
                    <w:autoSpaceDN w:val="0"/>
                    <w:adjustRightInd w:val="0"/>
                    <w:snapToGrid w:val="0"/>
                    <w:jc w:val="center"/>
                  </w:pPr>
                </w:p>
              </w:tc>
              <w:tc>
                <w:tcPr>
                  <w:tcW w:w="224" w:type="pct"/>
                  <w:vMerge w:val="continue"/>
                  <w:tcBorders>
                    <w:tl2br w:val="nil"/>
                    <w:tr2bl w:val="nil"/>
                  </w:tcBorders>
                  <w:noWrap w:val="0"/>
                  <w:vAlign w:val="center"/>
                </w:tcPr>
                <w:p w14:paraId="48583821">
                  <w:pPr>
                    <w:autoSpaceDE w:val="0"/>
                    <w:autoSpaceDN w:val="0"/>
                    <w:adjustRightInd w:val="0"/>
                    <w:snapToGrid w:val="0"/>
                    <w:jc w:val="center"/>
                  </w:pPr>
                </w:p>
              </w:tc>
              <w:tc>
                <w:tcPr>
                  <w:tcW w:w="248" w:type="pct"/>
                  <w:vMerge w:val="restart"/>
                  <w:tcBorders>
                    <w:tl2br w:val="nil"/>
                    <w:tr2bl w:val="nil"/>
                  </w:tcBorders>
                  <w:noWrap w:val="0"/>
                  <w:vAlign w:val="center"/>
                </w:tcPr>
                <w:p w14:paraId="6E3D1C0D">
                  <w:pPr>
                    <w:autoSpaceDE w:val="0"/>
                    <w:autoSpaceDN w:val="0"/>
                    <w:adjustRightInd w:val="0"/>
                    <w:snapToGrid w:val="0"/>
                    <w:jc w:val="center"/>
                    <w:rPr>
                      <w:rFonts w:hint="eastAsia"/>
                      <w:sz w:val="21"/>
                      <w:szCs w:val="21"/>
                    </w:rPr>
                  </w:pPr>
                  <w:r>
                    <w:rPr>
                      <w:rFonts w:hint="eastAsia"/>
                      <w:sz w:val="21"/>
                      <w:szCs w:val="21"/>
                    </w:rPr>
                    <w:t>X</w:t>
                  </w:r>
                </w:p>
              </w:tc>
              <w:tc>
                <w:tcPr>
                  <w:tcW w:w="261" w:type="pct"/>
                  <w:vMerge w:val="restart"/>
                  <w:tcBorders>
                    <w:tl2br w:val="nil"/>
                    <w:tr2bl w:val="nil"/>
                  </w:tcBorders>
                  <w:noWrap w:val="0"/>
                  <w:vAlign w:val="center"/>
                </w:tcPr>
                <w:p w14:paraId="29766E40">
                  <w:pPr>
                    <w:autoSpaceDE w:val="0"/>
                    <w:autoSpaceDN w:val="0"/>
                    <w:adjustRightInd w:val="0"/>
                    <w:snapToGrid w:val="0"/>
                    <w:jc w:val="center"/>
                    <w:rPr>
                      <w:rFonts w:hint="eastAsia"/>
                      <w:sz w:val="21"/>
                      <w:szCs w:val="21"/>
                    </w:rPr>
                  </w:pPr>
                  <w:r>
                    <w:rPr>
                      <w:rFonts w:hint="eastAsia"/>
                      <w:sz w:val="21"/>
                      <w:szCs w:val="21"/>
                    </w:rPr>
                    <w:t>Y</w:t>
                  </w:r>
                </w:p>
              </w:tc>
              <w:tc>
                <w:tcPr>
                  <w:tcW w:w="200" w:type="pct"/>
                  <w:vMerge w:val="restart"/>
                  <w:tcBorders>
                    <w:tl2br w:val="nil"/>
                    <w:tr2bl w:val="nil"/>
                  </w:tcBorders>
                  <w:noWrap w:val="0"/>
                  <w:vAlign w:val="center"/>
                </w:tcPr>
                <w:p w14:paraId="64AE0772">
                  <w:pPr>
                    <w:autoSpaceDE w:val="0"/>
                    <w:autoSpaceDN w:val="0"/>
                    <w:adjustRightInd w:val="0"/>
                    <w:snapToGrid w:val="0"/>
                    <w:jc w:val="center"/>
                    <w:rPr>
                      <w:rFonts w:hint="eastAsia"/>
                      <w:sz w:val="21"/>
                      <w:szCs w:val="21"/>
                    </w:rPr>
                  </w:pPr>
                  <w:r>
                    <w:rPr>
                      <w:rFonts w:hint="eastAsia"/>
                      <w:sz w:val="21"/>
                      <w:szCs w:val="21"/>
                    </w:rPr>
                    <w:t>Z</w:t>
                  </w:r>
                </w:p>
              </w:tc>
              <w:tc>
                <w:tcPr>
                  <w:tcW w:w="203" w:type="pct"/>
                  <w:vMerge w:val="restart"/>
                  <w:tcBorders>
                    <w:tl2br w:val="nil"/>
                    <w:tr2bl w:val="nil"/>
                  </w:tcBorders>
                  <w:noWrap w:val="0"/>
                  <w:vAlign w:val="center"/>
                </w:tcPr>
                <w:p w14:paraId="76DFAE27">
                  <w:pPr>
                    <w:autoSpaceDE w:val="0"/>
                    <w:autoSpaceDN w:val="0"/>
                    <w:adjustRightInd w:val="0"/>
                    <w:snapToGrid w:val="0"/>
                    <w:jc w:val="center"/>
                    <w:rPr>
                      <w:rFonts w:hint="eastAsia" w:ascii="Times New Roman" w:hAnsi="Times New Roman" w:eastAsia="宋体" w:cs="Times New Roman"/>
                      <w:kern w:val="2"/>
                      <w:sz w:val="21"/>
                      <w:szCs w:val="21"/>
                      <w:lang w:val="en-US" w:eastAsia="zh-CN" w:bidi="ar-SA"/>
                    </w:rPr>
                  </w:pPr>
                  <w:r>
                    <w:rPr>
                      <w:rFonts w:hint="eastAsia"/>
                      <w:sz w:val="21"/>
                      <w:szCs w:val="21"/>
                      <w:lang w:val="en-US" w:eastAsia="zh-CN"/>
                    </w:rPr>
                    <w:t>东</w:t>
                  </w:r>
                </w:p>
              </w:tc>
              <w:tc>
                <w:tcPr>
                  <w:tcW w:w="203" w:type="pct"/>
                  <w:vMerge w:val="restart"/>
                  <w:tcBorders>
                    <w:tl2br w:val="nil"/>
                    <w:tr2bl w:val="nil"/>
                  </w:tcBorders>
                  <w:noWrap w:val="0"/>
                  <w:vAlign w:val="center"/>
                </w:tcPr>
                <w:p w14:paraId="7AA4436D">
                  <w:pPr>
                    <w:autoSpaceDE w:val="0"/>
                    <w:autoSpaceDN w:val="0"/>
                    <w:adjustRightInd w:val="0"/>
                    <w:snapToGrid w:val="0"/>
                    <w:jc w:val="center"/>
                    <w:rPr>
                      <w:rFonts w:hint="eastAsia" w:ascii="Times New Roman" w:hAnsi="Times New Roman" w:eastAsia="宋体" w:cs="Times New Roman"/>
                      <w:kern w:val="2"/>
                      <w:sz w:val="21"/>
                      <w:szCs w:val="21"/>
                      <w:lang w:val="en-US" w:eastAsia="zh-CN" w:bidi="ar-SA"/>
                    </w:rPr>
                  </w:pPr>
                  <w:r>
                    <w:rPr>
                      <w:rFonts w:hint="eastAsia"/>
                      <w:sz w:val="21"/>
                      <w:szCs w:val="21"/>
                      <w:lang w:val="en-US" w:eastAsia="zh-CN"/>
                    </w:rPr>
                    <w:t>南</w:t>
                  </w:r>
                </w:p>
              </w:tc>
              <w:tc>
                <w:tcPr>
                  <w:tcW w:w="203" w:type="pct"/>
                  <w:vMerge w:val="restart"/>
                  <w:tcBorders>
                    <w:tl2br w:val="nil"/>
                    <w:tr2bl w:val="nil"/>
                  </w:tcBorders>
                  <w:noWrap w:val="0"/>
                  <w:vAlign w:val="center"/>
                </w:tcPr>
                <w:p w14:paraId="4A53B247">
                  <w:pPr>
                    <w:autoSpaceDE w:val="0"/>
                    <w:autoSpaceDN w:val="0"/>
                    <w:adjustRightInd w:val="0"/>
                    <w:snapToGrid w:val="0"/>
                    <w:jc w:val="center"/>
                    <w:rPr>
                      <w:rFonts w:hint="eastAsia" w:ascii="Times New Roman" w:hAnsi="Times New Roman" w:eastAsia="宋体" w:cs="Times New Roman"/>
                      <w:kern w:val="2"/>
                      <w:sz w:val="21"/>
                      <w:szCs w:val="21"/>
                      <w:lang w:val="en-US" w:eastAsia="zh-CN" w:bidi="ar-SA"/>
                    </w:rPr>
                  </w:pPr>
                  <w:r>
                    <w:rPr>
                      <w:rFonts w:hint="eastAsia"/>
                      <w:sz w:val="21"/>
                      <w:szCs w:val="21"/>
                      <w:lang w:val="en-US" w:eastAsia="zh-CN"/>
                    </w:rPr>
                    <w:t>西</w:t>
                  </w:r>
                </w:p>
              </w:tc>
              <w:tc>
                <w:tcPr>
                  <w:tcW w:w="204" w:type="pct"/>
                  <w:vMerge w:val="restart"/>
                  <w:tcBorders>
                    <w:tl2br w:val="nil"/>
                    <w:tr2bl w:val="nil"/>
                  </w:tcBorders>
                  <w:noWrap w:val="0"/>
                  <w:vAlign w:val="center"/>
                </w:tcPr>
                <w:p w14:paraId="443B5875">
                  <w:pPr>
                    <w:autoSpaceDE w:val="0"/>
                    <w:autoSpaceDN w:val="0"/>
                    <w:adjustRightInd w:val="0"/>
                    <w:snapToGrid w:val="0"/>
                    <w:jc w:val="center"/>
                    <w:rPr>
                      <w:rFonts w:hint="eastAsia" w:ascii="Times New Roman" w:hAnsi="Times New Roman" w:eastAsia="宋体" w:cs="Times New Roman"/>
                      <w:kern w:val="2"/>
                      <w:sz w:val="21"/>
                      <w:szCs w:val="21"/>
                      <w:lang w:val="en-US" w:eastAsia="zh-CN" w:bidi="ar-SA"/>
                    </w:rPr>
                  </w:pPr>
                  <w:r>
                    <w:rPr>
                      <w:rFonts w:hint="eastAsia"/>
                      <w:sz w:val="21"/>
                      <w:szCs w:val="21"/>
                      <w:lang w:val="en-US" w:eastAsia="zh-CN"/>
                    </w:rPr>
                    <w:t>北</w:t>
                  </w:r>
                </w:p>
              </w:tc>
              <w:tc>
                <w:tcPr>
                  <w:tcW w:w="191" w:type="pct"/>
                  <w:vMerge w:val="restart"/>
                  <w:tcBorders>
                    <w:tl2br w:val="nil"/>
                    <w:tr2bl w:val="nil"/>
                  </w:tcBorders>
                  <w:noWrap w:val="0"/>
                  <w:vAlign w:val="center"/>
                </w:tcPr>
                <w:p w14:paraId="0A71AE91">
                  <w:pPr>
                    <w:autoSpaceDE w:val="0"/>
                    <w:autoSpaceDN w:val="0"/>
                    <w:adjustRightInd w:val="0"/>
                    <w:snapToGrid w:val="0"/>
                    <w:jc w:val="center"/>
                    <w:rPr>
                      <w:rFonts w:hint="eastAsia" w:ascii="Times New Roman" w:hAnsi="Times New Roman" w:eastAsia="宋体" w:cs="Times New Roman"/>
                      <w:kern w:val="2"/>
                      <w:sz w:val="21"/>
                      <w:szCs w:val="21"/>
                      <w:lang w:val="en-US" w:eastAsia="zh-CN" w:bidi="ar-SA"/>
                    </w:rPr>
                  </w:pPr>
                  <w:r>
                    <w:rPr>
                      <w:rFonts w:hint="eastAsia"/>
                      <w:sz w:val="21"/>
                      <w:szCs w:val="21"/>
                      <w:lang w:val="en-US" w:eastAsia="zh-CN"/>
                    </w:rPr>
                    <w:t>东</w:t>
                  </w:r>
                </w:p>
              </w:tc>
              <w:tc>
                <w:tcPr>
                  <w:tcW w:w="191" w:type="pct"/>
                  <w:vMerge w:val="restart"/>
                  <w:tcBorders>
                    <w:tl2br w:val="nil"/>
                    <w:tr2bl w:val="nil"/>
                  </w:tcBorders>
                  <w:noWrap w:val="0"/>
                  <w:vAlign w:val="center"/>
                </w:tcPr>
                <w:p w14:paraId="4E10993C">
                  <w:pPr>
                    <w:autoSpaceDE w:val="0"/>
                    <w:autoSpaceDN w:val="0"/>
                    <w:adjustRightInd w:val="0"/>
                    <w:snapToGrid w:val="0"/>
                    <w:jc w:val="center"/>
                    <w:rPr>
                      <w:rFonts w:hint="eastAsia" w:ascii="Times New Roman" w:hAnsi="Times New Roman" w:eastAsia="宋体" w:cs="Times New Roman"/>
                      <w:kern w:val="2"/>
                      <w:sz w:val="21"/>
                      <w:szCs w:val="21"/>
                      <w:lang w:val="en-US" w:eastAsia="zh-CN" w:bidi="ar-SA"/>
                    </w:rPr>
                  </w:pPr>
                  <w:r>
                    <w:rPr>
                      <w:rFonts w:hint="eastAsia"/>
                      <w:sz w:val="21"/>
                      <w:szCs w:val="21"/>
                      <w:lang w:val="en-US" w:eastAsia="zh-CN"/>
                    </w:rPr>
                    <w:t>南</w:t>
                  </w:r>
                </w:p>
              </w:tc>
              <w:tc>
                <w:tcPr>
                  <w:tcW w:w="191" w:type="pct"/>
                  <w:vMerge w:val="restart"/>
                  <w:tcBorders>
                    <w:tl2br w:val="nil"/>
                    <w:tr2bl w:val="nil"/>
                  </w:tcBorders>
                  <w:noWrap w:val="0"/>
                  <w:vAlign w:val="center"/>
                </w:tcPr>
                <w:p w14:paraId="0AA123E0">
                  <w:pPr>
                    <w:autoSpaceDE w:val="0"/>
                    <w:autoSpaceDN w:val="0"/>
                    <w:adjustRightInd w:val="0"/>
                    <w:snapToGrid w:val="0"/>
                    <w:jc w:val="center"/>
                    <w:rPr>
                      <w:rFonts w:hint="eastAsia" w:ascii="Times New Roman" w:hAnsi="Times New Roman" w:eastAsia="宋体" w:cs="Times New Roman"/>
                      <w:kern w:val="2"/>
                      <w:sz w:val="21"/>
                      <w:szCs w:val="21"/>
                      <w:lang w:val="en-US" w:eastAsia="zh-CN" w:bidi="ar-SA"/>
                    </w:rPr>
                  </w:pPr>
                  <w:r>
                    <w:rPr>
                      <w:rFonts w:hint="eastAsia"/>
                      <w:sz w:val="21"/>
                      <w:szCs w:val="21"/>
                      <w:lang w:val="en-US" w:eastAsia="zh-CN"/>
                    </w:rPr>
                    <w:t>西</w:t>
                  </w:r>
                </w:p>
              </w:tc>
              <w:tc>
                <w:tcPr>
                  <w:tcW w:w="191" w:type="pct"/>
                  <w:vMerge w:val="restart"/>
                  <w:tcBorders>
                    <w:tl2br w:val="nil"/>
                    <w:tr2bl w:val="nil"/>
                  </w:tcBorders>
                  <w:noWrap w:val="0"/>
                  <w:vAlign w:val="center"/>
                </w:tcPr>
                <w:p w14:paraId="5605F3AA">
                  <w:pPr>
                    <w:autoSpaceDE w:val="0"/>
                    <w:autoSpaceDN w:val="0"/>
                    <w:adjustRightInd w:val="0"/>
                    <w:snapToGrid w:val="0"/>
                    <w:jc w:val="center"/>
                    <w:rPr>
                      <w:rFonts w:hint="eastAsia" w:ascii="Times New Roman" w:hAnsi="Times New Roman" w:eastAsia="宋体" w:cs="Times New Roman"/>
                      <w:kern w:val="2"/>
                      <w:sz w:val="21"/>
                      <w:szCs w:val="21"/>
                      <w:lang w:val="en-US" w:eastAsia="zh-CN" w:bidi="ar-SA"/>
                    </w:rPr>
                  </w:pPr>
                  <w:r>
                    <w:rPr>
                      <w:rFonts w:hint="eastAsia"/>
                      <w:sz w:val="21"/>
                      <w:szCs w:val="21"/>
                      <w:lang w:val="en-US" w:eastAsia="zh-CN"/>
                    </w:rPr>
                    <w:t>北</w:t>
                  </w:r>
                </w:p>
              </w:tc>
              <w:tc>
                <w:tcPr>
                  <w:tcW w:w="209" w:type="pct"/>
                  <w:vMerge w:val="continue"/>
                  <w:tcBorders>
                    <w:tl2br w:val="nil"/>
                    <w:tr2bl w:val="nil"/>
                  </w:tcBorders>
                  <w:noWrap w:val="0"/>
                  <w:vAlign w:val="center"/>
                </w:tcPr>
                <w:p w14:paraId="47D6F076">
                  <w:pPr>
                    <w:autoSpaceDE w:val="0"/>
                    <w:autoSpaceDN w:val="0"/>
                    <w:adjustRightInd w:val="0"/>
                    <w:snapToGrid w:val="0"/>
                    <w:jc w:val="center"/>
                    <w:rPr>
                      <w:sz w:val="21"/>
                      <w:szCs w:val="21"/>
                    </w:rPr>
                  </w:pPr>
                </w:p>
              </w:tc>
              <w:tc>
                <w:tcPr>
                  <w:tcW w:w="287" w:type="pct"/>
                  <w:vMerge w:val="continue"/>
                  <w:tcBorders>
                    <w:tl2br w:val="nil"/>
                    <w:tr2bl w:val="nil"/>
                  </w:tcBorders>
                  <w:noWrap w:val="0"/>
                  <w:vAlign w:val="center"/>
                </w:tcPr>
                <w:p w14:paraId="16D855BC">
                  <w:pPr>
                    <w:autoSpaceDE w:val="0"/>
                    <w:autoSpaceDN w:val="0"/>
                    <w:adjustRightInd w:val="0"/>
                    <w:snapToGrid w:val="0"/>
                    <w:jc w:val="center"/>
                    <w:rPr>
                      <w:sz w:val="21"/>
                      <w:szCs w:val="21"/>
                    </w:rPr>
                  </w:pPr>
                </w:p>
              </w:tc>
              <w:tc>
                <w:tcPr>
                  <w:tcW w:w="771" w:type="pct"/>
                  <w:gridSpan w:val="4"/>
                  <w:tcBorders>
                    <w:tl2br w:val="nil"/>
                    <w:tr2bl w:val="nil"/>
                  </w:tcBorders>
                  <w:noWrap w:val="0"/>
                  <w:vAlign w:val="center"/>
                </w:tcPr>
                <w:p w14:paraId="1EA0C9C9">
                  <w:pPr>
                    <w:autoSpaceDE w:val="0"/>
                    <w:autoSpaceDN w:val="0"/>
                    <w:adjustRightInd w:val="0"/>
                    <w:snapToGrid w:val="0"/>
                    <w:jc w:val="center"/>
                    <w:rPr>
                      <w:rFonts w:hint="default" w:eastAsia="宋体"/>
                      <w:sz w:val="21"/>
                      <w:szCs w:val="21"/>
                      <w:lang w:val="en-US" w:eastAsia="zh-CN"/>
                    </w:rPr>
                  </w:pPr>
                  <w:r>
                    <w:rPr>
                      <w:rFonts w:hint="eastAsia"/>
                      <w:sz w:val="21"/>
                      <w:szCs w:val="21"/>
                      <w:lang w:val="en-US" w:eastAsia="zh-CN"/>
                    </w:rPr>
                    <w:t>声压级/</w:t>
                  </w:r>
                  <w:r>
                    <w:rPr>
                      <w:rFonts w:hint="eastAsia"/>
                      <w:sz w:val="21"/>
                      <w:szCs w:val="21"/>
                    </w:rPr>
                    <w:t>dB（A）</w:t>
                  </w:r>
                </w:p>
              </w:tc>
              <w:tc>
                <w:tcPr>
                  <w:tcW w:w="287" w:type="pct"/>
                  <w:vMerge w:val="restart"/>
                  <w:tcBorders>
                    <w:tl2br w:val="nil"/>
                    <w:tr2bl w:val="nil"/>
                  </w:tcBorders>
                  <w:noWrap w:val="0"/>
                  <w:vAlign w:val="center"/>
                </w:tcPr>
                <w:p w14:paraId="38A9BE11">
                  <w:pPr>
                    <w:autoSpaceDE w:val="0"/>
                    <w:autoSpaceDN w:val="0"/>
                    <w:adjustRightInd w:val="0"/>
                    <w:snapToGrid w:val="0"/>
                    <w:jc w:val="center"/>
                    <w:rPr>
                      <w:rFonts w:hint="eastAsia" w:ascii="Times New Roman" w:hAnsi="Times New Roman" w:eastAsia="宋体"/>
                      <w:kern w:val="2"/>
                      <w:sz w:val="21"/>
                      <w:szCs w:val="21"/>
                      <w:lang w:val="en-US" w:eastAsia="zh-CN" w:bidi="ar-SA"/>
                    </w:rPr>
                  </w:pPr>
                  <w:r>
                    <w:rPr>
                      <w:rFonts w:hint="eastAsia"/>
                      <w:sz w:val="21"/>
                      <w:szCs w:val="21"/>
                    </w:rPr>
                    <w:t>建筑物外距离</w:t>
                  </w:r>
                </w:p>
              </w:tc>
            </w:tr>
            <w:tr w14:paraId="14BA50A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67" w:hRule="atLeast"/>
                <w:jc w:val="center"/>
              </w:trPr>
              <w:tc>
                <w:tcPr>
                  <w:tcW w:w="176" w:type="pct"/>
                  <w:vMerge w:val="continue"/>
                  <w:tcBorders>
                    <w:tl2br w:val="nil"/>
                    <w:tr2bl w:val="nil"/>
                  </w:tcBorders>
                  <w:noWrap w:val="0"/>
                  <w:vAlign w:val="center"/>
                </w:tcPr>
                <w:p w14:paraId="2418830E">
                  <w:pPr>
                    <w:autoSpaceDE w:val="0"/>
                    <w:autoSpaceDN w:val="0"/>
                    <w:adjustRightInd w:val="0"/>
                    <w:snapToGrid w:val="0"/>
                    <w:jc w:val="center"/>
                  </w:pPr>
                </w:p>
              </w:tc>
              <w:tc>
                <w:tcPr>
                  <w:tcW w:w="431" w:type="pct"/>
                  <w:vMerge w:val="continue"/>
                  <w:tcBorders>
                    <w:tl2br w:val="nil"/>
                    <w:tr2bl w:val="nil"/>
                  </w:tcBorders>
                  <w:noWrap w:val="0"/>
                  <w:vAlign w:val="center"/>
                </w:tcPr>
                <w:p w14:paraId="59E24D8C">
                  <w:pPr>
                    <w:autoSpaceDE w:val="0"/>
                    <w:autoSpaceDN w:val="0"/>
                    <w:adjustRightInd w:val="0"/>
                    <w:snapToGrid w:val="0"/>
                    <w:jc w:val="center"/>
                  </w:pPr>
                </w:p>
              </w:tc>
              <w:tc>
                <w:tcPr>
                  <w:tcW w:w="321" w:type="pct"/>
                  <w:vMerge w:val="continue"/>
                  <w:tcBorders>
                    <w:tl2br w:val="nil"/>
                    <w:tr2bl w:val="nil"/>
                  </w:tcBorders>
                  <w:noWrap w:val="0"/>
                  <w:vAlign w:val="center"/>
                </w:tcPr>
                <w:p w14:paraId="183EA410">
                  <w:pPr>
                    <w:autoSpaceDE w:val="0"/>
                    <w:autoSpaceDN w:val="0"/>
                    <w:adjustRightInd w:val="0"/>
                    <w:snapToGrid w:val="0"/>
                    <w:jc w:val="center"/>
                  </w:pPr>
                </w:p>
              </w:tc>
              <w:tc>
                <w:tcPr>
                  <w:tcW w:w="224" w:type="pct"/>
                  <w:vMerge w:val="continue"/>
                  <w:tcBorders>
                    <w:tl2br w:val="nil"/>
                    <w:tr2bl w:val="nil"/>
                  </w:tcBorders>
                  <w:noWrap w:val="0"/>
                  <w:vAlign w:val="center"/>
                </w:tcPr>
                <w:p w14:paraId="0BAFB3F0">
                  <w:pPr>
                    <w:autoSpaceDE w:val="0"/>
                    <w:autoSpaceDN w:val="0"/>
                    <w:adjustRightInd w:val="0"/>
                    <w:snapToGrid w:val="0"/>
                    <w:jc w:val="center"/>
                  </w:pPr>
                </w:p>
              </w:tc>
              <w:tc>
                <w:tcPr>
                  <w:tcW w:w="248" w:type="pct"/>
                  <w:vMerge w:val="continue"/>
                  <w:tcBorders>
                    <w:tl2br w:val="nil"/>
                    <w:tr2bl w:val="nil"/>
                  </w:tcBorders>
                  <w:noWrap w:val="0"/>
                  <w:vAlign w:val="center"/>
                </w:tcPr>
                <w:p w14:paraId="125D477D">
                  <w:pPr>
                    <w:autoSpaceDE w:val="0"/>
                    <w:autoSpaceDN w:val="0"/>
                    <w:adjustRightInd w:val="0"/>
                    <w:snapToGrid w:val="0"/>
                    <w:jc w:val="center"/>
                  </w:pPr>
                </w:p>
              </w:tc>
              <w:tc>
                <w:tcPr>
                  <w:tcW w:w="261" w:type="pct"/>
                  <w:vMerge w:val="continue"/>
                  <w:tcBorders>
                    <w:tl2br w:val="nil"/>
                    <w:tr2bl w:val="nil"/>
                  </w:tcBorders>
                  <w:noWrap w:val="0"/>
                  <w:vAlign w:val="center"/>
                </w:tcPr>
                <w:p w14:paraId="60FB9F72">
                  <w:pPr>
                    <w:autoSpaceDE w:val="0"/>
                    <w:autoSpaceDN w:val="0"/>
                    <w:adjustRightInd w:val="0"/>
                    <w:snapToGrid w:val="0"/>
                    <w:jc w:val="center"/>
                  </w:pPr>
                </w:p>
              </w:tc>
              <w:tc>
                <w:tcPr>
                  <w:tcW w:w="200" w:type="pct"/>
                  <w:vMerge w:val="continue"/>
                  <w:tcBorders>
                    <w:tl2br w:val="nil"/>
                    <w:tr2bl w:val="nil"/>
                  </w:tcBorders>
                  <w:noWrap w:val="0"/>
                  <w:vAlign w:val="center"/>
                </w:tcPr>
                <w:p w14:paraId="42A68A0C">
                  <w:pPr>
                    <w:autoSpaceDE w:val="0"/>
                    <w:autoSpaceDN w:val="0"/>
                    <w:adjustRightInd w:val="0"/>
                    <w:snapToGrid w:val="0"/>
                    <w:jc w:val="center"/>
                  </w:pPr>
                </w:p>
              </w:tc>
              <w:tc>
                <w:tcPr>
                  <w:tcW w:w="203" w:type="pct"/>
                  <w:vMerge w:val="continue"/>
                  <w:tcBorders>
                    <w:tl2br w:val="nil"/>
                    <w:tr2bl w:val="nil"/>
                  </w:tcBorders>
                  <w:noWrap w:val="0"/>
                  <w:vAlign w:val="center"/>
                </w:tcPr>
                <w:p w14:paraId="5353D436">
                  <w:pPr>
                    <w:autoSpaceDE w:val="0"/>
                    <w:autoSpaceDN w:val="0"/>
                    <w:adjustRightInd w:val="0"/>
                    <w:snapToGrid w:val="0"/>
                    <w:jc w:val="center"/>
                  </w:pPr>
                </w:p>
              </w:tc>
              <w:tc>
                <w:tcPr>
                  <w:tcW w:w="203" w:type="pct"/>
                  <w:vMerge w:val="continue"/>
                  <w:tcBorders>
                    <w:tl2br w:val="nil"/>
                    <w:tr2bl w:val="nil"/>
                  </w:tcBorders>
                  <w:noWrap w:val="0"/>
                  <w:vAlign w:val="center"/>
                </w:tcPr>
                <w:p w14:paraId="299EADCC">
                  <w:pPr>
                    <w:autoSpaceDE w:val="0"/>
                    <w:autoSpaceDN w:val="0"/>
                    <w:adjustRightInd w:val="0"/>
                    <w:snapToGrid w:val="0"/>
                    <w:jc w:val="center"/>
                  </w:pPr>
                </w:p>
              </w:tc>
              <w:tc>
                <w:tcPr>
                  <w:tcW w:w="203" w:type="pct"/>
                  <w:vMerge w:val="continue"/>
                  <w:tcBorders>
                    <w:tl2br w:val="nil"/>
                    <w:tr2bl w:val="nil"/>
                  </w:tcBorders>
                  <w:noWrap w:val="0"/>
                  <w:vAlign w:val="center"/>
                </w:tcPr>
                <w:p w14:paraId="4DC46261">
                  <w:pPr>
                    <w:autoSpaceDE w:val="0"/>
                    <w:autoSpaceDN w:val="0"/>
                    <w:adjustRightInd w:val="0"/>
                    <w:snapToGrid w:val="0"/>
                    <w:jc w:val="center"/>
                  </w:pPr>
                </w:p>
              </w:tc>
              <w:tc>
                <w:tcPr>
                  <w:tcW w:w="204" w:type="pct"/>
                  <w:vMerge w:val="continue"/>
                  <w:tcBorders>
                    <w:tl2br w:val="nil"/>
                    <w:tr2bl w:val="nil"/>
                  </w:tcBorders>
                  <w:noWrap w:val="0"/>
                  <w:vAlign w:val="center"/>
                </w:tcPr>
                <w:p w14:paraId="69A1B66D">
                  <w:pPr>
                    <w:autoSpaceDE w:val="0"/>
                    <w:autoSpaceDN w:val="0"/>
                    <w:adjustRightInd w:val="0"/>
                    <w:snapToGrid w:val="0"/>
                    <w:jc w:val="center"/>
                  </w:pPr>
                </w:p>
              </w:tc>
              <w:tc>
                <w:tcPr>
                  <w:tcW w:w="191" w:type="pct"/>
                  <w:vMerge w:val="continue"/>
                  <w:tcBorders>
                    <w:tl2br w:val="nil"/>
                    <w:tr2bl w:val="nil"/>
                  </w:tcBorders>
                  <w:noWrap w:val="0"/>
                  <w:vAlign w:val="center"/>
                </w:tcPr>
                <w:p w14:paraId="6CC8615B">
                  <w:pPr>
                    <w:autoSpaceDE w:val="0"/>
                    <w:autoSpaceDN w:val="0"/>
                    <w:adjustRightInd w:val="0"/>
                    <w:snapToGrid w:val="0"/>
                    <w:jc w:val="center"/>
                  </w:pPr>
                </w:p>
              </w:tc>
              <w:tc>
                <w:tcPr>
                  <w:tcW w:w="191" w:type="pct"/>
                  <w:vMerge w:val="continue"/>
                  <w:tcBorders>
                    <w:tl2br w:val="nil"/>
                    <w:tr2bl w:val="nil"/>
                  </w:tcBorders>
                  <w:noWrap w:val="0"/>
                  <w:vAlign w:val="center"/>
                </w:tcPr>
                <w:p w14:paraId="1CA4AEB9">
                  <w:pPr>
                    <w:autoSpaceDE w:val="0"/>
                    <w:autoSpaceDN w:val="0"/>
                    <w:adjustRightInd w:val="0"/>
                    <w:snapToGrid w:val="0"/>
                    <w:jc w:val="center"/>
                  </w:pPr>
                </w:p>
              </w:tc>
              <w:tc>
                <w:tcPr>
                  <w:tcW w:w="191" w:type="pct"/>
                  <w:vMerge w:val="continue"/>
                  <w:tcBorders>
                    <w:tl2br w:val="nil"/>
                    <w:tr2bl w:val="nil"/>
                  </w:tcBorders>
                  <w:noWrap w:val="0"/>
                  <w:vAlign w:val="center"/>
                </w:tcPr>
                <w:p w14:paraId="5C3ECE1D">
                  <w:pPr>
                    <w:autoSpaceDE w:val="0"/>
                    <w:autoSpaceDN w:val="0"/>
                    <w:adjustRightInd w:val="0"/>
                    <w:snapToGrid w:val="0"/>
                    <w:jc w:val="center"/>
                  </w:pPr>
                </w:p>
              </w:tc>
              <w:tc>
                <w:tcPr>
                  <w:tcW w:w="191" w:type="pct"/>
                  <w:vMerge w:val="continue"/>
                  <w:tcBorders>
                    <w:tl2br w:val="nil"/>
                    <w:tr2bl w:val="nil"/>
                  </w:tcBorders>
                  <w:noWrap w:val="0"/>
                  <w:vAlign w:val="center"/>
                </w:tcPr>
                <w:p w14:paraId="7EA9D389">
                  <w:pPr>
                    <w:autoSpaceDE w:val="0"/>
                    <w:autoSpaceDN w:val="0"/>
                    <w:adjustRightInd w:val="0"/>
                    <w:snapToGrid w:val="0"/>
                    <w:jc w:val="center"/>
                  </w:pPr>
                </w:p>
              </w:tc>
              <w:tc>
                <w:tcPr>
                  <w:tcW w:w="209" w:type="pct"/>
                  <w:vMerge w:val="continue"/>
                  <w:tcBorders>
                    <w:tl2br w:val="nil"/>
                    <w:tr2bl w:val="nil"/>
                  </w:tcBorders>
                  <w:noWrap w:val="0"/>
                  <w:vAlign w:val="center"/>
                </w:tcPr>
                <w:p w14:paraId="104C6C03">
                  <w:pPr>
                    <w:autoSpaceDE w:val="0"/>
                    <w:autoSpaceDN w:val="0"/>
                    <w:adjustRightInd w:val="0"/>
                    <w:snapToGrid w:val="0"/>
                    <w:jc w:val="center"/>
                  </w:pPr>
                </w:p>
              </w:tc>
              <w:tc>
                <w:tcPr>
                  <w:tcW w:w="287" w:type="pct"/>
                  <w:vMerge w:val="continue"/>
                  <w:tcBorders>
                    <w:tl2br w:val="nil"/>
                    <w:tr2bl w:val="nil"/>
                  </w:tcBorders>
                  <w:noWrap w:val="0"/>
                  <w:vAlign w:val="center"/>
                </w:tcPr>
                <w:p w14:paraId="6916A864">
                  <w:pPr>
                    <w:autoSpaceDE w:val="0"/>
                    <w:autoSpaceDN w:val="0"/>
                    <w:adjustRightInd w:val="0"/>
                    <w:snapToGrid w:val="0"/>
                    <w:jc w:val="center"/>
                  </w:pPr>
                </w:p>
              </w:tc>
              <w:tc>
                <w:tcPr>
                  <w:tcW w:w="192" w:type="pct"/>
                  <w:tcBorders>
                    <w:tl2br w:val="nil"/>
                    <w:tr2bl w:val="nil"/>
                  </w:tcBorders>
                  <w:noWrap w:val="0"/>
                  <w:vAlign w:val="center"/>
                </w:tcPr>
                <w:p w14:paraId="425A1922">
                  <w:pPr>
                    <w:autoSpaceDE w:val="0"/>
                    <w:autoSpaceDN w:val="0"/>
                    <w:adjustRightInd w:val="0"/>
                    <w:snapToGrid w:val="0"/>
                    <w:jc w:val="center"/>
                    <w:rPr>
                      <w:rFonts w:hint="eastAsia" w:ascii="Times New Roman" w:hAnsi="Times New Roman" w:eastAsia="宋体" w:cs="Times New Roman"/>
                      <w:kern w:val="2"/>
                      <w:sz w:val="21"/>
                      <w:szCs w:val="21"/>
                      <w:lang w:val="en-US" w:eastAsia="zh-CN" w:bidi="ar-SA"/>
                    </w:rPr>
                  </w:pPr>
                  <w:r>
                    <w:rPr>
                      <w:rFonts w:hint="eastAsia"/>
                      <w:sz w:val="21"/>
                      <w:szCs w:val="21"/>
                      <w:lang w:val="en-US" w:eastAsia="zh-CN"/>
                    </w:rPr>
                    <w:t>东</w:t>
                  </w:r>
                </w:p>
              </w:tc>
              <w:tc>
                <w:tcPr>
                  <w:tcW w:w="192" w:type="pct"/>
                  <w:tcBorders>
                    <w:tl2br w:val="nil"/>
                    <w:tr2bl w:val="nil"/>
                  </w:tcBorders>
                  <w:noWrap w:val="0"/>
                  <w:vAlign w:val="center"/>
                </w:tcPr>
                <w:p w14:paraId="20124080">
                  <w:pPr>
                    <w:autoSpaceDE w:val="0"/>
                    <w:autoSpaceDN w:val="0"/>
                    <w:adjustRightInd w:val="0"/>
                    <w:snapToGrid w:val="0"/>
                    <w:jc w:val="center"/>
                    <w:rPr>
                      <w:rFonts w:hint="eastAsia" w:ascii="Times New Roman" w:hAnsi="Times New Roman" w:eastAsia="宋体" w:cs="Times New Roman"/>
                      <w:kern w:val="2"/>
                      <w:sz w:val="21"/>
                      <w:szCs w:val="21"/>
                      <w:lang w:val="en-US" w:eastAsia="zh-CN" w:bidi="ar-SA"/>
                    </w:rPr>
                  </w:pPr>
                  <w:r>
                    <w:rPr>
                      <w:rFonts w:hint="eastAsia"/>
                      <w:sz w:val="21"/>
                      <w:szCs w:val="21"/>
                      <w:lang w:val="en-US" w:eastAsia="zh-CN"/>
                    </w:rPr>
                    <w:t>南</w:t>
                  </w:r>
                </w:p>
              </w:tc>
              <w:tc>
                <w:tcPr>
                  <w:tcW w:w="192" w:type="pct"/>
                  <w:tcBorders>
                    <w:tl2br w:val="nil"/>
                    <w:tr2bl w:val="nil"/>
                  </w:tcBorders>
                  <w:noWrap w:val="0"/>
                  <w:vAlign w:val="center"/>
                </w:tcPr>
                <w:p w14:paraId="48142C49">
                  <w:pPr>
                    <w:autoSpaceDE w:val="0"/>
                    <w:autoSpaceDN w:val="0"/>
                    <w:adjustRightInd w:val="0"/>
                    <w:snapToGrid w:val="0"/>
                    <w:jc w:val="center"/>
                    <w:rPr>
                      <w:rFonts w:hint="eastAsia" w:ascii="Times New Roman" w:hAnsi="Times New Roman" w:eastAsia="宋体" w:cs="Times New Roman"/>
                      <w:kern w:val="2"/>
                      <w:sz w:val="21"/>
                      <w:szCs w:val="21"/>
                      <w:lang w:val="en-US" w:eastAsia="zh-CN" w:bidi="ar-SA"/>
                    </w:rPr>
                  </w:pPr>
                  <w:r>
                    <w:rPr>
                      <w:rFonts w:hint="eastAsia"/>
                      <w:sz w:val="21"/>
                      <w:szCs w:val="21"/>
                      <w:lang w:val="en-US" w:eastAsia="zh-CN"/>
                    </w:rPr>
                    <w:t>西</w:t>
                  </w:r>
                </w:p>
              </w:tc>
              <w:tc>
                <w:tcPr>
                  <w:tcW w:w="193" w:type="pct"/>
                  <w:tcBorders>
                    <w:tl2br w:val="nil"/>
                    <w:tr2bl w:val="nil"/>
                  </w:tcBorders>
                  <w:noWrap w:val="0"/>
                  <w:vAlign w:val="center"/>
                </w:tcPr>
                <w:p w14:paraId="283EEC91">
                  <w:pPr>
                    <w:autoSpaceDE w:val="0"/>
                    <w:autoSpaceDN w:val="0"/>
                    <w:adjustRightInd w:val="0"/>
                    <w:snapToGrid w:val="0"/>
                    <w:jc w:val="center"/>
                    <w:rPr>
                      <w:rFonts w:hint="eastAsia" w:ascii="Times New Roman" w:hAnsi="Times New Roman" w:eastAsia="宋体" w:cs="Times New Roman"/>
                      <w:kern w:val="2"/>
                      <w:sz w:val="21"/>
                      <w:szCs w:val="21"/>
                      <w:lang w:val="en-US" w:eastAsia="zh-CN" w:bidi="ar-SA"/>
                    </w:rPr>
                  </w:pPr>
                  <w:r>
                    <w:rPr>
                      <w:rFonts w:hint="eastAsia"/>
                      <w:sz w:val="21"/>
                      <w:szCs w:val="21"/>
                      <w:lang w:val="en-US" w:eastAsia="zh-CN"/>
                    </w:rPr>
                    <w:t>北</w:t>
                  </w:r>
                </w:p>
              </w:tc>
              <w:tc>
                <w:tcPr>
                  <w:tcW w:w="287" w:type="pct"/>
                  <w:vMerge w:val="continue"/>
                  <w:tcBorders>
                    <w:tl2br w:val="nil"/>
                    <w:tr2bl w:val="nil"/>
                  </w:tcBorders>
                  <w:noWrap w:val="0"/>
                  <w:vAlign w:val="center"/>
                </w:tcPr>
                <w:p w14:paraId="522DD4DE">
                  <w:pPr>
                    <w:autoSpaceDE w:val="0"/>
                    <w:autoSpaceDN w:val="0"/>
                    <w:adjustRightInd w:val="0"/>
                    <w:snapToGrid w:val="0"/>
                    <w:jc w:val="center"/>
                    <w:rPr>
                      <w:rFonts w:hint="eastAsia"/>
                      <w:sz w:val="21"/>
                      <w:szCs w:val="21"/>
                      <w:lang w:val="en-US" w:eastAsia="zh-CN"/>
                    </w:rPr>
                  </w:pPr>
                </w:p>
              </w:tc>
            </w:tr>
            <w:tr w14:paraId="50D4013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76" w:type="pct"/>
                  <w:vMerge w:val="restart"/>
                  <w:tcBorders>
                    <w:tl2br w:val="nil"/>
                    <w:tr2bl w:val="nil"/>
                  </w:tcBorders>
                  <w:noWrap w:val="0"/>
                  <w:vAlign w:val="center"/>
                </w:tcPr>
                <w:p w14:paraId="5F4FDF68">
                  <w:pPr>
                    <w:jc w:val="center"/>
                    <w:rPr>
                      <w:rFonts w:hint="default" w:eastAsia="宋体"/>
                      <w:sz w:val="21"/>
                      <w:szCs w:val="21"/>
                      <w:lang w:val="en-US" w:eastAsia="zh-CN"/>
                    </w:rPr>
                  </w:pPr>
                  <w:r>
                    <w:rPr>
                      <w:rFonts w:hint="eastAsia"/>
                      <w:sz w:val="21"/>
                      <w:szCs w:val="21"/>
                      <w:lang w:val="en-US" w:eastAsia="zh-CN"/>
                    </w:rPr>
                    <w:t>1#厂房</w:t>
                  </w:r>
                </w:p>
              </w:tc>
              <w:tc>
                <w:tcPr>
                  <w:tcW w:w="431" w:type="pct"/>
                  <w:tcBorders>
                    <w:tl2br w:val="nil"/>
                    <w:tr2bl w:val="nil"/>
                  </w:tcBorders>
                  <w:noWrap w:val="0"/>
                  <w:vAlign w:val="center"/>
                </w:tcPr>
                <w:p w14:paraId="62D9B985">
                  <w:pPr>
                    <w:keepNext w:val="0"/>
                    <w:keepLines w:val="0"/>
                    <w:widowControl/>
                    <w:suppressLineNumbers w:val="0"/>
                    <w:jc w:val="center"/>
                    <w:textAlignment w:val="center"/>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移动式破碎机（5台）</w:t>
                  </w:r>
                </w:p>
              </w:tc>
              <w:tc>
                <w:tcPr>
                  <w:tcW w:w="321" w:type="pct"/>
                  <w:tcBorders>
                    <w:tl2br w:val="nil"/>
                    <w:tr2bl w:val="nil"/>
                  </w:tcBorders>
                  <w:noWrap w:val="0"/>
                  <w:vAlign w:val="center"/>
                </w:tcPr>
                <w:p w14:paraId="4F1484D0">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85（等效后：92）</w:t>
                  </w:r>
                </w:p>
              </w:tc>
              <w:tc>
                <w:tcPr>
                  <w:tcW w:w="224" w:type="pct"/>
                  <w:vMerge w:val="restart"/>
                  <w:tcBorders>
                    <w:tl2br w:val="nil"/>
                    <w:tr2bl w:val="nil"/>
                  </w:tcBorders>
                  <w:noWrap w:val="0"/>
                  <w:vAlign w:val="center"/>
                </w:tcPr>
                <w:p w14:paraId="6526F0B3">
                  <w:pPr>
                    <w:keepNext w:val="0"/>
                    <w:keepLines w:val="0"/>
                    <w:widowControl/>
                    <w:suppressLineNumbers w:val="0"/>
                    <w:jc w:val="center"/>
                    <w:textAlignment w:val="center"/>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选用低噪声设备，置于封闭的厂房内（1#厂房为单层门式钢架结构）</w:t>
                  </w:r>
                </w:p>
              </w:tc>
              <w:tc>
                <w:tcPr>
                  <w:tcW w:w="248" w:type="pct"/>
                  <w:tcBorders>
                    <w:tl2br w:val="nil"/>
                    <w:tr2bl w:val="nil"/>
                  </w:tcBorders>
                  <w:noWrap w:val="0"/>
                  <w:vAlign w:val="center"/>
                </w:tcPr>
                <w:p w14:paraId="007AFC44">
                  <w:pPr>
                    <w:widowControl/>
                    <w:jc w:val="center"/>
                    <w:textAlignment w:val="center"/>
                    <w:rPr>
                      <w:rFonts w:hint="default"/>
                      <w:sz w:val="21"/>
                      <w:szCs w:val="21"/>
                      <w:lang w:val="en-US" w:eastAsia="zh-CN"/>
                    </w:rPr>
                  </w:pPr>
                  <w:r>
                    <w:rPr>
                      <w:rFonts w:hint="eastAsia"/>
                      <w:sz w:val="21"/>
                      <w:szCs w:val="21"/>
                      <w:lang w:val="en-US" w:eastAsia="zh-CN"/>
                    </w:rPr>
                    <w:t>-5.1</w:t>
                  </w:r>
                </w:p>
              </w:tc>
              <w:tc>
                <w:tcPr>
                  <w:tcW w:w="261" w:type="pct"/>
                  <w:tcBorders>
                    <w:tl2br w:val="nil"/>
                    <w:tr2bl w:val="nil"/>
                  </w:tcBorders>
                  <w:noWrap w:val="0"/>
                  <w:vAlign w:val="center"/>
                </w:tcPr>
                <w:p w14:paraId="47AB5468">
                  <w:pPr>
                    <w:widowControl/>
                    <w:jc w:val="center"/>
                    <w:textAlignment w:val="center"/>
                    <w:rPr>
                      <w:rFonts w:hint="default"/>
                      <w:sz w:val="21"/>
                      <w:szCs w:val="21"/>
                      <w:lang w:val="en-US" w:eastAsia="zh-CN"/>
                    </w:rPr>
                  </w:pPr>
                  <w:r>
                    <w:rPr>
                      <w:rFonts w:hint="eastAsia"/>
                      <w:sz w:val="21"/>
                      <w:szCs w:val="21"/>
                      <w:lang w:val="en-US" w:eastAsia="zh-CN"/>
                    </w:rPr>
                    <w:t>227.2</w:t>
                  </w:r>
                </w:p>
              </w:tc>
              <w:tc>
                <w:tcPr>
                  <w:tcW w:w="200" w:type="pct"/>
                  <w:tcBorders>
                    <w:tl2br w:val="nil"/>
                    <w:tr2bl w:val="nil"/>
                  </w:tcBorders>
                  <w:noWrap w:val="0"/>
                  <w:vAlign w:val="center"/>
                </w:tcPr>
                <w:p w14:paraId="369DA781">
                  <w:pPr>
                    <w:widowControl/>
                    <w:jc w:val="center"/>
                    <w:textAlignment w:val="center"/>
                    <w:rPr>
                      <w:rFonts w:hint="default"/>
                      <w:sz w:val="21"/>
                      <w:szCs w:val="21"/>
                      <w:lang w:val="en-US" w:eastAsia="zh-CN"/>
                    </w:rPr>
                  </w:pPr>
                  <w:r>
                    <w:rPr>
                      <w:rFonts w:hint="eastAsia"/>
                      <w:sz w:val="21"/>
                      <w:szCs w:val="21"/>
                      <w:lang w:val="en-US" w:eastAsia="zh-CN"/>
                    </w:rPr>
                    <w:t>1.2</w:t>
                  </w:r>
                </w:p>
              </w:tc>
              <w:tc>
                <w:tcPr>
                  <w:tcW w:w="203" w:type="pct"/>
                  <w:tcBorders>
                    <w:tl2br w:val="nil"/>
                    <w:tr2bl w:val="nil"/>
                  </w:tcBorders>
                  <w:noWrap w:val="0"/>
                  <w:vAlign w:val="center"/>
                </w:tcPr>
                <w:p w14:paraId="09D80BB8">
                  <w:pPr>
                    <w:widowControl/>
                    <w:jc w:val="center"/>
                    <w:textAlignment w:val="center"/>
                    <w:rPr>
                      <w:rFonts w:hint="default"/>
                      <w:sz w:val="21"/>
                      <w:szCs w:val="21"/>
                      <w:lang w:val="en-US" w:eastAsia="zh-CN"/>
                    </w:rPr>
                  </w:pPr>
                  <w:r>
                    <w:rPr>
                      <w:rFonts w:hint="eastAsia"/>
                      <w:sz w:val="21"/>
                      <w:szCs w:val="21"/>
                      <w:lang w:val="en-US" w:eastAsia="zh-CN"/>
                    </w:rPr>
                    <w:t>155.5</w:t>
                  </w:r>
                </w:p>
              </w:tc>
              <w:tc>
                <w:tcPr>
                  <w:tcW w:w="203" w:type="pct"/>
                  <w:tcBorders>
                    <w:tl2br w:val="nil"/>
                    <w:tr2bl w:val="nil"/>
                  </w:tcBorders>
                  <w:noWrap w:val="0"/>
                  <w:vAlign w:val="center"/>
                </w:tcPr>
                <w:p w14:paraId="3B45590C">
                  <w:pPr>
                    <w:widowControl/>
                    <w:jc w:val="center"/>
                    <w:textAlignment w:val="center"/>
                    <w:rPr>
                      <w:rFonts w:hint="default"/>
                      <w:sz w:val="21"/>
                      <w:szCs w:val="21"/>
                      <w:lang w:val="en-US" w:eastAsia="zh-CN"/>
                    </w:rPr>
                  </w:pPr>
                  <w:r>
                    <w:rPr>
                      <w:rFonts w:hint="eastAsia"/>
                      <w:sz w:val="21"/>
                      <w:szCs w:val="21"/>
                      <w:lang w:val="en-US" w:eastAsia="zh-CN"/>
                    </w:rPr>
                    <w:t>46.5</w:t>
                  </w:r>
                </w:p>
              </w:tc>
              <w:tc>
                <w:tcPr>
                  <w:tcW w:w="203" w:type="pct"/>
                  <w:tcBorders>
                    <w:tl2br w:val="nil"/>
                    <w:tr2bl w:val="nil"/>
                  </w:tcBorders>
                  <w:noWrap w:val="0"/>
                  <w:vAlign w:val="center"/>
                </w:tcPr>
                <w:p w14:paraId="23C19C44">
                  <w:pPr>
                    <w:widowControl/>
                    <w:jc w:val="center"/>
                    <w:textAlignment w:val="center"/>
                    <w:rPr>
                      <w:rFonts w:hint="default"/>
                      <w:sz w:val="21"/>
                      <w:szCs w:val="21"/>
                      <w:lang w:val="en-US" w:eastAsia="zh-CN"/>
                    </w:rPr>
                  </w:pPr>
                  <w:r>
                    <w:rPr>
                      <w:rFonts w:hint="eastAsia"/>
                      <w:sz w:val="21"/>
                      <w:szCs w:val="21"/>
                      <w:lang w:val="en-US" w:eastAsia="zh-CN"/>
                    </w:rPr>
                    <w:t>46.4</w:t>
                  </w:r>
                </w:p>
              </w:tc>
              <w:tc>
                <w:tcPr>
                  <w:tcW w:w="204" w:type="pct"/>
                  <w:tcBorders>
                    <w:tl2br w:val="nil"/>
                    <w:tr2bl w:val="nil"/>
                  </w:tcBorders>
                  <w:noWrap w:val="0"/>
                  <w:vAlign w:val="center"/>
                </w:tcPr>
                <w:p w14:paraId="301C5A01">
                  <w:pPr>
                    <w:widowControl/>
                    <w:jc w:val="center"/>
                    <w:textAlignment w:val="center"/>
                    <w:rPr>
                      <w:rFonts w:hint="default"/>
                      <w:sz w:val="21"/>
                      <w:szCs w:val="21"/>
                      <w:lang w:val="en-US" w:eastAsia="zh-CN"/>
                    </w:rPr>
                  </w:pPr>
                  <w:r>
                    <w:rPr>
                      <w:rFonts w:hint="eastAsia"/>
                      <w:sz w:val="21"/>
                      <w:szCs w:val="21"/>
                      <w:lang w:val="en-US" w:eastAsia="zh-CN"/>
                    </w:rPr>
                    <w:t>82.8</w:t>
                  </w:r>
                </w:p>
              </w:tc>
              <w:tc>
                <w:tcPr>
                  <w:tcW w:w="191" w:type="pct"/>
                  <w:tcBorders>
                    <w:tl2br w:val="nil"/>
                    <w:tr2bl w:val="nil"/>
                  </w:tcBorders>
                  <w:noWrap w:val="0"/>
                  <w:vAlign w:val="center"/>
                </w:tcPr>
                <w:p w14:paraId="0B225856">
                  <w:pPr>
                    <w:jc w:val="center"/>
                    <w:rPr>
                      <w:rFonts w:hint="default" w:ascii="Times New Roman" w:hAnsi="Times New Roman" w:eastAsia="宋体" w:cs="Times New Roman"/>
                      <w:kern w:val="2"/>
                      <w:sz w:val="21"/>
                      <w:szCs w:val="21"/>
                      <w:lang w:val="en-US" w:eastAsia="zh-CN" w:bidi="ar-SA"/>
                    </w:rPr>
                  </w:pPr>
                  <w:r>
                    <w:rPr>
                      <w:rFonts w:hint="eastAsia"/>
                      <w:sz w:val="21"/>
                      <w:szCs w:val="21"/>
                      <w:lang w:val="en-US" w:eastAsia="zh-CN"/>
                    </w:rPr>
                    <w:t>48.2</w:t>
                  </w:r>
                </w:p>
              </w:tc>
              <w:tc>
                <w:tcPr>
                  <w:tcW w:w="191" w:type="pct"/>
                  <w:tcBorders>
                    <w:tl2br w:val="nil"/>
                    <w:tr2bl w:val="nil"/>
                  </w:tcBorders>
                  <w:noWrap w:val="0"/>
                  <w:vAlign w:val="center"/>
                </w:tcPr>
                <w:p w14:paraId="3970E296">
                  <w:pPr>
                    <w:jc w:val="center"/>
                    <w:rPr>
                      <w:rFonts w:hint="default" w:ascii="Times New Roman" w:hAnsi="Times New Roman" w:eastAsia="宋体" w:cs="Times New Roman"/>
                      <w:kern w:val="2"/>
                      <w:sz w:val="21"/>
                      <w:szCs w:val="21"/>
                      <w:lang w:val="en-US" w:eastAsia="zh-CN" w:bidi="ar-SA"/>
                    </w:rPr>
                  </w:pPr>
                  <w:r>
                    <w:rPr>
                      <w:rFonts w:hint="default" w:eastAsia="宋体"/>
                      <w:sz w:val="21"/>
                      <w:szCs w:val="21"/>
                      <w:lang w:val="en-US" w:eastAsia="zh-CN"/>
                    </w:rPr>
                    <w:t>58.</w:t>
                  </w:r>
                  <w:r>
                    <w:rPr>
                      <w:rFonts w:hint="eastAsia"/>
                      <w:sz w:val="21"/>
                      <w:szCs w:val="21"/>
                      <w:lang w:val="en-US" w:eastAsia="zh-CN"/>
                    </w:rPr>
                    <w:t>7</w:t>
                  </w:r>
                </w:p>
              </w:tc>
              <w:tc>
                <w:tcPr>
                  <w:tcW w:w="191" w:type="pct"/>
                  <w:tcBorders>
                    <w:tl2br w:val="nil"/>
                    <w:tr2bl w:val="nil"/>
                  </w:tcBorders>
                  <w:noWrap w:val="0"/>
                  <w:vAlign w:val="center"/>
                </w:tcPr>
                <w:p w14:paraId="2B689587">
                  <w:pPr>
                    <w:jc w:val="center"/>
                    <w:rPr>
                      <w:rFonts w:hint="default" w:ascii="Times New Roman" w:hAnsi="Times New Roman" w:eastAsia="宋体" w:cs="Times New Roman"/>
                      <w:kern w:val="2"/>
                      <w:sz w:val="21"/>
                      <w:szCs w:val="21"/>
                      <w:lang w:val="en-US" w:eastAsia="zh-CN" w:bidi="ar-SA"/>
                    </w:rPr>
                  </w:pPr>
                  <w:r>
                    <w:rPr>
                      <w:rFonts w:hint="default" w:eastAsia="宋体"/>
                      <w:sz w:val="21"/>
                      <w:szCs w:val="21"/>
                      <w:lang w:val="en-US" w:eastAsia="zh-CN"/>
                    </w:rPr>
                    <w:t>58.</w:t>
                  </w:r>
                  <w:r>
                    <w:rPr>
                      <w:rFonts w:hint="eastAsia"/>
                      <w:sz w:val="21"/>
                      <w:szCs w:val="21"/>
                      <w:lang w:val="en-US" w:eastAsia="zh-CN"/>
                    </w:rPr>
                    <w:t>7</w:t>
                  </w:r>
                </w:p>
              </w:tc>
              <w:tc>
                <w:tcPr>
                  <w:tcW w:w="191" w:type="pct"/>
                  <w:tcBorders>
                    <w:tl2br w:val="nil"/>
                    <w:tr2bl w:val="nil"/>
                  </w:tcBorders>
                  <w:noWrap w:val="0"/>
                  <w:vAlign w:val="center"/>
                </w:tcPr>
                <w:p w14:paraId="23F6826A">
                  <w:pPr>
                    <w:jc w:val="center"/>
                    <w:rPr>
                      <w:rFonts w:hint="default" w:ascii="Times New Roman" w:hAnsi="Times New Roman" w:eastAsia="宋体" w:cs="Times New Roman"/>
                      <w:kern w:val="2"/>
                      <w:sz w:val="21"/>
                      <w:szCs w:val="21"/>
                      <w:lang w:val="en-US" w:eastAsia="zh-CN" w:bidi="ar-SA"/>
                    </w:rPr>
                  </w:pPr>
                  <w:r>
                    <w:rPr>
                      <w:rFonts w:hint="default" w:eastAsia="宋体"/>
                      <w:sz w:val="21"/>
                      <w:szCs w:val="21"/>
                      <w:lang w:val="en-US" w:eastAsia="zh-CN"/>
                    </w:rPr>
                    <w:t>53.6</w:t>
                  </w:r>
                </w:p>
              </w:tc>
              <w:tc>
                <w:tcPr>
                  <w:tcW w:w="209" w:type="pct"/>
                  <w:tcBorders>
                    <w:tl2br w:val="nil"/>
                    <w:tr2bl w:val="nil"/>
                  </w:tcBorders>
                  <w:noWrap w:val="0"/>
                  <w:vAlign w:val="center"/>
                </w:tcPr>
                <w:p w14:paraId="6D2968C3">
                  <w:pPr>
                    <w:widowControl/>
                    <w:jc w:val="center"/>
                    <w:textAlignment w:val="center"/>
                    <w:rPr>
                      <w:rFonts w:hint="default"/>
                      <w:sz w:val="21"/>
                      <w:szCs w:val="21"/>
                      <w:lang w:val="en-US" w:eastAsia="zh-CN"/>
                    </w:rPr>
                  </w:pPr>
                  <w:r>
                    <w:rPr>
                      <w:rFonts w:hint="eastAsia"/>
                      <w:sz w:val="21"/>
                      <w:szCs w:val="21"/>
                      <w:lang w:val="en-US" w:eastAsia="zh-CN"/>
                    </w:rPr>
                    <w:t>24h</w:t>
                  </w:r>
                </w:p>
              </w:tc>
              <w:tc>
                <w:tcPr>
                  <w:tcW w:w="287" w:type="pct"/>
                  <w:tcBorders>
                    <w:tl2br w:val="nil"/>
                    <w:tr2bl w:val="nil"/>
                  </w:tcBorders>
                  <w:noWrap w:val="0"/>
                  <w:vAlign w:val="center"/>
                </w:tcPr>
                <w:p w14:paraId="349E762A">
                  <w:pPr>
                    <w:jc w:val="center"/>
                    <w:rPr>
                      <w:rFonts w:hint="default" w:eastAsia="宋体"/>
                      <w:sz w:val="21"/>
                      <w:szCs w:val="21"/>
                      <w:lang w:val="en-US" w:eastAsia="zh-CN"/>
                    </w:rPr>
                  </w:pPr>
                  <w:r>
                    <w:rPr>
                      <w:rFonts w:hint="eastAsia"/>
                      <w:sz w:val="21"/>
                      <w:szCs w:val="21"/>
                      <w:lang w:val="en-US" w:eastAsia="zh-CN"/>
                    </w:rPr>
                    <w:t>15</w:t>
                  </w:r>
                </w:p>
              </w:tc>
              <w:tc>
                <w:tcPr>
                  <w:tcW w:w="192" w:type="pct"/>
                  <w:tcBorders>
                    <w:tl2br w:val="nil"/>
                    <w:tr2bl w:val="nil"/>
                  </w:tcBorders>
                  <w:noWrap w:val="0"/>
                  <w:vAlign w:val="center"/>
                </w:tcPr>
                <w:p w14:paraId="6D67DF91">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33.2</w:t>
                  </w:r>
                </w:p>
              </w:tc>
              <w:tc>
                <w:tcPr>
                  <w:tcW w:w="192" w:type="pct"/>
                  <w:tcBorders>
                    <w:tl2br w:val="nil"/>
                    <w:tr2bl w:val="nil"/>
                  </w:tcBorders>
                  <w:noWrap w:val="0"/>
                  <w:vAlign w:val="center"/>
                </w:tcPr>
                <w:p w14:paraId="7306547B">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43.7</w:t>
                  </w:r>
                </w:p>
              </w:tc>
              <w:tc>
                <w:tcPr>
                  <w:tcW w:w="192" w:type="pct"/>
                  <w:tcBorders>
                    <w:tl2br w:val="nil"/>
                    <w:tr2bl w:val="nil"/>
                  </w:tcBorders>
                  <w:noWrap w:val="0"/>
                  <w:vAlign w:val="center"/>
                </w:tcPr>
                <w:p w14:paraId="0737718A">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43.7</w:t>
                  </w:r>
                </w:p>
              </w:tc>
              <w:tc>
                <w:tcPr>
                  <w:tcW w:w="193" w:type="pct"/>
                  <w:tcBorders>
                    <w:tl2br w:val="nil"/>
                    <w:tr2bl w:val="nil"/>
                  </w:tcBorders>
                  <w:noWrap w:val="0"/>
                  <w:vAlign w:val="center"/>
                </w:tcPr>
                <w:p w14:paraId="238F34EB">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38.6</w:t>
                  </w:r>
                </w:p>
              </w:tc>
              <w:tc>
                <w:tcPr>
                  <w:tcW w:w="287" w:type="pct"/>
                  <w:tcBorders>
                    <w:tl2br w:val="nil"/>
                    <w:tr2bl w:val="nil"/>
                  </w:tcBorders>
                  <w:noWrap w:val="0"/>
                  <w:vAlign w:val="center"/>
                </w:tcPr>
                <w:p w14:paraId="4F653024">
                  <w:pPr>
                    <w:jc w:val="center"/>
                    <w:rPr>
                      <w:sz w:val="21"/>
                      <w:szCs w:val="21"/>
                    </w:rPr>
                  </w:pPr>
                  <w:r>
                    <w:rPr>
                      <w:rFonts w:hint="eastAsia"/>
                      <w:sz w:val="21"/>
                      <w:szCs w:val="21"/>
                      <w:lang w:val="en-US" w:eastAsia="zh-CN"/>
                    </w:rPr>
                    <w:t>1m</w:t>
                  </w:r>
                </w:p>
              </w:tc>
            </w:tr>
            <w:tr w14:paraId="1CB2493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76" w:type="pct"/>
                  <w:vMerge w:val="continue"/>
                  <w:tcBorders>
                    <w:tl2br w:val="nil"/>
                    <w:tr2bl w:val="nil"/>
                  </w:tcBorders>
                  <w:noWrap w:val="0"/>
                  <w:vAlign w:val="center"/>
                </w:tcPr>
                <w:p w14:paraId="4477D549">
                  <w:pPr>
                    <w:jc w:val="center"/>
                    <w:rPr>
                      <w:sz w:val="21"/>
                      <w:szCs w:val="21"/>
                    </w:rPr>
                  </w:pPr>
                </w:p>
              </w:tc>
              <w:tc>
                <w:tcPr>
                  <w:tcW w:w="431" w:type="pct"/>
                  <w:tcBorders>
                    <w:tl2br w:val="nil"/>
                    <w:tr2bl w:val="nil"/>
                  </w:tcBorders>
                  <w:noWrap w:val="0"/>
                  <w:vAlign w:val="center"/>
                </w:tcPr>
                <w:p w14:paraId="2BF5EBC0">
                  <w:pPr>
                    <w:keepNext w:val="0"/>
                    <w:keepLines w:val="0"/>
                    <w:widowControl/>
                    <w:suppressLineNumbers w:val="0"/>
                    <w:jc w:val="center"/>
                    <w:textAlignment w:val="center"/>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给煤机</w:t>
                  </w:r>
                </w:p>
              </w:tc>
              <w:tc>
                <w:tcPr>
                  <w:tcW w:w="321" w:type="pct"/>
                  <w:tcBorders>
                    <w:tl2br w:val="nil"/>
                    <w:tr2bl w:val="nil"/>
                  </w:tcBorders>
                  <w:noWrap w:val="0"/>
                  <w:vAlign w:val="center"/>
                </w:tcPr>
                <w:p w14:paraId="44074CE7">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75</w:t>
                  </w:r>
                </w:p>
              </w:tc>
              <w:tc>
                <w:tcPr>
                  <w:tcW w:w="224" w:type="pct"/>
                  <w:vMerge w:val="continue"/>
                  <w:tcBorders>
                    <w:tl2br w:val="nil"/>
                    <w:tr2bl w:val="nil"/>
                  </w:tcBorders>
                  <w:noWrap w:val="0"/>
                  <w:vAlign w:val="center"/>
                </w:tcPr>
                <w:p w14:paraId="50C1D350">
                  <w:pPr>
                    <w:keepNext w:val="0"/>
                    <w:keepLines w:val="0"/>
                    <w:widowControl/>
                    <w:suppressLineNumbers w:val="0"/>
                    <w:jc w:val="center"/>
                    <w:textAlignment w:val="center"/>
                    <w:rPr>
                      <w:rFonts w:hint="eastAsia" w:ascii="Times New Roman" w:hAnsi="Times New Roman" w:eastAsia="宋体" w:cs="Times New Roman"/>
                      <w:b w:val="0"/>
                      <w:bCs w:val="0"/>
                      <w:color w:val="000000"/>
                      <w:kern w:val="0"/>
                      <w:sz w:val="21"/>
                      <w:szCs w:val="21"/>
                      <w:highlight w:val="none"/>
                      <w:vertAlign w:val="baseline"/>
                      <w:lang w:val="en-US" w:eastAsia="zh-CN" w:bidi="ar"/>
                    </w:rPr>
                  </w:pPr>
                </w:p>
              </w:tc>
              <w:tc>
                <w:tcPr>
                  <w:tcW w:w="248" w:type="pct"/>
                  <w:tcBorders>
                    <w:tl2br w:val="nil"/>
                    <w:tr2bl w:val="nil"/>
                  </w:tcBorders>
                  <w:noWrap w:val="0"/>
                  <w:vAlign w:val="center"/>
                </w:tcPr>
                <w:p w14:paraId="160FD1C8">
                  <w:pPr>
                    <w:widowControl/>
                    <w:jc w:val="center"/>
                    <w:textAlignment w:val="center"/>
                    <w:rPr>
                      <w:rFonts w:hint="default"/>
                      <w:sz w:val="21"/>
                      <w:szCs w:val="21"/>
                      <w:lang w:val="en-US" w:eastAsia="zh-CN"/>
                    </w:rPr>
                  </w:pPr>
                  <w:r>
                    <w:rPr>
                      <w:rFonts w:hint="eastAsia"/>
                      <w:sz w:val="21"/>
                      <w:szCs w:val="21"/>
                      <w:lang w:val="en-US" w:eastAsia="zh-CN"/>
                    </w:rPr>
                    <w:t>-60.8</w:t>
                  </w:r>
                </w:p>
              </w:tc>
              <w:tc>
                <w:tcPr>
                  <w:tcW w:w="261" w:type="pct"/>
                  <w:tcBorders>
                    <w:tl2br w:val="nil"/>
                    <w:tr2bl w:val="nil"/>
                  </w:tcBorders>
                  <w:noWrap w:val="0"/>
                  <w:vAlign w:val="center"/>
                </w:tcPr>
                <w:p w14:paraId="43B51B97">
                  <w:pPr>
                    <w:widowControl/>
                    <w:jc w:val="center"/>
                    <w:textAlignment w:val="center"/>
                    <w:rPr>
                      <w:rFonts w:hint="default"/>
                      <w:sz w:val="21"/>
                      <w:szCs w:val="21"/>
                      <w:lang w:val="en-US" w:eastAsia="zh-CN"/>
                    </w:rPr>
                  </w:pPr>
                  <w:r>
                    <w:rPr>
                      <w:rFonts w:hint="eastAsia"/>
                      <w:sz w:val="21"/>
                      <w:szCs w:val="21"/>
                      <w:lang w:val="en-US" w:eastAsia="zh-CN"/>
                    </w:rPr>
                    <w:t>293.1</w:t>
                  </w:r>
                </w:p>
              </w:tc>
              <w:tc>
                <w:tcPr>
                  <w:tcW w:w="200" w:type="pct"/>
                  <w:tcBorders>
                    <w:tl2br w:val="nil"/>
                    <w:tr2bl w:val="nil"/>
                  </w:tcBorders>
                  <w:noWrap w:val="0"/>
                  <w:vAlign w:val="center"/>
                </w:tcPr>
                <w:p w14:paraId="115D7AF4">
                  <w:pPr>
                    <w:widowControl/>
                    <w:jc w:val="center"/>
                    <w:textAlignment w:val="center"/>
                    <w:rPr>
                      <w:rFonts w:hint="eastAsia"/>
                      <w:sz w:val="21"/>
                      <w:szCs w:val="21"/>
                      <w:lang w:val="en-US" w:eastAsia="zh-CN"/>
                    </w:rPr>
                  </w:pPr>
                  <w:r>
                    <w:rPr>
                      <w:rFonts w:hint="eastAsia"/>
                      <w:sz w:val="21"/>
                      <w:szCs w:val="21"/>
                      <w:lang w:val="en-US" w:eastAsia="zh-CN"/>
                    </w:rPr>
                    <w:t>1.2</w:t>
                  </w:r>
                </w:p>
              </w:tc>
              <w:tc>
                <w:tcPr>
                  <w:tcW w:w="203" w:type="pct"/>
                  <w:tcBorders>
                    <w:tl2br w:val="nil"/>
                    <w:tr2bl w:val="nil"/>
                  </w:tcBorders>
                  <w:noWrap w:val="0"/>
                  <w:vAlign w:val="center"/>
                </w:tcPr>
                <w:p w14:paraId="713026DE">
                  <w:pPr>
                    <w:widowControl/>
                    <w:jc w:val="center"/>
                    <w:textAlignment w:val="center"/>
                    <w:rPr>
                      <w:rFonts w:hint="default"/>
                      <w:sz w:val="21"/>
                      <w:szCs w:val="21"/>
                      <w:lang w:val="en-US" w:eastAsia="zh-CN"/>
                    </w:rPr>
                  </w:pPr>
                  <w:r>
                    <w:rPr>
                      <w:rFonts w:hint="eastAsia"/>
                      <w:sz w:val="21"/>
                      <w:szCs w:val="21"/>
                      <w:lang w:val="en-US" w:eastAsia="zh-CN"/>
                    </w:rPr>
                    <w:t>211.2</w:t>
                  </w:r>
                </w:p>
              </w:tc>
              <w:tc>
                <w:tcPr>
                  <w:tcW w:w="203" w:type="pct"/>
                  <w:tcBorders>
                    <w:tl2br w:val="nil"/>
                    <w:tr2bl w:val="nil"/>
                  </w:tcBorders>
                  <w:noWrap w:val="0"/>
                  <w:vAlign w:val="center"/>
                </w:tcPr>
                <w:p w14:paraId="27C94892">
                  <w:pPr>
                    <w:widowControl/>
                    <w:jc w:val="center"/>
                    <w:textAlignment w:val="center"/>
                    <w:rPr>
                      <w:rFonts w:hint="default"/>
                      <w:sz w:val="21"/>
                      <w:szCs w:val="21"/>
                      <w:lang w:val="en-US" w:eastAsia="zh-CN"/>
                    </w:rPr>
                  </w:pPr>
                  <w:r>
                    <w:rPr>
                      <w:rFonts w:hint="eastAsia"/>
                      <w:sz w:val="21"/>
                      <w:szCs w:val="21"/>
                      <w:lang w:val="en-US" w:eastAsia="zh-CN"/>
                    </w:rPr>
                    <w:t>111.9</w:t>
                  </w:r>
                </w:p>
              </w:tc>
              <w:tc>
                <w:tcPr>
                  <w:tcW w:w="203" w:type="pct"/>
                  <w:tcBorders>
                    <w:tl2br w:val="nil"/>
                    <w:tr2bl w:val="nil"/>
                  </w:tcBorders>
                  <w:noWrap w:val="0"/>
                  <w:vAlign w:val="center"/>
                </w:tcPr>
                <w:p w14:paraId="3B58FE71">
                  <w:pPr>
                    <w:widowControl/>
                    <w:jc w:val="center"/>
                    <w:textAlignment w:val="center"/>
                    <w:rPr>
                      <w:rFonts w:hint="default"/>
                      <w:sz w:val="21"/>
                      <w:szCs w:val="21"/>
                      <w:lang w:val="en-US" w:eastAsia="zh-CN"/>
                    </w:rPr>
                  </w:pPr>
                  <w:r>
                    <w:rPr>
                      <w:rFonts w:hint="eastAsia"/>
                      <w:sz w:val="21"/>
                      <w:szCs w:val="21"/>
                      <w:lang w:val="en-US" w:eastAsia="zh-CN"/>
                    </w:rPr>
                    <w:t>13.5</w:t>
                  </w:r>
                </w:p>
              </w:tc>
              <w:tc>
                <w:tcPr>
                  <w:tcW w:w="204" w:type="pct"/>
                  <w:tcBorders>
                    <w:tl2br w:val="nil"/>
                    <w:tr2bl w:val="nil"/>
                  </w:tcBorders>
                  <w:noWrap w:val="0"/>
                  <w:vAlign w:val="center"/>
                </w:tcPr>
                <w:p w14:paraId="74CC2586">
                  <w:pPr>
                    <w:widowControl/>
                    <w:jc w:val="center"/>
                    <w:textAlignment w:val="center"/>
                    <w:rPr>
                      <w:rFonts w:hint="default"/>
                      <w:sz w:val="21"/>
                      <w:szCs w:val="21"/>
                      <w:lang w:val="en-US" w:eastAsia="zh-CN"/>
                    </w:rPr>
                  </w:pPr>
                  <w:r>
                    <w:rPr>
                      <w:rFonts w:hint="eastAsia"/>
                      <w:sz w:val="21"/>
                      <w:szCs w:val="21"/>
                      <w:lang w:val="en-US" w:eastAsia="zh-CN"/>
                    </w:rPr>
                    <w:t>17.1</w:t>
                  </w:r>
                </w:p>
              </w:tc>
              <w:tc>
                <w:tcPr>
                  <w:tcW w:w="191" w:type="pct"/>
                  <w:tcBorders>
                    <w:tl2br w:val="nil"/>
                    <w:tr2bl w:val="nil"/>
                  </w:tcBorders>
                  <w:noWrap w:val="0"/>
                  <w:vAlign w:val="center"/>
                </w:tcPr>
                <w:p w14:paraId="1F5E4567">
                  <w:pPr>
                    <w:jc w:val="center"/>
                    <w:rPr>
                      <w:rFonts w:hint="default" w:ascii="Times New Roman" w:hAnsi="Times New Roman" w:eastAsia="宋体" w:cs="Times New Roman"/>
                      <w:kern w:val="2"/>
                      <w:sz w:val="21"/>
                      <w:szCs w:val="21"/>
                      <w:lang w:val="en-US" w:eastAsia="zh-CN" w:bidi="ar-SA"/>
                    </w:rPr>
                  </w:pPr>
                  <w:r>
                    <w:rPr>
                      <w:rFonts w:hint="eastAsia"/>
                      <w:sz w:val="21"/>
                      <w:szCs w:val="21"/>
                      <w:lang w:val="en-US" w:eastAsia="zh-CN"/>
                    </w:rPr>
                    <w:t>28.5</w:t>
                  </w:r>
                </w:p>
              </w:tc>
              <w:tc>
                <w:tcPr>
                  <w:tcW w:w="191" w:type="pct"/>
                  <w:tcBorders>
                    <w:tl2br w:val="nil"/>
                    <w:tr2bl w:val="nil"/>
                  </w:tcBorders>
                  <w:noWrap w:val="0"/>
                  <w:vAlign w:val="center"/>
                </w:tcPr>
                <w:p w14:paraId="528E30D5">
                  <w:pPr>
                    <w:jc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34.0</w:t>
                  </w:r>
                </w:p>
              </w:tc>
              <w:tc>
                <w:tcPr>
                  <w:tcW w:w="191" w:type="pct"/>
                  <w:tcBorders>
                    <w:tl2br w:val="nil"/>
                    <w:tr2bl w:val="nil"/>
                  </w:tcBorders>
                  <w:noWrap w:val="0"/>
                  <w:vAlign w:val="center"/>
                </w:tcPr>
                <w:p w14:paraId="228F14FC">
                  <w:pPr>
                    <w:jc w:val="center"/>
                    <w:rPr>
                      <w:rFonts w:hint="default" w:ascii="Times New Roman" w:hAnsi="Times New Roman" w:eastAsia="宋体" w:cs="Times New Roman"/>
                      <w:kern w:val="2"/>
                      <w:sz w:val="21"/>
                      <w:szCs w:val="21"/>
                      <w:lang w:val="en-US" w:eastAsia="zh-CN" w:bidi="ar-SA"/>
                    </w:rPr>
                  </w:pPr>
                  <w:r>
                    <w:rPr>
                      <w:rFonts w:hint="eastAsia"/>
                      <w:sz w:val="21"/>
                      <w:szCs w:val="21"/>
                      <w:lang w:val="en-US" w:eastAsia="zh-CN"/>
                    </w:rPr>
                    <w:t>52.4</w:t>
                  </w:r>
                </w:p>
              </w:tc>
              <w:tc>
                <w:tcPr>
                  <w:tcW w:w="191" w:type="pct"/>
                  <w:tcBorders>
                    <w:tl2br w:val="nil"/>
                    <w:tr2bl w:val="nil"/>
                  </w:tcBorders>
                  <w:noWrap w:val="0"/>
                  <w:vAlign w:val="center"/>
                </w:tcPr>
                <w:p w14:paraId="3AA999D9">
                  <w:pPr>
                    <w:jc w:val="center"/>
                    <w:rPr>
                      <w:rFonts w:hint="default" w:ascii="Times New Roman" w:hAnsi="Times New Roman" w:eastAsia="宋体" w:cs="Times New Roman"/>
                      <w:kern w:val="2"/>
                      <w:sz w:val="21"/>
                      <w:szCs w:val="21"/>
                      <w:lang w:val="en-US" w:eastAsia="zh-CN" w:bidi="ar-SA"/>
                    </w:rPr>
                  </w:pPr>
                  <w:r>
                    <w:rPr>
                      <w:rFonts w:hint="eastAsia"/>
                      <w:sz w:val="21"/>
                      <w:szCs w:val="21"/>
                      <w:lang w:val="en-US" w:eastAsia="zh-CN"/>
                    </w:rPr>
                    <w:t>50.3</w:t>
                  </w:r>
                </w:p>
              </w:tc>
              <w:tc>
                <w:tcPr>
                  <w:tcW w:w="209" w:type="pct"/>
                  <w:tcBorders>
                    <w:tl2br w:val="nil"/>
                    <w:tr2bl w:val="nil"/>
                  </w:tcBorders>
                  <w:noWrap w:val="0"/>
                  <w:vAlign w:val="center"/>
                </w:tcPr>
                <w:p w14:paraId="73D40E04">
                  <w:pPr>
                    <w:widowControl/>
                    <w:jc w:val="center"/>
                    <w:textAlignment w:val="center"/>
                    <w:rPr>
                      <w:rFonts w:hint="eastAsia"/>
                      <w:sz w:val="21"/>
                      <w:szCs w:val="21"/>
                      <w:lang w:val="en-US" w:eastAsia="zh-CN"/>
                    </w:rPr>
                  </w:pPr>
                  <w:r>
                    <w:rPr>
                      <w:rFonts w:hint="eastAsia"/>
                      <w:sz w:val="21"/>
                      <w:szCs w:val="21"/>
                      <w:lang w:val="en-US" w:eastAsia="zh-CN"/>
                    </w:rPr>
                    <w:t>24h</w:t>
                  </w:r>
                </w:p>
              </w:tc>
              <w:tc>
                <w:tcPr>
                  <w:tcW w:w="287" w:type="pct"/>
                  <w:tcBorders>
                    <w:tl2br w:val="nil"/>
                    <w:tr2bl w:val="nil"/>
                  </w:tcBorders>
                  <w:noWrap w:val="0"/>
                  <w:vAlign w:val="center"/>
                </w:tcPr>
                <w:p w14:paraId="04B13E7A">
                  <w:pPr>
                    <w:jc w:val="center"/>
                    <w:rPr>
                      <w:rFonts w:hint="default" w:eastAsia="宋体"/>
                      <w:b/>
                      <w:bCs/>
                      <w:sz w:val="21"/>
                      <w:szCs w:val="21"/>
                      <w:lang w:val="en-US" w:eastAsia="zh-CN"/>
                    </w:rPr>
                  </w:pPr>
                  <w:r>
                    <w:rPr>
                      <w:rFonts w:hint="eastAsia"/>
                      <w:sz w:val="21"/>
                      <w:szCs w:val="21"/>
                      <w:lang w:val="en-US" w:eastAsia="zh-CN"/>
                    </w:rPr>
                    <w:t>15</w:t>
                  </w:r>
                </w:p>
              </w:tc>
              <w:tc>
                <w:tcPr>
                  <w:tcW w:w="192" w:type="pct"/>
                  <w:tcBorders>
                    <w:tl2br w:val="nil"/>
                    <w:tr2bl w:val="nil"/>
                  </w:tcBorders>
                  <w:noWrap w:val="0"/>
                  <w:vAlign w:val="center"/>
                </w:tcPr>
                <w:p w14:paraId="3FF742FF">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13.5</w:t>
                  </w:r>
                </w:p>
              </w:tc>
              <w:tc>
                <w:tcPr>
                  <w:tcW w:w="192" w:type="pct"/>
                  <w:tcBorders>
                    <w:tl2br w:val="nil"/>
                    <w:tr2bl w:val="nil"/>
                  </w:tcBorders>
                  <w:noWrap w:val="0"/>
                  <w:vAlign w:val="center"/>
                </w:tcPr>
                <w:p w14:paraId="40F055D8">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19.0</w:t>
                  </w:r>
                </w:p>
              </w:tc>
              <w:tc>
                <w:tcPr>
                  <w:tcW w:w="192" w:type="pct"/>
                  <w:tcBorders>
                    <w:tl2br w:val="nil"/>
                    <w:tr2bl w:val="nil"/>
                  </w:tcBorders>
                  <w:noWrap w:val="0"/>
                  <w:vAlign w:val="center"/>
                </w:tcPr>
                <w:p w14:paraId="2F954CE4">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37.4</w:t>
                  </w:r>
                </w:p>
              </w:tc>
              <w:tc>
                <w:tcPr>
                  <w:tcW w:w="193" w:type="pct"/>
                  <w:tcBorders>
                    <w:tl2br w:val="nil"/>
                    <w:tr2bl w:val="nil"/>
                  </w:tcBorders>
                  <w:noWrap w:val="0"/>
                  <w:vAlign w:val="center"/>
                </w:tcPr>
                <w:p w14:paraId="4B195513">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35.3</w:t>
                  </w:r>
                </w:p>
              </w:tc>
              <w:tc>
                <w:tcPr>
                  <w:tcW w:w="287" w:type="pct"/>
                  <w:tcBorders>
                    <w:tl2br w:val="nil"/>
                    <w:tr2bl w:val="nil"/>
                  </w:tcBorders>
                  <w:noWrap w:val="0"/>
                  <w:vAlign w:val="center"/>
                </w:tcPr>
                <w:p w14:paraId="79EC5307">
                  <w:pPr>
                    <w:jc w:val="center"/>
                    <w:rPr>
                      <w:sz w:val="21"/>
                      <w:szCs w:val="21"/>
                    </w:rPr>
                  </w:pPr>
                  <w:r>
                    <w:rPr>
                      <w:rFonts w:hint="eastAsia"/>
                      <w:sz w:val="21"/>
                      <w:szCs w:val="21"/>
                      <w:lang w:val="en-US" w:eastAsia="zh-CN"/>
                    </w:rPr>
                    <w:t>1m</w:t>
                  </w:r>
                </w:p>
              </w:tc>
            </w:tr>
            <w:tr w14:paraId="72C161D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76" w:type="pct"/>
                  <w:vMerge w:val="continue"/>
                  <w:tcBorders>
                    <w:tl2br w:val="nil"/>
                    <w:tr2bl w:val="nil"/>
                  </w:tcBorders>
                  <w:noWrap w:val="0"/>
                  <w:vAlign w:val="center"/>
                </w:tcPr>
                <w:p w14:paraId="352F3AE4">
                  <w:pPr>
                    <w:jc w:val="center"/>
                    <w:rPr>
                      <w:sz w:val="21"/>
                      <w:szCs w:val="21"/>
                    </w:rPr>
                  </w:pPr>
                </w:p>
              </w:tc>
              <w:tc>
                <w:tcPr>
                  <w:tcW w:w="431" w:type="pct"/>
                  <w:tcBorders>
                    <w:tl2br w:val="nil"/>
                    <w:tr2bl w:val="nil"/>
                  </w:tcBorders>
                  <w:noWrap w:val="0"/>
                  <w:vAlign w:val="center"/>
                </w:tcPr>
                <w:p w14:paraId="769C137C">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原煤分级筛</w:t>
                  </w:r>
                </w:p>
              </w:tc>
              <w:tc>
                <w:tcPr>
                  <w:tcW w:w="321" w:type="pct"/>
                  <w:tcBorders>
                    <w:tl2br w:val="nil"/>
                    <w:tr2bl w:val="nil"/>
                  </w:tcBorders>
                  <w:noWrap w:val="0"/>
                  <w:vAlign w:val="center"/>
                </w:tcPr>
                <w:p w14:paraId="5501A8F3">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80</w:t>
                  </w:r>
                </w:p>
              </w:tc>
              <w:tc>
                <w:tcPr>
                  <w:tcW w:w="224" w:type="pct"/>
                  <w:vMerge w:val="continue"/>
                  <w:tcBorders>
                    <w:tl2br w:val="nil"/>
                    <w:tr2bl w:val="nil"/>
                  </w:tcBorders>
                  <w:noWrap w:val="0"/>
                  <w:vAlign w:val="center"/>
                </w:tcPr>
                <w:p w14:paraId="2EB2A162">
                  <w:pPr>
                    <w:keepNext w:val="0"/>
                    <w:keepLines w:val="0"/>
                    <w:widowControl/>
                    <w:suppressLineNumbers w:val="0"/>
                    <w:jc w:val="center"/>
                    <w:textAlignment w:val="center"/>
                    <w:rPr>
                      <w:rFonts w:hint="eastAsia" w:ascii="Times New Roman" w:hAnsi="Times New Roman" w:eastAsia="宋体" w:cs="Times New Roman"/>
                      <w:b w:val="0"/>
                      <w:bCs w:val="0"/>
                      <w:color w:val="000000"/>
                      <w:kern w:val="0"/>
                      <w:sz w:val="21"/>
                      <w:szCs w:val="21"/>
                      <w:highlight w:val="none"/>
                      <w:vertAlign w:val="baseline"/>
                      <w:lang w:val="en-US" w:eastAsia="zh-CN" w:bidi="ar"/>
                    </w:rPr>
                  </w:pPr>
                </w:p>
              </w:tc>
              <w:tc>
                <w:tcPr>
                  <w:tcW w:w="248" w:type="pct"/>
                  <w:tcBorders>
                    <w:tl2br w:val="nil"/>
                    <w:tr2bl w:val="nil"/>
                  </w:tcBorders>
                  <w:noWrap w:val="0"/>
                  <w:vAlign w:val="center"/>
                </w:tcPr>
                <w:p w14:paraId="667DC712">
                  <w:pPr>
                    <w:widowControl/>
                    <w:jc w:val="center"/>
                    <w:textAlignment w:val="center"/>
                    <w:rPr>
                      <w:rFonts w:hint="default"/>
                      <w:sz w:val="21"/>
                      <w:szCs w:val="21"/>
                      <w:lang w:val="en-US" w:eastAsia="zh-CN"/>
                    </w:rPr>
                  </w:pPr>
                  <w:r>
                    <w:rPr>
                      <w:rFonts w:hint="eastAsia"/>
                      <w:sz w:val="21"/>
                      <w:szCs w:val="21"/>
                      <w:lang w:val="en-US" w:eastAsia="zh-CN"/>
                    </w:rPr>
                    <w:t>-40.8</w:t>
                  </w:r>
                </w:p>
              </w:tc>
              <w:tc>
                <w:tcPr>
                  <w:tcW w:w="261" w:type="pct"/>
                  <w:tcBorders>
                    <w:tl2br w:val="nil"/>
                    <w:tr2bl w:val="nil"/>
                  </w:tcBorders>
                  <w:noWrap w:val="0"/>
                  <w:vAlign w:val="center"/>
                </w:tcPr>
                <w:p w14:paraId="6CB585C0">
                  <w:pPr>
                    <w:widowControl/>
                    <w:jc w:val="center"/>
                    <w:textAlignment w:val="center"/>
                    <w:rPr>
                      <w:rFonts w:hint="default"/>
                      <w:sz w:val="21"/>
                      <w:szCs w:val="21"/>
                      <w:lang w:val="en-US" w:eastAsia="zh-CN"/>
                    </w:rPr>
                  </w:pPr>
                  <w:r>
                    <w:rPr>
                      <w:rFonts w:hint="eastAsia"/>
                      <w:sz w:val="21"/>
                      <w:szCs w:val="21"/>
                      <w:lang w:val="en-US" w:eastAsia="zh-CN"/>
                    </w:rPr>
                    <w:t>293.6</w:t>
                  </w:r>
                </w:p>
              </w:tc>
              <w:tc>
                <w:tcPr>
                  <w:tcW w:w="200" w:type="pct"/>
                  <w:tcBorders>
                    <w:tl2br w:val="nil"/>
                    <w:tr2bl w:val="nil"/>
                  </w:tcBorders>
                  <w:noWrap w:val="0"/>
                  <w:vAlign w:val="center"/>
                </w:tcPr>
                <w:p w14:paraId="6122FC98">
                  <w:pPr>
                    <w:widowControl/>
                    <w:jc w:val="center"/>
                    <w:textAlignment w:val="center"/>
                    <w:rPr>
                      <w:rFonts w:hint="eastAsia"/>
                      <w:sz w:val="21"/>
                      <w:szCs w:val="21"/>
                      <w:lang w:val="en-US" w:eastAsia="zh-CN"/>
                    </w:rPr>
                  </w:pPr>
                  <w:r>
                    <w:rPr>
                      <w:rFonts w:hint="eastAsia"/>
                      <w:sz w:val="21"/>
                      <w:szCs w:val="21"/>
                      <w:lang w:val="en-US" w:eastAsia="zh-CN"/>
                    </w:rPr>
                    <w:t>1.2</w:t>
                  </w:r>
                </w:p>
              </w:tc>
              <w:tc>
                <w:tcPr>
                  <w:tcW w:w="203" w:type="pct"/>
                  <w:tcBorders>
                    <w:tl2br w:val="nil"/>
                    <w:tr2bl w:val="nil"/>
                  </w:tcBorders>
                  <w:noWrap w:val="0"/>
                  <w:vAlign w:val="center"/>
                </w:tcPr>
                <w:p w14:paraId="608CF507">
                  <w:pPr>
                    <w:widowControl/>
                    <w:jc w:val="center"/>
                    <w:textAlignment w:val="center"/>
                    <w:rPr>
                      <w:rFonts w:hint="default"/>
                      <w:sz w:val="21"/>
                      <w:szCs w:val="21"/>
                      <w:lang w:val="en-US" w:eastAsia="zh-CN"/>
                    </w:rPr>
                  </w:pPr>
                  <w:r>
                    <w:rPr>
                      <w:rFonts w:hint="eastAsia"/>
                      <w:sz w:val="21"/>
                      <w:szCs w:val="21"/>
                      <w:lang w:val="en-US" w:eastAsia="zh-CN"/>
                    </w:rPr>
                    <w:t>191.2</w:t>
                  </w:r>
                </w:p>
              </w:tc>
              <w:tc>
                <w:tcPr>
                  <w:tcW w:w="203" w:type="pct"/>
                  <w:tcBorders>
                    <w:tl2br w:val="nil"/>
                    <w:tr2bl w:val="nil"/>
                  </w:tcBorders>
                  <w:noWrap w:val="0"/>
                  <w:vAlign w:val="center"/>
                </w:tcPr>
                <w:p w14:paraId="4D4355AA">
                  <w:pPr>
                    <w:widowControl/>
                    <w:jc w:val="center"/>
                    <w:textAlignment w:val="center"/>
                    <w:rPr>
                      <w:rFonts w:hint="default"/>
                      <w:sz w:val="21"/>
                      <w:szCs w:val="21"/>
                      <w:lang w:val="en-US" w:eastAsia="zh-CN"/>
                    </w:rPr>
                  </w:pPr>
                  <w:r>
                    <w:rPr>
                      <w:rFonts w:hint="eastAsia"/>
                      <w:sz w:val="21"/>
                      <w:szCs w:val="21"/>
                      <w:lang w:val="en-US" w:eastAsia="zh-CN"/>
                    </w:rPr>
                    <w:t>112.6</w:t>
                  </w:r>
                </w:p>
              </w:tc>
              <w:tc>
                <w:tcPr>
                  <w:tcW w:w="203" w:type="pct"/>
                  <w:tcBorders>
                    <w:tl2br w:val="nil"/>
                    <w:tr2bl w:val="nil"/>
                  </w:tcBorders>
                  <w:noWrap w:val="0"/>
                  <w:vAlign w:val="center"/>
                </w:tcPr>
                <w:p w14:paraId="5CC422B1">
                  <w:pPr>
                    <w:widowControl/>
                    <w:jc w:val="center"/>
                    <w:textAlignment w:val="center"/>
                    <w:rPr>
                      <w:rFonts w:hint="default"/>
                      <w:sz w:val="21"/>
                      <w:szCs w:val="21"/>
                      <w:lang w:val="en-US" w:eastAsia="zh-CN"/>
                    </w:rPr>
                  </w:pPr>
                  <w:r>
                    <w:rPr>
                      <w:rFonts w:hint="eastAsia"/>
                      <w:sz w:val="21"/>
                      <w:szCs w:val="21"/>
                      <w:lang w:val="en-US" w:eastAsia="zh-CN"/>
                    </w:rPr>
                    <w:t>20.7</w:t>
                  </w:r>
                </w:p>
              </w:tc>
              <w:tc>
                <w:tcPr>
                  <w:tcW w:w="204" w:type="pct"/>
                  <w:tcBorders>
                    <w:tl2br w:val="nil"/>
                    <w:tr2bl w:val="nil"/>
                  </w:tcBorders>
                  <w:noWrap w:val="0"/>
                  <w:vAlign w:val="center"/>
                </w:tcPr>
                <w:p w14:paraId="26C9FC64">
                  <w:pPr>
                    <w:widowControl/>
                    <w:jc w:val="center"/>
                    <w:textAlignment w:val="center"/>
                    <w:rPr>
                      <w:rFonts w:hint="default"/>
                      <w:sz w:val="21"/>
                      <w:szCs w:val="21"/>
                      <w:lang w:val="en-US" w:eastAsia="zh-CN"/>
                    </w:rPr>
                  </w:pPr>
                  <w:r>
                    <w:rPr>
                      <w:rFonts w:hint="eastAsia"/>
                      <w:sz w:val="21"/>
                      <w:szCs w:val="21"/>
                      <w:lang w:val="en-US" w:eastAsia="zh-CN"/>
                    </w:rPr>
                    <w:t>16.6</w:t>
                  </w:r>
                </w:p>
              </w:tc>
              <w:tc>
                <w:tcPr>
                  <w:tcW w:w="191" w:type="pct"/>
                  <w:tcBorders>
                    <w:tl2br w:val="nil"/>
                    <w:tr2bl w:val="nil"/>
                  </w:tcBorders>
                  <w:noWrap w:val="0"/>
                  <w:vAlign w:val="center"/>
                </w:tcPr>
                <w:p w14:paraId="5E713F51">
                  <w:pPr>
                    <w:jc w:val="center"/>
                    <w:rPr>
                      <w:rFonts w:hint="default" w:ascii="Times New Roman" w:hAnsi="Times New Roman" w:eastAsia="宋体" w:cs="Times New Roman"/>
                      <w:kern w:val="2"/>
                      <w:sz w:val="21"/>
                      <w:szCs w:val="21"/>
                      <w:lang w:val="en-US" w:eastAsia="zh-CN" w:bidi="ar-SA"/>
                    </w:rPr>
                  </w:pPr>
                  <w:r>
                    <w:rPr>
                      <w:rFonts w:hint="default" w:eastAsia="宋体"/>
                      <w:sz w:val="21"/>
                      <w:szCs w:val="21"/>
                      <w:lang w:val="en-US" w:eastAsia="zh-CN"/>
                    </w:rPr>
                    <w:t>34.</w:t>
                  </w:r>
                  <w:r>
                    <w:rPr>
                      <w:rFonts w:hint="eastAsia"/>
                      <w:sz w:val="21"/>
                      <w:szCs w:val="21"/>
                      <w:lang w:val="en-US" w:eastAsia="zh-CN"/>
                    </w:rPr>
                    <w:t>4</w:t>
                  </w:r>
                </w:p>
              </w:tc>
              <w:tc>
                <w:tcPr>
                  <w:tcW w:w="191" w:type="pct"/>
                  <w:tcBorders>
                    <w:tl2br w:val="nil"/>
                    <w:tr2bl w:val="nil"/>
                  </w:tcBorders>
                  <w:noWrap w:val="0"/>
                  <w:vAlign w:val="center"/>
                </w:tcPr>
                <w:p w14:paraId="28A27DCF">
                  <w:pPr>
                    <w:jc w:val="center"/>
                    <w:rPr>
                      <w:rFonts w:hint="default" w:ascii="Times New Roman" w:hAnsi="Times New Roman" w:eastAsia="宋体" w:cs="Times New Roman"/>
                      <w:kern w:val="2"/>
                      <w:sz w:val="21"/>
                      <w:szCs w:val="21"/>
                      <w:lang w:val="en-US" w:eastAsia="zh-CN" w:bidi="ar-SA"/>
                    </w:rPr>
                  </w:pPr>
                  <w:r>
                    <w:rPr>
                      <w:rFonts w:hint="eastAsia"/>
                      <w:sz w:val="21"/>
                      <w:szCs w:val="21"/>
                      <w:lang w:val="en-US" w:eastAsia="zh-CN"/>
                    </w:rPr>
                    <w:t>39.0</w:t>
                  </w:r>
                </w:p>
              </w:tc>
              <w:tc>
                <w:tcPr>
                  <w:tcW w:w="191" w:type="pct"/>
                  <w:tcBorders>
                    <w:tl2br w:val="nil"/>
                    <w:tr2bl w:val="nil"/>
                  </w:tcBorders>
                  <w:noWrap w:val="0"/>
                  <w:vAlign w:val="center"/>
                </w:tcPr>
                <w:p w14:paraId="628416F7">
                  <w:pPr>
                    <w:jc w:val="center"/>
                    <w:rPr>
                      <w:rFonts w:hint="default" w:ascii="Times New Roman" w:hAnsi="Times New Roman" w:eastAsia="宋体" w:cs="Times New Roman"/>
                      <w:kern w:val="2"/>
                      <w:sz w:val="21"/>
                      <w:szCs w:val="21"/>
                      <w:lang w:val="en-US" w:eastAsia="zh-CN" w:bidi="ar-SA"/>
                    </w:rPr>
                  </w:pPr>
                  <w:r>
                    <w:rPr>
                      <w:rFonts w:hint="default" w:eastAsia="宋体"/>
                      <w:sz w:val="21"/>
                      <w:szCs w:val="21"/>
                      <w:lang w:val="en-US" w:eastAsia="zh-CN"/>
                    </w:rPr>
                    <w:t>53.</w:t>
                  </w:r>
                  <w:r>
                    <w:rPr>
                      <w:rFonts w:hint="eastAsia"/>
                      <w:sz w:val="21"/>
                      <w:szCs w:val="21"/>
                      <w:lang w:val="en-US" w:eastAsia="zh-CN"/>
                    </w:rPr>
                    <w:t>7</w:t>
                  </w:r>
                </w:p>
              </w:tc>
              <w:tc>
                <w:tcPr>
                  <w:tcW w:w="191" w:type="pct"/>
                  <w:tcBorders>
                    <w:tl2br w:val="nil"/>
                    <w:tr2bl w:val="nil"/>
                  </w:tcBorders>
                  <w:noWrap w:val="0"/>
                  <w:vAlign w:val="center"/>
                </w:tcPr>
                <w:p w14:paraId="1004FE2D">
                  <w:pPr>
                    <w:jc w:val="center"/>
                    <w:rPr>
                      <w:rFonts w:hint="default" w:ascii="Times New Roman" w:hAnsi="Times New Roman" w:eastAsia="宋体" w:cs="Times New Roman"/>
                      <w:kern w:val="2"/>
                      <w:sz w:val="21"/>
                      <w:szCs w:val="21"/>
                      <w:lang w:val="en-US" w:eastAsia="zh-CN" w:bidi="ar-SA"/>
                    </w:rPr>
                  </w:pPr>
                  <w:r>
                    <w:rPr>
                      <w:rFonts w:hint="default" w:eastAsia="宋体"/>
                      <w:sz w:val="21"/>
                      <w:szCs w:val="21"/>
                      <w:lang w:val="en-US" w:eastAsia="zh-CN"/>
                    </w:rPr>
                    <w:t>55.6</w:t>
                  </w:r>
                </w:p>
              </w:tc>
              <w:tc>
                <w:tcPr>
                  <w:tcW w:w="209" w:type="pct"/>
                  <w:tcBorders>
                    <w:tl2br w:val="nil"/>
                    <w:tr2bl w:val="nil"/>
                  </w:tcBorders>
                  <w:noWrap w:val="0"/>
                  <w:vAlign w:val="center"/>
                </w:tcPr>
                <w:p w14:paraId="65D1D811">
                  <w:pPr>
                    <w:widowControl/>
                    <w:jc w:val="center"/>
                    <w:textAlignment w:val="center"/>
                    <w:rPr>
                      <w:rFonts w:hint="eastAsia"/>
                      <w:sz w:val="21"/>
                      <w:szCs w:val="21"/>
                      <w:lang w:val="en-US" w:eastAsia="zh-CN"/>
                    </w:rPr>
                  </w:pPr>
                  <w:r>
                    <w:rPr>
                      <w:rFonts w:hint="eastAsia"/>
                      <w:sz w:val="21"/>
                      <w:szCs w:val="21"/>
                      <w:lang w:val="en-US" w:eastAsia="zh-CN"/>
                    </w:rPr>
                    <w:t>24h</w:t>
                  </w:r>
                </w:p>
              </w:tc>
              <w:tc>
                <w:tcPr>
                  <w:tcW w:w="287" w:type="pct"/>
                  <w:tcBorders>
                    <w:tl2br w:val="nil"/>
                    <w:tr2bl w:val="nil"/>
                  </w:tcBorders>
                  <w:noWrap w:val="0"/>
                  <w:vAlign w:val="center"/>
                </w:tcPr>
                <w:p w14:paraId="208C00C8">
                  <w:pPr>
                    <w:jc w:val="center"/>
                    <w:rPr>
                      <w:rFonts w:hint="default" w:eastAsia="宋体"/>
                      <w:b/>
                      <w:bCs/>
                      <w:sz w:val="21"/>
                      <w:szCs w:val="21"/>
                      <w:lang w:val="en-US" w:eastAsia="zh-CN"/>
                    </w:rPr>
                  </w:pPr>
                  <w:r>
                    <w:rPr>
                      <w:rFonts w:hint="eastAsia"/>
                      <w:sz w:val="21"/>
                      <w:szCs w:val="21"/>
                      <w:lang w:val="en-US" w:eastAsia="zh-CN"/>
                    </w:rPr>
                    <w:t>15</w:t>
                  </w:r>
                </w:p>
              </w:tc>
              <w:tc>
                <w:tcPr>
                  <w:tcW w:w="192" w:type="pct"/>
                  <w:tcBorders>
                    <w:tl2br w:val="nil"/>
                    <w:tr2bl w:val="nil"/>
                  </w:tcBorders>
                  <w:noWrap w:val="0"/>
                  <w:vAlign w:val="center"/>
                </w:tcPr>
                <w:p w14:paraId="0F9225EA">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19.4</w:t>
                  </w:r>
                </w:p>
              </w:tc>
              <w:tc>
                <w:tcPr>
                  <w:tcW w:w="192" w:type="pct"/>
                  <w:tcBorders>
                    <w:tl2br w:val="nil"/>
                    <w:tr2bl w:val="nil"/>
                  </w:tcBorders>
                  <w:noWrap w:val="0"/>
                  <w:vAlign w:val="center"/>
                </w:tcPr>
                <w:p w14:paraId="2E22F987">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24.0</w:t>
                  </w:r>
                </w:p>
              </w:tc>
              <w:tc>
                <w:tcPr>
                  <w:tcW w:w="192" w:type="pct"/>
                  <w:tcBorders>
                    <w:tl2br w:val="nil"/>
                    <w:tr2bl w:val="nil"/>
                  </w:tcBorders>
                  <w:noWrap w:val="0"/>
                  <w:vAlign w:val="center"/>
                </w:tcPr>
                <w:p w14:paraId="749AAD34">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38.7</w:t>
                  </w:r>
                </w:p>
              </w:tc>
              <w:tc>
                <w:tcPr>
                  <w:tcW w:w="193" w:type="pct"/>
                  <w:tcBorders>
                    <w:tl2br w:val="nil"/>
                    <w:tr2bl w:val="nil"/>
                  </w:tcBorders>
                  <w:noWrap w:val="0"/>
                  <w:vAlign w:val="center"/>
                </w:tcPr>
                <w:p w14:paraId="170AD0BE">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40.6</w:t>
                  </w:r>
                </w:p>
              </w:tc>
              <w:tc>
                <w:tcPr>
                  <w:tcW w:w="287" w:type="pct"/>
                  <w:tcBorders>
                    <w:tl2br w:val="nil"/>
                    <w:tr2bl w:val="nil"/>
                  </w:tcBorders>
                  <w:noWrap w:val="0"/>
                  <w:vAlign w:val="center"/>
                </w:tcPr>
                <w:p w14:paraId="58051DB6">
                  <w:pPr>
                    <w:jc w:val="center"/>
                    <w:rPr>
                      <w:sz w:val="21"/>
                      <w:szCs w:val="21"/>
                    </w:rPr>
                  </w:pPr>
                  <w:r>
                    <w:rPr>
                      <w:rFonts w:hint="eastAsia"/>
                      <w:sz w:val="21"/>
                      <w:szCs w:val="21"/>
                      <w:lang w:val="en-US" w:eastAsia="zh-CN"/>
                    </w:rPr>
                    <w:t>1m</w:t>
                  </w:r>
                </w:p>
              </w:tc>
            </w:tr>
            <w:tr w14:paraId="415C86F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76" w:type="pct"/>
                  <w:vMerge w:val="continue"/>
                  <w:tcBorders>
                    <w:tl2br w:val="nil"/>
                    <w:tr2bl w:val="nil"/>
                  </w:tcBorders>
                  <w:noWrap w:val="0"/>
                  <w:vAlign w:val="center"/>
                </w:tcPr>
                <w:p w14:paraId="46FF8A94">
                  <w:pPr>
                    <w:jc w:val="center"/>
                    <w:rPr>
                      <w:sz w:val="21"/>
                      <w:szCs w:val="21"/>
                    </w:rPr>
                  </w:pPr>
                </w:p>
              </w:tc>
              <w:tc>
                <w:tcPr>
                  <w:tcW w:w="431" w:type="pct"/>
                  <w:tcBorders>
                    <w:tl2br w:val="nil"/>
                    <w:tr2bl w:val="nil"/>
                  </w:tcBorders>
                  <w:noWrap w:val="0"/>
                  <w:vAlign w:val="center"/>
                </w:tcPr>
                <w:p w14:paraId="065CDA07">
                  <w:pPr>
                    <w:keepNext w:val="0"/>
                    <w:keepLines w:val="0"/>
                    <w:widowControl/>
                    <w:suppressLineNumbers w:val="0"/>
                    <w:jc w:val="center"/>
                    <w:textAlignment w:val="center"/>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破碎机</w:t>
                  </w:r>
                </w:p>
              </w:tc>
              <w:tc>
                <w:tcPr>
                  <w:tcW w:w="321" w:type="pct"/>
                  <w:tcBorders>
                    <w:tl2br w:val="nil"/>
                    <w:tr2bl w:val="nil"/>
                  </w:tcBorders>
                  <w:noWrap w:val="0"/>
                  <w:vAlign w:val="center"/>
                </w:tcPr>
                <w:p w14:paraId="0E76E3F0">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85</w:t>
                  </w:r>
                </w:p>
              </w:tc>
              <w:tc>
                <w:tcPr>
                  <w:tcW w:w="224" w:type="pct"/>
                  <w:vMerge w:val="continue"/>
                  <w:tcBorders>
                    <w:tl2br w:val="nil"/>
                    <w:tr2bl w:val="nil"/>
                  </w:tcBorders>
                  <w:noWrap w:val="0"/>
                  <w:vAlign w:val="center"/>
                </w:tcPr>
                <w:p w14:paraId="1EBBEFB8">
                  <w:pPr>
                    <w:keepNext w:val="0"/>
                    <w:keepLines w:val="0"/>
                    <w:widowControl/>
                    <w:suppressLineNumbers w:val="0"/>
                    <w:jc w:val="center"/>
                    <w:textAlignment w:val="center"/>
                    <w:rPr>
                      <w:rFonts w:hint="eastAsia" w:ascii="Times New Roman" w:hAnsi="Times New Roman" w:eastAsia="宋体" w:cs="Times New Roman"/>
                      <w:b w:val="0"/>
                      <w:bCs w:val="0"/>
                      <w:color w:val="000000"/>
                      <w:kern w:val="0"/>
                      <w:sz w:val="21"/>
                      <w:szCs w:val="21"/>
                      <w:highlight w:val="none"/>
                      <w:vertAlign w:val="baseline"/>
                      <w:lang w:val="en-US" w:eastAsia="zh-CN" w:bidi="ar"/>
                    </w:rPr>
                  </w:pPr>
                </w:p>
              </w:tc>
              <w:tc>
                <w:tcPr>
                  <w:tcW w:w="248" w:type="pct"/>
                  <w:tcBorders>
                    <w:tl2br w:val="nil"/>
                    <w:tr2bl w:val="nil"/>
                  </w:tcBorders>
                  <w:noWrap w:val="0"/>
                  <w:vAlign w:val="center"/>
                </w:tcPr>
                <w:p w14:paraId="2BA65542">
                  <w:pPr>
                    <w:widowControl/>
                    <w:jc w:val="center"/>
                    <w:textAlignment w:val="center"/>
                    <w:rPr>
                      <w:rFonts w:hint="default"/>
                      <w:sz w:val="21"/>
                      <w:szCs w:val="21"/>
                      <w:lang w:val="en-US" w:eastAsia="zh-CN"/>
                    </w:rPr>
                  </w:pPr>
                  <w:r>
                    <w:rPr>
                      <w:rFonts w:hint="eastAsia"/>
                      <w:sz w:val="21"/>
                      <w:szCs w:val="21"/>
                      <w:lang w:val="en-US" w:eastAsia="zh-CN"/>
                    </w:rPr>
                    <w:t>-26.4</w:t>
                  </w:r>
                </w:p>
              </w:tc>
              <w:tc>
                <w:tcPr>
                  <w:tcW w:w="261" w:type="pct"/>
                  <w:tcBorders>
                    <w:tl2br w:val="nil"/>
                    <w:tr2bl w:val="nil"/>
                  </w:tcBorders>
                  <w:noWrap w:val="0"/>
                  <w:vAlign w:val="center"/>
                </w:tcPr>
                <w:p w14:paraId="7B9A1223">
                  <w:pPr>
                    <w:widowControl/>
                    <w:jc w:val="center"/>
                    <w:textAlignment w:val="center"/>
                    <w:rPr>
                      <w:rFonts w:hint="default"/>
                      <w:sz w:val="21"/>
                      <w:szCs w:val="21"/>
                      <w:lang w:val="en-US" w:eastAsia="zh-CN"/>
                    </w:rPr>
                  </w:pPr>
                  <w:r>
                    <w:rPr>
                      <w:rFonts w:hint="eastAsia"/>
                      <w:sz w:val="21"/>
                      <w:szCs w:val="21"/>
                      <w:lang w:val="en-US" w:eastAsia="zh-CN"/>
                    </w:rPr>
                    <w:t>282.9</w:t>
                  </w:r>
                </w:p>
              </w:tc>
              <w:tc>
                <w:tcPr>
                  <w:tcW w:w="200" w:type="pct"/>
                  <w:tcBorders>
                    <w:tl2br w:val="nil"/>
                    <w:tr2bl w:val="nil"/>
                  </w:tcBorders>
                  <w:noWrap w:val="0"/>
                  <w:vAlign w:val="center"/>
                </w:tcPr>
                <w:p w14:paraId="7A8210C4">
                  <w:pPr>
                    <w:widowControl/>
                    <w:jc w:val="center"/>
                    <w:textAlignment w:val="center"/>
                    <w:rPr>
                      <w:rFonts w:hint="eastAsia"/>
                      <w:sz w:val="21"/>
                      <w:szCs w:val="21"/>
                      <w:lang w:val="en-US" w:eastAsia="zh-CN"/>
                    </w:rPr>
                  </w:pPr>
                  <w:r>
                    <w:rPr>
                      <w:rFonts w:hint="eastAsia"/>
                      <w:sz w:val="21"/>
                      <w:szCs w:val="21"/>
                      <w:lang w:val="en-US" w:eastAsia="zh-CN"/>
                    </w:rPr>
                    <w:t>1.2</w:t>
                  </w:r>
                </w:p>
              </w:tc>
              <w:tc>
                <w:tcPr>
                  <w:tcW w:w="203" w:type="pct"/>
                  <w:tcBorders>
                    <w:tl2br w:val="nil"/>
                    <w:tr2bl w:val="nil"/>
                  </w:tcBorders>
                  <w:noWrap w:val="0"/>
                  <w:vAlign w:val="center"/>
                </w:tcPr>
                <w:p w14:paraId="62BE38B2">
                  <w:pPr>
                    <w:widowControl/>
                    <w:jc w:val="center"/>
                    <w:textAlignment w:val="center"/>
                    <w:rPr>
                      <w:rFonts w:hint="default"/>
                      <w:sz w:val="21"/>
                      <w:szCs w:val="21"/>
                      <w:lang w:val="en-US" w:eastAsia="zh-CN"/>
                    </w:rPr>
                  </w:pPr>
                  <w:r>
                    <w:rPr>
                      <w:rFonts w:hint="eastAsia"/>
                      <w:sz w:val="21"/>
                      <w:szCs w:val="21"/>
                      <w:lang w:val="en-US" w:eastAsia="zh-CN"/>
                    </w:rPr>
                    <w:t>176.8</w:t>
                  </w:r>
                </w:p>
              </w:tc>
              <w:tc>
                <w:tcPr>
                  <w:tcW w:w="203" w:type="pct"/>
                  <w:tcBorders>
                    <w:tl2br w:val="nil"/>
                    <w:tr2bl w:val="nil"/>
                  </w:tcBorders>
                  <w:noWrap w:val="0"/>
                  <w:vAlign w:val="center"/>
                </w:tcPr>
                <w:p w14:paraId="480ED91E">
                  <w:pPr>
                    <w:widowControl/>
                    <w:jc w:val="center"/>
                    <w:textAlignment w:val="center"/>
                    <w:rPr>
                      <w:rFonts w:hint="default"/>
                      <w:sz w:val="21"/>
                      <w:szCs w:val="21"/>
                      <w:lang w:val="en-US" w:eastAsia="zh-CN"/>
                    </w:rPr>
                  </w:pPr>
                  <w:r>
                    <w:rPr>
                      <w:rFonts w:hint="eastAsia"/>
                      <w:sz w:val="21"/>
                      <w:szCs w:val="21"/>
                      <w:lang w:val="en-US" w:eastAsia="zh-CN"/>
                    </w:rPr>
                    <w:t>102.0</w:t>
                  </w:r>
                </w:p>
              </w:tc>
              <w:tc>
                <w:tcPr>
                  <w:tcW w:w="203" w:type="pct"/>
                  <w:tcBorders>
                    <w:tl2br w:val="nil"/>
                    <w:tr2bl w:val="nil"/>
                  </w:tcBorders>
                  <w:noWrap w:val="0"/>
                  <w:vAlign w:val="center"/>
                </w:tcPr>
                <w:p w14:paraId="2C1A154D">
                  <w:pPr>
                    <w:widowControl/>
                    <w:jc w:val="center"/>
                    <w:textAlignment w:val="center"/>
                    <w:rPr>
                      <w:rFonts w:hint="default"/>
                      <w:sz w:val="21"/>
                      <w:szCs w:val="21"/>
                      <w:lang w:val="en-US" w:eastAsia="zh-CN"/>
                    </w:rPr>
                  </w:pPr>
                  <w:r>
                    <w:rPr>
                      <w:rFonts w:hint="eastAsia"/>
                      <w:sz w:val="21"/>
                      <w:szCs w:val="21"/>
                      <w:lang w:val="en-US" w:eastAsia="zh-CN"/>
                    </w:rPr>
                    <w:t>9.7</w:t>
                  </w:r>
                </w:p>
              </w:tc>
              <w:tc>
                <w:tcPr>
                  <w:tcW w:w="204" w:type="pct"/>
                  <w:tcBorders>
                    <w:tl2br w:val="nil"/>
                    <w:tr2bl w:val="nil"/>
                  </w:tcBorders>
                  <w:noWrap w:val="0"/>
                  <w:vAlign w:val="center"/>
                </w:tcPr>
                <w:p w14:paraId="03B23D2C">
                  <w:pPr>
                    <w:widowControl/>
                    <w:jc w:val="center"/>
                    <w:textAlignment w:val="center"/>
                    <w:rPr>
                      <w:rFonts w:hint="default"/>
                      <w:sz w:val="21"/>
                      <w:szCs w:val="21"/>
                      <w:lang w:val="en-US" w:eastAsia="zh-CN"/>
                    </w:rPr>
                  </w:pPr>
                  <w:r>
                    <w:rPr>
                      <w:rFonts w:hint="eastAsia"/>
                      <w:sz w:val="21"/>
                      <w:szCs w:val="21"/>
                      <w:lang w:val="en-US" w:eastAsia="zh-CN"/>
                    </w:rPr>
                    <w:t>27.2</w:t>
                  </w:r>
                </w:p>
              </w:tc>
              <w:tc>
                <w:tcPr>
                  <w:tcW w:w="191" w:type="pct"/>
                  <w:tcBorders>
                    <w:tl2br w:val="nil"/>
                    <w:tr2bl w:val="nil"/>
                  </w:tcBorders>
                  <w:noWrap w:val="0"/>
                  <w:vAlign w:val="center"/>
                </w:tcPr>
                <w:p w14:paraId="420BE2E5">
                  <w:pPr>
                    <w:jc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40.1</w:t>
                  </w:r>
                </w:p>
              </w:tc>
              <w:tc>
                <w:tcPr>
                  <w:tcW w:w="191" w:type="pct"/>
                  <w:tcBorders>
                    <w:tl2br w:val="nil"/>
                    <w:tr2bl w:val="nil"/>
                  </w:tcBorders>
                  <w:noWrap w:val="0"/>
                  <w:vAlign w:val="center"/>
                </w:tcPr>
                <w:p w14:paraId="12123C11">
                  <w:pPr>
                    <w:jc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44.8</w:t>
                  </w:r>
                </w:p>
              </w:tc>
              <w:tc>
                <w:tcPr>
                  <w:tcW w:w="191" w:type="pct"/>
                  <w:tcBorders>
                    <w:tl2br w:val="nil"/>
                    <w:tr2bl w:val="nil"/>
                  </w:tcBorders>
                  <w:noWrap w:val="0"/>
                  <w:vAlign w:val="center"/>
                </w:tcPr>
                <w:p w14:paraId="7941C185">
                  <w:pPr>
                    <w:jc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65.3</w:t>
                  </w:r>
                </w:p>
              </w:tc>
              <w:tc>
                <w:tcPr>
                  <w:tcW w:w="191" w:type="pct"/>
                  <w:tcBorders>
                    <w:tl2br w:val="nil"/>
                    <w:tr2bl w:val="nil"/>
                  </w:tcBorders>
                  <w:noWrap w:val="0"/>
                  <w:vAlign w:val="center"/>
                </w:tcPr>
                <w:p w14:paraId="4AA107F0">
                  <w:pPr>
                    <w:jc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56.3</w:t>
                  </w:r>
                </w:p>
              </w:tc>
              <w:tc>
                <w:tcPr>
                  <w:tcW w:w="209" w:type="pct"/>
                  <w:tcBorders>
                    <w:tl2br w:val="nil"/>
                    <w:tr2bl w:val="nil"/>
                  </w:tcBorders>
                  <w:noWrap w:val="0"/>
                  <w:vAlign w:val="center"/>
                </w:tcPr>
                <w:p w14:paraId="139126D3">
                  <w:pPr>
                    <w:widowControl/>
                    <w:jc w:val="center"/>
                    <w:textAlignment w:val="center"/>
                    <w:rPr>
                      <w:rFonts w:hint="eastAsia"/>
                      <w:sz w:val="21"/>
                      <w:szCs w:val="21"/>
                      <w:lang w:val="en-US" w:eastAsia="zh-CN"/>
                    </w:rPr>
                  </w:pPr>
                  <w:r>
                    <w:rPr>
                      <w:rFonts w:hint="eastAsia"/>
                      <w:sz w:val="21"/>
                      <w:szCs w:val="21"/>
                      <w:lang w:val="en-US" w:eastAsia="zh-CN"/>
                    </w:rPr>
                    <w:t>24h</w:t>
                  </w:r>
                </w:p>
              </w:tc>
              <w:tc>
                <w:tcPr>
                  <w:tcW w:w="287" w:type="pct"/>
                  <w:tcBorders>
                    <w:tl2br w:val="nil"/>
                    <w:tr2bl w:val="nil"/>
                  </w:tcBorders>
                  <w:noWrap w:val="0"/>
                  <w:vAlign w:val="center"/>
                </w:tcPr>
                <w:p w14:paraId="2B58912B">
                  <w:pPr>
                    <w:jc w:val="center"/>
                    <w:rPr>
                      <w:rFonts w:hint="default" w:eastAsia="宋体"/>
                      <w:b/>
                      <w:bCs/>
                      <w:sz w:val="21"/>
                      <w:szCs w:val="21"/>
                      <w:lang w:val="en-US" w:eastAsia="zh-CN"/>
                    </w:rPr>
                  </w:pPr>
                  <w:r>
                    <w:rPr>
                      <w:rFonts w:hint="eastAsia"/>
                      <w:sz w:val="21"/>
                      <w:szCs w:val="21"/>
                      <w:lang w:val="en-US" w:eastAsia="zh-CN"/>
                    </w:rPr>
                    <w:t>15</w:t>
                  </w:r>
                </w:p>
              </w:tc>
              <w:tc>
                <w:tcPr>
                  <w:tcW w:w="192" w:type="pct"/>
                  <w:tcBorders>
                    <w:tl2br w:val="nil"/>
                    <w:tr2bl w:val="nil"/>
                  </w:tcBorders>
                  <w:noWrap w:val="0"/>
                  <w:vAlign w:val="center"/>
                </w:tcPr>
                <w:p w14:paraId="07AC5E75">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25.1</w:t>
                  </w:r>
                </w:p>
              </w:tc>
              <w:tc>
                <w:tcPr>
                  <w:tcW w:w="192" w:type="pct"/>
                  <w:tcBorders>
                    <w:tl2br w:val="nil"/>
                    <w:tr2bl w:val="nil"/>
                  </w:tcBorders>
                  <w:noWrap w:val="0"/>
                  <w:vAlign w:val="center"/>
                </w:tcPr>
                <w:p w14:paraId="2A1EA684">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29.8</w:t>
                  </w:r>
                </w:p>
              </w:tc>
              <w:tc>
                <w:tcPr>
                  <w:tcW w:w="192" w:type="pct"/>
                  <w:tcBorders>
                    <w:tl2br w:val="nil"/>
                    <w:tr2bl w:val="nil"/>
                  </w:tcBorders>
                  <w:noWrap w:val="0"/>
                  <w:vAlign w:val="center"/>
                </w:tcPr>
                <w:p w14:paraId="2B3F9C58">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50.3</w:t>
                  </w:r>
                </w:p>
              </w:tc>
              <w:tc>
                <w:tcPr>
                  <w:tcW w:w="193" w:type="pct"/>
                  <w:tcBorders>
                    <w:tl2br w:val="nil"/>
                    <w:tr2bl w:val="nil"/>
                  </w:tcBorders>
                  <w:noWrap w:val="0"/>
                  <w:vAlign w:val="center"/>
                </w:tcPr>
                <w:p w14:paraId="3D6E047B">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41.3</w:t>
                  </w:r>
                </w:p>
              </w:tc>
              <w:tc>
                <w:tcPr>
                  <w:tcW w:w="287" w:type="pct"/>
                  <w:tcBorders>
                    <w:tl2br w:val="nil"/>
                    <w:tr2bl w:val="nil"/>
                  </w:tcBorders>
                  <w:noWrap w:val="0"/>
                  <w:vAlign w:val="center"/>
                </w:tcPr>
                <w:p w14:paraId="22BF04A8">
                  <w:pPr>
                    <w:jc w:val="center"/>
                    <w:rPr>
                      <w:sz w:val="21"/>
                      <w:szCs w:val="21"/>
                    </w:rPr>
                  </w:pPr>
                  <w:r>
                    <w:rPr>
                      <w:rFonts w:hint="eastAsia"/>
                      <w:sz w:val="21"/>
                      <w:szCs w:val="21"/>
                      <w:lang w:val="en-US" w:eastAsia="zh-CN"/>
                    </w:rPr>
                    <w:t>1m</w:t>
                  </w:r>
                </w:p>
              </w:tc>
            </w:tr>
            <w:tr w14:paraId="012FA3F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18" w:hRule="atLeast"/>
                <w:jc w:val="center"/>
              </w:trPr>
              <w:tc>
                <w:tcPr>
                  <w:tcW w:w="176" w:type="pct"/>
                  <w:vMerge w:val="continue"/>
                  <w:tcBorders>
                    <w:tl2br w:val="nil"/>
                    <w:tr2bl w:val="nil"/>
                  </w:tcBorders>
                  <w:noWrap w:val="0"/>
                  <w:vAlign w:val="center"/>
                </w:tcPr>
                <w:p w14:paraId="099A6544">
                  <w:pPr>
                    <w:jc w:val="center"/>
                    <w:rPr>
                      <w:sz w:val="21"/>
                      <w:szCs w:val="21"/>
                    </w:rPr>
                  </w:pPr>
                </w:p>
              </w:tc>
              <w:tc>
                <w:tcPr>
                  <w:tcW w:w="431" w:type="pct"/>
                  <w:tcBorders>
                    <w:tl2br w:val="nil"/>
                    <w:tr2bl w:val="nil"/>
                  </w:tcBorders>
                  <w:noWrap w:val="0"/>
                  <w:vAlign w:val="center"/>
                </w:tcPr>
                <w:p w14:paraId="437DE51B">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带式输送机1</w:t>
                  </w:r>
                </w:p>
              </w:tc>
              <w:tc>
                <w:tcPr>
                  <w:tcW w:w="321" w:type="pct"/>
                  <w:tcBorders>
                    <w:tl2br w:val="nil"/>
                    <w:tr2bl w:val="nil"/>
                  </w:tcBorders>
                  <w:noWrap w:val="0"/>
                  <w:vAlign w:val="center"/>
                </w:tcPr>
                <w:p w14:paraId="2CFF1699">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70</w:t>
                  </w:r>
                </w:p>
              </w:tc>
              <w:tc>
                <w:tcPr>
                  <w:tcW w:w="224" w:type="pct"/>
                  <w:vMerge w:val="continue"/>
                  <w:tcBorders>
                    <w:tl2br w:val="nil"/>
                    <w:tr2bl w:val="nil"/>
                  </w:tcBorders>
                  <w:noWrap w:val="0"/>
                  <w:vAlign w:val="center"/>
                </w:tcPr>
                <w:p w14:paraId="03CFFCCC">
                  <w:pPr>
                    <w:keepNext w:val="0"/>
                    <w:keepLines w:val="0"/>
                    <w:widowControl/>
                    <w:suppressLineNumbers w:val="0"/>
                    <w:jc w:val="center"/>
                    <w:textAlignment w:val="center"/>
                    <w:rPr>
                      <w:rFonts w:hint="eastAsia" w:ascii="Times New Roman" w:hAnsi="Times New Roman" w:eastAsia="宋体" w:cs="Times New Roman"/>
                      <w:b w:val="0"/>
                      <w:bCs w:val="0"/>
                      <w:color w:val="000000"/>
                      <w:kern w:val="0"/>
                      <w:sz w:val="21"/>
                      <w:szCs w:val="21"/>
                      <w:highlight w:val="none"/>
                      <w:vertAlign w:val="baseline"/>
                      <w:lang w:val="en-US" w:eastAsia="zh-CN" w:bidi="ar"/>
                    </w:rPr>
                  </w:pPr>
                </w:p>
              </w:tc>
              <w:tc>
                <w:tcPr>
                  <w:tcW w:w="248" w:type="pct"/>
                  <w:tcBorders>
                    <w:tl2br w:val="nil"/>
                    <w:tr2bl w:val="nil"/>
                  </w:tcBorders>
                  <w:noWrap w:val="0"/>
                  <w:vAlign w:val="center"/>
                </w:tcPr>
                <w:p w14:paraId="4CCD9B50">
                  <w:pPr>
                    <w:widowControl/>
                    <w:jc w:val="center"/>
                    <w:textAlignment w:val="center"/>
                    <w:rPr>
                      <w:rFonts w:hint="default" w:ascii="Times New Roman" w:hAnsi="Times New Roman" w:eastAsia="宋体" w:cs="Times New Roman"/>
                      <w:kern w:val="2"/>
                      <w:sz w:val="21"/>
                      <w:szCs w:val="21"/>
                      <w:lang w:val="en-US" w:eastAsia="zh-CN" w:bidi="ar-SA"/>
                    </w:rPr>
                  </w:pPr>
                  <w:r>
                    <w:rPr>
                      <w:rFonts w:hint="eastAsia"/>
                      <w:sz w:val="21"/>
                      <w:szCs w:val="21"/>
                      <w:lang w:val="en-US" w:eastAsia="zh-CN"/>
                    </w:rPr>
                    <w:t>-10.2</w:t>
                  </w:r>
                </w:p>
              </w:tc>
              <w:tc>
                <w:tcPr>
                  <w:tcW w:w="261" w:type="pct"/>
                  <w:tcBorders>
                    <w:tl2br w:val="nil"/>
                    <w:tr2bl w:val="nil"/>
                  </w:tcBorders>
                  <w:noWrap w:val="0"/>
                  <w:vAlign w:val="center"/>
                </w:tcPr>
                <w:p w14:paraId="3D9E27B1">
                  <w:pPr>
                    <w:widowControl/>
                    <w:jc w:val="center"/>
                    <w:textAlignment w:val="center"/>
                    <w:rPr>
                      <w:rFonts w:hint="default" w:ascii="Times New Roman" w:hAnsi="Times New Roman" w:eastAsia="宋体" w:cs="Times New Roman"/>
                      <w:kern w:val="2"/>
                      <w:sz w:val="21"/>
                      <w:szCs w:val="21"/>
                      <w:lang w:val="en-US" w:eastAsia="zh-CN" w:bidi="ar-SA"/>
                    </w:rPr>
                  </w:pPr>
                  <w:r>
                    <w:rPr>
                      <w:rFonts w:hint="eastAsia"/>
                      <w:sz w:val="21"/>
                      <w:szCs w:val="21"/>
                      <w:lang w:val="en-US" w:eastAsia="zh-CN"/>
                    </w:rPr>
                    <w:t>294.5</w:t>
                  </w:r>
                </w:p>
              </w:tc>
              <w:tc>
                <w:tcPr>
                  <w:tcW w:w="200" w:type="pct"/>
                  <w:tcBorders>
                    <w:tl2br w:val="nil"/>
                    <w:tr2bl w:val="nil"/>
                  </w:tcBorders>
                  <w:noWrap w:val="0"/>
                  <w:vAlign w:val="center"/>
                </w:tcPr>
                <w:p w14:paraId="00508490">
                  <w:pPr>
                    <w:widowControl/>
                    <w:jc w:val="center"/>
                    <w:textAlignment w:val="center"/>
                    <w:rPr>
                      <w:rFonts w:hint="eastAsia" w:ascii="Times New Roman" w:hAnsi="Times New Roman" w:eastAsia="宋体" w:cs="Times New Roman"/>
                      <w:kern w:val="2"/>
                      <w:sz w:val="21"/>
                      <w:szCs w:val="21"/>
                      <w:lang w:val="en-US" w:eastAsia="zh-CN" w:bidi="ar-SA"/>
                    </w:rPr>
                  </w:pPr>
                  <w:r>
                    <w:rPr>
                      <w:rFonts w:hint="eastAsia"/>
                      <w:sz w:val="21"/>
                      <w:szCs w:val="21"/>
                      <w:lang w:val="en-US" w:eastAsia="zh-CN"/>
                    </w:rPr>
                    <w:t>1.2</w:t>
                  </w:r>
                </w:p>
              </w:tc>
              <w:tc>
                <w:tcPr>
                  <w:tcW w:w="203" w:type="pct"/>
                  <w:tcBorders>
                    <w:tl2br w:val="nil"/>
                    <w:tr2bl w:val="nil"/>
                  </w:tcBorders>
                  <w:noWrap w:val="0"/>
                  <w:vAlign w:val="center"/>
                </w:tcPr>
                <w:p w14:paraId="1945BC19">
                  <w:pPr>
                    <w:widowControl/>
                    <w:jc w:val="center"/>
                    <w:textAlignment w:val="center"/>
                    <w:rPr>
                      <w:rFonts w:hint="default" w:ascii="Times New Roman" w:hAnsi="Times New Roman" w:eastAsia="宋体" w:cs="Times New Roman"/>
                      <w:kern w:val="2"/>
                      <w:sz w:val="21"/>
                      <w:szCs w:val="21"/>
                      <w:lang w:val="en-US" w:eastAsia="zh-CN" w:bidi="ar-SA"/>
                    </w:rPr>
                  </w:pPr>
                  <w:r>
                    <w:rPr>
                      <w:rFonts w:hint="eastAsia"/>
                      <w:sz w:val="21"/>
                      <w:szCs w:val="21"/>
                      <w:lang w:val="en-US" w:eastAsia="zh-CN"/>
                    </w:rPr>
                    <w:t>160.6</w:t>
                  </w:r>
                </w:p>
              </w:tc>
              <w:tc>
                <w:tcPr>
                  <w:tcW w:w="203" w:type="pct"/>
                  <w:tcBorders>
                    <w:tl2br w:val="nil"/>
                    <w:tr2bl w:val="nil"/>
                  </w:tcBorders>
                  <w:noWrap w:val="0"/>
                  <w:vAlign w:val="center"/>
                </w:tcPr>
                <w:p w14:paraId="7CADB562">
                  <w:pPr>
                    <w:widowControl/>
                    <w:jc w:val="center"/>
                    <w:textAlignment w:val="center"/>
                    <w:rPr>
                      <w:rFonts w:hint="default" w:ascii="Times New Roman" w:hAnsi="Times New Roman" w:eastAsia="宋体" w:cs="Times New Roman"/>
                      <w:kern w:val="2"/>
                      <w:sz w:val="21"/>
                      <w:szCs w:val="21"/>
                      <w:lang w:val="en-US" w:eastAsia="zh-CN" w:bidi="ar-SA"/>
                    </w:rPr>
                  </w:pPr>
                  <w:r>
                    <w:rPr>
                      <w:rFonts w:hint="eastAsia"/>
                      <w:sz w:val="21"/>
                      <w:szCs w:val="21"/>
                      <w:lang w:val="en-US" w:eastAsia="zh-CN"/>
                    </w:rPr>
                    <w:t>113.7</w:t>
                  </w:r>
                </w:p>
              </w:tc>
              <w:tc>
                <w:tcPr>
                  <w:tcW w:w="203" w:type="pct"/>
                  <w:tcBorders>
                    <w:tl2br w:val="nil"/>
                    <w:tr2bl w:val="nil"/>
                  </w:tcBorders>
                  <w:noWrap w:val="0"/>
                  <w:vAlign w:val="center"/>
                </w:tcPr>
                <w:p w14:paraId="7CE68A92">
                  <w:pPr>
                    <w:widowControl/>
                    <w:jc w:val="center"/>
                    <w:textAlignment w:val="center"/>
                    <w:rPr>
                      <w:rFonts w:hint="default" w:ascii="Times New Roman" w:hAnsi="Times New Roman" w:eastAsia="宋体" w:cs="Times New Roman"/>
                      <w:kern w:val="2"/>
                      <w:sz w:val="21"/>
                      <w:szCs w:val="21"/>
                      <w:lang w:val="en-US" w:eastAsia="zh-CN" w:bidi="ar-SA"/>
                    </w:rPr>
                  </w:pPr>
                  <w:r>
                    <w:rPr>
                      <w:rFonts w:hint="eastAsia"/>
                      <w:sz w:val="21"/>
                      <w:szCs w:val="21"/>
                      <w:lang w:val="en-US" w:eastAsia="zh-CN"/>
                    </w:rPr>
                    <w:t>21.0</w:t>
                  </w:r>
                </w:p>
              </w:tc>
              <w:tc>
                <w:tcPr>
                  <w:tcW w:w="204" w:type="pct"/>
                  <w:tcBorders>
                    <w:tl2br w:val="nil"/>
                    <w:tr2bl w:val="nil"/>
                  </w:tcBorders>
                  <w:noWrap w:val="0"/>
                  <w:vAlign w:val="center"/>
                </w:tcPr>
                <w:p w14:paraId="6070ACAC">
                  <w:pPr>
                    <w:widowControl/>
                    <w:jc w:val="center"/>
                    <w:textAlignment w:val="center"/>
                    <w:rPr>
                      <w:rFonts w:hint="default" w:ascii="Times New Roman" w:hAnsi="Times New Roman" w:eastAsia="宋体" w:cs="Times New Roman"/>
                      <w:kern w:val="2"/>
                      <w:sz w:val="21"/>
                      <w:szCs w:val="21"/>
                      <w:lang w:val="en-US" w:eastAsia="zh-CN" w:bidi="ar-SA"/>
                    </w:rPr>
                  </w:pPr>
                  <w:r>
                    <w:rPr>
                      <w:rFonts w:hint="eastAsia"/>
                      <w:sz w:val="21"/>
                      <w:szCs w:val="21"/>
                      <w:lang w:val="en-US" w:eastAsia="zh-CN"/>
                    </w:rPr>
                    <w:t>15.5</w:t>
                  </w:r>
                </w:p>
              </w:tc>
              <w:tc>
                <w:tcPr>
                  <w:tcW w:w="191" w:type="pct"/>
                  <w:tcBorders>
                    <w:tl2br w:val="nil"/>
                    <w:tr2bl w:val="nil"/>
                  </w:tcBorders>
                  <w:noWrap w:val="0"/>
                  <w:vAlign w:val="center"/>
                </w:tcPr>
                <w:p w14:paraId="398AFBCF">
                  <w:pPr>
                    <w:jc w:val="center"/>
                    <w:rPr>
                      <w:rFonts w:hint="default" w:eastAsia="宋体"/>
                      <w:sz w:val="21"/>
                      <w:szCs w:val="21"/>
                      <w:lang w:val="en-US" w:eastAsia="zh-CN"/>
                    </w:rPr>
                  </w:pPr>
                  <w:r>
                    <w:rPr>
                      <w:rFonts w:hint="default" w:eastAsia="宋体"/>
                      <w:sz w:val="21"/>
                      <w:szCs w:val="21"/>
                      <w:lang w:val="en-US" w:eastAsia="zh-CN"/>
                    </w:rPr>
                    <w:t>25.</w:t>
                  </w:r>
                  <w:r>
                    <w:rPr>
                      <w:rFonts w:hint="eastAsia" w:eastAsia="宋体"/>
                      <w:sz w:val="21"/>
                      <w:szCs w:val="21"/>
                      <w:lang w:val="en-US" w:eastAsia="zh-CN"/>
                    </w:rPr>
                    <w:t>9</w:t>
                  </w:r>
                </w:p>
              </w:tc>
              <w:tc>
                <w:tcPr>
                  <w:tcW w:w="191" w:type="pct"/>
                  <w:tcBorders>
                    <w:tl2br w:val="nil"/>
                    <w:tr2bl w:val="nil"/>
                  </w:tcBorders>
                  <w:noWrap w:val="0"/>
                  <w:vAlign w:val="center"/>
                </w:tcPr>
                <w:p w14:paraId="0098E2A7">
                  <w:pPr>
                    <w:jc w:val="center"/>
                    <w:rPr>
                      <w:rFonts w:hint="default" w:eastAsia="宋体"/>
                      <w:sz w:val="21"/>
                      <w:szCs w:val="21"/>
                      <w:lang w:val="en-US" w:eastAsia="zh-CN"/>
                    </w:rPr>
                  </w:pPr>
                  <w:r>
                    <w:rPr>
                      <w:rFonts w:hint="default" w:eastAsia="宋体"/>
                      <w:sz w:val="21"/>
                      <w:szCs w:val="21"/>
                      <w:lang w:val="en-US" w:eastAsia="zh-CN"/>
                    </w:rPr>
                    <w:t>28.</w:t>
                  </w:r>
                  <w:r>
                    <w:rPr>
                      <w:rFonts w:hint="eastAsia" w:eastAsia="宋体"/>
                      <w:sz w:val="21"/>
                      <w:szCs w:val="21"/>
                      <w:lang w:val="en-US" w:eastAsia="zh-CN"/>
                    </w:rPr>
                    <w:t>9</w:t>
                  </w:r>
                </w:p>
              </w:tc>
              <w:tc>
                <w:tcPr>
                  <w:tcW w:w="191" w:type="pct"/>
                  <w:tcBorders>
                    <w:tl2br w:val="nil"/>
                    <w:tr2bl w:val="nil"/>
                  </w:tcBorders>
                  <w:noWrap w:val="0"/>
                  <w:vAlign w:val="center"/>
                </w:tcPr>
                <w:p w14:paraId="57170DFC">
                  <w:pPr>
                    <w:jc w:val="center"/>
                    <w:rPr>
                      <w:rFonts w:hint="default" w:eastAsia="宋体"/>
                      <w:sz w:val="21"/>
                      <w:szCs w:val="21"/>
                      <w:lang w:val="en-US" w:eastAsia="zh-CN"/>
                    </w:rPr>
                  </w:pPr>
                  <w:r>
                    <w:rPr>
                      <w:rFonts w:hint="default" w:eastAsia="宋体"/>
                      <w:sz w:val="21"/>
                      <w:szCs w:val="21"/>
                      <w:lang w:val="en-US" w:eastAsia="zh-CN"/>
                    </w:rPr>
                    <w:t>43.</w:t>
                  </w:r>
                  <w:r>
                    <w:rPr>
                      <w:rFonts w:hint="eastAsia" w:eastAsia="宋体"/>
                      <w:sz w:val="21"/>
                      <w:szCs w:val="21"/>
                      <w:lang w:val="en-US" w:eastAsia="zh-CN"/>
                    </w:rPr>
                    <w:t>6</w:t>
                  </w:r>
                </w:p>
              </w:tc>
              <w:tc>
                <w:tcPr>
                  <w:tcW w:w="191" w:type="pct"/>
                  <w:tcBorders>
                    <w:tl2br w:val="nil"/>
                    <w:tr2bl w:val="nil"/>
                  </w:tcBorders>
                  <w:noWrap w:val="0"/>
                  <w:vAlign w:val="center"/>
                </w:tcPr>
                <w:p w14:paraId="4E4347AC">
                  <w:pPr>
                    <w:jc w:val="center"/>
                    <w:rPr>
                      <w:rFonts w:hint="default" w:eastAsia="宋体"/>
                      <w:sz w:val="21"/>
                      <w:szCs w:val="21"/>
                      <w:lang w:val="en-US" w:eastAsia="zh-CN"/>
                    </w:rPr>
                  </w:pPr>
                  <w:r>
                    <w:rPr>
                      <w:rFonts w:hint="default" w:eastAsia="宋体"/>
                      <w:sz w:val="21"/>
                      <w:szCs w:val="21"/>
                      <w:lang w:val="en-US" w:eastAsia="zh-CN"/>
                    </w:rPr>
                    <w:t>46.</w:t>
                  </w:r>
                  <w:r>
                    <w:rPr>
                      <w:rFonts w:hint="eastAsia" w:eastAsia="宋体"/>
                      <w:sz w:val="21"/>
                      <w:szCs w:val="21"/>
                      <w:lang w:val="en-US" w:eastAsia="zh-CN"/>
                    </w:rPr>
                    <w:t>2</w:t>
                  </w:r>
                </w:p>
              </w:tc>
              <w:tc>
                <w:tcPr>
                  <w:tcW w:w="209" w:type="pct"/>
                  <w:tcBorders>
                    <w:tl2br w:val="nil"/>
                    <w:tr2bl w:val="nil"/>
                  </w:tcBorders>
                  <w:noWrap w:val="0"/>
                  <w:vAlign w:val="center"/>
                </w:tcPr>
                <w:p w14:paraId="5E507F4C">
                  <w:pPr>
                    <w:widowControl/>
                    <w:jc w:val="center"/>
                    <w:textAlignment w:val="center"/>
                    <w:rPr>
                      <w:rFonts w:hint="eastAsia"/>
                      <w:sz w:val="21"/>
                      <w:szCs w:val="21"/>
                      <w:lang w:val="en-US" w:eastAsia="zh-CN"/>
                    </w:rPr>
                  </w:pPr>
                  <w:r>
                    <w:rPr>
                      <w:rFonts w:hint="eastAsia"/>
                      <w:sz w:val="21"/>
                      <w:szCs w:val="21"/>
                      <w:lang w:val="en-US" w:eastAsia="zh-CN"/>
                    </w:rPr>
                    <w:t>24h</w:t>
                  </w:r>
                </w:p>
              </w:tc>
              <w:tc>
                <w:tcPr>
                  <w:tcW w:w="287" w:type="pct"/>
                  <w:tcBorders>
                    <w:tl2br w:val="nil"/>
                    <w:tr2bl w:val="nil"/>
                  </w:tcBorders>
                  <w:noWrap w:val="0"/>
                  <w:vAlign w:val="center"/>
                </w:tcPr>
                <w:p w14:paraId="49874EE6">
                  <w:pPr>
                    <w:jc w:val="center"/>
                    <w:rPr>
                      <w:rFonts w:hint="default" w:eastAsia="宋体"/>
                      <w:b/>
                      <w:bCs/>
                      <w:sz w:val="21"/>
                      <w:szCs w:val="21"/>
                      <w:lang w:val="en-US" w:eastAsia="zh-CN"/>
                    </w:rPr>
                  </w:pPr>
                  <w:r>
                    <w:rPr>
                      <w:rFonts w:hint="eastAsia"/>
                      <w:sz w:val="21"/>
                      <w:szCs w:val="21"/>
                      <w:lang w:val="en-US" w:eastAsia="zh-CN"/>
                    </w:rPr>
                    <w:t>15</w:t>
                  </w:r>
                </w:p>
              </w:tc>
              <w:tc>
                <w:tcPr>
                  <w:tcW w:w="192" w:type="pct"/>
                  <w:tcBorders>
                    <w:tl2br w:val="nil"/>
                    <w:tr2bl w:val="nil"/>
                  </w:tcBorders>
                  <w:noWrap w:val="0"/>
                  <w:vAlign w:val="center"/>
                </w:tcPr>
                <w:p w14:paraId="6BC73AF3">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10.9</w:t>
                  </w:r>
                </w:p>
              </w:tc>
              <w:tc>
                <w:tcPr>
                  <w:tcW w:w="192" w:type="pct"/>
                  <w:tcBorders>
                    <w:tl2br w:val="nil"/>
                    <w:tr2bl w:val="nil"/>
                  </w:tcBorders>
                  <w:noWrap w:val="0"/>
                  <w:vAlign w:val="center"/>
                </w:tcPr>
                <w:p w14:paraId="4CC36A39">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13.9</w:t>
                  </w:r>
                </w:p>
              </w:tc>
              <w:tc>
                <w:tcPr>
                  <w:tcW w:w="192" w:type="pct"/>
                  <w:tcBorders>
                    <w:tl2br w:val="nil"/>
                    <w:tr2bl w:val="nil"/>
                  </w:tcBorders>
                  <w:noWrap w:val="0"/>
                  <w:vAlign w:val="center"/>
                </w:tcPr>
                <w:p w14:paraId="5750E2DC">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28.6</w:t>
                  </w:r>
                </w:p>
              </w:tc>
              <w:tc>
                <w:tcPr>
                  <w:tcW w:w="193" w:type="pct"/>
                  <w:tcBorders>
                    <w:tl2br w:val="nil"/>
                    <w:tr2bl w:val="nil"/>
                  </w:tcBorders>
                  <w:noWrap w:val="0"/>
                  <w:vAlign w:val="center"/>
                </w:tcPr>
                <w:p w14:paraId="002E2996">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31.2</w:t>
                  </w:r>
                </w:p>
              </w:tc>
              <w:tc>
                <w:tcPr>
                  <w:tcW w:w="287" w:type="pct"/>
                  <w:tcBorders>
                    <w:tl2br w:val="nil"/>
                    <w:tr2bl w:val="nil"/>
                  </w:tcBorders>
                  <w:noWrap w:val="0"/>
                  <w:vAlign w:val="center"/>
                </w:tcPr>
                <w:p w14:paraId="2919251D">
                  <w:pPr>
                    <w:jc w:val="center"/>
                    <w:rPr>
                      <w:sz w:val="21"/>
                      <w:szCs w:val="21"/>
                    </w:rPr>
                  </w:pPr>
                  <w:r>
                    <w:rPr>
                      <w:rFonts w:hint="eastAsia"/>
                      <w:sz w:val="21"/>
                      <w:szCs w:val="21"/>
                      <w:lang w:val="en-US" w:eastAsia="zh-CN"/>
                    </w:rPr>
                    <w:t>1m</w:t>
                  </w:r>
                </w:p>
              </w:tc>
            </w:tr>
            <w:tr w14:paraId="60CA6A3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18" w:hRule="atLeast"/>
                <w:jc w:val="center"/>
              </w:trPr>
              <w:tc>
                <w:tcPr>
                  <w:tcW w:w="176" w:type="pct"/>
                  <w:vMerge w:val="continue"/>
                  <w:tcBorders>
                    <w:tl2br w:val="nil"/>
                    <w:tr2bl w:val="nil"/>
                  </w:tcBorders>
                  <w:noWrap w:val="0"/>
                  <w:vAlign w:val="center"/>
                </w:tcPr>
                <w:p w14:paraId="1EC98CA0">
                  <w:pPr>
                    <w:jc w:val="center"/>
                    <w:rPr>
                      <w:sz w:val="21"/>
                      <w:szCs w:val="21"/>
                    </w:rPr>
                  </w:pPr>
                </w:p>
              </w:tc>
              <w:tc>
                <w:tcPr>
                  <w:tcW w:w="431" w:type="pct"/>
                  <w:tcBorders>
                    <w:tl2br w:val="nil"/>
                    <w:tr2bl w:val="nil"/>
                  </w:tcBorders>
                  <w:noWrap w:val="0"/>
                  <w:vAlign w:val="center"/>
                </w:tcPr>
                <w:p w14:paraId="7D5B915C">
                  <w:pPr>
                    <w:keepNext w:val="0"/>
                    <w:keepLines w:val="0"/>
                    <w:widowControl/>
                    <w:suppressLineNumbers w:val="0"/>
                    <w:jc w:val="center"/>
                    <w:textAlignment w:val="center"/>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带式输送机2</w:t>
                  </w:r>
                </w:p>
              </w:tc>
              <w:tc>
                <w:tcPr>
                  <w:tcW w:w="321" w:type="pct"/>
                  <w:tcBorders>
                    <w:tl2br w:val="nil"/>
                    <w:tr2bl w:val="nil"/>
                  </w:tcBorders>
                  <w:noWrap w:val="0"/>
                  <w:vAlign w:val="center"/>
                </w:tcPr>
                <w:p w14:paraId="37848FD6">
                  <w:pPr>
                    <w:keepNext w:val="0"/>
                    <w:keepLines w:val="0"/>
                    <w:widowControl/>
                    <w:suppressLineNumbers w:val="0"/>
                    <w:jc w:val="center"/>
                    <w:textAlignment w:val="center"/>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70</w:t>
                  </w:r>
                </w:p>
              </w:tc>
              <w:tc>
                <w:tcPr>
                  <w:tcW w:w="224" w:type="pct"/>
                  <w:vMerge w:val="continue"/>
                  <w:tcBorders>
                    <w:tl2br w:val="nil"/>
                    <w:tr2bl w:val="nil"/>
                  </w:tcBorders>
                  <w:noWrap w:val="0"/>
                  <w:vAlign w:val="center"/>
                </w:tcPr>
                <w:p w14:paraId="63CE0DB0">
                  <w:pPr>
                    <w:keepNext w:val="0"/>
                    <w:keepLines w:val="0"/>
                    <w:widowControl/>
                    <w:suppressLineNumbers w:val="0"/>
                    <w:jc w:val="center"/>
                    <w:textAlignment w:val="center"/>
                    <w:rPr>
                      <w:rFonts w:hint="eastAsia" w:ascii="Times New Roman" w:hAnsi="Times New Roman" w:eastAsia="宋体" w:cs="Times New Roman"/>
                      <w:b w:val="0"/>
                      <w:bCs w:val="0"/>
                      <w:color w:val="000000"/>
                      <w:kern w:val="0"/>
                      <w:sz w:val="21"/>
                      <w:szCs w:val="21"/>
                      <w:highlight w:val="none"/>
                      <w:vertAlign w:val="baseline"/>
                      <w:lang w:val="en-US" w:eastAsia="zh-CN" w:bidi="ar"/>
                    </w:rPr>
                  </w:pPr>
                </w:p>
              </w:tc>
              <w:tc>
                <w:tcPr>
                  <w:tcW w:w="248" w:type="pct"/>
                  <w:tcBorders>
                    <w:tl2br w:val="nil"/>
                    <w:tr2bl w:val="nil"/>
                  </w:tcBorders>
                  <w:noWrap w:val="0"/>
                  <w:vAlign w:val="center"/>
                </w:tcPr>
                <w:p w14:paraId="3D75FC60">
                  <w:pPr>
                    <w:widowControl/>
                    <w:jc w:val="center"/>
                    <w:textAlignment w:val="center"/>
                    <w:rPr>
                      <w:rFonts w:hint="eastAsia"/>
                      <w:sz w:val="21"/>
                      <w:szCs w:val="21"/>
                      <w:lang w:val="en-US" w:eastAsia="zh-CN"/>
                    </w:rPr>
                  </w:pPr>
                  <w:r>
                    <w:rPr>
                      <w:rFonts w:hint="eastAsia"/>
                      <w:sz w:val="21"/>
                      <w:szCs w:val="21"/>
                      <w:lang w:val="en-US" w:eastAsia="zh-CN"/>
                    </w:rPr>
                    <w:t>-25</w:t>
                  </w:r>
                </w:p>
              </w:tc>
              <w:tc>
                <w:tcPr>
                  <w:tcW w:w="261" w:type="pct"/>
                  <w:tcBorders>
                    <w:tl2br w:val="nil"/>
                    <w:tr2bl w:val="nil"/>
                  </w:tcBorders>
                  <w:noWrap w:val="0"/>
                  <w:vAlign w:val="center"/>
                </w:tcPr>
                <w:p w14:paraId="0A085F54">
                  <w:pPr>
                    <w:widowControl/>
                    <w:jc w:val="center"/>
                    <w:textAlignment w:val="center"/>
                    <w:rPr>
                      <w:rFonts w:hint="eastAsia"/>
                      <w:sz w:val="21"/>
                      <w:szCs w:val="21"/>
                      <w:lang w:val="en-US" w:eastAsia="zh-CN"/>
                    </w:rPr>
                  </w:pPr>
                  <w:r>
                    <w:rPr>
                      <w:rFonts w:hint="eastAsia"/>
                      <w:sz w:val="21"/>
                      <w:szCs w:val="21"/>
                      <w:lang w:val="en-US" w:eastAsia="zh-CN"/>
                    </w:rPr>
                    <w:t>294.6</w:t>
                  </w:r>
                </w:p>
              </w:tc>
              <w:tc>
                <w:tcPr>
                  <w:tcW w:w="200" w:type="pct"/>
                  <w:tcBorders>
                    <w:tl2br w:val="nil"/>
                    <w:tr2bl w:val="nil"/>
                  </w:tcBorders>
                  <w:noWrap w:val="0"/>
                  <w:vAlign w:val="center"/>
                </w:tcPr>
                <w:p w14:paraId="7DDBD7E6">
                  <w:pPr>
                    <w:widowControl/>
                    <w:jc w:val="center"/>
                    <w:textAlignment w:val="center"/>
                    <w:rPr>
                      <w:rFonts w:hint="eastAsia"/>
                      <w:sz w:val="21"/>
                      <w:szCs w:val="21"/>
                      <w:lang w:val="en-US" w:eastAsia="zh-CN"/>
                    </w:rPr>
                  </w:pPr>
                  <w:r>
                    <w:rPr>
                      <w:rFonts w:hint="eastAsia"/>
                      <w:sz w:val="21"/>
                      <w:szCs w:val="21"/>
                      <w:lang w:val="en-US" w:eastAsia="zh-CN"/>
                    </w:rPr>
                    <w:t>1.2</w:t>
                  </w:r>
                </w:p>
              </w:tc>
              <w:tc>
                <w:tcPr>
                  <w:tcW w:w="203" w:type="pct"/>
                  <w:tcBorders>
                    <w:tl2br w:val="nil"/>
                    <w:tr2bl w:val="nil"/>
                  </w:tcBorders>
                  <w:noWrap w:val="0"/>
                  <w:vAlign w:val="center"/>
                </w:tcPr>
                <w:p w14:paraId="57110F12">
                  <w:pPr>
                    <w:widowControl/>
                    <w:jc w:val="center"/>
                    <w:textAlignment w:val="center"/>
                    <w:rPr>
                      <w:rFonts w:hint="eastAsia"/>
                      <w:sz w:val="21"/>
                      <w:szCs w:val="21"/>
                      <w:lang w:val="en-US" w:eastAsia="zh-CN"/>
                    </w:rPr>
                  </w:pPr>
                  <w:r>
                    <w:rPr>
                      <w:rFonts w:hint="eastAsia"/>
                      <w:sz w:val="21"/>
                      <w:szCs w:val="21"/>
                      <w:lang w:val="en-US" w:eastAsia="zh-CN"/>
                    </w:rPr>
                    <w:t>175.4</w:t>
                  </w:r>
                </w:p>
              </w:tc>
              <w:tc>
                <w:tcPr>
                  <w:tcW w:w="203" w:type="pct"/>
                  <w:tcBorders>
                    <w:tl2br w:val="nil"/>
                    <w:tr2bl w:val="nil"/>
                  </w:tcBorders>
                  <w:noWrap w:val="0"/>
                  <w:vAlign w:val="center"/>
                </w:tcPr>
                <w:p w14:paraId="656344AB">
                  <w:pPr>
                    <w:widowControl/>
                    <w:jc w:val="center"/>
                    <w:textAlignment w:val="center"/>
                    <w:rPr>
                      <w:rFonts w:hint="eastAsia"/>
                      <w:sz w:val="21"/>
                      <w:szCs w:val="21"/>
                      <w:lang w:val="en-US" w:eastAsia="zh-CN"/>
                    </w:rPr>
                  </w:pPr>
                  <w:r>
                    <w:rPr>
                      <w:rFonts w:hint="eastAsia"/>
                      <w:sz w:val="21"/>
                      <w:szCs w:val="21"/>
                      <w:lang w:val="en-US" w:eastAsia="zh-CN"/>
                    </w:rPr>
                    <w:t>113.7</w:t>
                  </w:r>
                </w:p>
              </w:tc>
              <w:tc>
                <w:tcPr>
                  <w:tcW w:w="203" w:type="pct"/>
                  <w:tcBorders>
                    <w:tl2br w:val="nil"/>
                    <w:tr2bl w:val="nil"/>
                  </w:tcBorders>
                  <w:noWrap w:val="0"/>
                  <w:vAlign w:val="center"/>
                </w:tcPr>
                <w:p w14:paraId="5B3AE456">
                  <w:pPr>
                    <w:widowControl/>
                    <w:jc w:val="center"/>
                    <w:textAlignment w:val="center"/>
                    <w:rPr>
                      <w:rFonts w:hint="eastAsia"/>
                      <w:sz w:val="21"/>
                      <w:szCs w:val="21"/>
                      <w:lang w:val="en-US" w:eastAsia="zh-CN"/>
                    </w:rPr>
                  </w:pPr>
                  <w:r>
                    <w:rPr>
                      <w:rFonts w:hint="eastAsia"/>
                      <w:sz w:val="21"/>
                      <w:szCs w:val="21"/>
                      <w:lang w:val="en-US" w:eastAsia="zh-CN"/>
                    </w:rPr>
                    <w:t>21.4</w:t>
                  </w:r>
                </w:p>
              </w:tc>
              <w:tc>
                <w:tcPr>
                  <w:tcW w:w="204" w:type="pct"/>
                  <w:tcBorders>
                    <w:tl2br w:val="nil"/>
                    <w:tr2bl w:val="nil"/>
                  </w:tcBorders>
                  <w:noWrap w:val="0"/>
                  <w:vAlign w:val="center"/>
                </w:tcPr>
                <w:p w14:paraId="28BE80C8">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15.5</w:t>
                  </w:r>
                </w:p>
              </w:tc>
              <w:tc>
                <w:tcPr>
                  <w:tcW w:w="191" w:type="pct"/>
                  <w:tcBorders>
                    <w:tl2br w:val="nil"/>
                    <w:tr2bl w:val="nil"/>
                  </w:tcBorders>
                  <w:noWrap w:val="0"/>
                  <w:vAlign w:val="center"/>
                </w:tcPr>
                <w:p w14:paraId="06F7CC6E">
                  <w:pPr>
                    <w:jc w:val="center"/>
                    <w:rPr>
                      <w:rFonts w:hint="default" w:eastAsia="宋体"/>
                      <w:sz w:val="21"/>
                      <w:szCs w:val="21"/>
                      <w:lang w:val="en-US" w:eastAsia="zh-CN"/>
                    </w:rPr>
                  </w:pPr>
                  <w:r>
                    <w:rPr>
                      <w:rFonts w:hint="eastAsia" w:eastAsia="宋体"/>
                      <w:sz w:val="21"/>
                      <w:szCs w:val="21"/>
                      <w:lang w:val="en-US" w:eastAsia="zh-CN"/>
                    </w:rPr>
                    <w:t>25.1</w:t>
                  </w:r>
                </w:p>
              </w:tc>
              <w:tc>
                <w:tcPr>
                  <w:tcW w:w="191" w:type="pct"/>
                  <w:tcBorders>
                    <w:tl2br w:val="nil"/>
                    <w:tr2bl w:val="nil"/>
                  </w:tcBorders>
                  <w:noWrap w:val="0"/>
                  <w:vAlign w:val="center"/>
                </w:tcPr>
                <w:p w14:paraId="54D8A169">
                  <w:pPr>
                    <w:jc w:val="center"/>
                    <w:rPr>
                      <w:rFonts w:hint="default" w:eastAsia="宋体"/>
                      <w:sz w:val="21"/>
                      <w:szCs w:val="21"/>
                      <w:lang w:val="en-US" w:eastAsia="zh-CN"/>
                    </w:rPr>
                  </w:pPr>
                  <w:r>
                    <w:rPr>
                      <w:rFonts w:hint="eastAsia" w:eastAsia="宋体"/>
                      <w:sz w:val="21"/>
                      <w:szCs w:val="21"/>
                      <w:lang w:val="en-US" w:eastAsia="zh-CN"/>
                    </w:rPr>
                    <w:t>28.9</w:t>
                  </w:r>
                </w:p>
              </w:tc>
              <w:tc>
                <w:tcPr>
                  <w:tcW w:w="191" w:type="pct"/>
                  <w:tcBorders>
                    <w:tl2br w:val="nil"/>
                    <w:tr2bl w:val="nil"/>
                  </w:tcBorders>
                  <w:noWrap w:val="0"/>
                  <w:vAlign w:val="center"/>
                </w:tcPr>
                <w:p w14:paraId="7A8F3C74">
                  <w:pPr>
                    <w:jc w:val="center"/>
                    <w:rPr>
                      <w:rFonts w:hint="default" w:eastAsia="宋体"/>
                      <w:sz w:val="21"/>
                      <w:szCs w:val="21"/>
                      <w:lang w:val="en-US" w:eastAsia="zh-CN"/>
                    </w:rPr>
                  </w:pPr>
                  <w:r>
                    <w:rPr>
                      <w:rFonts w:hint="eastAsia" w:eastAsia="宋体"/>
                      <w:sz w:val="21"/>
                      <w:szCs w:val="21"/>
                      <w:lang w:val="en-US" w:eastAsia="zh-CN"/>
                    </w:rPr>
                    <w:t>43.4</w:t>
                  </w:r>
                </w:p>
              </w:tc>
              <w:tc>
                <w:tcPr>
                  <w:tcW w:w="191" w:type="pct"/>
                  <w:tcBorders>
                    <w:tl2br w:val="nil"/>
                    <w:tr2bl w:val="nil"/>
                  </w:tcBorders>
                  <w:noWrap w:val="0"/>
                  <w:vAlign w:val="center"/>
                </w:tcPr>
                <w:p w14:paraId="3B1D3141">
                  <w:pPr>
                    <w:jc w:val="center"/>
                    <w:rPr>
                      <w:rFonts w:hint="default" w:eastAsia="宋体"/>
                      <w:sz w:val="21"/>
                      <w:szCs w:val="21"/>
                      <w:lang w:val="en-US" w:eastAsia="zh-CN"/>
                    </w:rPr>
                  </w:pPr>
                  <w:r>
                    <w:rPr>
                      <w:rFonts w:hint="eastAsia" w:eastAsia="宋体"/>
                      <w:sz w:val="21"/>
                      <w:szCs w:val="21"/>
                      <w:lang w:val="en-US" w:eastAsia="zh-CN"/>
                    </w:rPr>
                    <w:t>46.2</w:t>
                  </w:r>
                </w:p>
              </w:tc>
              <w:tc>
                <w:tcPr>
                  <w:tcW w:w="209" w:type="pct"/>
                  <w:tcBorders>
                    <w:tl2br w:val="nil"/>
                    <w:tr2bl w:val="nil"/>
                  </w:tcBorders>
                  <w:noWrap w:val="0"/>
                  <w:vAlign w:val="center"/>
                </w:tcPr>
                <w:p w14:paraId="530B32CD">
                  <w:pPr>
                    <w:widowControl/>
                    <w:jc w:val="center"/>
                    <w:textAlignment w:val="center"/>
                    <w:rPr>
                      <w:rFonts w:hint="eastAsia"/>
                      <w:sz w:val="21"/>
                      <w:szCs w:val="21"/>
                      <w:lang w:val="en-US" w:eastAsia="zh-CN"/>
                    </w:rPr>
                  </w:pPr>
                  <w:r>
                    <w:rPr>
                      <w:rFonts w:hint="eastAsia"/>
                      <w:sz w:val="21"/>
                      <w:szCs w:val="21"/>
                      <w:lang w:val="en-US" w:eastAsia="zh-CN"/>
                    </w:rPr>
                    <w:t>24h</w:t>
                  </w:r>
                </w:p>
              </w:tc>
              <w:tc>
                <w:tcPr>
                  <w:tcW w:w="287" w:type="pct"/>
                  <w:tcBorders>
                    <w:tl2br w:val="nil"/>
                    <w:tr2bl w:val="nil"/>
                  </w:tcBorders>
                  <w:noWrap w:val="0"/>
                  <w:vAlign w:val="center"/>
                </w:tcPr>
                <w:p w14:paraId="0A813267">
                  <w:pPr>
                    <w:jc w:val="center"/>
                    <w:rPr>
                      <w:rFonts w:hint="eastAsia"/>
                      <w:sz w:val="21"/>
                      <w:szCs w:val="21"/>
                      <w:lang w:val="en-US" w:eastAsia="zh-CN"/>
                    </w:rPr>
                  </w:pPr>
                  <w:r>
                    <w:rPr>
                      <w:rFonts w:hint="eastAsia"/>
                      <w:sz w:val="21"/>
                      <w:szCs w:val="21"/>
                      <w:lang w:val="en-US" w:eastAsia="zh-CN"/>
                    </w:rPr>
                    <w:t>15</w:t>
                  </w:r>
                </w:p>
              </w:tc>
              <w:tc>
                <w:tcPr>
                  <w:tcW w:w="192" w:type="pct"/>
                  <w:tcBorders>
                    <w:tl2br w:val="nil"/>
                    <w:tr2bl w:val="nil"/>
                  </w:tcBorders>
                  <w:noWrap w:val="0"/>
                  <w:vAlign w:val="center"/>
                </w:tcPr>
                <w:p w14:paraId="7645EB2C">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10.1</w:t>
                  </w:r>
                </w:p>
              </w:tc>
              <w:tc>
                <w:tcPr>
                  <w:tcW w:w="192" w:type="pct"/>
                  <w:tcBorders>
                    <w:tl2br w:val="nil"/>
                    <w:tr2bl w:val="nil"/>
                  </w:tcBorders>
                  <w:noWrap w:val="0"/>
                  <w:vAlign w:val="center"/>
                </w:tcPr>
                <w:p w14:paraId="4E5DFBAE">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13.9</w:t>
                  </w:r>
                </w:p>
              </w:tc>
              <w:tc>
                <w:tcPr>
                  <w:tcW w:w="192" w:type="pct"/>
                  <w:tcBorders>
                    <w:tl2br w:val="nil"/>
                    <w:tr2bl w:val="nil"/>
                  </w:tcBorders>
                  <w:noWrap w:val="0"/>
                  <w:vAlign w:val="center"/>
                </w:tcPr>
                <w:p w14:paraId="4E931D25">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28.4</w:t>
                  </w:r>
                </w:p>
              </w:tc>
              <w:tc>
                <w:tcPr>
                  <w:tcW w:w="193" w:type="pct"/>
                  <w:tcBorders>
                    <w:tl2br w:val="nil"/>
                    <w:tr2bl w:val="nil"/>
                  </w:tcBorders>
                  <w:noWrap w:val="0"/>
                  <w:vAlign w:val="center"/>
                </w:tcPr>
                <w:p w14:paraId="4743496B">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31.2</w:t>
                  </w:r>
                </w:p>
              </w:tc>
              <w:tc>
                <w:tcPr>
                  <w:tcW w:w="287" w:type="pct"/>
                  <w:tcBorders>
                    <w:tl2br w:val="nil"/>
                    <w:tr2bl w:val="nil"/>
                  </w:tcBorders>
                  <w:noWrap w:val="0"/>
                  <w:vAlign w:val="center"/>
                </w:tcPr>
                <w:p w14:paraId="665081D7">
                  <w:pPr>
                    <w:jc w:val="center"/>
                    <w:rPr>
                      <w:rFonts w:hint="eastAsia"/>
                      <w:sz w:val="21"/>
                      <w:szCs w:val="21"/>
                      <w:lang w:val="en-US" w:eastAsia="zh-CN"/>
                    </w:rPr>
                  </w:pPr>
                  <w:r>
                    <w:rPr>
                      <w:rFonts w:hint="eastAsia"/>
                      <w:sz w:val="21"/>
                      <w:szCs w:val="21"/>
                      <w:lang w:val="en-US" w:eastAsia="zh-CN"/>
                    </w:rPr>
                    <w:t>1m</w:t>
                  </w:r>
                </w:p>
              </w:tc>
            </w:tr>
            <w:tr w14:paraId="304108A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18" w:hRule="atLeast"/>
                <w:jc w:val="center"/>
              </w:trPr>
              <w:tc>
                <w:tcPr>
                  <w:tcW w:w="176" w:type="pct"/>
                  <w:vMerge w:val="continue"/>
                  <w:tcBorders>
                    <w:tl2br w:val="nil"/>
                    <w:tr2bl w:val="nil"/>
                  </w:tcBorders>
                  <w:noWrap w:val="0"/>
                  <w:vAlign w:val="center"/>
                </w:tcPr>
                <w:p w14:paraId="0D97BFDD">
                  <w:pPr>
                    <w:jc w:val="center"/>
                    <w:rPr>
                      <w:sz w:val="21"/>
                      <w:szCs w:val="21"/>
                    </w:rPr>
                  </w:pPr>
                </w:p>
              </w:tc>
              <w:tc>
                <w:tcPr>
                  <w:tcW w:w="431" w:type="pct"/>
                  <w:tcBorders>
                    <w:tl2br w:val="nil"/>
                    <w:tr2bl w:val="nil"/>
                  </w:tcBorders>
                  <w:noWrap w:val="0"/>
                  <w:vAlign w:val="center"/>
                </w:tcPr>
                <w:p w14:paraId="666BDFE4">
                  <w:pPr>
                    <w:keepNext w:val="0"/>
                    <w:keepLines w:val="0"/>
                    <w:widowControl/>
                    <w:suppressLineNumbers w:val="0"/>
                    <w:jc w:val="center"/>
                    <w:textAlignment w:val="center"/>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块煤皮带</w:t>
                  </w:r>
                </w:p>
              </w:tc>
              <w:tc>
                <w:tcPr>
                  <w:tcW w:w="321" w:type="pct"/>
                  <w:tcBorders>
                    <w:tl2br w:val="nil"/>
                    <w:tr2bl w:val="nil"/>
                  </w:tcBorders>
                  <w:noWrap w:val="0"/>
                  <w:vAlign w:val="center"/>
                </w:tcPr>
                <w:p w14:paraId="28B15D90">
                  <w:pPr>
                    <w:keepNext w:val="0"/>
                    <w:keepLines w:val="0"/>
                    <w:widowControl/>
                    <w:suppressLineNumbers w:val="0"/>
                    <w:jc w:val="center"/>
                    <w:textAlignment w:val="center"/>
                    <w:rPr>
                      <w:rFonts w:hint="eastAsia"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70</w:t>
                  </w:r>
                </w:p>
              </w:tc>
              <w:tc>
                <w:tcPr>
                  <w:tcW w:w="224" w:type="pct"/>
                  <w:vMerge w:val="continue"/>
                  <w:tcBorders>
                    <w:tl2br w:val="nil"/>
                    <w:tr2bl w:val="nil"/>
                  </w:tcBorders>
                  <w:noWrap w:val="0"/>
                  <w:vAlign w:val="center"/>
                </w:tcPr>
                <w:p w14:paraId="6A29AAE1">
                  <w:pPr>
                    <w:keepNext w:val="0"/>
                    <w:keepLines w:val="0"/>
                    <w:widowControl/>
                    <w:suppressLineNumbers w:val="0"/>
                    <w:jc w:val="center"/>
                    <w:textAlignment w:val="center"/>
                    <w:rPr>
                      <w:rFonts w:hint="eastAsia" w:ascii="Times New Roman" w:hAnsi="Times New Roman" w:eastAsia="宋体" w:cs="Times New Roman"/>
                      <w:b w:val="0"/>
                      <w:bCs w:val="0"/>
                      <w:color w:val="000000"/>
                      <w:kern w:val="0"/>
                      <w:sz w:val="21"/>
                      <w:szCs w:val="21"/>
                      <w:highlight w:val="none"/>
                      <w:vertAlign w:val="baseline"/>
                      <w:lang w:val="en-US" w:eastAsia="zh-CN" w:bidi="ar"/>
                    </w:rPr>
                  </w:pPr>
                </w:p>
              </w:tc>
              <w:tc>
                <w:tcPr>
                  <w:tcW w:w="248" w:type="pct"/>
                  <w:tcBorders>
                    <w:tl2br w:val="nil"/>
                    <w:tr2bl w:val="nil"/>
                  </w:tcBorders>
                  <w:noWrap w:val="0"/>
                  <w:vAlign w:val="center"/>
                </w:tcPr>
                <w:p w14:paraId="19A4AF66">
                  <w:pPr>
                    <w:widowControl/>
                    <w:jc w:val="center"/>
                    <w:textAlignment w:val="center"/>
                    <w:rPr>
                      <w:rFonts w:hint="eastAsia"/>
                      <w:sz w:val="21"/>
                      <w:szCs w:val="21"/>
                      <w:lang w:val="en-US" w:eastAsia="zh-CN"/>
                    </w:rPr>
                  </w:pPr>
                  <w:r>
                    <w:rPr>
                      <w:rFonts w:hint="eastAsia"/>
                      <w:sz w:val="21"/>
                      <w:szCs w:val="21"/>
                      <w:lang w:val="en-US" w:eastAsia="zh-CN"/>
                    </w:rPr>
                    <w:t>-33.2</w:t>
                  </w:r>
                </w:p>
              </w:tc>
              <w:tc>
                <w:tcPr>
                  <w:tcW w:w="261" w:type="pct"/>
                  <w:tcBorders>
                    <w:tl2br w:val="nil"/>
                    <w:tr2bl w:val="nil"/>
                  </w:tcBorders>
                  <w:noWrap w:val="0"/>
                  <w:vAlign w:val="center"/>
                </w:tcPr>
                <w:p w14:paraId="30F976D9">
                  <w:pPr>
                    <w:widowControl/>
                    <w:jc w:val="center"/>
                    <w:textAlignment w:val="center"/>
                    <w:rPr>
                      <w:rFonts w:hint="eastAsia"/>
                      <w:sz w:val="21"/>
                      <w:szCs w:val="21"/>
                      <w:lang w:val="en-US" w:eastAsia="zh-CN"/>
                    </w:rPr>
                  </w:pPr>
                  <w:r>
                    <w:rPr>
                      <w:rFonts w:hint="eastAsia"/>
                      <w:sz w:val="21"/>
                      <w:szCs w:val="21"/>
                      <w:lang w:val="en-US" w:eastAsia="zh-CN"/>
                    </w:rPr>
                    <w:t>288.6</w:t>
                  </w:r>
                </w:p>
              </w:tc>
              <w:tc>
                <w:tcPr>
                  <w:tcW w:w="200" w:type="pct"/>
                  <w:tcBorders>
                    <w:tl2br w:val="nil"/>
                    <w:tr2bl w:val="nil"/>
                  </w:tcBorders>
                  <w:noWrap w:val="0"/>
                  <w:vAlign w:val="center"/>
                </w:tcPr>
                <w:p w14:paraId="487FD00C">
                  <w:pPr>
                    <w:widowControl/>
                    <w:jc w:val="center"/>
                    <w:textAlignment w:val="center"/>
                    <w:rPr>
                      <w:rFonts w:hint="eastAsia"/>
                      <w:sz w:val="21"/>
                      <w:szCs w:val="21"/>
                      <w:lang w:val="en-US" w:eastAsia="zh-CN"/>
                    </w:rPr>
                  </w:pPr>
                  <w:r>
                    <w:rPr>
                      <w:rFonts w:hint="eastAsia"/>
                      <w:sz w:val="21"/>
                      <w:szCs w:val="21"/>
                      <w:lang w:val="en-US" w:eastAsia="zh-CN"/>
                    </w:rPr>
                    <w:t>1.2</w:t>
                  </w:r>
                </w:p>
              </w:tc>
              <w:tc>
                <w:tcPr>
                  <w:tcW w:w="203" w:type="pct"/>
                  <w:tcBorders>
                    <w:tl2br w:val="nil"/>
                    <w:tr2bl w:val="nil"/>
                  </w:tcBorders>
                  <w:noWrap w:val="0"/>
                  <w:vAlign w:val="center"/>
                </w:tcPr>
                <w:p w14:paraId="38D49269">
                  <w:pPr>
                    <w:widowControl/>
                    <w:jc w:val="center"/>
                    <w:textAlignment w:val="center"/>
                    <w:rPr>
                      <w:rFonts w:hint="eastAsia"/>
                      <w:sz w:val="21"/>
                      <w:szCs w:val="21"/>
                      <w:lang w:val="en-US" w:eastAsia="zh-CN"/>
                    </w:rPr>
                  </w:pPr>
                  <w:r>
                    <w:rPr>
                      <w:rFonts w:hint="eastAsia"/>
                      <w:sz w:val="21"/>
                      <w:szCs w:val="21"/>
                      <w:lang w:val="en-US" w:eastAsia="zh-CN"/>
                    </w:rPr>
                    <w:t>183.6</w:t>
                  </w:r>
                </w:p>
              </w:tc>
              <w:tc>
                <w:tcPr>
                  <w:tcW w:w="203" w:type="pct"/>
                  <w:tcBorders>
                    <w:tl2br w:val="nil"/>
                    <w:tr2bl w:val="nil"/>
                  </w:tcBorders>
                  <w:noWrap w:val="0"/>
                  <w:vAlign w:val="center"/>
                </w:tcPr>
                <w:p w14:paraId="39966427">
                  <w:pPr>
                    <w:widowControl/>
                    <w:jc w:val="center"/>
                    <w:textAlignment w:val="center"/>
                    <w:rPr>
                      <w:rFonts w:hint="eastAsia"/>
                      <w:sz w:val="21"/>
                      <w:szCs w:val="21"/>
                      <w:lang w:val="en-US" w:eastAsia="zh-CN"/>
                    </w:rPr>
                  </w:pPr>
                  <w:r>
                    <w:rPr>
                      <w:rFonts w:hint="eastAsia"/>
                      <w:sz w:val="21"/>
                      <w:szCs w:val="21"/>
                      <w:lang w:val="en-US" w:eastAsia="zh-CN"/>
                    </w:rPr>
                    <w:t>107.6</w:t>
                  </w:r>
                </w:p>
              </w:tc>
              <w:tc>
                <w:tcPr>
                  <w:tcW w:w="203" w:type="pct"/>
                  <w:tcBorders>
                    <w:tl2br w:val="nil"/>
                    <w:tr2bl w:val="nil"/>
                  </w:tcBorders>
                  <w:noWrap w:val="0"/>
                  <w:vAlign w:val="center"/>
                </w:tcPr>
                <w:p w14:paraId="4DC36B4A">
                  <w:pPr>
                    <w:widowControl/>
                    <w:jc w:val="center"/>
                    <w:textAlignment w:val="center"/>
                    <w:rPr>
                      <w:rFonts w:hint="eastAsia"/>
                      <w:sz w:val="21"/>
                      <w:szCs w:val="21"/>
                      <w:lang w:val="en-US" w:eastAsia="zh-CN"/>
                    </w:rPr>
                  </w:pPr>
                  <w:r>
                    <w:rPr>
                      <w:rFonts w:hint="eastAsia"/>
                      <w:sz w:val="21"/>
                      <w:szCs w:val="21"/>
                      <w:lang w:val="en-US" w:eastAsia="zh-CN"/>
                    </w:rPr>
                    <w:t>15.5</w:t>
                  </w:r>
                </w:p>
              </w:tc>
              <w:tc>
                <w:tcPr>
                  <w:tcW w:w="204" w:type="pct"/>
                  <w:tcBorders>
                    <w:tl2br w:val="nil"/>
                    <w:tr2bl w:val="nil"/>
                  </w:tcBorders>
                  <w:noWrap w:val="0"/>
                  <w:vAlign w:val="center"/>
                </w:tcPr>
                <w:p w14:paraId="74B01D7D">
                  <w:pPr>
                    <w:widowControl/>
                    <w:jc w:val="center"/>
                    <w:textAlignment w:val="center"/>
                    <w:rPr>
                      <w:rFonts w:hint="eastAsia"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21.5</w:t>
                  </w:r>
                </w:p>
              </w:tc>
              <w:tc>
                <w:tcPr>
                  <w:tcW w:w="191" w:type="pct"/>
                  <w:tcBorders>
                    <w:tl2br w:val="nil"/>
                    <w:tr2bl w:val="nil"/>
                  </w:tcBorders>
                  <w:noWrap w:val="0"/>
                  <w:vAlign w:val="center"/>
                </w:tcPr>
                <w:p w14:paraId="0DBFF7E7">
                  <w:pPr>
                    <w:jc w:val="center"/>
                    <w:rPr>
                      <w:rFonts w:hint="default" w:eastAsia="宋体"/>
                      <w:sz w:val="21"/>
                      <w:szCs w:val="21"/>
                      <w:lang w:val="en-US" w:eastAsia="zh-CN"/>
                    </w:rPr>
                  </w:pPr>
                  <w:r>
                    <w:rPr>
                      <w:rFonts w:hint="eastAsia" w:eastAsia="宋体"/>
                      <w:sz w:val="21"/>
                      <w:szCs w:val="21"/>
                      <w:lang w:val="en-US" w:eastAsia="zh-CN"/>
                    </w:rPr>
                    <w:t>24.7</w:t>
                  </w:r>
                </w:p>
              </w:tc>
              <w:tc>
                <w:tcPr>
                  <w:tcW w:w="191" w:type="pct"/>
                  <w:tcBorders>
                    <w:tl2br w:val="nil"/>
                    <w:tr2bl w:val="nil"/>
                  </w:tcBorders>
                  <w:noWrap w:val="0"/>
                  <w:vAlign w:val="center"/>
                </w:tcPr>
                <w:p w14:paraId="5123C90F">
                  <w:pPr>
                    <w:jc w:val="center"/>
                    <w:rPr>
                      <w:rFonts w:hint="default" w:eastAsia="宋体"/>
                      <w:sz w:val="21"/>
                      <w:szCs w:val="21"/>
                      <w:lang w:val="en-US" w:eastAsia="zh-CN"/>
                    </w:rPr>
                  </w:pPr>
                  <w:r>
                    <w:rPr>
                      <w:rFonts w:hint="eastAsia" w:eastAsia="宋体"/>
                      <w:sz w:val="21"/>
                      <w:szCs w:val="21"/>
                      <w:lang w:val="en-US" w:eastAsia="zh-CN"/>
                    </w:rPr>
                    <w:t>29.4</w:t>
                  </w:r>
                </w:p>
              </w:tc>
              <w:tc>
                <w:tcPr>
                  <w:tcW w:w="191" w:type="pct"/>
                  <w:tcBorders>
                    <w:tl2br w:val="nil"/>
                    <w:tr2bl w:val="nil"/>
                  </w:tcBorders>
                  <w:noWrap w:val="0"/>
                  <w:vAlign w:val="center"/>
                </w:tcPr>
                <w:p w14:paraId="0B4A05FB">
                  <w:pPr>
                    <w:jc w:val="center"/>
                    <w:rPr>
                      <w:rFonts w:hint="default" w:eastAsia="宋体"/>
                      <w:sz w:val="21"/>
                      <w:szCs w:val="21"/>
                      <w:lang w:val="en-US" w:eastAsia="zh-CN"/>
                    </w:rPr>
                  </w:pPr>
                  <w:r>
                    <w:rPr>
                      <w:rFonts w:hint="eastAsia" w:eastAsia="宋体"/>
                      <w:sz w:val="21"/>
                      <w:szCs w:val="21"/>
                      <w:lang w:val="en-US" w:eastAsia="zh-CN"/>
                    </w:rPr>
                    <w:t>46.2</w:t>
                  </w:r>
                </w:p>
              </w:tc>
              <w:tc>
                <w:tcPr>
                  <w:tcW w:w="191" w:type="pct"/>
                  <w:tcBorders>
                    <w:tl2br w:val="nil"/>
                    <w:tr2bl w:val="nil"/>
                  </w:tcBorders>
                  <w:noWrap w:val="0"/>
                  <w:vAlign w:val="center"/>
                </w:tcPr>
                <w:p w14:paraId="4C59CC16">
                  <w:pPr>
                    <w:jc w:val="center"/>
                    <w:rPr>
                      <w:rFonts w:hint="default" w:eastAsia="宋体"/>
                      <w:sz w:val="21"/>
                      <w:szCs w:val="21"/>
                      <w:lang w:val="en-US" w:eastAsia="zh-CN"/>
                    </w:rPr>
                  </w:pPr>
                  <w:r>
                    <w:rPr>
                      <w:rFonts w:hint="eastAsia" w:eastAsia="宋体"/>
                      <w:sz w:val="21"/>
                      <w:szCs w:val="21"/>
                      <w:lang w:val="en-US" w:eastAsia="zh-CN"/>
                    </w:rPr>
                    <w:t>43.4</w:t>
                  </w:r>
                </w:p>
              </w:tc>
              <w:tc>
                <w:tcPr>
                  <w:tcW w:w="209" w:type="pct"/>
                  <w:tcBorders>
                    <w:tl2br w:val="nil"/>
                    <w:tr2bl w:val="nil"/>
                  </w:tcBorders>
                  <w:noWrap w:val="0"/>
                  <w:vAlign w:val="center"/>
                </w:tcPr>
                <w:p w14:paraId="2DD7157B">
                  <w:pPr>
                    <w:widowControl/>
                    <w:jc w:val="center"/>
                    <w:textAlignment w:val="center"/>
                    <w:rPr>
                      <w:rFonts w:hint="eastAsia"/>
                      <w:sz w:val="21"/>
                      <w:szCs w:val="21"/>
                      <w:lang w:val="en-US" w:eastAsia="zh-CN"/>
                    </w:rPr>
                  </w:pPr>
                  <w:r>
                    <w:rPr>
                      <w:rFonts w:hint="eastAsia"/>
                      <w:sz w:val="21"/>
                      <w:szCs w:val="21"/>
                      <w:lang w:val="en-US" w:eastAsia="zh-CN"/>
                    </w:rPr>
                    <w:t>24h</w:t>
                  </w:r>
                </w:p>
              </w:tc>
              <w:tc>
                <w:tcPr>
                  <w:tcW w:w="287" w:type="pct"/>
                  <w:tcBorders>
                    <w:tl2br w:val="nil"/>
                    <w:tr2bl w:val="nil"/>
                  </w:tcBorders>
                  <w:noWrap w:val="0"/>
                  <w:vAlign w:val="center"/>
                </w:tcPr>
                <w:p w14:paraId="320180D7">
                  <w:pPr>
                    <w:jc w:val="center"/>
                    <w:rPr>
                      <w:rFonts w:hint="eastAsia"/>
                      <w:sz w:val="21"/>
                      <w:szCs w:val="21"/>
                      <w:lang w:val="en-US" w:eastAsia="zh-CN"/>
                    </w:rPr>
                  </w:pPr>
                  <w:r>
                    <w:rPr>
                      <w:rFonts w:hint="eastAsia"/>
                      <w:sz w:val="21"/>
                      <w:szCs w:val="21"/>
                      <w:lang w:val="en-US" w:eastAsia="zh-CN"/>
                    </w:rPr>
                    <w:t>15</w:t>
                  </w:r>
                </w:p>
              </w:tc>
              <w:tc>
                <w:tcPr>
                  <w:tcW w:w="192" w:type="pct"/>
                  <w:tcBorders>
                    <w:tl2br w:val="nil"/>
                    <w:tr2bl w:val="nil"/>
                  </w:tcBorders>
                  <w:noWrap w:val="0"/>
                  <w:vAlign w:val="center"/>
                </w:tcPr>
                <w:p w14:paraId="00630465">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9.7</w:t>
                  </w:r>
                </w:p>
              </w:tc>
              <w:tc>
                <w:tcPr>
                  <w:tcW w:w="192" w:type="pct"/>
                  <w:tcBorders>
                    <w:tl2br w:val="nil"/>
                    <w:tr2bl w:val="nil"/>
                  </w:tcBorders>
                  <w:noWrap w:val="0"/>
                  <w:vAlign w:val="center"/>
                </w:tcPr>
                <w:p w14:paraId="7372D8B4">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14.4</w:t>
                  </w:r>
                </w:p>
              </w:tc>
              <w:tc>
                <w:tcPr>
                  <w:tcW w:w="192" w:type="pct"/>
                  <w:tcBorders>
                    <w:tl2br w:val="nil"/>
                    <w:tr2bl w:val="nil"/>
                  </w:tcBorders>
                  <w:noWrap w:val="0"/>
                  <w:vAlign w:val="center"/>
                </w:tcPr>
                <w:p w14:paraId="4979F370">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31.2</w:t>
                  </w:r>
                </w:p>
              </w:tc>
              <w:tc>
                <w:tcPr>
                  <w:tcW w:w="193" w:type="pct"/>
                  <w:tcBorders>
                    <w:tl2br w:val="nil"/>
                    <w:tr2bl w:val="nil"/>
                  </w:tcBorders>
                  <w:noWrap w:val="0"/>
                  <w:vAlign w:val="center"/>
                </w:tcPr>
                <w:p w14:paraId="13B6B4CB">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28.4</w:t>
                  </w:r>
                </w:p>
              </w:tc>
              <w:tc>
                <w:tcPr>
                  <w:tcW w:w="287" w:type="pct"/>
                  <w:tcBorders>
                    <w:tl2br w:val="nil"/>
                    <w:tr2bl w:val="nil"/>
                  </w:tcBorders>
                  <w:noWrap w:val="0"/>
                  <w:vAlign w:val="center"/>
                </w:tcPr>
                <w:p w14:paraId="005E355F">
                  <w:pPr>
                    <w:jc w:val="center"/>
                    <w:rPr>
                      <w:rFonts w:hint="eastAsia"/>
                      <w:sz w:val="21"/>
                      <w:szCs w:val="21"/>
                      <w:lang w:val="en-US" w:eastAsia="zh-CN"/>
                    </w:rPr>
                  </w:pPr>
                  <w:r>
                    <w:rPr>
                      <w:rFonts w:hint="eastAsia"/>
                      <w:sz w:val="21"/>
                      <w:szCs w:val="21"/>
                      <w:lang w:val="en-US" w:eastAsia="zh-CN"/>
                    </w:rPr>
                    <w:t>1m</w:t>
                  </w:r>
                </w:p>
              </w:tc>
            </w:tr>
            <w:tr w14:paraId="2D8D9BB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76" w:type="pct"/>
                  <w:vMerge w:val="continue"/>
                  <w:tcBorders>
                    <w:tl2br w:val="nil"/>
                    <w:tr2bl w:val="nil"/>
                  </w:tcBorders>
                  <w:noWrap w:val="0"/>
                  <w:vAlign w:val="center"/>
                </w:tcPr>
                <w:p w14:paraId="464B0182">
                  <w:pPr>
                    <w:jc w:val="center"/>
                    <w:rPr>
                      <w:sz w:val="21"/>
                      <w:szCs w:val="21"/>
                    </w:rPr>
                  </w:pPr>
                </w:p>
              </w:tc>
              <w:tc>
                <w:tcPr>
                  <w:tcW w:w="431" w:type="pct"/>
                  <w:tcBorders>
                    <w:tl2br w:val="nil"/>
                    <w:tr2bl w:val="nil"/>
                  </w:tcBorders>
                  <w:noWrap w:val="0"/>
                  <w:vAlign w:val="center"/>
                </w:tcPr>
                <w:p w14:paraId="3159610B">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振动给料机</w:t>
                  </w:r>
                </w:p>
              </w:tc>
              <w:tc>
                <w:tcPr>
                  <w:tcW w:w="321" w:type="pct"/>
                  <w:tcBorders>
                    <w:tl2br w:val="nil"/>
                    <w:tr2bl w:val="nil"/>
                  </w:tcBorders>
                  <w:noWrap w:val="0"/>
                  <w:vAlign w:val="center"/>
                </w:tcPr>
                <w:p w14:paraId="53B8ED90">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80</w:t>
                  </w:r>
                </w:p>
              </w:tc>
              <w:tc>
                <w:tcPr>
                  <w:tcW w:w="224" w:type="pct"/>
                  <w:vMerge w:val="continue"/>
                  <w:tcBorders>
                    <w:tl2br w:val="nil"/>
                    <w:tr2bl w:val="nil"/>
                  </w:tcBorders>
                  <w:noWrap w:val="0"/>
                  <w:vAlign w:val="center"/>
                </w:tcPr>
                <w:p w14:paraId="440FC591">
                  <w:pPr>
                    <w:keepNext w:val="0"/>
                    <w:keepLines w:val="0"/>
                    <w:widowControl/>
                    <w:suppressLineNumbers w:val="0"/>
                    <w:jc w:val="center"/>
                    <w:textAlignment w:val="center"/>
                    <w:rPr>
                      <w:rFonts w:hint="eastAsia" w:ascii="Times New Roman" w:hAnsi="Times New Roman" w:eastAsia="宋体" w:cs="Times New Roman"/>
                      <w:b w:val="0"/>
                      <w:bCs w:val="0"/>
                      <w:color w:val="000000"/>
                      <w:kern w:val="0"/>
                      <w:sz w:val="21"/>
                      <w:szCs w:val="21"/>
                      <w:highlight w:val="none"/>
                      <w:vertAlign w:val="baseline"/>
                      <w:lang w:val="en-US" w:eastAsia="zh-CN" w:bidi="ar"/>
                    </w:rPr>
                  </w:pPr>
                </w:p>
              </w:tc>
              <w:tc>
                <w:tcPr>
                  <w:tcW w:w="248" w:type="pct"/>
                  <w:tcBorders>
                    <w:tl2br w:val="nil"/>
                    <w:tr2bl w:val="nil"/>
                  </w:tcBorders>
                  <w:noWrap w:val="0"/>
                  <w:vAlign w:val="center"/>
                </w:tcPr>
                <w:p w14:paraId="682A51F4">
                  <w:pPr>
                    <w:widowControl/>
                    <w:jc w:val="center"/>
                    <w:textAlignment w:val="center"/>
                    <w:rPr>
                      <w:rFonts w:hint="default"/>
                      <w:sz w:val="21"/>
                      <w:szCs w:val="21"/>
                      <w:lang w:val="en-US" w:eastAsia="zh-CN"/>
                    </w:rPr>
                  </w:pPr>
                  <w:r>
                    <w:rPr>
                      <w:rFonts w:hint="eastAsia"/>
                      <w:sz w:val="21"/>
                      <w:szCs w:val="21"/>
                      <w:lang w:val="en-US" w:eastAsia="zh-CN"/>
                    </w:rPr>
                    <w:t>-51.5</w:t>
                  </w:r>
                </w:p>
              </w:tc>
              <w:tc>
                <w:tcPr>
                  <w:tcW w:w="261" w:type="pct"/>
                  <w:tcBorders>
                    <w:tl2br w:val="nil"/>
                    <w:tr2bl w:val="nil"/>
                  </w:tcBorders>
                  <w:noWrap w:val="0"/>
                  <w:vAlign w:val="center"/>
                </w:tcPr>
                <w:p w14:paraId="58C7BBCA">
                  <w:pPr>
                    <w:widowControl/>
                    <w:jc w:val="center"/>
                    <w:textAlignment w:val="center"/>
                    <w:rPr>
                      <w:rFonts w:hint="default"/>
                      <w:sz w:val="21"/>
                      <w:szCs w:val="21"/>
                      <w:lang w:val="en-US" w:eastAsia="zh-CN"/>
                    </w:rPr>
                  </w:pPr>
                  <w:r>
                    <w:rPr>
                      <w:rFonts w:hint="eastAsia"/>
                      <w:sz w:val="21"/>
                      <w:szCs w:val="21"/>
                      <w:lang w:val="en-US" w:eastAsia="zh-CN"/>
                    </w:rPr>
                    <w:t>294.1</w:t>
                  </w:r>
                </w:p>
              </w:tc>
              <w:tc>
                <w:tcPr>
                  <w:tcW w:w="200" w:type="pct"/>
                  <w:tcBorders>
                    <w:tl2br w:val="nil"/>
                    <w:tr2bl w:val="nil"/>
                  </w:tcBorders>
                  <w:noWrap w:val="0"/>
                  <w:vAlign w:val="center"/>
                </w:tcPr>
                <w:p w14:paraId="6484852C">
                  <w:pPr>
                    <w:widowControl/>
                    <w:jc w:val="center"/>
                    <w:textAlignment w:val="center"/>
                    <w:rPr>
                      <w:rFonts w:hint="default"/>
                      <w:sz w:val="21"/>
                      <w:szCs w:val="21"/>
                      <w:lang w:val="en-US" w:eastAsia="zh-CN"/>
                    </w:rPr>
                  </w:pPr>
                  <w:r>
                    <w:rPr>
                      <w:rFonts w:hint="eastAsia"/>
                      <w:sz w:val="21"/>
                      <w:szCs w:val="21"/>
                      <w:lang w:val="en-US" w:eastAsia="zh-CN"/>
                    </w:rPr>
                    <w:t>1.2</w:t>
                  </w:r>
                </w:p>
              </w:tc>
              <w:tc>
                <w:tcPr>
                  <w:tcW w:w="203" w:type="pct"/>
                  <w:tcBorders>
                    <w:tl2br w:val="nil"/>
                    <w:tr2bl w:val="nil"/>
                  </w:tcBorders>
                  <w:noWrap w:val="0"/>
                  <w:vAlign w:val="center"/>
                </w:tcPr>
                <w:p w14:paraId="20E73178">
                  <w:pPr>
                    <w:widowControl/>
                    <w:jc w:val="center"/>
                    <w:textAlignment w:val="center"/>
                    <w:rPr>
                      <w:rFonts w:hint="default"/>
                      <w:sz w:val="21"/>
                      <w:szCs w:val="21"/>
                      <w:lang w:val="en-US" w:eastAsia="zh-CN"/>
                    </w:rPr>
                  </w:pPr>
                  <w:r>
                    <w:rPr>
                      <w:rFonts w:hint="eastAsia"/>
                      <w:sz w:val="21"/>
                      <w:szCs w:val="21"/>
                      <w:lang w:val="en-US" w:eastAsia="zh-CN"/>
                    </w:rPr>
                    <w:t>201.9</w:t>
                  </w:r>
                </w:p>
              </w:tc>
              <w:tc>
                <w:tcPr>
                  <w:tcW w:w="203" w:type="pct"/>
                  <w:tcBorders>
                    <w:tl2br w:val="nil"/>
                    <w:tr2bl w:val="nil"/>
                  </w:tcBorders>
                  <w:noWrap w:val="0"/>
                  <w:vAlign w:val="center"/>
                </w:tcPr>
                <w:p w14:paraId="6965F0D2">
                  <w:pPr>
                    <w:widowControl/>
                    <w:jc w:val="center"/>
                    <w:textAlignment w:val="center"/>
                    <w:rPr>
                      <w:rFonts w:hint="default"/>
                      <w:sz w:val="21"/>
                      <w:szCs w:val="21"/>
                      <w:lang w:val="en-US" w:eastAsia="zh-CN"/>
                    </w:rPr>
                  </w:pPr>
                  <w:r>
                    <w:rPr>
                      <w:rFonts w:hint="eastAsia"/>
                      <w:sz w:val="21"/>
                      <w:szCs w:val="21"/>
                      <w:lang w:val="en-US" w:eastAsia="zh-CN"/>
                    </w:rPr>
                    <w:t>113.0</w:t>
                  </w:r>
                </w:p>
              </w:tc>
              <w:tc>
                <w:tcPr>
                  <w:tcW w:w="203" w:type="pct"/>
                  <w:tcBorders>
                    <w:tl2br w:val="nil"/>
                    <w:tr2bl w:val="nil"/>
                  </w:tcBorders>
                  <w:noWrap w:val="0"/>
                  <w:vAlign w:val="center"/>
                </w:tcPr>
                <w:p w14:paraId="459690E1">
                  <w:pPr>
                    <w:widowControl/>
                    <w:jc w:val="center"/>
                    <w:textAlignment w:val="center"/>
                    <w:rPr>
                      <w:rFonts w:hint="default"/>
                      <w:sz w:val="21"/>
                      <w:szCs w:val="21"/>
                      <w:lang w:val="en-US" w:eastAsia="zh-CN"/>
                    </w:rPr>
                  </w:pPr>
                  <w:r>
                    <w:rPr>
                      <w:rFonts w:hint="eastAsia"/>
                      <w:sz w:val="21"/>
                      <w:szCs w:val="21"/>
                      <w:lang w:val="en-US" w:eastAsia="zh-CN"/>
                    </w:rPr>
                    <w:t>21.4</w:t>
                  </w:r>
                </w:p>
              </w:tc>
              <w:tc>
                <w:tcPr>
                  <w:tcW w:w="204" w:type="pct"/>
                  <w:tcBorders>
                    <w:tl2br w:val="nil"/>
                    <w:tr2bl w:val="nil"/>
                  </w:tcBorders>
                  <w:noWrap w:val="0"/>
                  <w:vAlign w:val="center"/>
                </w:tcPr>
                <w:p w14:paraId="7E43BE72">
                  <w:pPr>
                    <w:widowControl/>
                    <w:jc w:val="center"/>
                    <w:textAlignment w:val="center"/>
                    <w:rPr>
                      <w:rFonts w:hint="default"/>
                      <w:sz w:val="21"/>
                      <w:szCs w:val="21"/>
                      <w:lang w:val="en-US" w:eastAsia="zh-CN"/>
                    </w:rPr>
                  </w:pPr>
                  <w:r>
                    <w:rPr>
                      <w:rFonts w:hint="eastAsia"/>
                      <w:sz w:val="21"/>
                      <w:szCs w:val="21"/>
                      <w:lang w:val="en-US" w:eastAsia="zh-CN"/>
                    </w:rPr>
                    <w:t>16.1</w:t>
                  </w:r>
                </w:p>
              </w:tc>
              <w:tc>
                <w:tcPr>
                  <w:tcW w:w="191" w:type="pct"/>
                  <w:tcBorders>
                    <w:tl2br w:val="nil"/>
                    <w:tr2bl w:val="nil"/>
                  </w:tcBorders>
                  <w:noWrap w:val="0"/>
                  <w:vAlign w:val="center"/>
                </w:tcPr>
                <w:p w14:paraId="1C83B0A0">
                  <w:pPr>
                    <w:jc w:val="center"/>
                    <w:rPr>
                      <w:rFonts w:hint="default" w:eastAsia="宋体"/>
                      <w:sz w:val="21"/>
                      <w:szCs w:val="21"/>
                      <w:lang w:val="en-US" w:eastAsia="zh-CN"/>
                    </w:rPr>
                  </w:pPr>
                  <w:r>
                    <w:rPr>
                      <w:rFonts w:hint="eastAsia" w:eastAsia="宋体"/>
                      <w:sz w:val="21"/>
                      <w:szCs w:val="21"/>
                      <w:lang w:val="en-US" w:eastAsia="zh-CN"/>
                    </w:rPr>
                    <w:t>33.9</w:t>
                  </w:r>
                </w:p>
              </w:tc>
              <w:tc>
                <w:tcPr>
                  <w:tcW w:w="191" w:type="pct"/>
                  <w:tcBorders>
                    <w:tl2br w:val="nil"/>
                    <w:tr2bl w:val="nil"/>
                  </w:tcBorders>
                  <w:noWrap w:val="0"/>
                  <w:vAlign w:val="center"/>
                </w:tcPr>
                <w:p w14:paraId="57AAB1EE">
                  <w:pPr>
                    <w:jc w:val="center"/>
                    <w:rPr>
                      <w:rFonts w:hint="default" w:eastAsia="宋体"/>
                      <w:sz w:val="21"/>
                      <w:szCs w:val="21"/>
                      <w:lang w:val="en-US" w:eastAsia="zh-CN"/>
                    </w:rPr>
                  </w:pPr>
                  <w:r>
                    <w:rPr>
                      <w:rFonts w:hint="default" w:eastAsia="宋体"/>
                      <w:sz w:val="21"/>
                      <w:szCs w:val="21"/>
                      <w:lang w:val="en-US" w:eastAsia="zh-CN"/>
                    </w:rPr>
                    <w:t>38.9</w:t>
                  </w:r>
                </w:p>
              </w:tc>
              <w:tc>
                <w:tcPr>
                  <w:tcW w:w="191" w:type="pct"/>
                  <w:tcBorders>
                    <w:tl2br w:val="nil"/>
                    <w:tr2bl w:val="nil"/>
                  </w:tcBorders>
                  <w:noWrap w:val="0"/>
                  <w:vAlign w:val="center"/>
                </w:tcPr>
                <w:p w14:paraId="01B24628">
                  <w:pPr>
                    <w:jc w:val="center"/>
                    <w:rPr>
                      <w:rFonts w:hint="default" w:eastAsia="宋体"/>
                      <w:sz w:val="21"/>
                      <w:szCs w:val="21"/>
                      <w:lang w:val="en-US" w:eastAsia="zh-CN"/>
                    </w:rPr>
                  </w:pPr>
                  <w:r>
                    <w:rPr>
                      <w:rFonts w:hint="default" w:eastAsia="宋体"/>
                      <w:sz w:val="21"/>
                      <w:szCs w:val="21"/>
                      <w:lang w:val="en-US" w:eastAsia="zh-CN"/>
                    </w:rPr>
                    <w:t>53.</w:t>
                  </w:r>
                  <w:r>
                    <w:rPr>
                      <w:rFonts w:hint="eastAsia" w:eastAsia="宋体"/>
                      <w:sz w:val="21"/>
                      <w:szCs w:val="21"/>
                      <w:lang w:val="en-US" w:eastAsia="zh-CN"/>
                    </w:rPr>
                    <w:t>4</w:t>
                  </w:r>
                </w:p>
              </w:tc>
              <w:tc>
                <w:tcPr>
                  <w:tcW w:w="191" w:type="pct"/>
                  <w:tcBorders>
                    <w:tl2br w:val="nil"/>
                    <w:tr2bl w:val="nil"/>
                  </w:tcBorders>
                  <w:noWrap w:val="0"/>
                  <w:vAlign w:val="center"/>
                </w:tcPr>
                <w:p w14:paraId="00C1DCD8">
                  <w:pPr>
                    <w:jc w:val="center"/>
                    <w:rPr>
                      <w:rFonts w:hint="default" w:eastAsia="宋体"/>
                      <w:sz w:val="21"/>
                      <w:szCs w:val="21"/>
                      <w:lang w:val="en-US" w:eastAsia="zh-CN"/>
                    </w:rPr>
                  </w:pPr>
                  <w:r>
                    <w:rPr>
                      <w:rFonts w:hint="default" w:eastAsia="宋体"/>
                      <w:sz w:val="21"/>
                      <w:szCs w:val="21"/>
                      <w:lang w:val="en-US" w:eastAsia="zh-CN"/>
                    </w:rPr>
                    <w:t>55.</w:t>
                  </w:r>
                  <w:r>
                    <w:rPr>
                      <w:rFonts w:hint="eastAsia" w:eastAsia="宋体"/>
                      <w:sz w:val="21"/>
                      <w:szCs w:val="21"/>
                      <w:lang w:val="en-US" w:eastAsia="zh-CN"/>
                    </w:rPr>
                    <w:t>9</w:t>
                  </w:r>
                </w:p>
              </w:tc>
              <w:tc>
                <w:tcPr>
                  <w:tcW w:w="209" w:type="pct"/>
                  <w:tcBorders>
                    <w:tl2br w:val="nil"/>
                    <w:tr2bl w:val="nil"/>
                  </w:tcBorders>
                  <w:noWrap w:val="0"/>
                  <w:vAlign w:val="center"/>
                </w:tcPr>
                <w:p w14:paraId="6E6B077F">
                  <w:pPr>
                    <w:widowControl/>
                    <w:jc w:val="center"/>
                    <w:textAlignment w:val="center"/>
                    <w:rPr>
                      <w:rFonts w:hint="eastAsia"/>
                      <w:sz w:val="21"/>
                      <w:szCs w:val="21"/>
                      <w:lang w:val="en-US" w:eastAsia="zh-CN"/>
                    </w:rPr>
                  </w:pPr>
                  <w:r>
                    <w:rPr>
                      <w:rFonts w:hint="eastAsia"/>
                      <w:sz w:val="21"/>
                      <w:szCs w:val="21"/>
                      <w:lang w:val="en-US" w:eastAsia="zh-CN"/>
                    </w:rPr>
                    <w:t>24h</w:t>
                  </w:r>
                </w:p>
              </w:tc>
              <w:tc>
                <w:tcPr>
                  <w:tcW w:w="287" w:type="pct"/>
                  <w:tcBorders>
                    <w:tl2br w:val="nil"/>
                    <w:tr2bl w:val="nil"/>
                  </w:tcBorders>
                  <w:noWrap w:val="0"/>
                  <w:vAlign w:val="center"/>
                </w:tcPr>
                <w:p w14:paraId="244D1E38">
                  <w:pPr>
                    <w:jc w:val="center"/>
                    <w:rPr>
                      <w:rFonts w:hint="default"/>
                      <w:b/>
                      <w:bCs/>
                      <w:sz w:val="21"/>
                      <w:szCs w:val="21"/>
                      <w:lang w:val="en-US" w:eastAsia="zh-CN"/>
                    </w:rPr>
                  </w:pPr>
                  <w:r>
                    <w:rPr>
                      <w:rFonts w:hint="eastAsia"/>
                      <w:sz w:val="21"/>
                      <w:szCs w:val="21"/>
                      <w:lang w:val="en-US" w:eastAsia="zh-CN"/>
                    </w:rPr>
                    <w:t>15</w:t>
                  </w:r>
                </w:p>
              </w:tc>
              <w:tc>
                <w:tcPr>
                  <w:tcW w:w="192" w:type="pct"/>
                  <w:tcBorders>
                    <w:tl2br w:val="nil"/>
                    <w:tr2bl w:val="nil"/>
                  </w:tcBorders>
                  <w:noWrap w:val="0"/>
                  <w:vAlign w:val="center"/>
                </w:tcPr>
                <w:p w14:paraId="69576260">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18.9</w:t>
                  </w:r>
                </w:p>
              </w:tc>
              <w:tc>
                <w:tcPr>
                  <w:tcW w:w="192" w:type="pct"/>
                  <w:tcBorders>
                    <w:tl2br w:val="nil"/>
                    <w:tr2bl w:val="nil"/>
                  </w:tcBorders>
                  <w:noWrap w:val="0"/>
                  <w:vAlign w:val="center"/>
                </w:tcPr>
                <w:p w14:paraId="24E0AC09">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23.9</w:t>
                  </w:r>
                </w:p>
              </w:tc>
              <w:tc>
                <w:tcPr>
                  <w:tcW w:w="192" w:type="pct"/>
                  <w:tcBorders>
                    <w:tl2br w:val="nil"/>
                    <w:tr2bl w:val="nil"/>
                  </w:tcBorders>
                  <w:noWrap w:val="0"/>
                  <w:vAlign w:val="center"/>
                </w:tcPr>
                <w:p w14:paraId="78E9D376">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38.4</w:t>
                  </w:r>
                </w:p>
              </w:tc>
              <w:tc>
                <w:tcPr>
                  <w:tcW w:w="193" w:type="pct"/>
                  <w:tcBorders>
                    <w:tl2br w:val="nil"/>
                    <w:tr2bl w:val="nil"/>
                  </w:tcBorders>
                  <w:noWrap w:val="0"/>
                  <w:vAlign w:val="center"/>
                </w:tcPr>
                <w:p w14:paraId="2A9F544F">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40.9</w:t>
                  </w:r>
                </w:p>
              </w:tc>
              <w:tc>
                <w:tcPr>
                  <w:tcW w:w="287" w:type="pct"/>
                  <w:tcBorders>
                    <w:tl2br w:val="nil"/>
                    <w:tr2bl w:val="nil"/>
                  </w:tcBorders>
                  <w:noWrap w:val="0"/>
                  <w:vAlign w:val="center"/>
                </w:tcPr>
                <w:p w14:paraId="2C0F192A">
                  <w:pPr>
                    <w:jc w:val="center"/>
                    <w:rPr>
                      <w:rFonts w:hint="default"/>
                      <w:sz w:val="21"/>
                      <w:szCs w:val="21"/>
                      <w:lang w:val="en-US" w:eastAsia="zh-CN"/>
                    </w:rPr>
                  </w:pPr>
                  <w:r>
                    <w:rPr>
                      <w:rFonts w:hint="eastAsia"/>
                      <w:sz w:val="21"/>
                      <w:szCs w:val="21"/>
                      <w:lang w:val="en-US" w:eastAsia="zh-CN"/>
                    </w:rPr>
                    <w:t>1m</w:t>
                  </w:r>
                </w:p>
              </w:tc>
            </w:tr>
            <w:tr w14:paraId="4AAE637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76" w:type="pct"/>
                  <w:vMerge w:val="continue"/>
                  <w:noWrap w:val="0"/>
                  <w:vAlign w:val="top"/>
                </w:tcPr>
                <w:p w14:paraId="08857C52">
                  <w:pPr>
                    <w:jc w:val="center"/>
                    <w:rPr>
                      <w:sz w:val="21"/>
                      <w:szCs w:val="21"/>
                    </w:rPr>
                  </w:pPr>
                </w:p>
              </w:tc>
              <w:tc>
                <w:tcPr>
                  <w:tcW w:w="431" w:type="pct"/>
                  <w:noWrap w:val="0"/>
                  <w:vAlign w:val="center"/>
                </w:tcPr>
                <w:p w14:paraId="25340217">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物料预处理机</w:t>
                  </w:r>
                </w:p>
              </w:tc>
              <w:tc>
                <w:tcPr>
                  <w:tcW w:w="321" w:type="pct"/>
                  <w:noWrap w:val="0"/>
                  <w:vAlign w:val="center"/>
                </w:tcPr>
                <w:p w14:paraId="428DFC3F">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80</w:t>
                  </w:r>
                </w:p>
              </w:tc>
              <w:tc>
                <w:tcPr>
                  <w:tcW w:w="224" w:type="pct"/>
                  <w:vMerge w:val="continue"/>
                  <w:noWrap w:val="0"/>
                  <w:vAlign w:val="top"/>
                </w:tcPr>
                <w:p w14:paraId="2A424862">
                  <w:pPr>
                    <w:keepNext w:val="0"/>
                    <w:keepLines w:val="0"/>
                    <w:widowControl/>
                    <w:suppressLineNumbers w:val="0"/>
                    <w:jc w:val="center"/>
                    <w:textAlignment w:val="center"/>
                    <w:rPr>
                      <w:rFonts w:hint="eastAsia" w:ascii="Times New Roman" w:hAnsi="Times New Roman" w:eastAsia="宋体" w:cs="Times New Roman"/>
                      <w:b w:val="0"/>
                      <w:bCs w:val="0"/>
                      <w:color w:val="000000"/>
                      <w:kern w:val="0"/>
                      <w:sz w:val="21"/>
                      <w:szCs w:val="21"/>
                      <w:highlight w:val="none"/>
                      <w:vertAlign w:val="baseline"/>
                      <w:lang w:val="en-US" w:eastAsia="zh-CN" w:bidi="ar"/>
                    </w:rPr>
                  </w:pPr>
                </w:p>
              </w:tc>
              <w:tc>
                <w:tcPr>
                  <w:tcW w:w="248" w:type="pct"/>
                  <w:noWrap w:val="0"/>
                  <w:vAlign w:val="center"/>
                </w:tcPr>
                <w:p w14:paraId="68E74274">
                  <w:pPr>
                    <w:widowControl/>
                    <w:jc w:val="center"/>
                    <w:textAlignment w:val="center"/>
                    <w:rPr>
                      <w:rFonts w:hint="default"/>
                      <w:sz w:val="21"/>
                      <w:szCs w:val="21"/>
                      <w:lang w:val="en-US" w:eastAsia="zh-CN"/>
                    </w:rPr>
                  </w:pPr>
                  <w:r>
                    <w:rPr>
                      <w:rFonts w:hint="eastAsia"/>
                      <w:sz w:val="21"/>
                      <w:szCs w:val="21"/>
                      <w:lang w:val="en-US" w:eastAsia="zh-CN"/>
                    </w:rPr>
                    <w:t>4.2</w:t>
                  </w:r>
                </w:p>
              </w:tc>
              <w:tc>
                <w:tcPr>
                  <w:tcW w:w="261" w:type="pct"/>
                  <w:noWrap w:val="0"/>
                  <w:vAlign w:val="center"/>
                </w:tcPr>
                <w:p w14:paraId="1B3C9029">
                  <w:pPr>
                    <w:widowControl/>
                    <w:jc w:val="center"/>
                    <w:textAlignment w:val="center"/>
                    <w:rPr>
                      <w:rFonts w:hint="default"/>
                      <w:sz w:val="21"/>
                      <w:szCs w:val="21"/>
                      <w:lang w:val="en-US" w:eastAsia="zh-CN"/>
                    </w:rPr>
                  </w:pPr>
                  <w:r>
                    <w:rPr>
                      <w:rFonts w:hint="eastAsia"/>
                      <w:sz w:val="21"/>
                      <w:szCs w:val="21"/>
                      <w:lang w:val="en-US" w:eastAsia="zh-CN"/>
                    </w:rPr>
                    <w:t>294.1</w:t>
                  </w:r>
                </w:p>
              </w:tc>
              <w:tc>
                <w:tcPr>
                  <w:tcW w:w="200" w:type="pct"/>
                  <w:noWrap w:val="0"/>
                  <w:vAlign w:val="center"/>
                </w:tcPr>
                <w:p w14:paraId="51B59073">
                  <w:pPr>
                    <w:widowControl/>
                    <w:jc w:val="center"/>
                    <w:textAlignment w:val="center"/>
                    <w:rPr>
                      <w:rFonts w:hint="default"/>
                      <w:sz w:val="21"/>
                      <w:szCs w:val="21"/>
                      <w:lang w:val="en-US" w:eastAsia="zh-CN"/>
                    </w:rPr>
                  </w:pPr>
                  <w:r>
                    <w:rPr>
                      <w:rFonts w:hint="eastAsia"/>
                      <w:sz w:val="21"/>
                      <w:szCs w:val="21"/>
                      <w:lang w:val="en-US" w:eastAsia="zh-CN"/>
                    </w:rPr>
                    <w:t>1.2</w:t>
                  </w:r>
                </w:p>
              </w:tc>
              <w:tc>
                <w:tcPr>
                  <w:tcW w:w="203" w:type="pct"/>
                  <w:noWrap w:val="0"/>
                  <w:vAlign w:val="center"/>
                </w:tcPr>
                <w:p w14:paraId="28FA6B3E">
                  <w:pPr>
                    <w:widowControl/>
                    <w:jc w:val="center"/>
                    <w:textAlignment w:val="center"/>
                    <w:rPr>
                      <w:rFonts w:hint="default"/>
                      <w:sz w:val="21"/>
                      <w:szCs w:val="21"/>
                      <w:lang w:val="en-US" w:eastAsia="zh-CN"/>
                    </w:rPr>
                  </w:pPr>
                  <w:r>
                    <w:rPr>
                      <w:rFonts w:hint="eastAsia"/>
                      <w:sz w:val="21"/>
                      <w:szCs w:val="21"/>
                      <w:lang w:val="en-US" w:eastAsia="zh-CN"/>
                    </w:rPr>
                    <w:t>146.2</w:t>
                  </w:r>
                </w:p>
              </w:tc>
              <w:tc>
                <w:tcPr>
                  <w:tcW w:w="203" w:type="pct"/>
                  <w:noWrap w:val="0"/>
                  <w:vAlign w:val="center"/>
                </w:tcPr>
                <w:p w14:paraId="5942F665">
                  <w:pPr>
                    <w:widowControl/>
                    <w:jc w:val="center"/>
                    <w:textAlignment w:val="center"/>
                    <w:rPr>
                      <w:rFonts w:hint="default"/>
                      <w:sz w:val="21"/>
                      <w:szCs w:val="21"/>
                      <w:lang w:val="en-US" w:eastAsia="zh-CN"/>
                    </w:rPr>
                  </w:pPr>
                  <w:r>
                    <w:rPr>
                      <w:rFonts w:hint="eastAsia"/>
                      <w:sz w:val="21"/>
                      <w:szCs w:val="21"/>
                      <w:lang w:val="en-US" w:eastAsia="zh-CN"/>
                    </w:rPr>
                    <w:t>113.4</w:t>
                  </w:r>
                </w:p>
              </w:tc>
              <w:tc>
                <w:tcPr>
                  <w:tcW w:w="203" w:type="pct"/>
                  <w:noWrap w:val="0"/>
                  <w:vAlign w:val="center"/>
                </w:tcPr>
                <w:p w14:paraId="5CC88279">
                  <w:pPr>
                    <w:widowControl/>
                    <w:jc w:val="center"/>
                    <w:textAlignment w:val="center"/>
                    <w:rPr>
                      <w:rFonts w:hint="default"/>
                      <w:sz w:val="21"/>
                      <w:szCs w:val="21"/>
                      <w:lang w:val="en-US" w:eastAsia="zh-CN"/>
                    </w:rPr>
                  </w:pPr>
                  <w:r>
                    <w:rPr>
                      <w:rFonts w:hint="eastAsia"/>
                      <w:sz w:val="21"/>
                      <w:szCs w:val="21"/>
                      <w:lang w:val="en-US" w:eastAsia="zh-CN"/>
                    </w:rPr>
                    <w:t>20.3</w:t>
                  </w:r>
                </w:p>
              </w:tc>
              <w:tc>
                <w:tcPr>
                  <w:tcW w:w="204" w:type="pct"/>
                  <w:noWrap w:val="0"/>
                  <w:vAlign w:val="center"/>
                </w:tcPr>
                <w:p w14:paraId="180210F3">
                  <w:pPr>
                    <w:widowControl/>
                    <w:jc w:val="center"/>
                    <w:textAlignment w:val="center"/>
                    <w:rPr>
                      <w:rFonts w:hint="default"/>
                      <w:sz w:val="21"/>
                      <w:szCs w:val="21"/>
                      <w:lang w:val="en-US" w:eastAsia="zh-CN"/>
                    </w:rPr>
                  </w:pPr>
                  <w:r>
                    <w:rPr>
                      <w:rFonts w:hint="eastAsia"/>
                      <w:sz w:val="21"/>
                      <w:szCs w:val="21"/>
                      <w:lang w:val="en-US" w:eastAsia="zh-CN"/>
                    </w:rPr>
                    <w:t>15.9</w:t>
                  </w:r>
                </w:p>
              </w:tc>
              <w:tc>
                <w:tcPr>
                  <w:tcW w:w="191" w:type="pct"/>
                  <w:noWrap w:val="0"/>
                  <w:vAlign w:val="center"/>
                </w:tcPr>
                <w:p w14:paraId="548843E6">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36.7</w:t>
                  </w:r>
                </w:p>
              </w:tc>
              <w:tc>
                <w:tcPr>
                  <w:tcW w:w="191" w:type="pct"/>
                  <w:noWrap w:val="0"/>
                  <w:vAlign w:val="center"/>
                </w:tcPr>
                <w:p w14:paraId="01417140">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38.9</w:t>
                  </w:r>
                </w:p>
              </w:tc>
              <w:tc>
                <w:tcPr>
                  <w:tcW w:w="191" w:type="pct"/>
                  <w:noWrap w:val="0"/>
                  <w:vAlign w:val="center"/>
                </w:tcPr>
                <w:p w14:paraId="1967D031">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53.</w:t>
                  </w:r>
                  <w:r>
                    <w:rPr>
                      <w:rFonts w:hint="eastAsia"/>
                      <w:sz w:val="21"/>
                      <w:szCs w:val="21"/>
                      <w:lang w:val="en-US" w:eastAsia="zh-CN"/>
                    </w:rPr>
                    <w:t>9</w:t>
                  </w:r>
                </w:p>
              </w:tc>
              <w:tc>
                <w:tcPr>
                  <w:tcW w:w="191" w:type="pct"/>
                  <w:noWrap w:val="0"/>
                  <w:vAlign w:val="center"/>
                </w:tcPr>
                <w:p w14:paraId="3BF3DC23">
                  <w:pPr>
                    <w:jc w:val="center"/>
                    <w:rPr>
                      <w:rFonts w:hint="default" w:ascii="Times New Roman" w:hAnsi="Times New Roman" w:eastAsia="宋体" w:cs="Times New Roman"/>
                      <w:kern w:val="2"/>
                      <w:sz w:val="21"/>
                      <w:szCs w:val="21"/>
                      <w:lang w:val="en-US" w:eastAsia="zh-CN" w:bidi="ar-SA"/>
                    </w:rPr>
                  </w:pPr>
                  <w:r>
                    <w:rPr>
                      <w:rFonts w:hint="eastAsia"/>
                      <w:sz w:val="21"/>
                      <w:szCs w:val="21"/>
                      <w:lang w:val="en-US" w:eastAsia="zh-CN"/>
                    </w:rPr>
                    <w:t>56.0</w:t>
                  </w:r>
                </w:p>
              </w:tc>
              <w:tc>
                <w:tcPr>
                  <w:tcW w:w="209" w:type="pct"/>
                  <w:noWrap w:val="0"/>
                  <w:vAlign w:val="center"/>
                </w:tcPr>
                <w:p w14:paraId="5C5A51FC">
                  <w:pPr>
                    <w:widowControl/>
                    <w:jc w:val="center"/>
                    <w:textAlignment w:val="center"/>
                    <w:rPr>
                      <w:rFonts w:hint="eastAsia"/>
                      <w:sz w:val="21"/>
                      <w:szCs w:val="21"/>
                      <w:lang w:val="en-US" w:eastAsia="zh-CN"/>
                    </w:rPr>
                  </w:pPr>
                  <w:r>
                    <w:rPr>
                      <w:rFonts w:hint="eastAsia"/>
                      <w:sz w:val="21"/>
                      <w:szCs w:val="21"/>
                      <w:lang w:val="en-US" w:eastAsia="zh-CN"/>
                    </w:rPr>
                    <w:t>24h</w:t>
                  </w:r>
                </w:p>
              </w:tc>
              <w:tc>
                <w:tcPr>
                  <w:tcW w:w="287" w:type="pct"/>
                  <w:noWrap w:val="0"/>
                  <w:vAlign w:val="center"/>
                </w:tcPr>
                <w:p w14:paraId="1FF514C8">
                  <w:pPr>
                    <w:jc w:val="center"/>
                    <w:rPr>
                      <w:rFonts w:hint="default"/>
                      <w:b/>
                      <w:bCs/>
                      <w:sz w:val="21"/>
                      <w:szCs w:val="21"/>
                      <w:lang w:val="en-US" w:eastAsia="zh-CN"/>
                    </w:rPr>
                  </w:pPr>
                  <w:r>
                    <w:rPr>
                      <w:rFonts w:hint="eastAsia"/>
                      <w:sz w:val="21"/>
                      <w:szCs w:val="21"/>
                      <w:lang w:val="en-US" w:eastAsia="zh-CN"/>
                    </w:rPr>
                    <w:t>15</w:t>
                  </w:r>
                </w:p>
              </w:tc>
              <w:tc>
                <w:tcPr>
                  <w:tcW w:w="192" w:type="pct"/>
                  <w:noWrap w:val="0"/>
                  <w:vAlign w:val="center"/>
                </w:tcPr>
                <w:p w14:paraId="04E9F265">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21.7</w:t>
                  </w:r>
                </w:p>
              </w:tc>
              <w:tc>
                <w:tcPr>
                  <w:tcW w:w="192" w:type="pct"/>
                  <w:noWrap w:val="0"/>
                  <w:vAlign w:val="center"/>
                </w:tcPr>
                <w:p w14:paraId="6743B32B">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23.9</w:t>
                  </w:r>
                </w:p>
              </w:tc>
              <w:tc>
                <w:tcPr>
                  <w:tcW w:w="192" w:type="pct"/>
                  <w:noWrap w:val="0"/>
                  <w:vAlign w:val="center"/>
                </w:tcPr>
                <w:p w14:paraId="5F349630">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38.9</w:t>
                  </w:r>
                </w:p>
              </w:tc>
              <w:tc>
                <w:tcPr>
                  <w:tcW w:w="193" w:type="pct"/>
                  <w:noWrap w:val="0"/>
                  <w:vAlign w:val="center"/>
                </w:tcPr>
                <w:p w14:paraId="5CB45303">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41.0</w:t>
                  </w:r>
                </w:p>
              </w:tc>
              <w:tc>
                <w:tcPr>
                  <w:tcW w:w="287" w:type="pct"/>
                  <w:noWrap w:val="0"/>
                  <w:vAlign w:val="center"/>
                </w:tcPr>
                <w:p w14:paraId="0713DEBF">
                  <w:pPr>
                    <w:jc w:val="center"/>
                    <w:rPr>
                      <w:rFonts w:hint="default"/>
                      <w:sz w:val="21"/>
                      <w:szCs w:val="21"/>
                      <w:lang w:val="en-US" w:eastAsia="zh-CN"/>
                    </w:rPr>
                  </w:pPr>
                  <w:r>
                    <w:rPr>
                      <w:rFonts w:hint="eastAsia"/>
                      <w:sz w:val="21"/>
                      <w:szCs w:val="21"/>
                      <w:lang w:val="en-US" w:eastAsia="zh-CN"/>
                    </w:rPr>
                    <w:t>1m</w:t>
                  </w:r>
                </w:p>
              </w:tc>
            </w:tr>
            <w:tr w14:paraId="265200B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76" w:type="pct"/>
                  <w:vMerge w:val="continue"/>
                  <w:noWrap w:val="0"/>
                  <w:vAlign w:val="top"/>
                </w:tcPr>
                <w:p w14:paraId="3137B59A">
                  <w:pPr>
                    <w:jc w:val="center"/>
                    <w:rPr>
                      <w:sz w:val="21"/>
                      <w:szCs w:val="21"/>
                    </w:rPr>
                  </w:pPr>
                </w:p>
              </w:tc>
              <w:tc>
                <w:tcPr>
                  <w:tcW w:w="431" w:type="pct"/>
                  <w:noWrap w:val="0"/>
                  <w:vAlign w:val="center"/>
                </w:tcPr>
                <w:p w14:paraId="5192F745">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块煤分级筛</w:t>
                  </w:r>
                </w:p>
              </w:tc>
              <w:tc>
                <w:tcPr>
                  <w:tcW w:w="321" w:type="pct"/>
                  <w:noWrap w:val="0"/>
                  <w:vAlign w:val="center"/>
                </w:tcPr>
                <w:p w14:paraId="0DD86EC2">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ascii="Times New Roman" w:hAnsi="Times New Roman" w:eastAsia="宋体" w:cs="Times New Roman"/>
                      <w:b w:val="0"/>
                      <w:bCs w:val="0"/>
                      <w:color w:val="000000"/>
                      <w:kern w:val="0"/>
                      <w:sz w:val="21"/>
                      <w:szCs w:val="21"/>
                      <w:highlight w:val="none"/>
                      <w:vertAlign w:val="baseline"/>
                      <w:lang w:val="en-US" w:eastAsia="zh-CN" w:bidi="ar"/>
                    </w:rPr>
                    <w:t>80</w:t>
                  </w:r>
                </w:p>
              </w:tc>
              <w:tc>
                <w:tcPr>
                  <w:tcW w:w="224" w:type="pct"/>
                  <w:vMerge w:val="continue"/>
                  <w:noWrap w:val="0"/>
                  <w:vAlign w:val="top"/>
                </w:tcPr>
                <w:p w14:paraId="0AFD0F35">
                  <w:pPr>
                    <w:keepNext w:val="0"/>
                    <w:keepLines w:val="0"/>
                    <w:widowControl/>
                    <w:suppressLineNumbers w:val="0"/>
                    <w:jc w:val="center"/>
                    <w:textAlignment w:val="center"/>
                    <w:rPr>
                      <w:rFonts w:hint="eastAsia" w:ascii="Times New Roman" w:hAnsi="Times New Roman" w:eastAsia="宋体" w:cs="Times New Roman"/>
                      <w:b w:val="0"/>
                      <w:bCs w:val="0"/>
                      <w:color w:val="000000"/>
                      <w:kern w:val="0"/>
                      <w:sz w:val="21"/>
                      <w:szCs w:val="21"/>
                      <w:highlight w:val="none"/>
                      <w:vertAlign w:val="baseline"/>
                      <w:lang w:val="en-US" w:eastAsia="zh-CN" w:bidi="ar"/>
                    </w:rPr>
                  </w:pPr>
                </w:p>
              </w:tc>
              <w:tc>
                <w:tcPr>
                  <w:tcW w:w="248" w:type="pct"/>
                  <w:noWrap w:val="0"/>
                  <w:vAlign w:val="center"/>
                </w:tcPr>
                <w:p w14:paraId="4C8EA81E">
                  <w:pPr>
                    <w:widowControl/>
                    <w:jc w:val="center"/>
                    <w:textAlignment w:val="center"/>
                    <w:rPr>
                      <w:rFonts w:hint="default"/>
                      <w:sz w:val="21"/>
                      <w:szCs w:val="21"/>
                      <w:lang w:val="en-US" w:eastAsia="zh-CN"/>
                    </w:rPr>
                  </w:pPr>
                  <w:r>
                    <w:rPr>
                      <w:rFonts w:hint="eastAsia"/>
                      <w:sz w:val="21"/>
                      <w:szCs w:val="21"/>
                      <w:lang w:val="en-US" w:eastAsia="zh-CN"/>
                    </w:rPr>
                    <w:t>24.1</w:t>
                  </w:r>
                </w:p>
              </w:tc>
              <w:tc>
                <w:tcPr>
                  <w:tcW w:w="261" w:type="pct"/>
                  <w:noWrap w:val="0"/>
                  <w:vAlign w:val="center"/>
                </w:tcPr>
                <w:p w14:paraId="6D41BB9F">
                  <w:pPr>
                    <w:widowControl/>
                    <w:jc w:val="center"/>
                    <w:textAlignment w:val="center"/>
                    <w:rPr>
                      <w:rFonts w:hint="default"/>
                      <w:sz w:val="21"/>
                      <w:szCs w:val="21"/>
                      <w:lang w:val="en-US" w:eastAsia="zh-CN"/>
                    </w:rPr>
                  </w:pPr>
                  <w:r>
                    <w:rPr>
                      <w:rFonts w:hint="eastAsia"/>
                      <w:sz w:val="21"/>
                      <w:szCs w:val="21"/>
                      <w:lang w:val="en-US" w:eastAsia="zh-CN"/>
                    </w:rPr>
                    <w:t>293.6</w:t>
                  </w:r>
                </w:p>
              </w:tc>
              <w:tc>
                <w:tcPr>
                  <w:tcW w:w="200" w:type="pct"/>
                  <w:noWrap w:val="0"/>
                  <w:vAlign w:val="center"/>
                </w:tcPr>
                <w:p w14:paraId="5FD67687">
                  <w:pPr>
                    <w:widowControl/>
                    <w:jc w:val="center"/>
                    <w:textAlignment w:val="center"/>
                    <w:rPr>
                      <w:rFonts w:hint="default"/>
                      <w:sz w:val="21"/>
                      <w:szCs w:val="21"/>
                      <w:lang w:val="en-US" w:eastAsia="zh-CN"/>
                    </w:rPr>
                  </w:pPr>
                  <w:r>
                    <w:rPr>
                      <w:rFonts w:hint="eastAsia"/>
                      <w:sz w:val="21"/>
                      <w:szCs w:val="21"/>
                      <w:lang w:val="en-US" w:eastAsia="zh-CN"/>
                    </w:rPr>
                    <w:t>1.2</w:t>
                  </w:r>
                </w:p>
              </w:tc>
              <w:tc>
                <w:tcPr>
                  <w:tcW w:w="203" w:type="pct"/>
                  <w:noWrap w:val="0"/>
                  <w:vAlign w:val="center"/>
                </w:tcPr>
                <w:p w14:paraId="53C4E150">
                  <w:pPr>
                    <w:widowControl/>
                    <w:jc w:val="center"/>
                    <w:textAlignment w:val="center"/>
                    <w:rPr>
                      <w:rFonts w:hint="default"/>
                      <w:sz w:val="21"/>
                      <w:szCs w:val="21"/>
                      <w:lang w:val="en-US" w:eastAsia="zh-CN"/>
                    </w:rPr>
                  </w:pPr>
                  <w:r>
                    <w:rPr>
                      <w:rFonts w:hint="eastAsia"/>
                      <w:sz w:val="21"/>
                      <w:szCs w:val="21"/>
                      <w:lang w:val="en-US" w:eastAsia="zh-CN"/>
                    </w:rPr>
                    <w:t>126.3</w:t>
                  </w:r>
                </w:p>
              </w:tc>
              <w:tc>
                <w:tcPr>
                  <w:tcW w:w="203" w:type="pct"/>
                  <w:noWrap w:val="0"/>
                  <w:vAlign w:val="center"/>
                </w:tcPr>
                <w:p w14:paraId="5A4DA56E">
                  <w:pPr>
                    <w:widowControl/>
                    <w:jc w:val="center"/>
                    <w:textAlignment w:val="center"/>
                    <w:rPr>
                      <w:rFonts w:hint="default"/>
                      <w:sz w:val="21"/>
                      <w:szCs w:val="21"/>
                      <w:lang w:val="en-US" w:eastAsia="zh-CN"/>
                    </w:rPr>
                  </w:pPr>
                  <w:r>
                    <w:rPr>
                      <w:rFonts w:hint="eastAsia"/>
                      <w:sz w:val="21"/>
                      <w:szCs w:val="21"/>
                      <w:lang w:val="en-US" w:eastAsia="zh-CN"/>
                    </w:rPr>
                    <w:t>113.1</w:t>
                  </w:r>
                </w:p>
              </w:tc>
              <w:tc>
                <w:tcPr>
                  <w:tcW w:w="203" w:type="pct"/>
                  <w:noWrap w:val="0"/>
                  <w:vAlign w:val="center"/>
                </w:tcPr>
                <w:p w14:paraId="4029BF19">
                  <w:pPr>
                    <w:widowControl/>
                    <w:jc w:val="center"/>
                    <w:textAlignment w:val="center"/>
                    <w:rPr>
                      <w:rFonts w:hint="default"/>
                      <w:sz w:val="21"/>
                      <w:szCs w:val="21"/>
                      <w:lang w:val="en-US" w:eastAsia="zh-CN"/>
                    </w:rPr>
                  </w:pPr>
                  <w:r>
                    <w:rPr>
                      <w:rFonts w:hint="eastAsia"/>
                      <w:sz w:val="21"/>
                      <w:szCs w:val="21"/>
                      <w:lang w:val="en-US" w:eastAsia="zh-CN"/>
                    </w:rPr>
                    <w:t>19.4</w:t>
                  </w:r>
                </w:p>
              </w:tc>
              <w:tc>
                <w:tcPr>
                  <w:tcW w:w="204" w:type="pct"/>
                  <w:noWrap w:val="0"/>
                  <w:vAlign w:val="center"/>
                </w:tcPr>
                <w:p w14:paraId="583C31C0">
                  <w:pPr>
                    <w:widowControl/>
                    <w:jc w:val="center"/>
                    <w:textAlignment w:val="center"/>
                    <w:rPr>
                      <w:rFonts w:hint="default"/>
                      <w:sz w:val="21"/>
                      <w:szCs w:val="21"/>
                      <w:lang w:val="en-US" w:eastAsia="zh-CN"/>
                    </w:rPr>
                  </w:pPr>
                  <w:r>
                    <w:rPr>
                      <w:rFonts w:hint="eastAsia"/>
                      <w:sz w:val="21"/>
                      <w:szCs w:val="21"/>
                      <w:lang w:val="en-US" w:eastAsia="zh-CN"/>
                    </w:rPr>
                    <w:t>16.3</w:t>
                  </w:r>
                </w:p>
              </w:tc>
              <w:tc>
                <w:tcPr>
                  <w:tcW w:w="191" w:type="pct"/>
                  <w:noWrap w:val="0"/>
                  <w:vAlign w:val="center"/>
                </w:tcPr>
                <w:p w14:paraId="7C9D740C">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38.</w:t>
                  </w:r>
                  <w:r>
                    <w:rPr>
                      <w:rFonts w:hint="eastAsia"/>
                      <w:sz w:val="21"/>
                      <w:szCs w:val="21"/>
                      <w:lang w:val="en-US" w:eastAsia="zh-CN"/>
                    </w:rPr>
                    <w:t>0</w:t>
                  </w:r>
                </w:p>
              </w:tc>
              <w:tc>
                <w:tcPr>
                  <w:tcW w:w="191" w:type="pct"/>
                  <w:noWrap w:val="0"/>
                  <w:vAlign w:val="center"/>
                </w:tcPr>
                <w:p w14:paraId="172AFEB8">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38.9</w:t>
                  </w:r>
                </w:p>
              </w:tc>
              <w:tc>
                <w:tcPr>
                  <w:tcW w:w="191" w:type="pct"/>
                  <w:noWrap w:val="0"/>
                  <w:vAlign w:val="center"/>
                </w:tcPr>
                <w:p w14:paraId="612FA3ED">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54.2</w:t>
                  </w:r>
                </w:p>
              </w:tc>
              <w:tc>
                <w:tcPr>
                  <w:tcW w:w="191" w:type="pct"/>
                  <w:noWrap w:val="0"/>
                  <w:vAlign w:val="center"/>
                </w:tcPr>
                <w:p w14:paraId="699E9318">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55.</w:t>
                  </w:r>
                  <w:r>
                    <w:rPr>
                      <w:rFonts w:hint="eastAsia"/>
                      <w:sz w:val="21"/>
                      <w:szCs w:val="21"/>
                      <w:lang w:val="en-US" w:eastAsia="zh-CN"/>
                    </w:rPr>
                    <w:t>8</w:t>
                  </w:r>
                </w:p>
              </w:tc>
              <w:tc>
                <w:tcPr>
                  <w:tcW w:w="209" w:type="pct"/>
                  <w:noWrap w:val="0"/>
                  <w:vAlign w:val="center"/>
                </w:tcPr>
                <w:p w14:paraId="78D8837C">
                  <w:pPr>
                    <w:widowControl/>
                    <w:jc w:val="center"/>
                    <w:textAlignment w:val="center"/>
                    <w:rPr>
                      <w:rFonts w:hint="eastAsia"/>
                      <w:sz w:val="21"/>
                      <w:szCs w:val="21"/>
                      <w:lang w:val="en-US" w:eastAsia="zh-CN"/>
                    </w:rPr>
                  </w:pPr>
                  <w:r>
                    <w:rPr>
                      <w:rFonts w:hint="eastAsia"/>
                      <w:sz w:val="21"/>
                      <w:szCs w:val="21"/>
                      <w:lang w:val="en-US" w:eastAsia="zh-CN"/>
                    </w:rPr>
                    <w:t>24h</w:t>
                  </w:r>
                </w:p>
              </w:tc>
              <w:tc>
                <w:tcPr>
                  <w:tcW w:w="287" w:type="pct"/>
                  <w:noWrap w:val="0"/>
                  <w:vAlign w:val="center"/>
                </w:tcPr>
                <w:p w14:paraId="0A9F2B57">
                  <w:pPr>
                    <w:jc w:val="center"/>
                    <w:rPr>
                      <w:rFonts w:hint="default"/>
                      <w:b/>
                      <w:bCs/>
                      <w:sz w:val="21"/>
                      <w:szCs w:val="21"/>
                      <w:lang w:val="en-US" w:eastAsia="zh-CN"/>
                    </w:rPr>
                  </w:pPr>
                  <w:r>
                    <w:rPr>
                      <w:rFonts w:hint="eastAsia"/>
                      <w:sz w:val="21"/>
                      <w:szCs w:val="21"/>
                      <w:lang w:val="en-US" w:eastAsia="zh-CN"/>
                    </w:rPr>
                    <w:t>15</w:t>
                  </w:r>
                </w:p>
              </w:tc>
              <w:tc>
                <w:tcPr>
                  <w:tcW w:w="192" w:type="pct"/>
                  <w:noWrap w:val="0"/>
                  <w:vAlign w:val="center"/>
                </w:tcPr>
                <w:p w14:paraId="62945056">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23.0</w:t>
                  </w:r>
                </w:p>
              </w:tc>
              <w:tc>
                <w:tcPr>
                  <w:tcW w:w="192" w:type="pct"/>
                  <w:noWrap w:val="0"/>
                  <w:vAlign w:val="center"/>
                </w:tcPr>
                <w:p w14:paraId="4BD996C1">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23.9</w:t>
                  </w:r>
                </w:p>
              </w:tc>
              <w:tc>
                <w:tcPr>
                  <w:tcW w:w="192" w:type="pct"/>
                  <w:noWrap w:val="0"/>
                  <w:vAlign w:val="center"/>
                </w:tcPr>
                <w:p w14:paraId="532D8E3A">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39.2</w:t>
                  </w:r>
                </w:p>
              </w:tc>
              <w:tc>
                <w:tcPr>
                  <w:tcW w:w="193" w:type="pct"/>
                  <w:noWrap w:val="0"/>
                  <w:vAlign w:val="center"/>
                </w:tcPr>
                <w:p w14:paraId="1D3EA6CD">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40.8</w:t>
                  </w:r>
                </w:p>
              </w:tc>
              <w:tc>
                <w:tcPr>
                  <w:tcW w:w="287" w:type="pct"/>
                  <w:noWrap w:val="0"/>
                  <w:vAlign w:val="center"/>
                </w:tcPr>
                <w:p w14:paraId="2B811F96">
                  <w:pPr>
                    <w:jc w:val="center"/>
                    <w:rPr>
                      <w:rFonts w:hint="default"/>
                      <w:sz w:val="21"/>
                      <w:szCs w:val="21"/>
                      <w:lang w:val="en-US" w:eastAsia="zh-CN"/>
                    </w:rPr>
                  </w:pPr>
                  <w:r>
                    <w:rPr>
                      <w:rFonts w:hint="eastAsia"/>
                      <w:sz w:val="21"/>
                      <w:szCs w:val="21"/>
                      <w:lang w:val="en-US" w:eastAsia="zh-CN"/>
                    </w:rPr>
                    <w:t>1m</w:t>
                  </w:r>
                </w:p>
              </w:tc>
            </w:tr>
            <w:tr w14:paraId="4B5F81F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76" w:type="pct"/>
                  <w:vMerge w:val="continue"/>
                  <w:noWrap w:val="0"/>
                  <w:vAlign w:val="top"/>
                </w:tcPr>
                <w:p w14:paraId="5CE3765D">
                  <w:pPr>
                    <w:jc w:val="center"/>
                    <w:rPr>
                      <w:sz w:val="21"/>
                      <w:szCs w:val="21"/>
                    </w:rPr>
                  </w:pPr>
                </w:p>
              </w:tc>
              <w:tc>
                <w:tcPr>
                  <w:tcW w:w="431" w:type="pct"/>
                  <w:noWrap w:val="0"/>
                  <w:vAlign w:val="center"/>
                </w:tcPr>
                <w:p w14:paraId="009B23AC">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面煤脱水筛</w:t>
                  </w:r>
                </w:p>
              </w:tc>
              <w:tc>
                <w:tcPr>
                  <w:tcW w:w="321" w:type="pct"/>
                  <w:noWrap w:val="0"/>
                  <w:vAlign w:val="center"/>
                </w:tcPr>
                <w:p w14:paraId="5352A6DE">
                  <w:pPr>
                    <w:widowControl/>
                    <w:jc w:val="center"/>
                    <w:textAlignment w:val="center"/>
                    <w:rPr>
                      <w:rFonts w:hint="default"/>
                      <w:sz w:val="21"/>
                      <w:szCs w:val="21"/>
                      <w:lang w:val="en-US" w:eastAsia="zh-CN"/>
                    </w:rPr>
                  </w:pPr>
                  <w:r>
                    <w:rPr>
                      <w:rFonts w:hint="eastAsia"/>
                      <w:sz w:val="21"/>
                      <w:szCs w:val="21"/>
                      <w:lang w:val="en-US" w:eastAsia="zh-CN"/>
                    </w:rPr>
                    <w:t>80</w:t>
                  </w:r>
                </w:p>
              </w:tc>
              <w:tc>
                <w:tcPr>
                  <w:tcW w:w="224" w:type="pct"/>
                  <w:vMerge w:val="continue"/>
                  <w:noWrap w:val="0"/>
                  <w:vAlign w:val="top"/>
                </w:tcPr>
                <w:p w14:paraId="40920C0B">
                  <w:pPr>
                    <w:jc w:val="center"/>
                    <w:rPr>
                      <w:sz w:val="21"/>
                      <w:szCs w:val="21"/>
                    </w:rPr>
                  </w:pPr>
                </w:p>
              </w:tc>
              <w:tc>
                <w:tcPr>
                  <w:tcW w:w="248" w:type="pct"/>
                  <w:noWrap w:val="0"/>
                  <w:vAlign w:val="center"/>
                </w:tcPr>
                <w:p w14:paraId="18A66361">
                  <w:pPr>
                    <w:widowControl/>
                    <w:jc w:val="center"/>
                    <w:textAlignment w:val="center"/>
                    <w:rPr>
                      <w:rFonts w:hint="default"/>
                      <w:sz w:val="21"/>
                      <w:szCs w:val="21"/>
                      <w:lang w:val="en-US" w:eastAsia="zh-CN"/>
                    </w:rPr>
                  </w:pPr>
                  <w:r>
                    <w:rPr>
                      <w:rFonts w:hint="eastAsia"/>
                      <w:sz w:val="21"/>
                      <w:szCs w:val="21"/>
                      <w:lang w:val="en-US" w:eastAsia="zh-CN"/>
                    </w:rPr>
                    <w:t>41.3</w:t>
                  </w:r>
                </w:p>
              </w:tc>
              <w:tc>
                <w:tcPr>
                  <w:tcW w:w="261" w:type="pct"/>
                  <w:noWrap w:val="0"/>
                  <w:vAlign w:val="center"/>
                </w:tcPr>
                <w:p w14:paraId="70735939">
                  <w:pPr>
                    <w:widowControl/>
                    <w:jc w:val="center"/>
                    <w:textAlignment w:val="center"/>
                    <w:rPr>
                      <w:rFonts w:hint="default"/>
                      <w:sz w:val="21"/>
                      <w:szCs w:val="21"/>
                      <w:lang w:val="en-US" w:eastAsia="zh-CN"/>
                    </w:rPr>
                  </w:pPr>
                  <w:r>
                    <w:rPr>
                      <w:rFonts w:hint="eastAsia"/>
                      <w:sz w:val="21"/>
                      <w:szCs w:val="21"/>
                      <w:lang w:val="en-US" w:eastAsia="zh-CN"/>
                    </w:rPr>
                    <w:t>293.8</w:t>
                  </w:r>
                </w:p>
              </w:tc>
              <w:tc>
                <w:tcPr>
                  <w:tcW w:w="200" w:type="pct"/>
                  <w:noWrap w:val="0"/>
                  <w:vAlign w:val="center"/>
                </w:tcPr>
                <w:p w14:paraId="6FB117D4">
                  <w:pPr>
                    <w:widowControl/>
                    <w:jc w:val="center"/>
                    <w:textAlignment w:val="center"/>
                    <w:rPr>
                      <w:rFonts w:hint="default"/>
                      <w:sz w:val="21"/>
                      <w:szCs w:val="21"/>
                      <w:lang w:val="en-US" w:eastAsia="zh-CN"/>
                    </w:rPr>
                  </w:pPr>
                  <w:r>
                    <w:rPr>
                      <w:rFonts w:hint="eastAsia"/>
                      <w:sz w:val="21"/>
                      <w:szCs w:val="21"/>
                      <w:lang w:val="en-US" w:eastAsia="zh-CN"/>
                    </w:rPr>
                    <w:t>1.2</w:t>
                  </w:r>
                </w:p>
              </w:tc>
              <w:tc>
                <w:tcPr>
                  <w:tcW w:w="203" w:type="pct"/>
                  <w:noWrap w:val="0"/>
                  <w:vAlign w:val="center"/>
                </w:tcPr>
                <w:p w14:paraId="03D83643">
                  <w:pPr>
                    <w:widowControl/>
                    <w:jc w:val="center"/>
                    <w:textAlignment w:val="center"/>
                    <w:rPr>
                      <w:rFonts w:hint="default"/>
                      <w:sz w:val="21"/>
                      <w:szCs w:val="21"/>
                      <w:lang w:val="en-US" w:eastAsia="zh-CN"/>
                    </w:rPr>
                  </w:pPr>
                  <w:r>
                    <w:rPr>
                      <w:rFonts w:hint="eastAsia"/>
                      <w:sz w:val="21"/>
                      <w:szCs w:val="21"/>
                      <w:lang w:val="en-US" w:eastAsia="zh-CN"/>
                    </w:rPr>
                    <w:t>109.1</w:t>
                  </w:r>
                </w:p>
              </w:tc>
              <w:tc>
                <w:tcPr>
                  <w:tcW w:w="203" w:type="pct"/>
                  <w:noWrap w:val="0"/>
                  <w:vAlign w:val="center"/>
                </w:tcPr>
                <w:p w14:paraId="50ABE5A7">
                  <w:pPr>
                    <w:widowControl/>
                    <w:jc w:val="center"/>
                    <w:textAlignment w:val="center"/>
                    <w:rPr>
                      <w:rFonts w:hint="default"/>
                      <w:sz w:val="21"/>
                      <w:szCs w:val="21"/>
                      <w:lang w:val="en-US" w:eastAsia="zh-CN"/>
                    </w:rPr>
                  </w:pPr>
                  <w:r>
                    <w:rPr>
                      <w:rFonts w:hint="eastAsia"/>
                      <w:sz w:val="21"/>
                      <w:szCs w:val="21"/>
                      <w:lang w:val="en-US" w:eastAsia="zh-CN"/>
                    </w:rPr>
                    <w:t>113.5</w:t>
                  </w:r>
                </w:p>
              </w:tc>
              <w:tc>
                <w:tcPr>
                  <w:tcW w:w="203" w:type="pct"/>
                  <w:noWrap w:val="0"/>
                  <w:vAlign w:val="center"/>
                </w:tcPr>
                <w:p w14:paraId="057ADCFA">
                  <w:pPr>
                    <w:widowControl/>
                    <w:jc w:val="center"/>
                    <w:textAlignment w:val="center"/>
                    <w:rPr>
                      <w:rFonts w:hint="default"/>
                      <w:sz w:val="21"/>
                      <w:szCs w:val="21"/>
                      <w:lang w:val="en-US" w:eastAsia="zh-CN"/>
                    </w:rPr>
                  </w:pPr>
                  <w:r>
                    <w:rPr>
                      <w:rFonts w:hint="eastAsia"/>
                      <w:sz w:val="21"/>
                      <w:szCs w:val="21"/>
                      <w:lang w:val="en-US" w:eastAsia="zh-CN"/>
                    </w:rPr>
                    <w:t>19.3</w:t>
                  </w:r>
                </w:p>
              </w:tc>
              <w:tc>
                <w:tcPr>
                  <w:tcW w:w="204" w:type="pct"/>
                  <w:noWrap w:val="0"/>
                  <w:vAlign w:val="center"/>
                </w:tcPr>
                <w:p w14:paraId="4A65B4B5">
                  <w:pPr>
                    <w:widowControl/>
                    <w:jc w:val="center"/>
                    <w:textAlignment w:val="center"/>
                    <w:rPr>
                      <w:rFonts w:hint="default"/>
                      <w:sz w:val="21"/>
                      <w:szCs w:val="21"/>
                      <w:lang w:val="en-US" w:eastAsia="zh-CN"/>
                    </w:rPr>
                  </w:pPr>
                  <w:r>
                    <w:rPr>
                      <w:rFonts w:hint="eastAsia"/>
                      <w:sz w:val="21"/>
                      <w:szCs w:val="21"/>
                      <w:lang w:val="en-US" w:eastAsia="zh-CN"/>
                    </w:rPr>
                    <w:t>16.0</w:t>
                  </w:r>
                </w:p>
              </w:tc>
              <w:tc>
                <w:tcPr>
                  <w:tcW w:w="191" w:type="pct"/>
                  <w:noWrap w:val="0"/>
                  <w:vAlign w:val="center"/>
                </w:tcPr>
                <w:p w14:paraId="4B28322B">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39.2</w:t>
                  </w:r>
                </w:p>
              </w:tc>
              <w:tc>
                <w:tcPr>
                  <w:tcW w:w="191" w:type="pct"/>
                  <w:noWrap w:val="0"/>
                  <w:vAlign w:val="center"/>
                </w:tcPr>
                <w:p w14:paraId="30145048">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38.9</w:t>
                  </w:r>
                </w:p>
              </w:tc>
              <w:tc>
                <w:tcPr>
                  <w:tcW w:w="191" w:type="pct"/>
                  <w:noWrap w:val="0"/>
                  <w:vAlign w:val="center"/>
                </w:tcPr>
                <w:p w14:paraId="3BFD9BA1">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54.</w:t>
                  </w:r>
                  <w:r>
                    <w:rPr>
                      <w:rFonts w:hint="eastAsia"/>
                      <w:sz w:val="21"/>
                      <w:szCs w:val="21"/>
                      <w:lang w:val="en-US" w:eastAsia="zh-CN"/>
                    </w:rPr>
                    <w:t>3</w:t>
                  </w:r>
                </w:p>
              </w:tc>
              <w:tc>
                <w:tcPr>
                  <w:tcW w:w="191" w:type="pct"/>
                  <w:noWrap w:val="0"/>
                  <w:vAlign w:val="center"/>
                </w:tcPr>
                <w:p w14:paraId="036B1C51">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55.9</w:t>
                  </w:r>
                </w:p>
              </w:tc>
              <w:tc>
                <w:tcPr>
                  <w:tcW w:w="209" w:type="pct"/>
                  <w:noWrap w:val="0"/>
                  <w:vAlign w:val="center"/>
                </w:tcPr>
                <w:p w14:paraId="2E6EB6B9">
                  <w:pPr>
                    <w:jc w:val="center"/>
                    <w:rPr>
                      <w:rFonts w:hint="eastAsia" w:ascii="Times New Roman" w:hAnsi="Times New Roman" w:eastAsia="宋体"/>
                      <w:kern w:val="2"/>
                      <w:sz w:val="21"/>
                      <w:szCs w:val="21"/>
                      <w:lang w:val="en-US" w:eastAsia="zh-CN" w:bidi="ar-SA"/>
                    </w:rPr>
                  </w:pPr>
                  <w:r>
                    <w:rPr>
                      <w:rFonts w:hint="eastAsia"/>
                      <w:kern w:val="2"/>
                      <w:sz w:val="21"/>
                      <w:szCs w:val="21"/>
                      <w:lang w:val="en-US" w:eastAsia="zh-CN" w:bidi="ar-SA"/>
                    </w:rPr>
                    <w:t>24h</w:t>
                  </w:r>
                </w:p>
              </w:tc>
              <w:tc>
                <w:tcPr>
                  <w:tcW w:w="287" w:type="pct"/>
                  <w:noWrap w:val="0"/>
                  <w:vAlign w:val="center"/>
                </w:tcPr>
                <w:p w14:paraId="37CD9950">
                  <w:pPr>
                    <w:jc w:val="center"/>
                    <w:rPr>
                      <w:rFonts w:hint="default"/>
                      <w:b/>
                      <w:bCs/>
                      <w:sz w:val="21"/>
                      <w:szCs w:val="21"/>
                      <w:lang w:val="en-US" w:eastAsia="zh-CN"/>
                    </w:rPr>
                  </w:pPr>
                  <w:r>
                    <w:rPr>
                      <w:rFonts w:hint="eastAsia"/>
                      <w:sz w:val="21"/>
                      <w:szCs w:val="21"/>
                      <w:lang w:val="en-US" w:eastAsia="zh-CN"/>
                    </w:rPr>
                    <w:t>15</w:t>
                  </w:r>
                </w:p>
              </w:tc>
              <w:tc>
                <w:tcPr>
                  <w:tcW w:w="192" w:type="pct"/>
                  <w:noWrap w:val="0"/>
                  <w:vAlign w:val="center"/>
                </w:tcPr>
                <w:p w14:paraId="192F59CA">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24.2</w:t>
                  </w:r>
                </w:p>
              </w:tc>
              <w:tc>
                <w:tcPr>
                  <w:tcW w:w="192" w:type="pct"/>
                  <w:noWrap w:val="0"/>
                  <w:vAlign w:val="center"/>
                </w:tcPr>
                <w:p w14:paraId="7752DEB6">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23.9</w:t>
                  </w:r>
                </w:p>
              </w:tc>
              <w:tc>
                <w:tcPr>
                  <w:tcW w:w="192" w:type="pct"/>
                  <w:noWrap w:val="0"/>
                  <w:vAlign w:val="center"/>
                </w:tcPr>
                <w:p w14:paraId="37F4FE2E">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39.3</w:t>
                  </w:r>
                </w:p>
              </w:tc>
              <w:tc>
                <w:tcPr>
                  <w:tcW w:w="193" w:type="pct"/>
                  <w:noWrap w:val="0"/>
                  <w:vAlign w:val="center"/>
                </w:tcPr>
                <w:p w14:paraId="611DF454">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40.9</w:t>
                  </w:r>
                </w:p>
              </w:tc>
              <w:tc>
                <w:tcPr>
                  <w:tcW w:w="287" w:type="pct"/>
                  <w:noWrap w:val="0"/>
                  <w:vAlign w:val="center"/>
                </w:tcPr>
                <w:p w14:paraId="6A6A240B">
                  <w:pPr>
                    <w:jc w:val="center"/>
                    <w:rPr>
                      <w:rFonts w:hint="default"/>
                      <w:sz w:val="21"/>
                      <w:szCs w:val="21"/>
                      <w:lang w:val="en-US" w:eastAsia="zh-CN"/>
                    </w:rPr>
                  </w:pPr>
                  <w:r>
                    <w:rPr>
                      <w:rFonts w:hint="eastAsia"/>
                      <w:sz w:val="21"/>
                      <w:szCs w:val="21"/>
                      <w:lang w:val="en-US" w:eastAsia="zh-CN"/>
                    </w:rPr>
                    <w:t>1m</w:t>
                  </w:r>
                </w:p>
              </w:tc>
            </w:tr>
            <w:tr w14:paraId="23D8415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76" w:type="pct"/>
                  <w:vMerge w:val="continue"/>
                  <w:noWrap w:val="0"/>
                  <w:vAlign w:val="top"/>
                </w:tcPr>
                <w:p w14:paraId="357BFA60">
                  <w:pPr>
                    <w:jc w:val="center"/>
                    <w:rPr>
                      <w:sz w:val="21"/>
                      <w:szCs w:val="21"/>
                    </w:rPr>
                  </w:pPr>
                </w:p>
              </w:tc>
              <w:tc>
                <w:tcPr>
                  <w:tcW w:w="431" w:type="pct"/>
                  <w:noWrap w:val="0"/>
                  <w:vAlign w:val="center"/>
                </w:tcPr>
                <w:p w14:paraId="158447B4">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弧形筛</w:t>
                  </w:r>
                </w:p>
              </w:tc>
              <w:tc>
                <w:tcPr>
                  <w:tcW w:w="321" w:type="pct"/>
                  <w:noWrap w:val="0"/>
                  <w:vAlign w:val="center"/>
                </w:tcPr>
                <w:p w14:paraId="1FEFACEB">
                  <w:pPr>
                    <w:widowControl/>
                    <w:jc w:val="center"/>
                    <w:textAlignment w:val="center"/>
                    <w:rPr>
                      <w:rFonts w:hint="default"/>
                      <w:sz w:val="21"/>
                      <w:szCs w:val="21"/>
                      <w:lang w:val="en-US" w:eastAsia="zh-CN"/>
                    </w:rPr>
                  </w:pPr>
                  <w:r>
                    <w:rPr>
                      <w:rFonts w:hint="eastAsia"/>
                      <w:sz w:val="21"/>
                      <w:szCs w:val="21"/>
                      <w:lang w:val="en-US" w:eastAsia="zh-CN"/>
                    </w:rPr>
                    <w:t>80</w:t>
                  </w:r>
                </w:p>
              </w:tc>
              <w:tc>
                <w:tcPr>
                  <w:tcW w:w="224" w:type="pct"/>
                  <w:vMerge w:val="continue"/>
                  <w:noWrap w:val="0"/>
                  <w:vAlign w:val="top"/>
                </w:tcPr>
                <w:p w14:paraId="60071741">
                  <w:pPr>
                    <w:jc w:val="center"/>
                    <w:rPr>
                      <w:sz w:val="21"/>
                      <w:szCs w:val="21"/>
                    </w:rPr>
                  </w:pPr>
                </w:p>
              </w:tc>
              <w:tc>
                <w:tcPr>
                  <w:tcW w:w="248" w:type="pct"/>
                  <w:noWrap w:val="0"/>
                  <w:vAlign w:val="center"/>
                </w:tcPr>
                <w:p w14:paraId="1C0BEAF6">
                  <w:pPr>
                    <w:widowControl/>
                    <w:jc w:val="center"/>
                    <w:textAlignment w:val="center"/>
                    <w:rPr>
                      <w:rFonts w:hint="default"/>
                      <w:sz w:val="21"/>
                      <w:szCs w:val="21"/>
                      <w:lang w:val="en-US" w:eastAsia="zh-CN"/>
                    </w:rPr>
                  </w:pPr>
                  <w:r>
                    <w:rPr>
                      <w:rFonts w:hint="eastAsia"/>
                      <w:sz w:val="21"/>
                      <w:szCs w:val="21"/>
                      <w:lang w:val="en-US" w:eastAsia="zh-CN"/>
                    </w:rPr>
                    <w:t>58.5</w:t>
                  </w:r>
                </w:p>
              </w:tc>
              <w:tc>
                <w:tcPr>
                  <w:tcW w:w="261" w:type="pct"/>
                  <w:noWrap w:val="0"/>
                  <w:vAlign w:val="center"/>
                </w:tcPr>
                <w:p w14:paraId="213FA5A8">
                  <w:pPr>
                    <w:widowControl/>
                    <w:jc w:val="center"/>
                    <w:textAlignment w:val="center"/>
                    <w:rPr>
                      <w:rFonts w:hint="default"/>
                      <w:sz w:val="21"/>
                      <w:szCs w:val="21"/>
                      <w:lang w:val="en-US" w:eastAsia="zh-CN"/>
                    </w:rPr>
                  </w:pPr>
                  <w:r>
                    <w:rPr>
                      <w:rFonts w:hint="eastAsia"/>
                      <w:sz w:val="21"/>
                      <w:szCs w:val="21"/>
                      <w:lang w:val="en-US" w:eastAsia="zh-CN"/>
                    </w:rPr>
                    <w:t>293.8</w:t>
                  </w:r>
                </w:p>
              </w:tc>
              <w:tc>
                <w:tcPr>
                  <w:tcW w:w="200" w:type="pct"/>
                  <w:noWrap w:val="0"/>
                  <w:vAlign w:val="center"/>
                </w:tcPr>
                <w:p w14:paraId="67361F5D">
                  <w:pPr>
                    <w:widowControl/>
                    <w:jc w:val="center"/>
                    <w:textAlignment w:val="center"/>
                    <w:rPr>
                      <w:rFonts w:hint="default"/>
                      <w:sz w:val="21"/>
                      <w:szCs w:val="21"/>
                      <w:lang w:val="en-US" w:eastAsia="zh-CN"/>
                    </w:rPr>
                  </w:pPr>
                  <w:r>
                    <w:rPr>
                      <w:rFonts w:hint="eastAsia"/>
                      <w:sz w:val="21"/>
                      <w:szCs w:val="21"/>
                      <w:lang w:val="en-US" w:eastAsia="zh-CN"/>
                    </w:rPr>
                    <w:t>1.2</w:t>
                  </w:r>
                </w:p>
              </w:tc>
              <w:tc>
                <w:tcPr>
                  <w:tcW w:w="203" w:type="pct"/>
                  <w:noWrap w:val="0"/>
                  <w:vAlign w:val="center"/>
                </w:tcPr>
                <w:p w14:paraId="1C4687C9">
                  <w:pPr>
                    <w:widowControl/>
                    <w:jc w:val="center"/>
                    <w:textAlignment w:val="center"/>
                    <w:rPr>
                      <w:rFonts w:hint="default"/>
                      <w:sz w:val="21"/>
                      <w:szCs w:val="21"/>
                      <w:lang w:val="en-US" w:eastAsia="zh-CN"/>
                    </w:rPr>
                  </w:pPr>
                  <w:r>
                    <w:rPr>
                      <w:rFonts w:hint="eastAsia"/>
                      <w:sz w:val="21"/>
                      <w:szCs w:val="21"/>
                      <w:lang w:val="en-US" w:eastAsia="zh-CN"/>
                    </w:rPr>
                    <w:t>91.9</w:t>
                  </w:r>
                </w:p>
              </w:tc>
              <w:tc>
                <w:tcPr>
                  <w:tcW w:w="203" w:type="pct"/>
                  <w:noWrap w:val="0"/>
                  <w:vAlign w:val="center"/>
                </w:tcPr>
                <w:p w14:paraId="2457F155">
                  <w:pPr>
                    <w:widowControl/>
                    <w:jc w:val="center"/>
                    <w:textAlignment w:val="center"/>
                    <w:rPr>
                      <w:rFonts w:hint="default"/>
                      <w:sz w:val="21"/>
                      <w:szCs w:val="21"/>
                      <w:lang w:val="en-US" w:eastAsia="zh-CN"/>
                    </w:rPr>
                  </w:pPr>
                  <w:r>
                    <w:rPr>
                      <w:rFonts w:hint="eastAsia"/>
                      <w:sz w:val="21"/>
                      <w:szCs w:val="21"/>
                      <w:lang w:val="en-US" w:eastAsia="zh-CN"/>
                    </w:rPr>
                    <w:t>113.6</w:t>
                  </w:r>
                </w:p>
              </w:tc>
              <w:tc>
                <w:tcPr>
                  <w:tcW w:w="203" w:type="pct"/>
                  <w:noWrap w:val="0"/>
                  <w:vAlign w:val="center"/>
                </w:tcPr>
                <w:p w14:paraId="34FA5562">
                  <w:pPr>
                    <w:widowControl/>
                    <w:jc w:val="center"/>
                    <w:textAlignment w:val="center"/>
                    <w:rPr>
                      <w:rFonts w:hint="default"/>
                      <w:sz w:val="21"/>
                      <w:szCs w:val="21"/>
                      <w:lang w:val="en-US" w:eastAsia="zh-CN"/>
                    </w:rPr>
                  </w:pPr>
                  <w:r>
                    <w:rPr>
                      <w:rFonts w:hint="eastAsia"/>
                      <w:sz w:val="21"/>
                      <w:szCs w:val="21"/>
                      <w:lang w:val="en-US" w:eastAsia="zh-CN"/>
                    </w:rPr>
                    <w:t>19.0</w:t>
                  </w:r>
                </w:p>
              </w:tc>
              <w:tc>
                <w:tcPr>
                  <w:tcW w:w="204" w:type="pct"/>
                  <w:noWrap w:val="0"/>
                  <w:vAlign w:val="center"/>
                </w:tcPr>
                <w:p w14:paraId="42798AE2">
                  <w:pPr>
                    <w:widowControl/>
                    <w:jc w:val="center"/>
                    <w:textAlignment w:val="center"/>
                    <w:rPr>
                      <w:rFonts w:hint="default"/>
                      <w:sz w:val="21"/>
                      <w:szCs w:val="21"/>
                      <w:lang w:val="en-US" w:eastAsia="zh-CN"/>
                    </w:rPr>
                  </w:pPr>
                  <w:r>
                    <w:rPr>
                      <w:rFonts w:hint="eastAsia"/>
                      <w:sz w:val="21"/>
                      <w:szCs w:val="21"/>
                      <w:lang w:val="en-US" w:eastAsia="zh-CN"/>
                    </w:rPr>
                    <w:t>16.0</w:t>
                  </w:r>
                </w:p>
              </w:tc>
              <w:tc>
                <w:tcPr>
                  <w:tcW w:w="191" w:type="pct"/>
                  <w:noWrap w:val="0"/>
                  <w:vAlign w:val="center"/>
                </w:tcPr>
                <w:p w14:paraId="2D788C17">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40.7</w:t>
                  </w:r>
                </w:p>
              </w:tc>
              <w:tc>
                <w:tcPr>
                  <w:tcW w:w="191" w:type="pct"/>
                  <w:noWrap w:val="0"/>
                  <w:vAlign w:val="center"/>
                </w:tcPr>
                <w:p w14:paraId="241995E4">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38.</w:t>
                  </w:r>
                  <w:r>
                    <w:rPr>
                      <w:rFonts w:hint="eastAsia"/>
                      <w:sz w:val="21"/>
                      <w:szCs w:val="21"/>
                      <w:lang w:val="en-US" w:eastAsia="zh-CN"/>
                    </w:rPr>
                    <w:t>9</w:t>
                  </w:r>
                </w:p>
              </w:tc>
              <w:tc>
                <w:tcPr>
                  <w:tcW w:w="191" w:type="pct"/>
                  <w:noWrap w:val="0"/>
                  <w:vAlign w:val="center"/>
                </w:tcPr>
                <w:p w14:paraId="1A4DA9CE">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54.</w:t>
                  </w:r>
                  <w:r>
                    <w:rPr>
                      <w:rFonts w:hint="eastAsia"/>
                      <w:sz w:val="21"/>
                      <w:szCs w:val="21"/>
                      <w:lang w:val="en-US" w:eastAsia="zh-CN"/>
                    </w:rPr>
                    <w:t>3</w:t>
                  </w:r>
                </w:p>
              </w:tc>
              <w:tc>
                <w:tcPr>
                  <w:tcW w:w="191" w:type="pct"/>
                  <w:noWrap w:val="0"/>
                  <w:vAlign w:val="center"/>
                </w:tcPr>
                <w:p w14:paraId="05B9957D">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55.9</w:t>
                  </w:r>
                </w:p>
              </w:tc>
              <w:tc>
                <w:tcPr>
                  <w:tcW w:w="209" w:type="pct"/>
                  <w:noWrap w:val="0"/>
                  <w:vAlign w:val="center"/>
                </w:tcPr>
                <w:p w14:paraId="196575D8">
                  <w:pPr>
                    <w:jc w:val="center"/>
                    <w:rPr>
                      <w:rFonts w:hint="eastAsia" w:ascii="Times New Roman" w:hAnsi="Times New Roman" w:eastAsia="宋体"/>
                      <w:kern w:val="2"/>
                      <w:sz w:val="21"/>
                      <w:szCs w:val="21"/>
                      <w:lang w:val="en-US" w:eastAsia="zh-CN" w:bidi="ar-SA"/>
                    </w:rPr>
                  </w:pPr>
                  <w:r>
                    <w:rPr>
                      <w:rFonts w:hint="eastAsia"/>
                      <w:kern w:val="2"/>
                      <w:sz w:val="21"/>
                      <w:szCs w:val="21"/>
                      <w:lang w:val="en-US" w:eastAsia="zh-CN" w:bidi="ar-SA"/>
                    </w:rPr>
                    <w:t>24h</w:t>
                  </w:r>
                </w:p>
              </w:tc>
              <w:tc>
                <w:tcPr>
                  <w:tcW w:w="287" w:type="pct"/>
                  <w:noWrap w:val="0"/>
                  <w:vAlign w:val="center"/>
                </w:tcPr>
                <w:p w14:paraId="1D341AD8">
                  <w:pPr>
                    <w:jc w:val="center"/>
                    <w:rPr>
                      <w:rFonts w:hint="default"/>
                      <w:b/>
                      <w:bCs/>
                      <w:sz w:val="21"/>
                      <w:szCs w:val="21"/>
                      <w:lang w:val="en-US" w:eastAsia="zh-CN"/>
                    </w:rPr>
                  </w:pPr>
                  <w:r>
                    <w:rPr>
                      <w:rFonts w:hint="eastAsia"/>
                      <w:sz w:val="21"/>
                      <w:szCs w:val="21"/>
                      <w:lang w:val="en-US" w:eastAsia="zh-CN"/>
                    </w:rPr>
                    <w:t>15</w:t>
                  </w:r>
                </w:p>
              </w:tc>
              <w:tc>
                <w:tcPr>
                  <w:tcW w:w="192" w:type="pct"/>
                  <w:noWrap w:val="0"/>
                  <w:vAlign w:val="center"/>
                </w:tcPr>
                <w:p w14:paraId="097771BE">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25.7</w:t>
                  </w:r>
                </w:p>
              </w:tc>
              <w:tc>
                <w:tcPr>
                  <w:tcW w:w="192" w:type="pct"/>
                  <w:noWrap w:val="0"/>
                  <w:vAlign w:val="center"/>
                </w:tcPr>
                <w:p w14:paraId="1D4ABDB5">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23.9</w:t>
                  </w:r>
                </w:p>
              </w:tc>
              <w:tc>
                <w:tcPr>
                  <w:tcW w:w="192" w:type="pct"/>
                  <w:noWrap w:val="0"/>
                  <w:vAlign w:val="center"/>
                </w:tcPr>
                <w:p w14:paraId="79A40C93">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39.3</w:t>
                  </w:r>
                </w:p>
              </w:tc>
              <w:tc>
                <w:tcPr>
                  <w:tcW w:w="193" w:type="pct"/>
                  <w:noWrap w:val="0"/>
                  <w:vAlign w:val="center"/>
                </w:tcPr>
                <w:p w14:paraId="15437D7A">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40.9</w:t>
                  </w:r>
                </w:p>
              </w:tc>
              <w:tc>
                <w:tcPr>
                  <w:tcW w:w="287" w:type="pct"/>
                  <w:noWrap w:val="0"/>
                  <w:vAlign w:val="center"/>
                </w:tcPr>
                <w:p w14:paraId="7658CF3A">
                  <w:pPr>
                    <w:jc w:val="center"/>
                    <w:rPr>
                      <w:rFonts w:hint="default"/>
                      <w:sz w:val="21"/>
                      <w:szCs w:val="21"/>
                      <w:lang w:val="en-US" w:eastAsia="zh-CN"/>
                    </w:rPr>
                  </w:pPr>
                  <w:r>
                    <w:rPr>
                      <w:rFonts w:hint="eastAsia"/>
                      <w:sz w:val="21"/>
                      <w:szCs w:val="21"/>
                      <w:lang w:val="en-US" w:eastAsia="zh-CN"/>
                    </w:rPr>
                    <w:t>1m</w:t>
                  </w:r>
                </w:p>
              </w:tc>
            </w:tr>
            <w:tr w14:paraId="3C9BA97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76" w:type="pct"/>
                  <w:vMerge w:val="continue"/>
                  <w:noWrap w:val="0"/>
                  <w:vAlign w:val="top"/>
                </w:tcPr>
                <w:p w14:paraId="50EFDF27">
                  <w:pPr>
                    <w:jc w:val="center"/>
                    <w:rPr>
                      <w:sz w:val="21"/>
                      <w:szCs w:val="21"/>
                    </w:rPr>
                  </w:pPr>
                </w:p>
              </w:tc>
              <w:tc>
                <w:tcPr>
                  <w:tcW w:w="431" w:type="pct"/>
                  <w:noWrap w:val="0"/>
                  <w:vAlign w:val="center"/>
                </w:tcPr>
                <w:p w14:paraId="5EC7A0A6">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精煤脱水筛</w:t>
                  </w:r>
                </w:p>
              </w:tc>
              <w:tc>
                <w:tcPr>
                  <w:tcW w:w="321" w:type="pct"/>
                  <w:noWrap w:val="0"/>
                  <w:vAlign w:val="center"/>
                </w:tcPr>
                <w:p w14:paraId="79F48F04">
                  <w:pPr>
                    <w:widowControl/>
                    <w:jc w:val="center"/>
                    <w:textAlignment w:val="center"/>
                    <w:rPr>
                      <w:rFonts w:hint="default"/>
                      <w:sz w:val="21"/>
                      <w:szCs w:val="21"/>
                      <w:lang w:val="en-US" w:eastAsia="zh-CN"/>
                    </w:rPr>
                  </w:pPr>
                  <w:r>
                    <w:rPr>
                      <w:rFonts w:hint="eastAsia"/>
                      <w:sz w:val="21"/>
                      <w:szCs w:val="21"/>
                      <w:lang w:val="en-US" w:eastAsia="zh-CN"/>
                    </w:rPr>
                    <w:t>80</w:t>
                  </w:r>
                </w:p>
              </w:tc>
              <w:tc>
                <w:tcPr>
                  <w:tcW w:w="224" w:type="pct"/>
                  <w:vMerge w:val="continue"/>
                  <w:noWrap w:val="0"/>
                  <w:vAlign w:val="top"/>
                </w:tcPr>
                <w:p w14:paraId="108DAB80">
                  <w:pPr>
                    <w:jc w:val="center"/>
                    <w:rPr>
                      <w:sz w:val="21"/>
                      <w:szCs w:val="21"/>
                    </w:rPr>
                  </w:pPr>
                </w:p>
              </w:tc>
              <w:tc>
                <w:tcPr>
                  <w:tcW w:w="248" w:type="pct"/>
                  <w:noWrap w:val="0"/>
                  <w:vAlign w:val="center"/>
                </w:tcPr>
                <w:p w14:paraId="7509D55C">
                  <w:pPr>
                    <w:widowControl/>
                    <w:jc w:val="center"/>
                    <w:textAlignment w:val="center"/>
                    <w:rPr>
                      <w:rFonts w:hint="default"/>
                      <w:sz w:val="21"/>
                      <w:szCs w:val="21"/>
                      <w:lang w:val="en-US" w:eastAsia="zh-CN"/>
                    </w:rPr>
                  </w:pPr>
                  <w:r>
                    <w:rPr>
                      <w:rFonts w:hint="eastAsia"/>
                      <w:sz w:val="21"/>
                      <w:szCs w:val="21"/>
                      <w:lang w:val="en-US" w:eastAsia="zh-CN"/>
                    </w:rPr>
                    <w:t>80.7</w:t>
                  </w:r>
                </w:p>
              </w:tc>
              <w:tc>
                <w:tcPr>
                  <w:tcW w:w="261" w:type="pct"/>
                  <w:noWrap w:val="0"/>
                  <w:vAlign w:val="center"/>
                </w:tcPr>
                <w:p w14:paraId="24F0CFED">
                  <w:pPr>
                    <w:widowControl/>
                    <w:jc w:val="center"/>
                    <w:textAlignment w:val="center"/>
                    <w:rPr>
                      <w:rFonts w:hint="default"/>
                      <w:sz w:val="21"/>
                      <w:szCs w:val="21"/>
                      <w:lang w:val="en-US" w:eastAsia="zh-CN"/>
                    </w:rPr>
                  </w:pPr>
                  <w:r>
                    <w:rPr>
                      <w:rFonts w:hint="eastAsia"/>
                      <w:sz w:val="21"/>
                      <w:szCs w:val="21"/>
                      <w:lang w:val="en-US" w:eastAsia="zh-CN"/>
                    </w:rPr>
                    <w:t>293.3</w:t>
                  </w:r>
                </w:p>
              </w:tc>
              <w:tc>
                <w:tcPr>
                  <w:tcW w:w="200" w:type="pct"/>
                  <w:noWrap w:val="0"/>
                  <w:vAlign w:val="center"/>
                </w:tcPr>
                <w:p w14:paraId="44D58A87">
                  <w:pPr>
                    <w:widowControl/>
                    <w:jc w:val="center"/>
                    <w:textAlignment w:val="center"/>
                    <w:rPr>
                      <w:rFonts w:hint="default"/>
                      <w:sz w:val="21"/>
                      <w:szCs w:val="21"/>
                      <w:lang w:val="en-US" w:eastAsia="zh-CN"/>
                    </w:rPr>
                  </w:pPr>
                  <w:r>
                    <w:rPr>
                      <w:rFonts w:hint="eastAsia"/>
                      <w:sz w:val="21"/>
                      <w:szCs w:val="21"/>
                      <w:lang w:val="en-US" w:eastAsia="zh-CN"/>
                    </w:rPr>
                    <w:t>1.2</w:t>
                  </w:r>
                </w:p>
              </w:tc>
              <w:tc>
                <w:tcPr>
                  <w:tcW w:w="203" w:type="pct"/>
                  <w:noWrap w:val="0"/>
                  <w:vAlign w:val="center"/>
                </w:tcPr>
                <w:p w14:paraId="3AFD772C">
                  <w:pPr>
                    <w:widowControl/>
                    <w:jc w:val="center"/>
                    <w:textAlignment w:val="center"/>
                    <w:rPr>
                      <w:rFonts w:hint="default"/>
                      <w:sz w:val="21"/>
                      <w:szCs w:val="21"/>
                      <w:lang w:val="en-US" w:eastAsia="zh-CN"/>
                    </w:rPr>
                  </w:pPr>
                  <w:r>
                    <w:rPr>
                      <w:rFonts w:hint="eastAsia"/>
                      <w:sz w:val="21"/>
                      <w:szCs w:val="21"/>
                      <w:lang w:val="en-US" w:eastAsia="zh-CN"/>
                    </w:rPr>
                    <w:t>69.7</w:t>
                  </w:r>
                </w:p>
              </w:tc>
              <w:tc>
                <w:tcPr>
                  <w:tcW w:w="203" w:type="pct"/>
                  <w:noWrap w:val="0"/>
                  <w:vAlign w:val="center"/>
                </w:tcPr>
                <w:p w14:paraId="0B855D23">
                  <w:pPr>
                    <w:widowControl/>
                    <w:jc w:val="center"/>
                    <w:textAlignment w:val="center"/>
                    <w:rPr>
                      <w:rFonts w:hint="default"/>
                      <w:sz w:val="21"/>
                      <w:szCs w:val="21"/>
                      <w:lang w:val="en-US" w:eastAsia="zh-CN"/>
                    </w:rPr>
                  </w:pPr>
                  <w:r>
                    <w:rPr>
                      <w:rFonts w:hint="eastAsia"/>
                      <w:sz w:val="21"/>
                      <w:szCs w:val="21"/>
                      <w:lang w:val="en-US" w:eastAsia="zh-CN"/>
                    </w:rPr>
                    <w:t>113.3</w:t>
                  </w:r>
                </w:p>
              </w:tc>
              <w:tc>
                <w:tcPr>
                  <w:tcW w:w="203" w:type="pct"/>
                  <w:noWrap w:val="0"/>
                  <w:vAlign w:val="center"/>
                </w:tcPr>
                <w:p w14:paraId="3B567781">
                  <w:pPr>
                    <w:widowControl/>
                    <w:jc w:val="center"/>
                    <w:textAlignment w:val="center"/>
                    <w:rPr>
                      <w:rFonts w:hint="default"/>
                      <w:sz w:val="21"/>
                      <w:szCs w:val="21"/>
                      <w:lang w:val="en-US" w:eastAsia="zh-CN"/>
                    </w:rPr>
                  </w:pPr>
                  <w:r>
                    <w:rPr>
                      <w:rFonts w:hint="eastAsia"/>
                      <w:sz w:val="21"/>
                      <w:szCs w:val="21"/>
                      <w:lang w:val="en-US" w:eastAsia="zh-CN"/>
                    </w:rPr>
                    <w:t>18.1</w:t>
                  </w:r>
                </w:p>
              </w:tc>
              <w:tc>
                <w:tcPr>
                  <w:tcW w:w="204" w:type="pct"/>
                  <w:noWrap w:val="0"/>
                  <w:vAlign w:val="center"/>
                </w:tcPr>
                <w:p w14:paraId="74A842F2">
                  <w:pPr>
                    <w:widowControl/>
                    <w:jc w:val="center"/>
                    <w:textAlignment w:val="center"/>
                    <w:rPr>
                      <w:rFonts w:hint="default"/>
                      <w:sz w:val="21"/>
                      <w:szCs w:val="21"/>
                      <w:lang w:val="en-US" w:eastAsia="zh-CN"/>
                    </w:rPr>
                  </w:pPr>
                  <w:r>
                    <w:rPr>
                      <w:rFonts w:hint="eastAsia"/>
                      <w:sz w:val="21"/>
                      <w:szCs w:val="21"/>
                      <w:lang w:val="en-US" w:eastAsia="zh-CN"/>
                    </w:rPr>
                    <w:t>16.4</w:t>
                  </w:r>
                </w:p>
              </w:tc>
              <w:tc>
                <w:tcPr>
                  <w:tcW w:w="191" w:type="pct"/>
                  <w:noWrap w:val="0"/>
                  <w:vAlign w:val="center"/>
                </w:tcPr>
                <w:p w14:paraId="659040D8">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43.1</w:t>
                  </w:r>
                </w:p>
              </w:tc>
              <w:tc>
                <w:tcPr>
                  <w:tcW w:w="191" w:type="pct"/>
                  <w:noWrap w:val="0"/>
                  <w:vAlign w:val="center"/>
                </w:tcPr>
                <w:p w14:paraId="209EDD59">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38.9</w:t>
                  </w:r>
                </w:p>
              </w:tc>
              <w:tc>
                <w:tcPr>
                  <w:tcW w:w="191" w:type="pct"/>
                  <w:noWrap w:val="0"/>
                  <w:vAlign w:val="center"/>
                </w:tcPr>
                <w:p w14:paraId="4346E434">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54.8</w:t>
                  </w:r>
                </w:p>
              </w:tc>
              <w:tc>
                <w:tcPr>
                  <w:tcW w:w="191" w:type="pct"/>
                  <w:noWrap w:val="0"/>
                  <w:vAlign w:val="center"/>
                </w:tcPr>
                <w:p w14:paraId="1DD477B5">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55.7</w:t>
                  </w:r>
                </w:p>
              </w:tc>
              <w:tc>
                <w:tcPr>
                  <w:tcW w:w="209" w:type="pct"/>
                  <w:noWrap w:val="0"/>
                  <w:vAlign w:val="center"/>
                </w:tcPr>
                <w:p w14:paraId="3F01FAE6">
                  <w:pPr>
                    <w:jc w:val="center"/>
                    <w:rPr>
                      <w:rFonts w:hint="eastAsia" w:ascii="Times New Roman" w:hAnsi="Times New Roman" w:eastAsia="宋体"/>
                      <w:kern w:val="2"/>
                      <w:sz w:val="21"/>
                      <w:szCs w:val="21"/>
                      <w:lang w:val="en-US" w:eastAsia="zh-CN" w:bidi="ar-SA"/>
                    </w:rPr>
                  </w:pPr>
                  <w:r>
                    <w:rPr>
                      <w:rFonts w:hint="eastAsia"/>
                      <w:kern w:val="2"/>
                      <w:sz w:val="21"/>
                      <w:szCs w:val="21"/>
                      <w:lang w:val="en-US" w:eastAsia="zh-CN" w:bidi="ar-SA"/>
                    </w:rPr>
                    <w:t>24h</w:t>
                  </w:r>
                </w:p>
              </w:tc>
              <w:tc>
                <w:tcPr>
                  <w:tcW w:w="287" w:type="pct"/>
                  <w:noWrap w:val="0"/>
                  <w:vAlign w:val="center"/>
                </w:tcPr>
                <w:p w14:paraId="0FF05043">
                  <w:pPr>
                    <w:jc w:val="center"/>
                    <w:rPr>
                      <w:rFonts w:hint="default"/>
                      <w:b/>
                      <w:bCs/>
                      <w:sz w:val="21"/>
                      <w:szCs w:val="21"/>
                      <w:lang w:val="en-US" w:eastAsia="zh-CN"/>
                    </w:rPr>
                  </w:pPr>
                  <w:r>
                    <w:rPr>
                      <w:rFonts w:hint="eastAsia"/>
                      <w:sz w:val="21"/>
                      <w:szCs w:val="21"/>
                      <w:lang w:val="en-US" w:eastAsia="zh-CN"/>
                    </w:rPr>
                    <w:t>15</w:t>
                  </w:r>
                </w:p>
              </w:tc>
              <w:tc>
                <w:tcPr>
                  <w:tcW w:w="192" w:type="pct"/>
                  <w:noWrap w:val="0"/>
                  <w:vAlign w:val="center"/>
                </w:tcPr>
                <w:p w14:paraId="0135B70B">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28.1</w:t>
                  </w:r>
                </w:p>
              </w:tc>
              <w:tc>
                <w:tcPr>
                  <w:tcW w:w="192" w:type="pct"/>
                  <w:noWrap w:val="0"/>
                  <w:vAlign w:val="center"/>
                </w:tcPr>
                <w:p w14:paraId="5498E9AB">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23.9</w:t>
                  </w:r>
                </w:p>
              </w:tc>
              <w:tc>
                <w:tcPr>
                  <w:tcW w:w="192" w:type="pct"/>
                  <w:noWrap w:val="0"/>
                  <w:vAlign w:val="center"/>
                </w:tcPr>
                <w:p w14:paraId="4079A119">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39.8</w:t>
                  </w:r>
                </w:p>
              </w:tc>
              <w:tc>
                <w:tcPr>
                  <w:tcW w:w="193" w:type="pct"/>
                  <w:noWrap w:val="0"/>
                  <w:vAlign w:val="center"/>
                </w:tcPr>
                <w:p w14:paraId="7CFB65C2">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40.7</w:t>
                  </w:r>
                </w:p>
              </w:tc>
              <w:tc>
                <w:tcPr>
                  <w:tcW w:w="287" w:type="pct"/>
                  <w:noWrap w:val="0"/>
                  <w:vAlign w:val="center"/>
                </w:tcPr>
                <w:p w14:paraId="32720C8A">
                  <w:pPr>
                    <w:jc w:val="center"/>
                    <w:rPr>
                      <w:rFonts w:hint="default"/>
                      <w:sz w:val="21"/>
                      <w:szCs w:val="21"/>
                      <w:lang w:val="en-US" w:eastAsia="zh-CN"/>
                    </w:rPr>
                  </w:pPr>
                  <w:r>
                    <w:rPr>
                      <w:rFonts w:hint="eastAsia"/>
                      <w:sz w:val="21"/>
                      <w:szCs w:val="21"/>
                      <w:lang w:val="en-US" w:eastAsia="zh-CN"/>
                    </w:rPr>
                    <w:t>1m</w:t>
                  </w:r>
                </w:p>
              </w:tc>
            </w:tr>
            <w:tr w14:paraId="431D80F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76" w:type="pct"/>
                  <w:vMerge w:val="continue"/>
                  <w:noWrap w:val="0"/>
                  <w:vAlign w:val="top"/>
                </w:tcPr>
                <w:p w14:paraId="66FB8990">
                  <w:pPr>
                    <w:jc w:val="center"/>
                    <w:rPr>
                      <w:sz w:val="21"/>
                      <w:szCs w:val="21"/>
                    </w:rPr>
                  </w:pPr>
                </w:p>
              </w:tc>
              <w:tc>
                <w:tcPr>
                  <w:tcW w:w="431" w:type="pct"/>
                  <w:noWrap w:val="0"/>
                  <w:vAlign w:val="center"/>
                </w:tcPr>
                <w:p w14:paraId="65EAC779">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精煤回收筛</w:t>
                  </w:r>
                </w:p>
              </w:tc>
              <w:tc>
                <w:tcPr>
                  <w:tcW w:w="321" w:type="pct"/>
                  <w:noWrap w:val="0"/>
                  <w:vAlign w:val="center"/>
                </w:tcPr>
                <w:p w14:paraId="10AF39E2">
                  <w:pPr>
                    <w:widowControl/>
                    <w:jc w:val="center"/>
                    <w:textAlignment w:val="center"/>
                    <w:rPr>
                      <w:rFonts w:hint="default"/>
                      <w:sz w:val="21"/>
                      <w:szCs w:val="21"/>
                      <w:lang w:val="en-US" w:eastAsia="zh-CN"/>
                    </w:rPr>
                  </w:pPr>
                  <w:r>
                    <w:rPr>
                      <w:rFonts w:hint="eastAsia"/>
                      <w:sz w:val="21"/>
                      <w:szCs w:val="21"/>
                      <w:lang w:val="en-US" w:eastAsia="zh-CN"/>
                    </w:rPr>
                    <w:t>80</w:t>
                  </w:r>
                </w:p>
              </w:tc>
              <w:tc>
                <w:tcPr>
                  <w:tcW w:w="224" w:type="pct"/>
                  <w:vMerge w:val="continue"/>
                  <w:noWrap w:val="0"/>
                  <w:vAlign w:val="top"/>
                </w:tcPr>
                <w:p w14:paraId="0B28BFFD">
                  <w:pPr>
                    <w:jc w:val="center"/>
                    <w:rPr>
                      <w:sz w:val="21"/>
                      <w:szCs w:val="21"/>
                    </w:rPr>
                  </w:pPr>
                </w:p>
              </w:tc>
              <w:tc>
                <w:tcPr>
                  <w:tcW w:w="248" w:type="pct"/>
                  <w:noWrap w:val="0"/>
                  <w:vAlign w:val="center"/>
                </w:tcPr>
                <w:p w14:paraId="19179653">
                  <w:pPr>
                    <w:widowControl/>
                    <w:jc w:val="center"/>
                    <w:textAlignment w:val="center"/>
                    <w:rPr>
                      <w:rFonts w:hint="default"/>
                      <w:sz w:val="21"/>
                      <w:szCs w:val="21"/>
                      <w:lang w:val="en-US" w:eastAsia="zh-CN"/>
                    </w:rPr>
                  </w:pPr>
                  <w:r>
                    <w:rPr>
                      <w:rFonts w:hint="eastAsia"/>
                      <w:sz w:val="21"/>
                      <w:szCs w:val="21"/>
                      <w:lang w:val="en-US" w:eastAsia="zh-CN"/>
                    </w:rPr>
                    <w:t>101.7</w:t>
                  </w:r>
                </w:p>
              </w:tc>
              <w:tc>
                <w:tcPr>
                  <w:tcW w:w="261" w:type="pct"/>
                  <w:noWrap w:val="0"/>
                  <w:vAlign w:val="center"/>
                </w:tcPr>
                <w:p w14:paraId="74559D7B">
                  <w:pPr>
                    <w:widowControl/>
                    <w:jc w:val="center"/>
                    <w:textAlignment w:val="center"/>
                    <w:rPr>
                      <w:rFonts w:hint="default"/>
                      <w:sz w:val="21"/>
                      <w:szCs w:val="21"/>
                      <w:lang w:val="en-US" w:eastAsia="zh-CN"/>
                    </w:rPr>
                  </w:pPr>
                  <w:r>
                    <w:rPr>
                      <w:rFonts w:hint="eastAsia"/>
                      <w:sz w:val="21"/>
                      <w:szCs w:val="21"/>
                      <w:lang w:val="en-US" w:eastAsia="zh-CN"/>
                    </w:rPr>
                    <w:t>294.5</w:t>
                  </w:r>
                </w:p>
              </w:tc>
              <w:tc>
                <w:tcPr>
                  <w:tcW w:w="200" w:type="pct"/>
                  <w:noWrap w:val="0"/>
                  <w:vAlign w:val="center"/>
                </w:tcPr>
                <w:p w14:paraId="5E147C65">
                  <w:pPr>
                    <w:widowControl/>
                    <w:jc w:val="center"/>
                    <w:textAlignment w:val="center"/>
                    <w:rPr>
                      <w:rFonts w:hint="default"/>
                      <w:sz w:val="21"/>
                      <w:szCs w:val="21"/>
                      <w:lang w:val="en-US" w:eastAsia="zh-CN"/>
                    </w:rPr>
                  </w:pPr>
                  <w:r>
                    <w:rPr>
                      <w:rFonts w:hint="eastAsia"/>
                      <w:sz w:val="21"/>
                      <w:szCs w:val="21"/>
                      <w:lang w:val="en-US" w:eastAsia="zh-CN"/>
                    </w:rPr>
                    <w:t>1.2</w:t>
                  </w:r>
                </w:p>
              </w:tc>
              <w:tc>
                <w:tcPr>
                  <w:tcW w:w="203" w:type="pct"/>
                  <w:noWrap w:val="0"/>
                  <w:vAlign w:val="center"/>
                </w:tcPr>
                <w:p w14:paraId="70BCCA45">
                  <w:pPr>
                    <w:widowControl/>
                    <w:jc w:val="center"/>
                    <w:textAlignment w:val="center"/>
                    <w:rPr>
                      <w:rFonts w:hint="default"/>
                      <w:sz w:val="21"/>
                      <w:szCs w:val="21"/>
                      <w:lang w:val="en-US" w:eastAsia="zh-CN"/>
                    </w:rPr>
                  </w:pPr>
                  <w:r>
                    <w:rPr>
                      <w:rFonts w:hint="eastAsia"/>
                      <w:sz w:val="21"/>
                      <w:szCs w:val="21"/>
                      <w:lang w:val="en-US" w:eastAsia="zh-CN"/>
                    </w:rPr>
                    <w:t>48.7</w:t>
                  </w:r>
                </w:p>
              </w:tc>
              <w:tc>
                <w:tcPr>
                  <w:tcW w:w="203" w:type="pct"/>
                  <w:noWrap w:val="0"/>
                  <w:vAlign w:val="center"/>
                </w:tcPr>
                <w:p w14:paraId="18AF649F">
                  <w:pPr>
                    <w:widowControl/>
                    <w:jc w:val="center"/>
                    <w:textAlignment w:val="center"/>
                    <w:rPr>
                      <w:rFonts w:hint="default"/>
                      <w:sz w:val="21"/>
                      <w:szCs w:val="21"/>
                      <w:lang w:val="en-US" w:eastAsia="zh-CN"/>
                    </w:rPr>
                  </w:pPr>
                  <w:r>
                    <w:rPr>
                      <w:rFonts w:hint="eastAsia"/>
                      <w:sz w:val="21"/>
                      <w:szCs w:val="21"/>
                      <w:lang w:val="en-US" w:eastAsia="zh-CN"/>
                    </w:rPr>
                    <w:t>114.7</w:t>
                  </w:r>
                </w:p>
              </w:tc>
              <w:tc>
                <w:tcPr>
                  <w:tcW w:w="203" w:type="pct"/>
                  <w:noWrap w:val="0"/>
                  <w:vAlign w:val="center"/>
                </w:tcPr>
                <w:p w14:paraId="61DF46D1">
                  <w:pPr>
                    <w:widowControl/>
                    <w:jc w:val="center"/>
                    <w:textAlignment w:val="center"/>
                    <w:rPr>
                      <w:rFonts w:hint="default"/>
                      <w:sz w:val="21"/>
                      <w:szCs w:val="21"/>
                      <w:lang w:val="en-US" w:eastAsia="zh-CN"/>
                    </w:rPr>
                  </w:pPr>
                  <w:r>
                    <w:rPr>
                      <w:rFonts w:hint="eastAsia"/>
                      <w:sz w:val="21"/>
                      <w:szCs w:val="21"/>
                      <w:lang w:val="en-US" w:eastAsia="zh-CN"/>
                    </w:rPr>
                    <w:t>18.9</w:t>
                  </w:r>
                </w:p>
              </w:tc>
              <w:tc>
                <w:tcPr>
                  <w:tcW w:w="204" w:type="pct"/>
                  <w:noWrap w:val="0"/>
                  <w:vAlign w:val="center"/>
                </w:tcPr>
                <w:p w14:paraId="233FCC51">
                  <w:pPr>
                    <w:widowControl/>
                    <w:jc w:val="center"/>
                    <w:textAlignment w:val="center"/>
                    <w:rPr>
                      <w:rFonts w:hint="default"/>
                      <w:sz w:val="21"/>
                      <w:szCs w:val="21"/>
                      <w:lang w:val="en-US" w:eastAsia="zh-CN"/>
                    </w:rPr>
                  </w:pPr>
                  <w:r>
                    <w:rPr>
                      <w:rFonts w:hint="eastAsia"/>
                      <w:sz w:val="21"/>
                      <w:szCs w:val="21"/>
                      <w:lang w:val="en-US" w:eastAsia="zh-CN"/>
                    </w:rPr>
                    <w:t>54.</w:t>
                  </w:r>
                </w:p>
              </w:tc>
              <w:tc>
                <w:tcPr>
                  <w:tcW w:w="191" w:type="pct"/>
                  <w:noWrap w:val="0"/>
                  <w:vAlign w:val="center"/>
                </w:tcPr>
                <w:p w14:paraId="64E8CF01">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46.2</w:t>
                  </w:r>
                </w:p>
              </w:tc>
              <w:tc>
                <w:tcPr>
                  <w:tcW w:w="191" w:type="pct"/>
                  <w:noWrap w:val="0"/>
                  <w:vAlign w:val="center"/>
                </w:tcPr>
                <w:p w14:paraId="1252DF27">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38.8</w:t>
                  </w:r>
                </w:p>
              </w:tc>
              <w:tc>
                <w:tcPr>
                  <w:tcW w:w="191" w:type="pct"/>
                  <w:noWrap w:val="0"/>
                  <w:vAlign w:val="center"/>
                </w:tcPr>
                <w:p w14:paraId="721CF87E">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54.</w:t>
                  </w:r>
                  <w:r>
                    <w:rPr>
                      <w:rFonts w:hint="eastAsia"/>
                      <w:sz w:val="21"/>
                      <w:szCs w:val="21"/>
                      <w:lang w:val="en-US" w:eastAsia="zh-CN"/>
                    </w:rPr>
                    <w:t>5</w:t>
                  </w:r>
                </w:p>
              </w:tc>
              <w:tc>
                <w:tcPr>
                  <w:tcW w:w="191" w:type="pct"/>
                  <w:noWrap w:val="0"/>
                  <w:vAlign w:val="center"/>
                </w:tcPr>
                <w:p w14:paraId="1CC4C27A">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45.</w:t>
                  </w:r>
                  <w:r>
                    <w:rPr>
                      <w:rFonts w:hint="eastAsia"/>
                      <w:sz w:val="21"/>
                      <w:szCs w:val="21"/>
                      <w:lang w:val="en-US" w:eastAsia="zh-CN"/>
                    </w:rPr>
                    <w:t>4</w:t>
                  </w:r>
                </w:p>
              </w:tc>
              <w:tc>
                <w:tcPr>
                  <w:tcW w:w="209" w:type="pct"/>
                  <w:noWrap w:val="0"/>
                  <w:vAlign w:val="center"/>
                </w:tcPr>
                <w:p w14:paraId="4A821048">
                  <w:pPr>
                    <w:jc w:val="center"/>
                    <w:rPr>
                      <w:rFonts w:hint="eastAsia" w:ascii="Times New Roman" w:hAnsi="Times New Roman" w:eastAsia="宋体"/>
                      <w:kern w:val="2"/>
                      <w:sz w:val="21"/>
                      <w:szCs w:val="21"/>
                      <w:lang w:val="en-US" w:eastAsia="zh-CN" w:bidi="ar-SA"/>
                    </w:rPr>
                  </w:pPr>
                  <w:r>
                    <w:rPr>
                      <w:rFonts w:hint="eastAsia"/>
                      <w:kern w:val="2"/>
                      <w:sz w:val="21"/>
                      <w:szCs w:val="21"/>
                      <w:lang w:val="en-US" w:eastAsia="zh-CN" w:bidi="ar-SA"/>
                    </w:rPr>
                    <w:t>24h</w:t>
                  </w:r>
                </w:p>
              </w:tc>
              <w:tc>
                <w:tcPr>
                  <w:tcW w:w="287" w:type="pct"/>
                  <w:noWrap w:val="0"/>
                  <w:vAlign w:val="center"/>
                </w:tcPr>
                <w:p w14:paraId="7946E2D3">
                  <w:pPr>
                    <w:jc w:val="center"/>
                    <w:rPr>
                      <w:rFonts w:hint="default"/>
                      <w:b/>
                      <w:bCs/>
                      <w:sz w:val="21"/>
                      <w:szCs w:val="21"/>
                      <w:lang w:val="en-US" w:eastAsia="zh-CN"/>
                    </w:rPr>
                  </w:pPr>
                  <w:r>
                    <w:rPr>
                      <w:rFonts w:hint="eastAsia"/>
                      <w:sz w:val="21"/>
                      <w:szCs w:val="21"/>
                      <w:lang w:val="en-US" w:eastAsia="zh-CN"/>
                    </w:rPr>
                    <w:t>15</w:t>
                  </w:r>
                </w:p>
              </w:tc>
              <w:tc>
                <w:tcPr>
                  <w:tcW w:w="192" w:type="pct"/>
                  <w:noWrap w:val="0"/>
                  <w:vAlign w:val="center"/>
                </w:tcPr>
                <w:p w14:paraId="16A7F6D2">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31.2</w:t>
                  </w:r>
                </w:p>
              </w:tc>
              <w:tc>
                <w:tcPr>
                  <w:tcW w:w="192" w:type="pct"/>
                  <w:noWrap w:val="0"/>
                  <w:vAlign w:val="center"/>
                </w:tcPr>
                <w:p w14:paraId="356EF549">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23.8</w:t>
                  </w:r>
                </w:p>
              </w:tc>
              <w:tc>
                <w:tcPr>
                  <w:tcW w:w="192" w:type="pct"/>
                  <w:noWrap w:val="0"/>
                  <w:vAlign w:val="center"/>
                </w:tcPr>
                <w:p w14:paraId="54AF7E8C">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39.5</w:t>
                  </w:r>
                </w:p>
              </w:tc>
              <w:tc>
                <w:tcPr>
                  <w:tcW w:w="193" w:type="pct"/>
                  <w:noWrap w:val="0"/>
                  <w:vAlign w:val="center"/>
                </w:tcPr>
                <w:p w14:paraId="79ADE55E">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30.4</w:t>
                  </w:r>
                </w:p>
              </w:tc>
              <w:tc>
                <w:tcPr>
                  <w:tcW w:w="287" w:type="pct"/>
                  <w:noWrap w:val="0"/>
                  <w:vAlign w:val="center"/>
                </w:tcPr>
                <w:p w14:paraId="5E3C868F">
                  <w:pPr>
                    <w:jc w:val="center"/>
                    <w:rPr>
                      <w:rFonts w:hint="default"/>
                      <w:sz w:val="21"/>
                      <w:szCs w:val="21"/>
                      <w:lang w:val="en-US" w:eastAsia="zh-CN"/>
                    </w:rPr>
                  </w:pPr>
                  <w:r>
                    <w:rPr>
                      <w:rFonts w:hint="eastAsia"/>
                      <w:sz w:val="21"/>
                      <w:szCs w:val="21"/>
                      <w:lang w:val="en-US" w:eastAsia="zh-CN"/>
                    </w:rPr>
                    <w:t>1m</w:t>
                  </w:r>
                </w:p>
              </w:tc>
            </w:tr>
            <w:tr w14:paraId="42651DD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76" w:type="pct"/>
                  <w:vMerge w:val="continue"/>
                  <w:noWrap w:val="0"/>
                  <w:vAlign w:val="top"/>
                </w:tcPr>
                <w:p w14:paraId="6483B428">
                  <w:pPr>
                    <w:jc w:val="center"/>
                    <w:rPr>
                      <w:sz w:val="21"/>
                      <w:szCs w:val="21"/>
                    </w:rPr>
                  </w:pPr>
                </w:p>
              </w:tc>
              <w:tc>
                <w:tcPr>
                  <w:tcW w:w="431" w:type="pct"/>
                  <w:noWrap w:val="0"/>
                  <w:vAlign w:val="center"/>
                </w:tcPr>
                <w:p w14:paraId="4D79235B">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旋流器</w:t>
                  </w:r>
                </w:p>
              </w:tc>
              <w:tc>
                <w:tcPr>
                  <w:tcW w:w="321" w:type="pct"/>
                  <w:noWrap w:val="0"/>
                  <w:vAlign w:val="center"/>
                </w:tcPr>
                <w:p w14:paraId="5709B24B">
                  <w:pPr>
                    <w:widowControl/>
                    <w:jc w:val="center"/>
                    <w:textAlignment w:val="center"/>
                    <w:rPr>
                      <w:rFonts w:hint="default"/>
                      <w:sz w:val="21"/>
                      <w:szCs w:val="21"/>
                      <w:lang w:val="en-US" w:eastAsia="zh-CN"/>
                    </w:rPr>
                  </w:pPr>
                  <w:r>
                    <w:rPr>
                      <w:rFonts w:hint="eastAsia"/>
                      <w:sz w:val="21"/>
                      <w:szCs w:val="21"/>
                      <w:lang w:val="en-US" w:eastAsia="zh-CN"/>
                    </w:rPr>
                    <w:t>75</w:t>
                  </w:r>
                </w:p>
              </w:tc>
              <w:tc>
                <w:tcPr>
                  <w:tcW w:w="224" w:type="pct"/>
                  <w:vMerge w:val="continue"/>
                  <w:noWrap w:val="0"/>
                  <w:vAlign w:val="top"/>
                </w:tcPr>
                <w:p w14:paraId="420068CD">
                  <w:pPr>
                    <w:jc w:val="center"/>
                    <w:rPr>
                      <w:sz w:val="21"/>
                      <w:szCs w:val="21"/>
                    </w:rPr>
                  </w:pPr>
                </w:p>
              </w:tc>
              <w:tc>
                <w:tcPr>
                  <w:tcW w:w="248" w:type="pct"/>
                  <w:noWrap w:val="0"/>
                  <w:vAlign w:val="center"/>
                </w:tcPr>
                <w:p w14:paraId="78E5F60B">
                  <w:pPr>
                    <w:widowControl/>
                    <w:jc w:val="center"/>
                    <w:textAlignment w:val="center"/>
                    <w:rPr>
                      <w:rFonts w:hint="default"/>
                      <w:sz w:val="21"/>
                      <w:szCs w:val="21"/>
                      <w:lang w:val="en-US" w:eastAsia="zh-CN"/>
                    </w:rPr>
                  </w:pPr>
                  <w:r>
                    <w:rPr>
                      <w:rFonts w:hint="eastAsia"/>
                      <w:sz w:val="21"/>
                      <w:szCs w:val="21"/>
                      <w:lang w:val="en-US" w:eastAsia="zh-CN"/>
                    </w:rPr>
                    <w:t>64.5</w:t>
                  </w:r>
                </w:p>
              </w:tc>
              <w:tc>
                <w:tcPr>
                  <w:tcW w:w="261" w:type="pct"/>
                  <w:noWrap w:val="0"/>
                  <w:vAlign w:val="center"/>
                </w:tcPr>
                <w:p w14:paraId="7B9D39C0">
                  <w:pPr>
                    <w:widowControl/>
                    <w:jc w:val="center"/>
                    <w:textAlignment w:val="center"/>
                    <w:rPr>
                      <w:rFonts w:hint="default"/>
                      <w:sz w:val="21"/>
                      <w:szCs w:val="21"/>
                      <w:lang w:val="en-US" w:eastAsia="zh-CN"/>
                    </w:rPr>
                  </w:pPr>
                  <w:r>
                    <w:rPr>
                      <w:rFonts w:hint="eastAsia"/>
                      <w:sz w:val="21"/>
                      <w:szCs w:val="21"/>
                      <w:lang w:val="en-US" w:eastAsia="zh-CN"/>
                    </w:rPr>
                    <w:t>302</w:t>
                  </w:r>
                </w:p>
              </w:tc>
              <w:tc>
                <w:tcPr>
                  <w:tcW w:w="200" w:type="pct"/>
                  <w:noWrap w:val="0"/>
                  <w:vAlign w:val="center"/>
                </w:tcPr>
                <w:p w14:paraId="459E59AF">
                  <w:pPr>
                    <w:widowControl/>
                    <w:jc w:val="center"/>
                    <w:textAlignment w:val="center"/>
                    <w:rPr>
                      <w:rFonts w:hint="default"/>
                      <w:sz w:val="21"/>
                      <w:szCs w:val="21"/>
                      <w:lang w:val="en-US" w:eastAsia="zh-CN"/>
                    </w:rPr>
                  </w:pPr>
                  <w:r>
                    <w:rPr>
                      <w:rFonts w:hint="eastAsia"/>
                      <w:sz w:val="21"/>
                      <w:szCs w:val="21"/>
                      <w:lang w:val="en-US" w:eastAsia="zh-CN"/>
                    </w:rPr>
                    <w:t>1.2</w:t>
                  </w:r>
                </w:p>
              </w:tc>
              <w:tc>
                <w:tcPr>
                  <w:tcW w:w="203" w:type="pct"/>
                  <w:noWrap w:val="0"/>
                  <w:vAlign w:val="center"/>
                </w:tcPr>
                <w:p w14:paraId="00D90F00">
                  <w:pPr>
                    <w:widowControl/>
                    <w:jc w:val="center"/>
                    <w:textAlignment w:val="center"/>
                    <w:rPr>
                      <w:rFonts w:hint="default"/>
                      <w:sz w:val="21"/>
                      <w:szCs w:val="21"/>
                      <w:lang w:val="en-US" w:eastAsia="zh-CN"/>
                    </w:rPr>
                  </w:pPr>
                  <w:r>
                    <w:rPr>
                      <w:rFonts w:hint="eastAsia"/>
                      <w:sz w:val="21"/>
                      <w:szCs w:val="21"/>
                      <w:lang w:val="en-US" w:eastAsia="zh-CN"/>
                    </w:rPr>
                    <w:t>85.9</w:t>
                  </w:r>
                </w:p>
              </w:tc>
              <w:tc>
                <w:tcPr>
                  <w:tcW w:w="203" w:type="pct"/>
                  <w:noWrap w:val="0"/>
                  <w:vAlign w:val="center"/>
                </w:tcPr>
                <w:p w14:paraId="666C0269">
                  <w:pPr>
                    <w:widowControl/>
                    <w:jc w:val="center"/>
                    <w:textAlignment w:val="center"/>
                    <w:rPr>
                      <w:rFonts w:hint="default"/>
                      <w:sz w:val="21"/>
                      <w:szCs w:val="21"/>
                      <w:lang w:val="en-US" w:eastAsia="zh-CN"/>
                    </w:rPr>
                  </w:pPr>
                  <w:r>
                    <w:rPr>
                      <w:rFonts w:hint="eastAsia"/>
                      <w:sz w:val="21"/>
                      <w:szCs w:val="21"/>
                      <w:lang w:val="en-US" w:eastAsia="zh-CN"/>
                    </w:rPr>
                    <w:t>121.9</w:t>
                  </w:r>
                </w:p>
              </w:tc>
              <w:tc>
                <w:tcPr>
                  <w:tcW w:w="203" w:type="pct"/>
                  <w:noWrap w:val="0"/>
                  <w:vAlign w:val="center"/>
                </w:tcPr>
                <w:p w14:paraId="67FE07C8">
                  <w:pPr>
                    <w:widowControl/>
                    <w:jc w:val="center"/>
                    <w:textAlignment w:val="center"/>
                    <w:rPr>
                      <w:rFonts w:hint="default"/>
                      <w:sz w:val="21"/>
                      <w:szCs w:val="21"/>
                      <w:lang w:val="en-US" w:eastAsia="zh-CN"/>
                    </w:rPr>
                  </w:pPr>
                  <w:r>
                    <w:rPr>
                      <w:rFonts w:hint="eastAsia"/>
                      <w:sz w:val="21"/>
                      <w:szCs w:val="21"/>
                      <w:lang w:val="en-US" w:eastAsia="zh-CN"/>
                    </w:rPr>
                    <w:t>27.1</w:t>
                  </w:r>
                </w:p>
              </w:tc>
              <w:tc>
                <w:tcPr>
                  <w:tcW w:w="204" w:type="pct"/>
                  <w:noWrap w:val="0"/>
                  <w:vAlign w:val="center"/>
                </w:tcPr>
                <w:p w14:paraId="41CF06F6">
                  <w:pPr>
                    <w:widowControl/>
                    <w:jc w:val="center"/>
                    <w:textAlignment w:val="center"/>
                    <w:rPr>
                      <w:rFonts w:hint="default"/>
                      <w:sz w:val="21"/>
                      <w:szCs w:val="21"/>
                      <w:lang w:val="en-US" w:eastAsia="zh-CN"/>
                    </w:rPr>
                  </w:pPr>
                  <w:r>
                    <w:rPr>
                      <w:rFonts w:hint="eastAsia"/>
                      <w:sz w:val="21"/>
                      <w:szCs w:val="21"/>
                      <w:lang w:val="en-US" w:eastAsia="zh-CN"/>
                    </w:rPr>
                    <w:t>7.7</w:t>
                  </w:r>
                </w:p>
              </w:tc>
              <w:tc>
                <w:tcPr>
                  <w:tcW w:w="191" w:type="pct"/>
                  <w:noWrap w:val="0"/>
                  <w:vAlign w:val="center"/>
                </w:tcPr>
                <w:p w14:paraId="748C153C">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36.3</w:t>
                  </w:r>
                </w:p>
              </w:tc>
              <w:tc>
                <w:tcPr>
                  <w:tcW w:w="191" w:type="pct"/>
                  <w:noWrap w:val="0"/>
                  <w:vAlign w:val="center"/>
                </w:tcPr>
                <w:p w14:paraId="17581031">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33.</w:t>
                  </w:r>
                  <w:r>
                    <w:rPr>
                      <w:rFonts w:hint="eastAsia"/>
                      <w:sz w:val="21"/>
                      <w:szCs w:val="21"/>
                      <w:lang w:val="en-US" w:eastAsia="zh-CN"/>
                    </w:rPr>
                    <w:t>3</w:t>
                  </w:r>
                </w:p>
              </w:tc>
              <w:tc>
                <w:tcPr>
                  <w:tcW w:w="191" w:type="pct"/>
                  <w:noWrap w:val="0"/>
                  <w:vAlign w:val="center"/>
                </w:tcPr>
                <w:p w14:paraId="687040B2">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46.3</w:t>
                  </w:r>
                </w:p>
              </w:tc>
              <w:tc>
                <w:tcPr>
                  <w:tcW w:w="191" w:type="pct"/>
                  <w:noWrap w:val="0"/>
                  <w:vAlign w:val="center"/>
                </w:tcPr>
                <w:p w14:paraId="5470D3AE">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57.</w:t>
                  </w:r>
                  <w:r>
                    <w:rPr>
                      <w:rFonts w:hint="eastAsia"/>
                      <w:sz w:val="21"/>
                      <w:szCs w:val="21"/>
                      <w:lang w:val="en-US" w:eastAsia="zh-CN"/>
                    </w:rPr>
                    <w:t>3</w:t>
                  </w:r>
                </w:p>
              </w:tc>
              <w:tc>
                <w:tcPr>
                  <w:tcW w:w="209" w:type="pct"/>
                  <w:noWrap w:val="0"/>
                  <w:vAlign w:val="center"/>
                </w:tcPr>
                <w:p w14:paraId="17D102E2">
                  <w:pPr>
                    <w:jc w:val="center"/>
                    <w:rPr>
                      <w:rFonts w:hint="eastAsia" w:ascii="Times New Roman" w:hAnsi="Times New Roman" w:eastAsia="宋体"/>
                      <w:kern w:val="2"/>
                      <w:sz w:val="21"/>
                      <w:szCs w:val="21"/>
                      <w:lang w:val="en-US" w:eastAsia="zh-CN" w:bidi="ar-SA"/>
                    </w:rPr>
                  </w:pPr>
                  <w:r>
                    <w:rPr>
                      <w:rFonts w:hint="eastAsia"/>
                      <w:kern w:val="2"/>
                      <w:sz w:val="21"/>
                      <w:szCs w:val="21"/>
                      <w:lang w:val="en-US" w:eastAsia="zh-CN" w:bidi="ar-SA"/>
                    </w:rPr>
                    <w:t>24h</w:t>
                  </w:r>
                </w:p>
              </w:tc>
              <w:tc>
                <w:tcPr>
                  <w:tcW w:w="287" w:type="pct"/>
                  <w:noWrap w:val="0"/>
                  <w:vAlign w:val="center"/>
                </w:tcPr>
                <w:p w14:paraId="20490B0C">
                  <w:pPr>
                    <w:jc w:val="center"/>
                    <w:rPr>
                      <w:rFonts w:hint="default"/>
                      <w:b/>
                      <w:bCs/>
                      <w:sz w:val="21"/>
                      <w:szCs w:val="21"/>
                      <w:lang w:val="en-US" w:eastAsia="zh-CN"/>
                    </w:rPr>
                  </w:pPr>
                  <w:r>
                    <w:rPr>
                      <w:rFonts w:hint="eastAsia"/>
                      <w:sz w:val="21"/>
                      <w:szCs w:val="21"/>
                      <w:lang w:val="en-US" w:eastAsia="zh-CN"/>
                    </w:rPr>
                    <w:t>15</w:t>
                  </w:r>
                </w:p>
              </w:tc>
              <w:tc>
                <w:tcPr>
                  <w:tcW w:w="192" w:type="pct"/>
                  <w:noWrap w:val="0"/>
                  <w:vAlign w:val="center"/>
                </w:tcPr>
                <w:p w14:paraId="7CD0C89D">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21.3</w:t>
                  </w:r>
                </w:p>
              </w:tc>
              <w:tc>
                <w:tcPr>
                  <w:tcW w:w="192" w:type="pct"/>
                  <w:noWrap w:val="0"/>
                  <w:vAlign w:val="center"/>
                </w:tcPr>
                <w:p w14:paraId="7F76AA41">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18.3</w:t>
                  </w:r>
                </w:p>
              </w:tc>
              <w:tc>
                <w:tcPr>
                  <w:tcW w:w="192" w:type="pct"/>
                  <w:noWrap w:val="0"/>
                  <w:vAlign w:val="center"/>
                </w:tcPr>
                <w:p w14:paraId="7983F0B4">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31.3</w:t>
                  </w:r>
                </w:p>
              </w:tc>
              <w:tc>
                <w:tcPr>
                  <w:tcW w:w="193" w:type="pct"/>
                  <w:noWrap w:val="0"/>
                  <w:vAlign w:val="center"/>
                </w:tcPr>
                <w:p w14:paraId="48DFAF05">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42.3</w:t>
                  </w:r>
                </w:p>
              </w:tc>
              <w:tc>
                <w:tcPr>
                  <w:tcW w:w="287" w:type="pct"/>
                  <w:noWrap w:val="0"/>
                  <w:vAlign w:val="center"/>
                </w:tcPr>
                <w:p w14:paraId="0B307F56">
                  <w:pPr>
                    <w:jc w:val="center"/>
                    <w:rPr>
                      <w:rFonts w:hint="default"/>
                      <w:sz w:val="21"/>
                      <w:szCs w:val="21"/>
                      <w:lang w:val="en-US" w:eastAsia="zh-CN"/>
                    </w:rPr>
                  </w:pPr>
                  <w:r>
                    <w:rPr>
                      <w:rFonts w:hint="eastAsia"/>
                      <w:sz w:val="21"/>
                      <w:szCs w:val="21"/>
                      <w:lang w:val="en-US" w:eastAsia="zh-CN"/>
                    </w:rPr>
                    <w:t>1m</w:t>
                  </w:r>
                </w:p>
              </w:tc>
            </w:tr>
            <w:tr w14:paraId="1FA36E5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76" w:type="pct"/>
                  <w:vMerge w:val="continue"/>
                  <w:noWrap w:val="0"/>
                  <w:vAlign w:val="top"/>
                </w:tcPr>
                <w:p w14:paraId="7D324F61">
                  <w:pPr>
                    <w:jc w:val="center"/>
                    <w:rPr>
                      <w:sz w:val="21"/>
                      <w:szCs w:val="21"/>
                    </w:rPr>
                  </w:pPr>
                </w:p>
              </w:tc>
              <w:tc>
                <w:tcPr>
                  <w:tcW w:w="431" w:type="pct"/>
                  <w:noWrap w:val="0"/>
                  <w:vAlign w:val="center"/>
                </w:tcPr>
                <w:p w14:paraId="355E04AE">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螺旋分选器</w:t>
                  </w:r>
                </w:p>
              </w:tc>
              <w:tc>
                <w:tcPr>
                  <w:tcW w:w="321" w:type="pct"/>
                  <w:noWrap w:val="0"/>
                  <w:vAlign w:val="center"/>
                </w:tcPr>
                <w:p w14:paraId="40C2C8AD">
                  <w:pPr>
                    <w:widowControl/>
                    <w:jc w:val="center"/>
                    <w:textAlignment w:val="center"/>
                    <w:rPr>
                      <w:rFonts w:hint="default"/>
                      <w:sz w:val="21"/>
                      <w:szCs w:val="21"/>
                      <w:lang w:val="en-US" w:eastAsia="zh-CN"/>
                    </w:rPr>
                  </w:pPr>
                  <w:r>
                    <w:rPr>
                      <w:rFonts w:hint="eastAsia"/>
                      <w:sz w:val="21"/>
                      <w:szCs w:val="21"/>
                      <w:lang w:val="en-US" w:eastAsia="zh-CN"/>
                    </w:rPr>
                    <w:t>75</w:t>
                  </w:r>
                </w:p>
              </w:tc>
              <w:tc>
                <w:tcPr>
                  <w:tcW w:w="224" w:type="pct"/>
                  <w:vMerge w:val="continue"/>
                  <w:noWrap w:val="0"/>
                  <w:vAlign w:val="top"/>
                </w:tcPr>
                <w:p w14:paraId="105E14B8">
                  <w:pPr>
                    <w:jc w:val="center"/>
                    <w:rPr>
                      <w:sz w:val="21"/>
                      <w:szCs w:val="21"/>
                    </w:rPr>
                  </w:pPr>
                </w:p>
              </w:tc>
              <w:tc>
                <w:tcPr>
                  <w:tcW w:w="248" w:type="pct"/>
                  <w:noWrap w:val="0"/>
                  <w:vAlign w:val="center"/>
                </w:tcPr>
                <w:p w14:paraId="28EB7395">
                  <w:pPr>
                    <w:widowControl/>
                    <w:jc w:val="center"/>
                    <w:textAlignment w:val="center"/>
                    <w:rPr>
                      <w:rFonts w:hint="default"/>
                      <w:sz w:val="21"/>
                      <w:szCs w:val="21"/>
                      <w:lang w:val="en-US" w:eastAsia="zh-CN"/>
                    </w:rPr>
                  </w:pPr>
                  <w:r>
                    <w:rPr>
                      <w:rFonts w:hint="eastAsia"/>
                      <w:sz w:val="21"/>
                      <w:szCs w:val="21"/>
                      <w:lang w:val="en-US" w:eastAsia="zh-CN"/>
                    </w:rPr>
                    <w:t>77.5</w:t>
                  </w:r>
                </w:p>
              </w:tc>
              <w:tc>
                <w:tcPr>
                  <w:tcW w:w="261" w:type="pct"/>
                  <w:noWrap w:val="0"/>
                  <w:vAlign w:val="center"/>
                </w:tcPr>
                <w:p w14:paraId="7E78220E">
                  <w:pPr>
                    <w:widowControl/>
                    <w:jc w:val="center"/>
                    <w:textAlignment w:val="center"/>
                    <w:rPr>
                      <w:rFonts w:hint="default"/>
                      <w:sz w:val="21"/>
                      <w:szCs w:val="21"/>
                      <w:lang w:val="en-US" w:eastAsia="zh-CN"/>
                    </w:rPr>
                  </w:pPr>
                  <w:r>
                    <w:rPr>
                      <w:rFonts w:hint="eastAsia"/>
                      <w:sz w:val="21"/>
                      <w:szCs w:val="21"/>
                      <w:lang w:val="en-US" w:eastAsia="zh-CN"/>
                    </w:rPr>
                    <w:t>302</w:t>
                  </w:r>
                </w:p>
              </w:tc>
              <w:tc>
                <w:tcPr>
                  <w:tcW w:w="200" w:type="pct"/>
                  <w:noWrap w:val="0"/>
                  <w:vAlign w:val="center"/>
                </w:tcPr>
                <w:p w14:paraId="78E1D2F8">
                  <w:pPr>
                    <w:widowControl/>
                    <w:jc w:val="center"/>
                    <w:textAlignment w:val="center"/>
                    <w:rPr>
                      <w:rFonts w:hint="default"/>
                      <w:sz w:val="21"/>
                      <w:szCs w:val="21"/>
                      <w:lang w:val="en-US" w:eastAsia="zh-CN"/>
                    </w:rPr>
                  </w:pPr>
                  <w:r>
                    <w:rPr>
                      <w:rFonts w:hint="eastAsia"/>
                      <w:sz w:val="21"/>
                      <w:szCs w:val="21"/>
                      <w:lang w:val="en-US" w:eastAsia="zh-CN"/>
                    </w:rPr>
                    <w:t>1.2</w:t>
                  </w:r>
                </w:p>
              </w:tc>
              <w:tc>
                <w:tcPr>
                  <w:tcW w:w="203" w:type="pct"/>
                  <w:noWrap w:val="0"/>
                  <w:vAlign w:val="center"/>
                </w:tcPr>
                <w:p w14:paraId="1EBC6A80">
                  <w:pPr>
                    <w:widowControl/>
                    <w:jc w:val="center"/>
                    <w:textAlignment w:val="center"/>
                    <w:rPr>
                      <w:rFonts w:hint="default"/>
                      <w:sz w:val="21"/>
                      <w:szCs w:val="21"/>
                      <w:lang w:val="en-US" w:eastAsia="zh-CN"/>
                    </w:rPr>
                  </w:pPr>
                  <w:r>
                    <w:rPr>
                      <w:rFonts w:hint="eastAsia"/>
                      <w:sz w:val="21"/>
                      <w:szCs w:val="21"/>
                      <w:lang w:val="en-US" w:eastAsia="zh-CN"/>
                    </w:rPr>
                    <w:t>72.9</w:t>
                  </w:r>
                </w:p>
              </w:tc>
              <w:tc>
                <w:tcPr>
                  <w:tcW w:w="203" w:type="pct"/>
                  <w:noWrap w:val="0"/>
                  <w:vAlign w:val="center"/>
                </w:tcPr>
                <w:p w14:paraId="18F9C089">
                  <w:pPr>
                    <w:widowControl/>
                    <w:jc w:val="center"/>
                    <w:textAlignment w:val="center"/>
                    <w:rPr>
                      <w:rFonts w:hint="default"/>
                      <w:sz w:val="21"/>
                      <w:szCs w:val="21"/>
                      <w:lang w:val="en-US" w:eastAsia="zh-CN"/>
                    </w:rPr>
                  </w:pPr>
                  <w:r>
                    <w:rPr>
                      <w:rFonts w:hint="eastAsia"/>
                      <w:sz w:val="21"/>
                      <w:szCs w:val="21"/>
                      <w:lang w:val="en-US" w:eastAsia="zh-CN"/>
                    </w:rPr>
                    <w:t>122.0</w:t>
                  </w:r>
                </w:p>
              </w:tc>
              <w:tc>
                <w:tcPr>
                  <w:tcW w:w="203" w:type="pct"/>
                  <w:noWrap w:val="0"/>
                  <w:vAlign w:val="center"/>
                </w:tcPr>
                <w:p w14:paraId="2F08A90C">
                  <w:pPr>
                    <w:widowControl/>
                    <w:jc w:val="center"/>
                    <w:textAlignment w:val="center"/>
                    <w:rPr>
                      <w:rFonts w:hint="default"/>
                      <w:sz w:val="21"/>
                      <w:szCs w:val="21"/>
                      <w:lang w:val="en-US" w:eastAsia="zh-CN"/>
                    </w:rPr>
                  </w:pPr>
                  <w:r>
                    <w:rPr>
                      <w:rFonts w:hint="eastAsia"/>
                      <w:sz w:val="21"/>
                      <w:szCs w:val="21"/>
                      <w:lang w:val="en-US" w:eastAsia="zh-CN"/>
                    </w:rPr>
                    <w:t>26.8</w:t>
                  </w:r>
                </w:p>
              </w:tc>
              <w:tc>
                <w:tcPr>
                  <w:tcW w:w="204" w:type="pct"/>
                  <w:noWrap w:val="0"/>
                  <w:vAlign w:val="center"/>
                </w:tcPr>
                <w:p w14:paraId="13D6209F">
                  <w:pPr>
                    <w:widowControl/>
                    <w:jc w:val="center"/>
                    <w:textAlignment w:val="center"/>
                    <w:rPr>
                      <w:rFonts w:hint="default"/>
                      <w:sz w:val="21"/>
                      <w:szCs w:val="21"/>
                      <w:lang w:val="en-US" w:eastAsia="zh-CN"/>
                    </w:rPr>
                  </w:pPr>
                  <w:r>
                    <w:rPr>
                      <w:rFonts w:hint="eastAsia"/>
                      <w:sz w:val="21"/>
                      <w:szCs w:val="21"/>
                      <w:lang w:val="en-US" w:eastAsia="zh-CN"/>
                    </w:rPr>
                    <w:t>7.7</w:t>
                  </w:r>
                </w:p>
              </w:tc>
              <w:tc>
                <w:tcPr>
                  <w:tcW w:w="191" w:type="pct"/>
                  <w:noWrap w:val="0"/>
                  <w:vAlign w:val="center"/>
                </w:tcPr>
                <w:p w14:paraId="73551A88">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37.7</w:t>
                  </w:r>
                </w:p>
              </w:tc>
              <w:tc>
                <w:tcPr>
                  <w:tcW w:w="191" w:type="pct"/>
                  <w:noWrap w:val="0"/>
                  <w:vAlign w:val="center"/>
                </w:tcPr>
                <w:p w14:paraId="7AD02318">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33.</w:t>
                  </w:r>
                  <w:r>
                    <w:rPr>
                      <w:rFonts w:hint="eastAsia"/>
                      <w:sz w:val="21"/>
                      <w:szCs w:val="21"/>
                      <w:lang w:val="en-US" w:eastAsia="zh-CN"/>
                    </w:rPr>
                    <w:t>3</w:t>
                  </w:r>
                </w:p>
              </w:tc>
              <w:tc>
                <w:tcPr>
                  <w:tcW w:w="191" w:type="pct"/>
                  <w:noWrap w:val="0"/>
                  <w:vAlign w:val="center"/>
                </w:tcPr>
                <w:p w14:paraId="71513B06">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46.4</w:t>
                  </w:r>
                </w:p>
              </w:tc>
              <w:tc>
                <w:tcPr>
                  <w:tcW w:w="191" w:type="pct"/>
                  <w:noWrap w:val="0"/>
                  <w:vAlign w:val="center"/>
                </w:tcPr>
                <w:p w14:paraId="6591BD0D">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57.</w:t>
                  </w:r>
                  <w:r>
                    <w:rPr>
                      <w:rFonts w:hint="eastAsia"/>
                      <w:sz w:val="21"/>
                      <w:szCs w:val="21"/>
                      <w:lang w:val="en-US" w:eastAsia="zh-CN"/>
                    </w:rPr>
                    <w:t>3</w:t>
                  </w:r>
                </w:p>
              </w:tc>
              <w:tc>
                <w:tcPr>
                  <w:tcW w:w="209" w:type="pct"/>
                  <w:noWrap w:val="0"/>
                  <w:vAlign w:val="center"/>
                </w:tcPr>
                <w:p w14:paraId="0219B513">
                  <w:pPr>
                    <w:jc w:val="center"/>
                    <w:rPr>
                      <w:rFonts w:hint="eastAsia" w:ascii="Times New Roman" w:hAnsi="Times New Roman" w:eastAsia="宋体"/>
                      <w:kern w:val="2"/>
                      <w:sz w:val="21"/>
                      <w:szCs w:val="21"/>
                      <w:lang w:val="en-US" w:eastAsia="zh-CN" w:bidi="ar-SA"/>
                    </w:rPr>
                  </w:pPr>
                  <w:r>
                    <w:rPr>
                      <w:rFonts w:hint="eastAsia"/>
                      <w:kern w:val="2"/>
                      <w:sz w:val="21"/>
                      <w:szCs w:val="21"/>
                      <w:lang w:val="en-US" w:eastAsia="zh-CN" w:bidi="ar-SA"/>
                    </w:rPr>
                    <w:t>24h</w:t>
                  </w:r>
                </w:p>
              </w:tc>
              <w:tc>
                <w:tcPr>
                  <w:tcW w:w="287" w:type="pct"/>
                  <w:noWrap w:val="0"/>
                  <w:vAlign w:val="center"/>
                </w:tcPr>
                <w:p w14:paraId="6F250104">
                  <w:pPr>
                    <w:jc w:val="center"/>
                    <w:rPr>
                      <w:rFonts w:hint="default"/>
                      <w:b/>
                      <w:bCs/>
                      <w:sz w:val="21"/>
                      <w:szCs w:val="21"/>
                      <w:lang w:val="en-US" w:eastAsia="zh-CN"/>
                    </w:rPr>
                  </w:pPr>
                  <w:r>
                    <w:rPr>
                      <w:rFonts w:hint="eastAsia"/>
                      <w:sz w:val="21"/>
                      <w:szCs w:val="21"/>
                      <w:lang w:val="en-US" w:eastAsia="zh-CN"/>
                    </w:rPr>
                    <w:t>15</w:t>
                  </w:r>
                </w:p>
              </w:tc>
              <w:tc>
                <w:tcPr>
                  <w:tcW w:w="192" w:type="pct"/>
                  <w:noWrap w:val="0"/>
                  <w:vAlign w:val="center"/>
                </w:tcPr>
                <w:p w14:paraId="48E08566">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22.7</w:t>
                  </w:r>
                </w:p>
              </w:tc>
              <w:tc>
                <w:tcPr>
                  <w:tcW w:w="192" w:type="pct"/>
                  <w:noWrap w:val="0"/>
                  <w:vAlign w:val="center"/>
                </w:tcPr>
                <w:p w14:paraId="4C3D35E5">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18.3</w:t>
                  </w:r>
                </w:p>
              </w:tc>
              <w:tc>
                <w:tcPr>
                  <w:tcW w:w="192" w:type="pct"/>
                  <w:noWrap w:val="0"/>
                  <w:vAlign w:val="center"/>
                </w:tcPr>
                <w:p w14:paraId="268D98B2">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31.4</w:t>
                  </w:r>
                </w:p>
              </w:tc>
              <w:tc>
                <w:tcPr>
                  <w:tcW w:w="193" w:type="pct"/>
                  <w:noWrap w:val="0"/>
                  <w:vAlign w:val="center"/>
                </w:tcPr>
                <w:p w14:paraId="79C4849B">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42.3</w:t>
                  </w:r>
                </w:p>
              </w:tc>
              <w:tc>
                <w:tcPr>
                  <w:tcW w:w="287" w:type="pct"/>
                  <w:noWrap w:val="0"/>
                  <w:vAlign w:val="center"/>
                </w:tcPr>
                <w:p w14:paraId="12089F47">
                  <w:pPr>
                    <w:jc w:val="center"/>
                    <w:rPr>
                      <w:rFonts w:hint="default"/>
                      <w:sz w:val="21"/>
                      <w:szCs w:val="21"/>
                      <w:lang w:val="en-US" w:eastAsia="zh-CN"/>
                    </w:rPr>
                  </w:pPr>
                  <w:r>
                    <w:rPr>
                      <w:rFonts w:hint="eastAsia"/>
                      <w:sz w:val="21"/>
                      <w:szCs w:val="21"/>
                      <w:lang w:val="en-US" w:eastAsia="zh-CN"/>
                    </w:rPr>
                    <w:t>1m</w:t>
                  </w:r>
                </w:p>
              </w:tc>
            </w:tr>
            <w:tr w14:paraId="29D36E8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76" w:type="pct"/>
                  <w:vMerge w:val="continue"/>
                  <w:noWrap w:val="0"/>
                  <w:vAlign w:val="top"/>
                </w:tcPr>
                <w:p w14:paraId="486D8A36">
                  <w:pPr>
                    <w:jc w:val="center"/>
                    <w:rPr>
                      <w:sz w:val="21"/>
                      <w:szCs w:val="21"/>
                    </w:rPr>
                  </w:pPr>
                </w:p>
              </w:tc>
              <w:tc>
                <w:tcPr>
                  <w:tcW w:w="431" w:type="pct"/>
                  <w:noWrap w:val="0"/>
                  <w:vAlign w:val="center"/>
                </w:tcPr>
                <w:p w14:paraId="6979D403">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旋流上料泵</w:t>
                  </w:r>
                </w:p>
              </w:tc>
              <w:tc>
                <w:tcPr>
                  <w:tcW w:w="321" w:type="pct"/>
                  <w:noWrap w:val="0"/>
                  <w:vAlign w:val="center"/>
                </w:tcPr>
                <w:p w14:paraId="2A9D9E0A">
                  <w:pPr>
                    <w:widowControl/>
                    <w:jc w:val="center"/>
                    <w:textAlignment w:val="center"/>
                    <w:rPr>
                      <w:rFonts w:hint="default"/>
                      <w:sz w:val="21"/>
                      <w:szCs w:val="21"/>
                      <w:lang w:val="en-US" w:eastAsia="zh-CN"/>
                    </w:rPr>
                  </w:pPr>
                  <w:r>
                    <w:rPr>
                      <w:rFonts w:hint="eastAsia"/>
                      <w:sz w:val="21"/>
                      <w:szCs w:val="21"/>
                      <w:lang w:val="en-US" w:eastAsia="zh-CN"/>
                    </w:rPr>
                    <w:t>75</w:t>
                  </w:r>
                </w:p>
              </w:tc>
              <w:tc>
                <w:tcPr>
                  <w:tcW w:w="224" w:type="pct"/>
                  <w:vMerge w:val="continue"/>
                  <w:noWrap w:val="0"/>
                  <w:vAlign w:val="top"/>
                </w:tcPr>
                <w:p w14:paraId="571626AE">
                  <w:pPr>
                    <w:jc w:val="center"/>
                    <w:rPr>
                      <w:sz w:val="21"/>
                      <w:szCs w:val="21"/>
                    </w:rPr>
                  </w:pPr>
                </w:p>
              </w:tc>
              <w:tc>
                <w:tcPr>
                  <w:tcW w:w="248" w:type="pct"/>
                  <w:noWrap w:val="0"/>
                  <w:vAlign w:val="center"/>
                </w:tcPr>
                <w:p w14:paraId="71D2F739">
                  <w:pPr>
                    <w:widowControl/>
                    <w:jc w:val="center"/>
                    <w:textAlignment w:val="center"/>
                    <w:rPr>
                      <w:rFonts w:hint="default"/>
                      <w:sz w:val="21"/>
                      <w:szCs w:val="21"/>
                      <w:lang w:val="en-US" w:eastAsia="zh-CN"/>
                    </w:rPr>
                  </w:pPr>
                  <w:r>
                    <w:rPr>
                      <w:rFonts w:hint="eastAsia"/>
                      <w:sz w:val="21"/>
                      <w:szCs w:val="21"/>
                      <w:lang w:val="en-US" w:eastAsia="zh-CN"/>
                    </w:rPr>
                    <w:t>69.9</w:t>
                  </w:r>
                </w:p>
              </w:tc>
              <w:tc>
                <w:tcPr>
                  <w:tcW w:w="261" w:type="pct"/>
                  <w:noWrap w:val="0"/>
                  <w:vAlign w:val="center"/>
                </w:tcPr>
                <w:p w14:paraId="36348135">
                  <w:pPr>
                    <w:widowControl/>
                    <w:jc w:val="center"/>
                    <w:textAlignment w:val="center"/>
                    <w:rPr>
                      <w:rFonts w:hint="default"/>
                      <w:sz w:val="21"/>
                      <w:szCs w:val="21"/>
                      <w:lang w:val="en-US" w:eastAsia="zh-CN"/>
                    </w:rPr>
                  </w:pPr>
                  <w:r>
                    <w:rPr>
                      <w:rFonts w:hint="eastAsia"/>
                      <w:sz w:val="21"/>
                      <w:szCs w:val="21"/>
                      <w:lang w:val="en-US" w:eastAsia="zh-CN"/>
                    </w:rPr>
                    <w:t>283.1</w:t>
                  </w:r>
                </w:p>
              </w:tc>
              <w:tc>
                <w:tcPr>
                  <w:tcW w:w="200" w:type="pct"/>
                  <w:noWrap w:val="0"/>
                  <w:vAlign w:val="center"/>
                </w:tcPr>
                <w:p w14:paraId="23DA9289">
                  <w:pPr>
                    <w:widowControl/>
                    <w:jc w:val="center"/>
                    <w:textAlignment w:val="center"/>
                    <w:rPr>
                      <w:rFonts w:hint="default"/>
                      <w:sz w:val="21"/>
                      <w:szCs w:val="21"/>
                      <w:lang w:val="en-US" w:eastAsia="zh-CN"/>
                    </w:rPr>
                  </w:pPr>
                  <w:r>
                    <w:rPr>
                      <w:rFonts w:hint="eastAsia"/>
                      <w:sz w:val="21"/>
                      <w:szCs w:val="21"/>
                      <w:lang w:val="en-US" w:eastAsia="zh-CN"/>
                    </w:rPr>
                    <w:t>1.2</w:t>
                  </w:r>
                </w:p>
              </w:tc>
              <w:tc>
                <w:tcPr>
                  <w:tcW w:w="203" w:type="pct"/>
                  <w:noWrap w:val="0"/>
                  <w:vAlign w:val="center"/>
                </w:tcPr>
                <w:p w14:paraId="1D2E9DE0">
                  <w:pPr>
                    <w:widowControl/>
                    <w:jc w:val="center"/>
                    <w:textAlignment w:val="center"/>
                    <w:rPr>
                      <w:rFonts w:hint="default"/>
                      <w:sz w:val="21"/>
                      <w:szCs w:val="21"/>
                      <w:lang w:val="en-US" w:eastAsia="zh-CN"/>
                    </w:rPr>
                  </w:pPr>
                  <w:r>
                    <w:rPr>
                      <w:rFonts w:hint="eastAsia"/>
                      <w:sz w:val="21"/>
                      <w:szCs w:val="21"/>
                      <w:lang w:val="en-US" w:eastAsia="zh-CN"/>
                    </w:rPr>
                    <w:t>80.5</w:t>
                  </w:r>
                </w:p>
              </w:tc>
              <w:tc>
                <w:tcPr>
                  <w:tcW w:w="203" w:type="pct"/>
                  <w:noWrap w:val="0"/>
                  <w:vAlign w:val="center"/>
                </w:tcPr>
                <w:p w14:paraId="1B8CE0CB">
                  <w:pPr>
                    <w:widowControl/>
                    <w:jc w:val="center"/>
                    <w:textAlignment w:val="center"/>
                    <w:rPr>
                      <w:rFonts w:hint="default"/>
                      <w:sz w:val="21"/>
                      <w:szCs w:val="21"/>
                      <w:lang w:val="en-US" w:eastAsia="zh-CN"/>
                    </w:rPr>
                  </w:pPr>
                  <w:r>
                    <w:rPr>
                      <w:rFonts w:hint="eastAsia"/>
                      <w:sz w:val="21"/>
                      <w:szCs w:val="21"/>
                      <w:lang w:val="en-US" w:eastAsia="zh-CN"/>
                    </w:rPr>
                    <w:t>103.0</w:t>
                  </w:r>
                </w:p>
              </w:tc>
              <w:tc>
                <w:tcPr>
                  <w:tcW w:w="203" w:type="pct"/>
                  <w:noWrap w:val="0"/>
                  <w:vAlign w:val="center"/>
                </w:tcPr>
                <w:p w14:paraId="62A626BD">
                  <w:pPr>
                    <w:widowControl/>
                    <w:jc w:val="center"/>
                    <w:textAlignment w:val="center"/>
                    <w:rPr>
                      <w:rFonts w:hint="default"/>
                      <w:sz w:val="21"/>
                      <w:szCs w:val="21"/>
                      <w:lang w:val="en-US" w:eastAsia="zh-CN"/>
                    </w:rPr>
                  </w:pPr>
                  <w:r>
                    <w:rPr>
                      <w:rFonts w:hint="eastAsia"/>
                      <w:sz w:val="21"/>
                      <w:szCs w:val="21"/>
                      <w:lang w:val="en-US" w:eastAsia="zh-CN"/>
                    </w:rPr>
                    <w:t>8.1</w:t>
                  </w:r>
                </w:p>
              </w:tc>
              <w:tc>
                <w:tcPr>
                  <w:tcW w:w="204" w:type="pct"/>
                  <w:noWrap w:val="0"/>
                  <w:vAlign w:val="center"/>
                </w:tcPr>
                <w:p w14:paraId="26517DA8">
                  <w:pPr>
                    <w:widowControl/>
                    <w:jc w:val="center"/>
                    <w:textAlignment w:val="center"/>
                    <w:rPr>
                      <w:rFonts w:hint="default"/>
                      <w:sz w:val="21"/>
                      <w:szCs w:val="21"/>
                      <w:lang w:val="en-US" w:eastAsia="zh-CN"/>
                    </w:rPr>
                  </w:pPr>
                  <w:r>
                    <w:rPr>
                      <w:rFonts w:hint="eastAsia"/>
                      <w:sz w:val="21"/>
                      <w:szCs w:val="21"/>
                      <w:lang w:val="en-US" w:eastAsia="zh-CN"/>
                    </w:rPr>
                    <w:t>26.6</w:t>
                  </w:r>
                </w:p>
              </w:tc>
              <w:tc>
                <w:tcPr>
                  <w:tcW w:w="191" w:type="pct"/>
                  <w:noWrap w:val="0"/>
                  <w:vAlign w:val="center"/>
                </w:tcPr>
                <w:p w14:paraId="7574D76A">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36.</w:t>
                  </w:r>
                  <w:r>
                    <w:rPr>
                      <w:rFonts w:hint="eastAsia"/>
                      <w:sz w:val="21"/>
                      <w:szCs w:val="21"/>
                      <w:lang w:val="en-US" w:eastAsia="zh-CN"/>
                    </w:rPr>
                    <w:t>9</w:t>
                  </w:r>
                </w:p>
              </w:tc>
              <w:tc>
                <w:tcPr>
                  <w:tcW w:w="191" w:type="pct"/>
                  <w:noWrap w:val="0"/>
                  <w:vAlign w:val="center"/>
                </w:tcPr>
                <w:p w14:paraId="05A27C38">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34.7</w:t>
                  </w:r>
                </w:p>
              </w:tc>
              <w:tc>
                <w:tcPr>
                  <w:tcW w:w="191" w:type="pct"/>
                  <w:noWrap w:val="0"/>
                  <w:vAlign w:val="center"/>
                </w:tcPr>
                <w:p w14:paraId="2DBD67D7">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56.8</w:t>
                  </w:r>
                </w:p>
              </w:tc>
              <w:tc>
                <w:tcPr>
                  <w:tcW w:w="191" w:type="pct"/>
                  <w:noWrap w:val="0"/>
                  <w:vAlign w:val="center"/>
                </w:tcPr>
                <w:p w14:paraId="16DC2A76">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46.</w:t>
                  </w:r>
                  <w:r>
                    <w:rPr>
                      <w:rFonts w:hint="eastAsia"/>
                      <w:sz w:val="21"/>
                      <w:szCs w:val="21"/>
                      <w:lang w:val="en-US" w:eastAsia="zh-CN"/>
                    </w:rPr>
                    <w:t>6</w:t>
                  </w:r>
                </w:p>
              </w:tc>
              <w:tc>
                <w:tcPr>
                  <w:tcW w:w="209" w:type="pct"/>
                  <w:noWrap w:val="0"/>
                  <w:vAlign w:val="center"/>
                </w:tcPr>
                <w:p w14:paraId="74B5D9ED">
                  <w:pPr>
                    <w:jc w:val="center"/>
                    <w:rPr>
                      <w:rFonts w:hint="eastAsia" w:ascii="Times New Roman" w:hAnsi="Times New Roman" w:eastAsia="宋体"/>
                      <w:kern w:val="2"/>
                      <w:sz w:val="21"/>
                      <w:szCs w:val="21"/>
                      <w:lang w:val="en-US" w:eastAsia="zh-CN" w:bidi="ar-SA"/>
                    </w:rPr>
                  </w:pPr>
                  <w:r>
                    <w:rPr>
                      <w:rFonts w:hint="eastAsia"/>
                      <w:kern w:val="2"/>
                      <w:sz w:val="21"/>
                      <w:szCs w:val="21"/>
                      <w:lang w:val="en-US" w:eastAsia="zh-CN" w:bidi="ar-SA"/>
                    </w:rPr>
                    <w:t>24h</w:t>
                  </w:r>
                </w:p>
              </w:tc>
              <w:tc>
                <w:tcPr>
                  <w:tcW w:w="287" w:type="pct"/>
                  <w:noWrap w:val="0"/>
                  <w:vAlign w:val="center"/>
                </w:tcPr>
                <w:p w14:paraId="0E5F6C8B">
                  <w:pPr>
                    <w:jc w:val="center"/>
                    <w:rPr>
                      <w:rFonts w:hint="default"/>
                      <w:b/>
                      <w:bCs/>
                      <w:sz w:val="21"/>
                      <w:szCs w:val="21"/>
                      <w:lang w:val="en-US" w:eastAsia="zh-CN"/>
                    </w:rPr>
                  </w:pPr>
                  <w:r>
                    <w:rPr>
                      <w:rFonts w:hint="eastAsia"/>
                      <w:sz w:val="21"/>
                      <w:szCs w:val="21"/>
                      <w:lang w:val="en-US" w:eastAsia="zh-CN"/>
                    </w:rPr>
                    <w:t>15</w:t>
                  </w:r>
                </w:p>
              </w:tc>
              <w:tc>
                <w:tcPr>
                  <w:tcW w:w="192" w:type="pct"/>
                  <w:noWrap w:val="0"/>
                  <w:vAlign w:val="center"/>
                </w:tcPr>
                <w:p w14:paraId="5C908D07">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21.9</w:t>
                  </w:r>
                </w:p>
              </w:tc>
              <w:tc>
                <w:tcPr>
                  <w:tcW w:w="192" w:type="pct"/>
                  <w:noWrap w:val="0"/>
                  <w:vAlign w:val="center"/>
                </w:tcPr>
                <w:p w14:paraId="078C0759">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19.7</w:t>
                  </w:r>
                </w:p>
              </w:tc>
              <w:tc>
                <w:tcPr>
                  <w:tcW w:w="192" w:type="pct"/>
                  <w:noWrap w:val="0"/>
                  <w:vAlign w:val="center"/>
                </w:tcPr>
                <w:p w14:paraId="62F64819">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41.8</w:t>
                  </w:r>
                </w:p>
              </w:tc>
              <w:tc>
                <w:tcPr>
                  <w:tcW w:w="193" w:type="pct"/>
                  <w:noWrap w:val="0"/>
                  <w:vAlign w:val="center"/>
                </w:tcPr>
                <w:p w14:paraId="2D02DAB9">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31.6</w:t>
                  </w:r>
                </w:p>
              </w:tc>
              <w:tc>
                <w:tcPr>
                  <w:tcW w:w="287" w:type="pct"/>
                  <w:noWrap w:val="0"/>
                  <w:vAlign w:val="center"/>
                </w:tcPr>
                <w:p w14:paraId="48857E86">
                  <w:pPr>
                    <w:jc w:val="center"/>
                    <w:rPr>
                      <w:rFonts w:hint="default"/>
                      <w:sz w:val="21"/>
                      <w:szCs w:val="21"/>
                      <w:lang w:val="en-US" w:eastAsia="zh-CN"/>
                    </w:rPr>
                  </w:pPr>
                  <w:r>
                    <w:rPr>
                      <w:rFonts w:hint="eastAsia"/>
                      <w:sz w:val="21"/>
                      <w:szCs w:val="21"/>
                      <w:lang w:val="en-US" w:eastAsia="zh-CN"/>
                    </w:rPr>
                    <w:t>1m</w:t>
                  </w:r>
                </w:p>
              </w:tc>
            </w:tr>
            <w:tr w14:paraId="5B23BBF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76" w:type="pct"/>
                  <w:vMerge w:val="continue"/>
                  <w:noWrap w:val="0"/>
                  <w:vAlign w:val="top"/>
                </w:tcPr>
                <w:p w14:paraId="02DB03A3">
                  <w:pPr>
                    <w:jc w:val="center"/>
                    <w:rPr>
                      <w:sz w:val="21"/>
                      <w:szCs w:val="21"/>
                    </w:rPr>
                  </w:pPr>
                </w:p>
              </w:tc>
              <w:tc>
                <w:tcPr>
                  <w:tcW w:w="431" w:type="pct"/>
                  <w:noWrap w:val="0"/>
                  <w:vAlign w:val="center"/>
                </w:tcPr>
                <w:p w14:paraId="7F6708F6">
                  <w:pPr>
                    <w:keepNext w:val="0"/>
                    <w:keepLines w:val="0"/>
                    <w:widowControl/>
                    <w:suppressLineNumbers w:val="0"/>
                    <w:jc w:val="center"/>
                    <w:textAlignment w:val="center"/>
                    <w:rPr>
                      <w:rFonts w:hint="default" w:ascii="Times New Roman" w:hAnsi="Times New Roman" w:eastAsia="宋体" w:cs="Times New Roman"/>
                      <w:b w:val="0"/>
                      <w:bCs w:val="0"/>
                      <w:color w:val="000000"/>
                      <w:kern w:val="0"/>
                      <w:sz w:val="21"/>
                      <w:szCs w:val="21"/>
                      <w:highlight w:val="none"/>
                      <w:vertAlign w:val="baseline"/>
                      <w:lang w:val="en-US" w:eastAsia="zh-CN" w:bidi="ar"/>
                    </w:rPr>
                  </w:pPr>
                  <w:r>
                    <w:rPr>
                      <w:rFonts w:hint="eastAsia" w:cs="Times New Roman"/>
                      <w:b w:val="0"/>
                      <w:bCs w:val="0"/>
                      <w:color w:val="000000"/>
                      <w:kern w:val="0"/>
                      <w:sz w:val="21"/>
                      <w:szCs w:val="21"/>
                      <w:highlight w:val="none"/>
                      <w:vertAlign w:val="baseline"/>
                      <w:lang w:val="en-US" w:eastAsia="zh-CN" w:bidi="ar"/>
                    </w:rPr>
                    <w:t>压缩机</w:t>
                  </w:r>
                </w:p>
              </w:tc>
              <w:tc>
                <w:tcPr>
                  <w:tcW w:w="321" w:type="pct"/>
                  <w:noWrap w:val="0"/>
                  <w:vAlign w:val="center"/>
                </w:tcPr>
                <w:p w14:paraId="339F290A">
                  <w:pPr>
                    <w:widowControl/>
                    <w:jc w:val="center"/>
                    <w:textAlignment w:val="center"/>
                    <w:rPr>
                      <w:rFonts w:hint="default"/>
                      <w:sz w:val="21"/>
                      <w:szCs w:val="21"/>
                      <w:lang w:val="en-US" w:eastAsia="zh-CN"/>
                    </w:rPr>
                  </w:pPr>
                  <w:r>
                    <w:rPr>
                      <w:rFonts w:hint="eastAsia"/>
                      <w:sz w:val="21"/>
                      <w:szCs w:val="21"/>
                      <w:lang w:val="en-US" w:eastAsia="zh-CN"/>
                    </w:rPr>
                    <w:t>80</w:t>
                  </w:r>
                </w:p>
              </w:tc>
              <w:tc>
                <w:tcPr>
                  <w:tcW w:w="224" w:type="pct"/>
                  <w:vMerge w:val="continue"/>
                  <w:noWrap w:val="0"/>
                  <w:vAlign w:val="top"/>
                </w:tcPr>
                <w:p w14:paraId="20D272C2">
                  <w:pPr>
                    <w:jc w:val="center"/>
                    <w:rPr>
                      <w:sz w:val="21"/>
                      <w:szCs w:val="21"/>
                    </w:rPr>
                  </w:pPr>
                </w:p>
              </w:tc>
              <w:tc>
                <w:tcPr>
                  <w:tcW w:w="248" w:type="pct"/>
                  <w:noWrap w:val="0"/>
                  <w:vAlign w:val="center"/>
                </w:tcPr>
                <w:p w14:paraId="2E720423">
                  <w:pPr>
                    <w:widowControl/>
                    <w:jc w:val="center"/>
                    <w:textAlignment w:val="center"/>
                    <w:rPr>
                      <w:rFonts w:hint="default"/>
                      <w:sz w:val="21"/>
                      <w:szCs w:val="21"/>
                      <w:lang w:val="en-US" w:eastAsia="zh-CN"/>
                    </w:rPr>
                  </w:pPr>
                  <w:r>
                    <w:rPr>
                      <w:rFonts w:hint="eastAsia"/>
                      <w:sz w:val="21"/>
                      <w:szCs w:val="21"/>
                      <w:lang w:val="en-US" w:eastAsia="zh-CN"/>
                    </w:rPr>
                    <w:t>130</w:t>
                  </w:r>
                </w:p>
              </w:tc>
              <w:tc>
                <w:tcPr>
                  <w:tcW w:w="261" w:type="pct"/>
                  <w:noWrap w:val="0"/>
                  <w:vAlign w:val="center"/>
                </w:tcPr>
                <w:p w14:paraId="11AFEB61">
                  <w:pPr>
                    <w:widowControl/>
                    <w:jc w:val="center"/>
                    <w:textAlignment w:val="center"/>
                    <w:rPr>
                      <w:rFonts w:hint="default"/>
                      <w:sz w:val="21"/>
                      <w:szCs w:val="21"/>
                      <w:lang w:val="en-US" w:eastAsia="zh-CN"/>
                    </w:rPr>
                  </w:pPr>
                  <w:r>
                    <w:rPr>
                      <w:rFonts w:hint="eastAsia"/>
                      <w:sz w:val="21"/>
                      <w:szCs w:val="21"/>
                      <w:lang w:val="en-US" w:eastAsia="zh-CN"/>
                    </w:rPr>
                    <w:t>290.8</w:t>
                  </w:r>
                </w:p>
              </w:tc>
              <w:tc>
                <w:tcPr>
                  <w:tcW w:w="200" w:type="pct"/>
                  <w:noWrap w:val="0"/>
                  <w:vAlign w:val="center"/>
                </w:tcPr>
                <w:p w14:paraId="4CDC9DE1">
                  <w:pPr>
                    <w:widowControl/>
                    <w:jc w:val="center"/>
                    <w:textAlignment w:val="center"/>
                    <w:rPr>
                      <w:rFonts w:hint="default"/>
                      <w:sz w:val="21"/>
                      <w:szCs w:val="21"/>
                      <w:lang w:val="en-US" w:eastAsia="zh-CN"/>
                    </w:rPr>
                  </w:pPr>
                  <w:r>
                    <w:rPr>
                      <w:rFonts w:hint="eastAsia"/>
                      <w:sz w:val="21"/>
                      <w:szCs w:val="21"/>
                      <w:lang w:val="en-US" w:eastAsia="zh-CN"/>
                    </w:rPr>
                    <w:t>1.2</w:t>
                  </w:r>
                </w:p>
              </w:tc>
              <w:tc>
                <w:tcPr>
                  <w:tcW w:w="203" w:type="pct"/>
                  <w:noWrap w:val="0"/>
                  <w:vAlign w:val="center"/>
                </w:tcPr>
                <w:p w14:paraId="0F4503D2">
                  <w:pPr>
                    <w:widowControl/>
                    <w:jc w:val="center"/>
                    <w:textAlignment w:val="center"/>
                    <w:rPr>
                      <w:rFonts w:hint="default"/>
                      <w:sz w:val="21"/>
                      <w:szCs w:val="21"/>
                      <w:lang w:val="en-US" w:eastAsia="zh-CN"/>
                    </w:rPr>
                  </w:pPr>
                  <w:r>
                    <w:rPr>
                      <w:rFonts w:hint="eastAsia"/>
                      <w:sz w:val="21"/>
                      <w:szCs w:val="21"/>
                      <w:lang w:val="en-US" w:eastAsia="zh-CN"/>
                    </w:rPr>
                    <w:t>20.4</w:t>
                  </w:r>
                </w:p>
              </w:tc>
              <w:tc>
                <w:tcPr>
                  <w:tcW w:w="203" w:type="pct"/>
                  <w:noWrap w:val="0"/>
                  <w:vAlign w:val="center"/>
                </w:tcPr>
                <w:p w14:paraId="5B910474">
                  <w:pPr>
                    <w:widowControl/>
                    <w:jc w:val="center"/>
                    <w:textAlignment w:val="center"/>
                    <w:rPr>
                      <w:rFonts w:hint="default"/>
                      <w:sz w:val="21"/>
                      <w:szCs w:val="21"/>
                      <w:lang w:val="en-US" w:eastAsia="zh-CN"/>
                    </w:rPr>
                  </w:pPr>
                  <w:r>
                    <w:rPr>
                      <w:rFonts w:hint="eastAsia"/>
                      <w:sz w:val="21"/>
                      <w:szCs w:val="21"/>
                      <w:lang w:val="en-US" w:eastAsia="zh-CN"/>
                    </w:rPr>
                    <w:t>111.2</w:t>
                  </w:r>
                </w:p>
              </w:tc>
              <w:tc>
                <w:tcPr>
                  <w:tcW w:w="203" w:type="pct"/>
                  <w:noWrap w:val="0"/>
                  <w:vAlign w:val="center"/>
                </w:tcPr>
                <w:p w14:paraId="6A58E233">
                  <w:pPr>
                    <w:widowControl/>
                    <w:jc w:val="center"/>
                    <w:textAlignment w:val="center"/>
                    <w:rPr>
                      <w:rFonts w:hint="default"/>
                      <w:sz w:val="21"/>
                      <w:szCs w:val="21"/>
                      <w:lang w:val="en-US" w:eastAsia="zh-CN"/>
                    </w:rPr>
                  </w:pPr>
                  <w:r>
                    <w:rPr>
                      <w:rFonts w:hint="eastAsia"/>
                      <w:sz w:val="21"/>
                      <w:szCs w:val="21"/>
                      <w:lang w:val="en-US" w:eastAsia="zh-CN"/>
                    </w:rPr>
                    <w:t>14.6</w:t>
                  </w:r>
                </w:p>
              </w:tc>
              <w:tc>
                <w:tcPr>
                  <w:tcW w:w="204" w:type="pct"/>
                  <w:noWrap w:val="0"/>
                  <w:vAlign w:val="center"/>
                </w:tcPr>
                <w:p w14:paraId="0080474F">
                  <w:pPr>
                    <w:widowControl/>
                    <w:jc w:val="center"/>
                    <w:textAlignment w:val="center"/>
                    <w:rPr>
                      <w:rFonts w:hint="default"/>
                      <w:sz w:val="21"/>
                      <w:szCs w:val="21"/>
                      <w:lang w:val="en-US" w:eastAsia="zh-CN"/>
                    </w:rPr>
                  </w:pPr>
                  <w:r>
                    <w:rPr>
                      <w:rFonts w:hint="eastAsia"/>
                      <w:sz w:val="21"/>
                      <w:szCs w:val="21"/>
                      <w:lang w:val="en-US" w:eastAsia="zh-CN"/>
                    </w:rPr>
                    <w:t>18.7</w:t>
                  </w:r>
                </w:p>
              </w:tc>
              <w:tc>
                <w:tcPr>
                  <w:tcW w:w="191" w:type="pct"/>
                  <w:noWrap w:val="0"/>
                  <w:vAlign w:val="center"/>
                </w:tcPr>
                <w:p w14:paraId="28CE76A0">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53.8</w:t>
                  </w:r>
                </w:p>
              </w:tc>
              <w:tc>
                <w:tcPr>
                  <w:tcW w:w="191" w:type="pct"/>
                  <w:noWrap w:val="0"/>
                  <w:vAlign w:val="center"/>
                </w:tcPr>
                <w:p w14:paraId="29C66E37">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39.</w:t>
                  </w:r>
                  <w:r>
                    <w:rPr>
                      <w:rFonts w:hint="eastAsia"/>
                      <w:sz w:val="21"/>
                      <w:szCs w:val="21"/>
                      <w:lang w:val="en-US" w:eastAsia="zh-CN"/>
                    </w:rPr>
                    <w:t>1</w:t>
                  </w:r>
                </w:p>
              </w:tc>
              <w:tc>
                <w:tcPr>
                  <w:tcW w:w="191" w:type="pct"/>
                  <w:noWrap w:val="0"/>
                  <w:vAlign w:val="center"/>
                </w:tcPr>
                <w:p w14:paraId="7F4FCCFE">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56.7</w:t>
                  </w:r>
                </w:p>
              </w:tc>
              <w:tc>
                <w:tcPr>
                  <w:tcW w:w="191" w:type="pct"/>
                  <w:noWrap w:val="0"/>
                  <w:vAlign w:val="center"/>
                </w:tcPr>
                <w:p w14:paraId="01F70882">
                  <w:pPr>
                    <w:jc w:val="center"/>
                    <w:rPr>
                      <w:rFonts w:hint="default" w:ascii="Times New Roman" w:hAnsi="Times New Roman" w:eastAsia="宋体" w:cs="Times New Roman"/>
                      <w:kern w:val="2"/>
                      <w:sz w:val="21"/>
                      <w:szCs w:val="21"/>
                      <w:lang w:val="en-US" w:eastAsia="zh-CN" w:bidi="ar-SA"/>
                    </w:rPr>
                  </w:pPr>
                  <w:r>
                    <w:rPr>
                      <w:rFonts w:hint="default"/>
                      <w:sz w:val="21"/>
                      <w:szCs w:val="21"/>
                      <w:lang w:val="en-US" w:eastAsia="zh-CN"/>
                    </w:rPr>
                    <w:t>54.</w:t>
                  </w:r>
                  <w:r>
                    <w:rPr>
                      <w:rFonts w:hint="eastAsia"/>
                      <w:sz w:val="21"/>
                      <w:szCs w:val="21"/>
                      <w:lang w:val="en-US" w:eastAsia="zh-CN"/>
                    </w:rPr>
                    <w:t>6</w:t>
                  </w:r>
                </w:p>
              </w:tc>
              <w:tc>
                <w:tcPr>
                  <w:tcW w:w="209" w:type="pct"/>
                  <w:noWrap w:val="0"/>
                  <w:vAlign w:val="center"/>
                </w:tcPr>
                <w:p w14:paraId="4E9D975C">
                  <w:pPr>
                    <w:jc w:val="center"/>
                    <w:rPr>
                      <w:rFonts w:hint="eastAsia" w:ascii="Times New Roman" w:hAnsi="Times New Roman" w:eastAsia="宋体"/>
                      <w:kern w:val="2"/>
                      <w:sz w:val="21"/>
                      <w:szCs w:val="21"/>
                      <w:lang w:val="en-US" w:eastAsia="zh-CN" w:bidi="ar-SA"/>
                    </w:rPr>
                  </w:pPr>
                  <w:r>
                    <w:rPr>
                      <w:rFonts w:hint="eastAsia"/>
                      <w:kern w:val="2"/>
                      <w:sz w:val="21"/>
                      <w:szCs w:val="21"/>
                      <w:lang w:val="en-US" w:eastAsia="zh-CN" w:bidi="ar-SA"/>
                    </w:rPr>
                    <w:t>24h</w:t>
                  </w:r>
                </w:p>
              </w:tc>
              <w:tc>
                <w:tcPr>
                  <w:tcW w:w="287" w:type="pct"/>
                  <w:noWrap w:val="0"/>
                  <w:vAlign w:val="center"/>
                </w:tcPr>
                <w:p w14:paraId="5C2C1A15">
                  <w:pPr>
                    <w:jc w:val="center"/>
                    <w:rPr>
                      <w:rFonts w:hint="default"/>
                      <w:b/>
                      <w:bCs/>
                      <w:sz w:val="21"/>
                      <w:szCs w:val="21"/>
                      <w:lang w:val="en-US" w:eastAsia="zh-CN"/>
                    </w:rPr>
                  </w:pPr>
                  <w:r>
                    <w:rPr>
                      <w:rFonts w:hint="eastAsia"/>
                      <w:sz w:val="21"/>
                      <w:szCs w:val="21"/>
                      <w:lang w:val="en-US" w:eastAsia="zh-CN"/>
                    </w:rPr>
                    <w:t>15</w:t>
                  </w:r>
                </w:p>
              </w:tc>
              <w:tc>
                <w:tcPr>
                  <w:tcW w:w="192" w:type="pct"/>
                  <w:noWrap w:val="0"/>
                  <w:vAlign w:val="center"/>
                </w:tcPr>
                <w:p w14:paraId="63D24B14">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38.8</w:t>
                  </w:r>
                </w:p>
              </w:tc>
              <w:tc>
                <w:tcPr>
                  <w:tcW w:w="192" w:type="pct"/>
                  <w:noWrap w:val="0"/>
                  <w:vAlign w:val="center"/>
                </w:tcPr>
                <w:p w14:paraId="24E609B9">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24.1</w:t>
                  </w:r>
                </w:p>
              </w:tc>
              <w:tc>
                <w:tcPr>
                  <w:tcW w:w="192" w:type="pct"/>
                  <w:noWrap w:val="0"/>
                  <w:vAlign w:val="center"/>
                </w:tcPr>
                <w:p w14:paraId="554C2881">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41.7</w:t>
                  </w:r>
                </w:p>
              </w:tc>
              <w:tc>
                <w:tcPr>
                  <w:tcW w:w="193" w:type="pct"/>
                  <w:noWrap w:val="0"/>
                  <w:vAlign w:val="center"/>
                </w:tcPr>
                <w:p w14:paraId="227D8B4B">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39.6</w:t>
                  </w:r>
                </w:p>
              </w:tc>
              <w:tc>
                <w:tcPr>
                  <w:tcW w:w="287" w:type="pct"/>
                  <w:noWrap w:val="0"/>
                  <w:vAlign w:val="center"/>
                </w:tcPr>
                <w:p w14:paraId="4590F8A0">
                  <w:pPr>
                    <w:jc w:val="center"/>
                    <w:rPr>
                      <w:rFonts w:hint="default"/>
                      <w:sz w:val="21"/>
                      <w:szCs w:val="21"/>
                      <w:lang w:val="en-US" w:eastAsia="zh-CN"/>
                    </w:rPr>
                  </w:pPr>
                  <w:r>
                    <w:rPr>
                      <w:rFonts w:hint="eastAsia"/>
                      <w:sz w:val="21"/>
                      <w:szCs w:val="21"/>
                      <w:lang w:val="en-US" w:eastAsia="zh-CN"/>
                    </w:rPr>
                    <w:t>1m</w:t>
                  </w:r>
                </w:p>
              </w:tc>
            </w:tr>
            <w:tr w14:paraId="500074C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76" w:type="pct"/>
                  <w:vMerge w:val="continue"/>
                  <w:noWrap w:val="0"/>
                  <w:vAlign w:val="top"/>
                </w:tcPr>
                <w:p w14:paraId="25CE560F">
                  <w:pPr>
                    <w:jc w:val="center"/>
                    <w:rPr>
                      <w:sz w:val="21"/>
                      <w:szCs w:val="21"/>
                    </w:rPr>
                  </w:pPr>
                </w:p>
              </w:tc>
              <w:tc>
                <w:tcPr>
                  <w:tcW w:w="431" w:type="pct"/>
                  <w:noWrap w:val="0"/>
                  <w:vAlign w:val="center"/>
                </w:tcPr>
                <w:p w14:paraId="076BF4B0">
                  <w:pPr>
                    <w:keepNext w:val="0"/>
                    <w:keepLines w:val="0"/>
                    <w:widowControl/>
                    <w:suppressLineNumbers w:val="0"/>
                    <w:jc w:val="center"/>
                    <w:textAlignment w:val="center"/>
                    <w:rPr>
                      <w:rFonts w:hint="default"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风机1</w:t>
                  </w:r>
                </w:p>
              </w:tc>
              <w:tc>
                <w:tcPr>
                  <w:tcW w:w="321" w:type="pct"/>
                  <w:noWrap w:val="0"/>
                  <w:vAlign w:val="center"/>
                </w:tcPr>
                <w:p w14:paraId="6D2BC9E2">
                  <w:pPr>
                    <w:widowControl/>
                    <w:jc w:val="center"/>
                    <w:textAlignment w:val="center"/>
                    <w:rPr>
                      <w:rFonts w:hint="default"/>
                      <w:color w:val="auto"/>
                      <w:sz w:val="21"/>
                      <w:szCs w:val="21"/>
                      <w:lang w:val="en-US" w:eastAsia="zh-CN"/>
                    </w:rPr>
                  </w:pPr>
                  <w:r>
                    <w:rPr>
                      <w:rFonts w:hint="eastAsia"/>
                      <w:color w:val="auto"/>
                      <w:sz w:val="21"/>
                      <w:szCs w:val="21"/>
                      <w:lang w:val="en-US" w:eastAsia="zh-CN"/>
                    </w:rPr>
                    <w:t>85</w:t>
                  </w:r>
                </w:p>
              </w:tc>
              <w:tc>
                <w:tcPr>
                  <w:tcW w:w="224" w:type="pct"/>
                  <w:vMerge w:val="continue"/>
                  <w:noWrap w:val="0"/>
                  <w:vAlign w:val="top"/>
                </w:tcPr>
                <w:p w14:paraId="6DBBC820">
                  <w:pPr>
                    <w:jc w:val="center"/>
                    <w:rPr>
                      <w:sz w:val="21"/>
                      <w:szCs w:val="21"/>
                    </w:rPr>
                  </w:pPr>
                </w:p>
              </w:tc>
              <w:tc>
                <w:tcPr>
                  <w:tcW w:w="248" w:type="pct"/>
                  <w:noWrap w:val="0"/>
                  <w:vAlign w:val="center"/>
                </w:tcPr>
                <w:p w14:paraId="488B0356">
                  <w:pPr>
                    <w:widowControl/>
                    <w:jc w:val="center"/>
                    <w:textAlignment w:val="center"/>
                    <w:rPr>
                      <w:rFonts w:hint="eastAsia"/>
                      <w:sz w:val="21"/>
                      <w:szCs w:val="21"/>
                      <w:lang w:val="en-US" w:eastAsia="zh-CN"/>
                    </w:rPr>
                  </w:pPr>
                  <w:r>
                    <w:rPr>
                      <w:rFonts w:hint="eastAsia"/>
                      <w:sz w:val="21"/>
                      <w:szCs w:val="21"/>
                      <w:lang w:val="en-US" w:eastAsia="zh-CN"/>
                    </w:rPr>
                    <w:t>121.6</w:t>
                  </w:r>
                </w:p>
              </w:tc>
              <w:tc>
                <w:tcPr>
                  <w:tcW w:w="261" w:type="pct"/>
                  <w:noWrap w:val="0"/>
                  <w:vAlign w:val="center"/>
                </w:tcPr>
                <w:p w14:paraId="4BDF4BA1">
                  <w:pPr>
                    <w:widowControl/>
                    <w:jc w:val="center"/>
                    <w:textAlignment w:val="center"/>
                    <w:rPr>
                      <w:rFonts w:hint="eastAsia"/>
                      <w:sz w:val="21"/>
                      <w:szCs w:val="21"/>
                      <w:lang w:val="en-US" w:eastAsia="zh-CN"/>
                    </w:rPr>
                  </w:pPr>
                  <w:r>
                    <w:rPr>
                      <w:rFonts w:hint="eastAsia"/>
                      <w:sz w:val="21"/>
                      <w:szCs w:val="21"/>
                      <w:lang w:val="en-US" w:eastAsia="zh-CN"/>
                    </w:rPr>
                    <w:t>183.5</w:t>
                  </w:r>
                </w:p>
              </w:tc>
              <w:tc>
                <w:tcPr>
                  <w:tcW w:w="200" w:type="pct"/>
                  <w:noWrap w:val="0"/>
                  <w:vAlign w:val="center"/>
                </w:tcPr>
                <w:p w14:paraId="4BFD11D2">
                  <w:pPr>
                    <w:widowControl/>
                    <w:jc w:val="center"/>
                    <w:textAlignment w:val="center"/>
                    <w:rPr>
                      <w:rFonts w:hint="eastAsia"/>
                      <w:sz w:val="21"/>
                      <w:szCs w:val="21"/>
                      <w:lang w:val="en-US" w:eastAsia="zh-CN"/>
                    </w:rPr>
                  </w:pPr>
                  <w:r>
                    <w:rPr>
                      <w:rFonts w:hint="eastAsia"/>
                      <w:sz w:val="21"/>
                      <w:szCs w:val="21"/>
                      <w:lang w:val="en-US" w:eastAsia="zh-CN"/>
                    </w:rPr>
                    <w:t>1.2</w:t>
                  </w:r>
                </w:p>
              </w:tc>
              <w:tc>
                <w:tcPr>
                  <w:tcW w:w="203" w:type="pct"/>
                  <w:noWrap w:val="0"/>
                  <w:vAlign w:val="center"/>
                </w:tcPr>
                <w:p w14:paraId="36259050">
                  <w:pPr>
                    <w:widowControl/>
                    <w:jc w:val="center"/>
                    <w:textAlignment w:val="center"/>
                    <w:rPr>
                      <w:rFonts w:hint="eastAsia"/>
                      <w:sz w:val="21"/>
                      <w:szCs w:val="21"/>
                      <w:lang w:val="en-US" w:eastAsia="zh-CN"/>
                    </w:rPr>
                  </w:pPr>
                  <w:r>
                    <w:rPr>
                      <w:rFonts w:hint="eastAsia"/>
                      <w:sz w:val="21"/>
                      <w:szCs w:val="21"/>
                      <w:lang w:val="en-US" w:eastAsia="zh-CN"/>
                    </w:rPr>
                    <w:t>28.8</w:t>
                  </w:r>
                </w:p>
              </w:tc>
              <w:tc>
                <w:tcPr>
                  <w:tcW w:w="203" w:type="pct"/>
                  <w:noWrap w:val="0"/>
                  <w:vAlign w:val="center"/>
                </w:tcPr>
                <w:p w14:paraId="711CAF65">
                  <w:pPr>
                    <w:widowControl/>
                    <w:jc w:val="center"/>
                    <w:textAlignment w:val="center"/>
                    <w:rPr>
                      <w:rFonts w:hint="eastAsia"/>
                      <w:sz w:val="21"/>
                      <w:szCs w:val="21"/>
                      <w:lang w:val="en-US" w:eastAsia="zh-CN"/>
                    </w:rPr>
                  </w:pPr>
                  <w:r>
                    <w:rPr>
                      <w:rFonts w:hint="eastAsia"/>
                      <w:sz w:val="21"/>
                      <w:szCs w:val="21"/>
                      <w:lang w:val="en-US" w:eastAsia="zh-CN"/>
                    </w:rPr>
                    <w:t>3.9</w:t>
                  </w:r>
                </w:p>
              </w:tc>
              <w:tc>
                <w:tcPr>
                  <w:tcW w:w="203" w:type="pct"/>
                  <w:noWrap w:val="0"/>
                  <w:vAlign w:val="center"/>
                </w:tcPr>
                <w:p w14:paraId="753491A9">
                  <w:pPr>
                    <w:widowControl/>
                    <w:jc w:val="center"/>
                    <w:textAlignment w:val="center"/>
                    <w:rPr>
                      <w:rFonts w:hint="eastAsia"/>
                      <w:sz w:val="21"/>
                      <w:szCs w:val="21"/>
                      <w:lang w:val="en-US" w:eastAsia="zh-CN"/>
                    </w:rPr>
                  </w:pPr>
                  <w:r>
                    <w:rPr>
                      <w:rFonts w:hint="eastAsia"/>
                      <w:sz w:val="21"/>
                      <w:szCs w:val="21"/>
                      <w:lang w:val="en-US" w:eastAsia="zh-CN"/>
                    </w:rPr>
                    <w:t>92.5</w:t>
                  </w:r>
                </w:p>
              </w:tc>
              <w:tc>
                <w:tcPr>
                  <w:tcW w:w="204" w:type="pct"/>
                  <w:noWrap w:val="0"/>
                  <w:vAlign w:val="center"/>
                </w:tcPr>
                <w:p w14:paraId="305723FE">
                  <w:pPr>
                    <w:widowControl/>
                    <w:jc w:val="center"/>
                    <w:textAlignment w:val="center"/>
                    <w:rPr>
                      <w:rFonts w:hint="eastAsia"/>
                      <w:sz w:val="21"/>
                      <w:szCs w:val="21"/>
                      <w:lang w:val="en-US" w:eastAsia="zh-CN"/>
                    </w:rPr>
                  </w:pPr>
                  <w:r>
                    <w:rPr>
                      <w:rFonts w:hint="eastAsia"/>
                      <w:sz w:val="21"/>
                      <w:szCs w:val="21"/>
                      <w:lang w:val="en-US" w:eastAsia="zh-CN"/>
                    </w:rPr>
                    <w:t>126.0</w:t>
                  </w:r>
                </w:p>
              </w:tc>
              <w:tc>
                <w:tcPr>
                  <w:tcW w:w="191" w:type="pct"/>
                  <w:noWrap w:val="0"/>
                  <w:vAlign w:val="center"/>
                </w:tcPr>
                <w:p w14:paraId="048FDC0A">
                  <w:pPr>
                    <w:jc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45.8</w:t>
                  </w:r>
                </w:p>
              </w:tc>
              <w:tc>
                <w:tcPr>
                  <w:tcW w:w="191" w:type="pct"/>
                  <w:noWrap w:val="0"/>
                  <w:vAlign w:val="center"/>
                </w:tcPr>
                <w:p w14:paraId="646133E5">
                  <w:pPr>
                    <w:jc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63.2</w:t>
                  </w:r>
                </w:p>
              </w:tc>
              <w:tc>
                <w:tcPr>
                  <w:tcW w:w="191" w:type="pct"/>
                  <w:noWrap w:val="0"/>
                  <w:vAlign w:val="center"/>
                </w:tcPr>
                <w:p w14:paraId="02208F07">
                  <w:pPr>
                    <w:jc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35.7</w:t>
                  </w:r>
                </w:p>
              </w:tc>
              <w:tc>
                <w:tcPr>
                  <w:tcW w:w="191" w:type="pct"/>
                  <w:noWrap w:val="0"/>
                  <w:vAlign w:val="center"/>
                </w:tcPr>
                <w:p w14:paraId="2A21BD56">
                  <w:pPr>
                    <w:jc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33.0</w:t>
                  </w:r>
                </w:p>
              </w:tc>
              <w:tc>
                <w:tcPr>
                  <w:tcW w:w="209" w:type="pct"/>
                  <w:noWrap w:val="0"/>
                  <w:vAlign w:val="center"/>
                </w:tcPr>
                <w:p w14:paraId="74EAE968">
                  <w:pPr>
                    <w:widowControl/>
                    <w:jc w:val="center"/>
                    <w:textAlignment w:val="center"/>
                    <w:rPr>
                      <w:rFonts w:hint="eastAsia"/>
                      <w:sz w:val="21"/>
                      <w:szCs w:val="21"/>
                      <w:lang w:val="en-US" w:eastAsia="zh-CN"/>
                    </w:rPr>
                  </w:pPr>
                  <w:r>
                    <w:rPr>
                      <w:rFonts w:hint="eastAsia"/>
                      <w:sz w:val="21"/>
                      <w:szCs w:val="21"/>
                      <w:lang w:val="en-US" w:eastAsia="zh-CN"/>
                    </w:rPr>
                    <w:t>24h</w:t>
                  </w:r>
                </w:p>
              </w:tc>
              <w:tc>
                <w:tcPr>
                  <w:tcW w:w="287" w:type="pct"/>
                  <w:noWrap w:val="0"/>
                  <w:vAlign w:val="center"/>
                </w:tcPr>
                <w:p w14:paraId="68DD5286">
                  <w:pPr>
                    <w:widowControl/>
                    <w:jc w:val="center"/>
                    <w:textAlignment w:val="center"/>
                    <w:rPr>
                      <w:rFonts w:hint="eastAsia"/>
                      <w:sz w:val="21"/>
                      <w:szCs w:val="21"/>
                      <w:lang w:val="en-US" w:eastAsia="zh-CN"/>
                    </w:rPr>
                  </w:pPr>
                  <w:r>
                    <w:rPr>
                      <w:rFonts w:hint="eastAsia"/>
                      <w:sz w:val="21"/>
                      <w:szCs w:val="21"/>
                      <w:lang w:val="en-US" w:eastAsia="zh-CN"/>
                    </w:rPr>
                    <w:t>15</w:t>
                  </w:r>
                </w:p>
              </w:tc>
              <w:tc>
                <w:tcPr>
                  <w:tcW w:w="192" w:type="pct"/>
                  <w:noWrap w:val="0"/>
                  <w:vAlign w:val="center"/>
                </w:tcPr>
                <w:p w14:paraId="5EB90243">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30.8</w:t>
                  </w:r>
                </w:p>
              </w:tc>
              <w:tc>
                <w:tcPr>
                  <w:tcW w:w="192" w:type="pct"/>
                  <w:noWrap w:val="0"/>
                  <w:vAlign w:val="center"/>
                </w:tcPr>
                <w:p w14:paraId="737F336C">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48.2</w:t>
                  </w:r>
                </w:p>
              </w:tc>
              <w:tc>
                <w:tcPr>
                  <w:tcW w:w="192" w:type="pct"/>
                  <w:noWrap w:val="0"/>
                  <w:vAlign w:val="center"/>
                </w:tcPr>
                <w:p w14:paraId="7069145E">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20.7</w:t>
                  </w:r>
                </w:p>
              </w:tc>
              <w:tc>
                <w:tcPr>
                  <w:tcW w:w="193" w:type="pct"/>
                  <w:noWrap w:val="0"/>
                  <w:vAlign w:val="center"/>
                </w:tcPr>
                <w:p w14:paraId="6B27D4A5">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18.0</w:t>
                  </w:r>
                </w:p>
              </w:tc>
              <w:tc>
                <w:tcPr>
                  <w:tcW w:w="287" w:type="pct"/>
                  <w:noWrap w:val="0"/>
                  <w:vAlign w:val="center"/>
                </w:tcPr>
                <w:p w14:paraId="243F725C">
                  <w:pPr>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1m</w:t>
                  </w:r>
                </w:p>
              </w:tc>
            </w:tr>
            <w:tr w14:paraId="4CE822B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76" w:type="pct"/>
                  <w:vMerge w:val="continue"/>
                  <w:noWrap w:val="0"/>
                  <w:vAlign w:val="top"/>
                </w:tcPr>
                <w:p w14:paraId="6E4BA7C1">
                  <w:pPr>
                    <w:jc w:val="center"/>
                    <w:rPr>
                      <w:sz w:val="21"/>
                      <w:szCs w:val="21"/>
                    </w:rPr>
                  </w:pPr>
                </w:p>
              </w:tc>
              <w:tc>
                <w:tcPr>
                  <w:tcW w:w="431" w:type="pct"/>
                  <w:noWrap w:val="0"/>
                  <w:vAlign w:val="center"/>
                </w:tcPr>
                <w:p w14:paraId="0D139EF3">
                  <w:pPr>
                    <w:keepNext w:val="0"/>
                    <w:keepLines w:val="0"/>
                    <w:widowControl/>
                    <w:suppressLineNumbers w:val="0"/>
                    <w:jc w:val="center"/>
                    <w:textAlignment w:val="center"/>
                    <w:rPr>
                      <w:rFonts w:hint="default" w:ascii="Times New Roman" w:hAnsi="Times New Roman" w:eastAsia="宋体"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风机2</w:t>
                  </w:r>
                </w:p>
              </w:tc>
              <w:tc>
                <w:tcPr>
                  <w:tcW w:w="321" w:type="pct"/>
                  <w:noWrap w:val="0"/>
                  <w:vAlign w:val="center"/>
                </w:tcPr>
                <w:p w14:paraId="37E84673">
                  <w:pPr>
                    <w:widowControl/>
                    <w:jc w:val="center"/>
                    <w:textAlignment w:val="center"/>
                    <w:rPr>
                      <w:rFonts w:hint="default" w:ascii="Times New Roman" w:hAnsi="Times New Roman" w:eastAsia="宋体" w:cs="Times New Roman"/>
                      <w:color w:val="auto"/>
                      <w:kern w:val="2"/>
                      <w:sz w:val="21"/>
                      <w:szCs w:val="21"/>
                      <w:lang w:val="en-US" w:eastAsia="zh-CN" w:bidi="ar-SA"/>
                    </w:rPr>
                  </w:pPr>
                  <w:r>
                    <w:rPr>
                      <w:rFonts w:hint="eastAsia"/>
                      <w:color w:val="auto"/>
                      <w:sz w:val="21"/>
                      <w:szCs w:val="21"/>
                      <w:lang w:val="en-US" w:eastAsia="zh-CN"/>
                    </w:rPr>
                    <w:t>85</w:t>
                  </w:r>
                </w:p>
              </w:tc>
              <w:tc>
                <w:tcPr>
                  <w:tcW w:w="224" w:type="pct"/>
                  <w:vMerge w:val="continue"/>
                  <w:noWrap w:val="0"/>
                  <w:vAlign w:val="top"/>
                </w:tcPr>
                <w:p w14:paraId="4463C1E5">
                  <w:pPr>
                    <w:jc w:val="center"/>
                    <w:rPr>
                      <w:sz w:val="21"/>
                      <w:szCs w:val="21"/>
                    </w:rPr>
                  </w:pPr>
                </w:p>
              </w:tc>
              <w:tc>
                <w:tcPr>
                  <w:tcW w:w="248" w:type="pct"/>
                  <w:noWrap w:val="0"/>
                  <w:vAlign w:val="center"/>
                </w:tcPr>
                <w:p w14:paraId="0B8089AE">
                  <w:pPr>
                    <w:widowControl/>
                    <w:jc w:val="center"/>
                    <w:textAlignment w:val="center"/>
                    <w:rPr>
                      <w:rFonts w:hint="eastAsia"/>
                      <w:sz w:val="21"/>
                      <w:szCs w:val="21"/>
                      <w:lang w:val="en-US" w:eastAsia="zh-CN"/>
                    </w:rPr>
                  </w:pPr>
                  <w:r>
                    <w:rPr>
                      <w:rFonts w:hint="eastAsia"/>
                      <w:sz w:val="21"/>
                      <w:szCs w:val="21"/>
                      <w:lang w:val="en-US" w:eastAsia="zh-CN"/>
                    </w:rPr>
                    <w:t>-154.8</w:t>
                  </w:r>
                </w:p>
              </w:tc>
              <w:tc>
                <w:tcPr>
                  <w:tcW w:w="261" w:type="pct"/>
                  <w:noWrap w:val="0"/>
                  <w:vAlign w:val="center"/>
                </w:tcPr>
                <w:p w14:paraId="6B44627F">
                  <w:pPr>
                    <w:widowControl/>
                    <w:jc w:val="center"/>
                    <w:textAlignment w:val="center"/>
                    <w:rPr>
                      <w:rFonts w:hint="eastAsia"/>
                      <w:sz w:val="21"/>
                      <w:szCs w:val="21"/>
                      <w:lang w:val="en-US" w:eastAsia="zh-CN"/>
                    </w:rPr>
                  </w:pPr>
                  <w:r>
                    <w:rPr>
                      <w:rFonts w:hint="eastAsia"/>
                      <w:sz w:val="21"/>
                      <w:szCs w:val="21"/>
                      <w:lang w:val="en-US" w:eastAsia="zh-CN"/>
                    </w:rPr>
                    <w:t>186.3</w:t>
                  </w:r>
                </w:p>
              </w:tc>
              <w:tc>
                <w:tcPr>
                  <w:tcW w:w="200" w:type="pct"/>
                  <w:noWrap w:val="0"/>
                  <w:vAlign w:val="center"/>
                </w:tcPr>
                <w:p w14:paraId="750A7695">
                  <w:pPr>
                    <w:widowControl/>
                    <w:jc w:val="center"/>
                    <w:textAlignment w:val="center"/>
                    <w:rPr>
                      <w:rFonts w:hint="eastAsia"/>
                      <w:sz w:val="21"/>
                      <w:szCs w:val="21"/>
                      <w:lang w:val="en-US" w:eastAsia="zh-CN"/>
                    </w:rPr>
                  </w:pPr>
                  <w:r>
                    <w:rPr>
                      <w:rFonts w:hint="eastAsia"/>
                      <w:sz w:val="21"/>
                      <w:szCs w:val="21"/>
                      <w:lang w:val="en-US" w:eastAsia="zh-CN"/>
                    </w:rPr>
                    <w:t>1.2</w:t>
                  </w:r>
                </w:p>
              </w:tc>
              <w:tc>
                <w:tcPr>
                  <w:tcW w:w="203" w:type="pct"/>
                  <w:noWrap w:val="0"/>
                  <w:vAlign w:val="center"/>
                </w:tcPr>
                <w:p w14:paraId="21A0FDB0">
                  <w:pPr>
                    <w:widowControl/>
                    <w:jc w:val="center"/>
                    <w:textAlignment w:val="center"/>
                    <w:rPr>
                      <w:rFonts w:hint="eastAsia"/>
                      <w:sz w:val="21"/>
                      <w:szCs w:val="21"/>
                      <w:lang w:val="en-US" w:eastAsia="zh-CN"/>
                    </w:rPr>
                  </w:pPr>
                  <w:r>
                    <w:rPr>
                      <w:rFonts w:hint="eastAsia"/>
                      <w:sz w:val="21"/>
                      <w:szCs w:val="21"/>
                      <w:lang w:val="en-US" w:eastAsia="zh-CN"/>
                    </w:rPr>
                    <w:t>305.2</w:t>
                  </w:r>
                </w:p>
              </w:tc>
              <w:tc>
                <w:tcPr>
                  <w:tcW w:w="203" w:type="pct"/>
                  <w:noWrap w:val="0"/>
                  <w:vAlign w:val="center"/>
                </w:tcPr>
                <w:p w14:paraId="2BEDB533">
                  <w:pPr>
                    <w:widowControl/>
                    <w:jc w:val="center"/>
                    <w:textAlignment w:val="center"/>
                    <w:rPr>
                      <w:rFonts w:hint="eastAsia"/>
                      <w:sz w:val="21"/>
                      <w:szCs w:val="21"/>
                      <w:lang w:val="en-US" w:eastAsia="zh-CN"/>
                    </w:rPr>
                  </w:pPr>
                  <w:r>
                    <w:rPr>
                      <w:rFonts w:hint="eastAsia"/>
                      <w:sz w:val="21"/>
                      <w:szCs w:val="21"/>
                      <w:lang w:val="en-US" w:eastAsia="zh-CN"/>
                    </w:rPr>
                    <w:t>4.3</w:t>
                  </w:r>
                </w:p>
              </w:tc>
              <w:tc>
                <w:tcPr>
                  <w:tcW w:w="203" w:type="pct"/>
                  <w:noWrap w:val="0"/>
                  <w:vAlign w:val="center"/>
                </w:tcPr>
                <w:p w14:paraId="442FED56">
                  <w:pPr>
                    <w:widowControl/>
                    <w:jc w:val="center"/>
                    <w:textAlignment w:val="center"/>
                    <w:rPr>
                      <w:rFonts w:hint="eastAsia"/>
                      <w:sz w:val="21"/>
                      <w:szCs w:val="21"/>
                      <w:lang w:val="en-US" w:eastAsia="zh-CN"/>
                    </w:rPr>
                  </w:pPr>
                  <w:r>
                    <w:rPr>
                      <w:rFonts w:hint="eastAsia"/>
                      <w:sz w:val="21"/>
                      <w:szCs w:val="21"/>
                      <w:lang w:val="en-US" w:eastAsia="zh-CN"/>
                    </w:rPr>
                    <w:t>19.7</w:t>
                  </w:r>
                </w:p>
              </w:tc>
              <w:tc>
                <w:tcPr>
                  <w:tcW w:w="204" w:type="pct"/>
                  <w:noWrap w:val="0"/>
                  <w:vAlign w:val="center"/>
                </w:tcPr>
                <w:p w14:paraId="58209E29">
                  <w:pPr>
                    <w:widowControl/>
                    <w:jc w:val="center"/>
                    <w:textAlignment w:val="center"/>
                    <w:rPr>
                      <w:rFonts w:hint="eastAsia"/>
                      <w:sz w:val="21"/>
                      <w:szCs w:val="21"/>
                      <w:lang w:val="en-US" w:eastAsia="zh-CN"/>
                    </w:rPr>
                  </w:pPr>
                  <w:r>
                    <w:rPr>
                      <w:rFonts w:hint="eastAsia"/>
                      <w:sz w:val="21"/>
                      <w:szCs w:val="21"/>
                      <w:lang w:val="en-US" w:eastAsia="zh-CN"/>
                    </w:rPr>
                    <w:t>124.3</w:t>
                  </w:r>
                </w:p>
              </w:tc>
              <w:tc>
                <w:tcPr>
                  <w:tcW w:w="191" w:type="pct"/>
                  <w:noWrap w:val="0"/>
                  <w:vAlign w:val="center"/>
                </w:tcPr>
                <w:p w14:paraId="14F44DDC">
                  <w:pPr>
                    <w:jc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25.3</w:t>
                  </w:r>
                </w:p>
              </w:tc>
              <w:tc>
                <w:tcPr>
                  <w:tcW w:w="191" w:type="pct"/>
                  <w:noWrap w:val="0"/>
                  <w:vAlign w:val="center"/>
                </w:tcPr>
                <w:p w14:paraId="3AD0FD96">
                  <w:pPr>
                    <w:jc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62.3</w:t>
                  </w:r>
                </w:p>
              </w:tc>
              <w:tc>
                <w:tcPr>
                  <w:tcW w:w="191" w:type="pct"/>
                  <w:noWrap w:val="0"/>
                  <w:vAlign w:val="center"/>
                </w:tcPr>
                <w:p w14:paraId="0982E9BA">
                  <w:pPr>
                    <w:jc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49.1</w:t>
                  </w:r>
                </w:p>
              </w:tc>
              <w:tc>
                <w:tcPr>
                  <w:tcW w:w="191" w:type="pct"/>
                  <w:noWrap w:val="0"/>
                  <w:vAlign w:val="center"/>
                </w:tcPr>
                <w:p w14:paraId="7C095AA2">
                  <w:pPr>
                    <w:jc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33.1</w:t>
                  </w:r>
                </w:p>
              </w:tc>
              <w:tc>
                <w:tcPr>
                  <w:tcW w:w="209" w:type="pct"/>
                  <w:noWrap w:val="0"/>
                  <w:vAlign w:val="center"/>
                </w:tcPr>
                <w:p w14:paraId="329F8412">
                  <w:pPr>
                    <w:widowControl/>
                    <w:jc w:val="center"/>
                    <w:textAlignment w:val="center"/>
                    <w:rPr>
                      <w:rFonts w:hint="eastAsia"/>
                      <w:sz w:val="21"/>
                      <w:szCs w:val="21"/>
                      <w:lang w:val="en-US" w:eastAsia="zh-CN"/>
                    </w:rPr>
                  </w:pPr>
                  <w:r>
                    <w:rPr>
                      <w:rFonts w:hint="eastAsia"/>
                      <w:sz w:val="21"/>
                      <w:szCs w:val="21"/>
                      <w:lang w:val="en-US" w:eastAsia="zh-CN"/>
                    </w:rPr>
                    <w:t>24h</w:t>
                  </w:r>
                </w:p>
              </w:tc>
              <w:tc>
                <w:tcPr>
                  <w:tcW w:w="287" w:type="pct"/>
                  <w:noWrap w:val="0"/>
                  <w:vAlign w:val="center"/>
                </w:tcPr>
                <w:p w14:paraId="008623EE">
                  <w:pPr>
                    <w:widowControl/>
                    <w:jc w:val="center"/>
                    <w:textAlignment w:val="center"/>
                    <w:rPr>
                      <w:rFonts w:hint="eastAsia"/>
                      <w:sz w:val="21"/>
                      <w:szCs w:val="21"/>
                      <w:lang w:val="en-US" w:eastAsia="zh-CN"/>
                    </w:rPr>
                  </w:pPr>
                  <w:r>
                    <w:rPr>
                      <w:rFonts w:hint="eastAsia"/>
                      <w:sz w:val="21"/>
                      <w:szCs w:val="21"/>
                      <w:lang w:val="en-US" w:eastAsia="zh-CN"/>
                    </w:rPr>
                    <w:t>15</w:t>
                  </w:r>
                </w:p>
              </w:tc>
              <w:tc>
                <w:tcPr>
                  <w:tcW w:w="192" w:type="pct"/>
                  <w:noWrap w:val="0"/>
                  <w:vAlign w:val="center"/>
                </w:tcPr>
                <w:p w14:paraId="6472A438">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10.3</w:t>
                  </w:r>
                </w:p>
              </w:tc>
              <w:tc>
                <w:tcPr>
                  <w:tcW w:w="192" w:type="pct"/>
                  <w:noWrap w:val="0"/>
                  <w:vAlign w:val="center"/>
                </w:tcPr>
                <w:p w14:paraId="798BB3BF">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47.3</w:t>
                  </w:r>
                </w:p>
              </w:tc>
              <w:tc>
                <w:tcPr>
                  <w:tcW w:w="192" w:type="pct"/>
                  <w:noWrap w:val="0"/>
                  <w:vAlign w:val="center"/>
                </w:tcPr>
                <w:p w14:paraId="0AA327E4">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34.1</w:t>
                  </w:r>
                </w:p>
              </w:tc>
              <w:tc>
                <w:tcPr>
                  <w:tcW w:w="193" w:type="pct"/>
                  <w:noWrap w:val="0"/>
                  <w:vAlign w:val="center"/>
                </w:tcPr>
                <w:p w14:paraId="2BE39548">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18.1</w:t>
                  </w:r>
                </w:p>
              </w:tc>
              <w:tc>
                <w:tcPr>
                  <w:tcW w:w="287" w:type="pct"/>
                  <w:noWrap w:val="0"/>
                  <w:vAlign w:val="center"/>
                </w:tcPr>
                <w:p w14:paraId="55C0D4C1">
                  <w:pPr>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1m</w:t>
                  </w:r>
                </w:p>
              </w:tc>
            </w:tr>
            <w:tr w14:paraId="5D3422A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76" w:type="pct"/>
                  <w:vMerge w:val="continue"/>
                  <w:noWrap w:val="0"/>
                  <w:vAlign w:val="top"/>
                </w:tcPr>
                <w:p w14:paraId="6B52D07B">
                  <w:pPr>
                    <w:jc w:val="center"/>
                    <w:rPr>
                      <w:sz w:val="21"/>
                      <w:szCs w:val="21"/>
                    </w:rPr>
                  </w:pPr>
                </w:p>
              </w:tc>
              <w:tc>
                <w:tcPr>
                  <w:tcW w:w="431" w:type="pct"/>
                  <w:noWrap w:val="0"/>
                  <w:vAlign w:val="center"/>
                </w:tcPr>
                <w:p w14:paraId="3DD40C37">
                  <w:pPr>
                    <w:keepNext w:val="0"/>
                    <w:keepLines w:val="0"/>
                    <w:widowControl/>
                    <w:suppressLineNumbers w:val="0"/>
                    <w:jc w:val="center"/>
                    <w:textAlignment w:val="center"/>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空压机</w:t>
                  </w:r>
                </w:p>
              </w:tc>
              <w:tc>
                <w:tcPr>
                  <w:tcW w:w="321" w:type="pct"/>
                  <w:noWrap w:val="0"/>
                  <w:vAlign w:val="center"/>
                </w:tcPr>
                <w:p w14:paraId="232A1D9F">
                  <w:pPr>
                    <w:widowControl/>
                    <w:jc w:val="center"/>
                    <w:textAlignment w:val="center"/>
                    <w:rPr>
                      <w:rFonts w:hint="default"/>
                      <w:color w:val="auto"/>
                      <w:sz w:val="21"/>
                      <w:szCs w:val="21"/>
                      <w:lang w:val="en-US" w:eastAsia="zh-CN"/>
                    </w:rPr>
                  </w:pPr>
                  <w:r>
                    <w:rPr>
                      <w:rFonts w:hint="eastAsia"/>
                      <w:color w:val="auto"/>
                      <w:sz w:val="21"/>
                      <w:szCs w:val="21"/>
                      <w:lang w:val="en-US" w:eastAsia="zh-CN"/>
                    </w:rPr>
                    <w:t>90</w:t>
                  </w:r>
                </w:p>
              </w:tc>
              <w:tc>
                <w:tcPr>
                  <w:tcW w:w="224" w:type="pct"/>
                  <w:vMerge w:val="continue"/>
                  <w:noWrap w:val="0"/>
                  <w:vAlign w:val="top"/>
                </w:tcPr>
                <w:p w14:paraId="7A9AA82F">
                  <w:pPr>
                    <w:jc w:val="center"/>
                    <w:rPr>
                      <w:sz w:val="21"/>
                      <w:szCs w:val="21"/>
                    </w:rPr>
                  </w:pPr>
                </w:p>
              </w:tc>
              <w:tc>
                <w:tcPr>
                  <w:tcW w:w="248" w:type="pct"/>
                  <w:shd w:val="clear" w:color="auto" w:fill="auto"/>
                  <w:noWrap w:val="0"/>
                  <w:vAlign w:val="center"/>
                </w:tcPr>
                <w:p w14:paraId="34DB87B7">
                  <w:pPr>
                    <w:widowControl/>
                    <w:jc w:val="center"/>
                    <w:textAlignment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147</w:t>
                  </w:r>
                </w:p>
              </w:tc>
              <w:tc>
                <w:tcPr>
                  <w:tcW w:w="261" w:type="pct"/>
                  <w:shd w:val="clear" w:color="auto" w:fill="auto"/>
                  <w:noWrap w:val="0"/>
                  <w:vAlign w:val="center"/>
                </w:tcPr>
                <w:p w14:paraId="3417472D">
                  <w:pPr>
                    <w:widowControl/>
                    <w:jc w:val="center"/>
                    <w:textAlignment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-80</w:t>
                  </w:r>
                </w:p>
              </w:tc>
              <w:tc>
                <w:tcPr>
                  <w:tcW w:w="200" w:type="pct"/>
                  <w:noWrap w:val="0"/>
                  <w:vAlign w:val="center"/>
                </w:tcPr>
                <w:p w14:paraId="57A495C6">
                  <w:pPr>
                    <w:widowControl/>
                    <w:jc w:val="center"/>
                    <w:textAlignment w:val="center"/>
                    <w:rPr>
                      <w:rFonts w:hint="eastAsia"/>
                      <w:sz w:val="21"/>
                      <w:szCs w:val="21"/>
                      <w:lang w:val="en-US" w:eastAsia="zh-CN"/>
                    </w:rPr>
                  </w:pPr>
                  <w:r>
                    <w:rPr>
                      <w:rFonts w:hint="eastAsia"/>
                      <w:sz w:val="21"/>
                      <w:szCs w:val="21"/>
                      <w:lang w:val="en-US" w:eastAsia="zh-CN"/>
                    </w:rPr>
                    <w:t>1.2</w:t>
                  </w:r>
                </w:p>
              </w:tc>
              <w:tc>
                <w:tcPr>
                  <w:tcW w:w="203" w:type="pct"/>
                  <w:noWrap w:val="0"/>
                  <w:vAlign w:val="center"/>
                </w:tcPr>
                <w:p w14:paraId="3A1ED572">
                  <w:pPr>
                    <w:widowControl/>
                    <w:jc w:val="center"/>
                    <w:textAlignment w:val="center"/>
                    <w:rPr>
                      <w:rFonts w:hint="default"/>
                      <w:sz w:val="21"/>
                      <w:szCs w:val="21"/>
                      <w:lang w:val="en-US" w:eastAsia="zh-CN"/>
                    </w:rPr>
                  </w:pPr>
                  <w:r>
                    <w:rPr>
                      <w:rFonts w:hint="eastAsia"/>
                      <w:sz w:val="21"/>
                      <w:szCs w:val="21"/>
                      <w:lang w:val="en-US" w:eastAsia="zh-CN"/>
                    </w:rPr>
                    <w:t>76.2</w:t>
                  </w:r>
                </w:p>
              </w:tc>
              <w:tc>
                <w:tcPr>
                  <w:tcW w:w="203" w:type="pct"/>
                  <w:noWrap w:val="0"/>
                  <w:vAlign w:val="center"/>
                </w:tcPr>
                <w:p w14:paraId="267503C7">
                  <w:pPr>
                    <w:widowControl/>
                    <w:jc w:val="center"/>
                    <w:textAlignment w:val="center"/>
                    <w:rPr>
                      <w:rFonts w:hint="default"/>
                      <w:sz w:val="21"/>
                      <w:szCs w:val="21"/>
                      <w:lang w:val="en-US" w:eastAsia="zh-CN"/>
                    </w:rPr>
                  </w:pPr>
                  <w:r>
                    <w:rPr>
                      <w:rFonts w:hint="eastAsia"/>
                      <w:sz w:val="21"/>
                      <w:szCs w:val="21"/>
                      <w:lang w:val="en-US" w:eastAsia="zh-CN"/>
                    </w:rPr>
                    <w:t>10.5</w:t>
                  </w:r>
                </w:p>
              </w:tc>
              <w:tc>
                <w:tcPr>
                  <w:tcW w:w="203" w:type="pct"/>
                  <w:noWrap w:val="0"/>
                  <w:vAlign w:val="center"/>
                </w:tcPr>
                <w:p w14:paraId="067EBC46">
                  <w:pPr>
                    <w:widowControl/>
                    <w:jc w:val="center"/>
                    <w:textAlignment w:val="center"/>
                    <w:rPr>
                      <w:rFonts w:hint="default"/>
                      <w:sz w:val="21"/>
                      <w:szCs w:val="21"/>
                      <w:lang w:val="en-US" w:eastAsia="zh-CN"/>
                    </w:rPr>
                  </w:pPr>
                  <w:r>
                    <w:rPr>
                      <w:rFonts w:hint="eastAsia"/>
                      <w:sz w:val="21"/>
                      <w:szCs w:val="21"/>
                      <w:lang w:val="en-US" w:eastAsia="zh-CN"/>
                    </w:rPr>
                    <w:t>89.2</w:t>
                  </w:r>
                </w:p>
              </w:tc>
              <w:tc>
                <w:tcPr>
                  <w:tcW w:w="204" w:type="pct"/>
                  <w:noWrap w:val="0"/>
                  <w:vAlign w:val="center"/>
                </w:tcPr>
                <w:p w14:paraId="75550ADA">
                  <w:pPr>
                    <w:jc w:val="center"/>
                    <w:rPr>
                      <w:rFonts w:hint="eastAsia"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102.4</w:t>
                  </w:r>
                </w:p>
              </w:tc>
              <w:tc>
                <w:tcPr>
                  <w:tcW w:w="191" w:type="pct"/>
                  <w:shd w:val="clear" w:color="auto" w:fill="auto"/>
                  <w:noWrap w:val="0"/>
                  <w:vAlign w:val="center"/>
                </w:tcPr>
                <w:p w14:paraId="0DDE4631">
                  <w:pPr>
                    <w:jc w:val="center"/>
                    <w:rPr>
                      <w:rFonts w:hint="eastAsia"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 xml:space="preserve">52.4 </w:t>
                  </w:r>
                </w:p>
              </w:tc>
              <w:tc>
                <w:tcPr>
                  <w:tcW w:w="191" w:type="pct"/>
                  <w:shd w:val="clear" w:color="auto" w:fill="auto"/>
                  <w:noWrap w:val="0"/>
                  <w:vAlign w:val="center"/>
                </w:tcPr>
                <w:p w14:paraId="2CC870A5">
                  <w:pPr>
                    <w:jc w:val="center"/>
                    <w:rPr>
                      <w:rFonts w:hint="eastAsia"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 xml:space="preserve">69.6 </w:t>
                  </w:r>
                </w:p>
              </w:tc>
              <w:tc>
                <w:tcPr>
                  <w:tcW w:w="191" w:type="pct"/>
                  <w:shd w:val="clear" w:color="auto" w:fill="auto"/>
                  <w:noWrap w:val="0"/>
                  <w:vAlign w:val="center"/>
                </w:tcPr>
                <w:p w14:paraId="0EB45E1E">
                  <w:pPr>
                    <w:jc w:val="center"/>
                    <w:rPr>
                      <w:rFonts w:hint="eastAsia"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 xml:space="preserve">51.0 </w:t>
                  </w:r>
                </w:p>
              </w:tc>
              <w:tc>
                <w:tcPr>
                  <w:tcW w:w="191" w:type="pct"/>
                  <w:shd w:val="clear" w:color="auto" w:fill="auto"/>
                  <w:noWrap w:val="0"/>
                  <w:vAlign w:val="center"/>
                </w:tcPr>
                <w:p w14:paraId="40110884">
                  <w:pPr>
                    <w:jc w:val="center"/>
                    <w:rPr>
                      <w:rFonts w:hint="eastAsia"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 xml:space="preserve">49.8 </w:t>
                  </w:r>
                </w:p>
              </w:tc>
              <w:tc>
                <w:tcPr>
                  <w:tcW w:w="209" w:type="pct"/>
                  <w:shd w:val="clear" w:color="auto" w:fill="auto"/>
                  <w:noWrap w:val="0"/>
                  <w:vAlign w:val="center"/>
                </w:tcPr>
                <w:p w14:paraId="5E87681B">
                  <w:pPr>
                    <w:widowControl/>
                    <w:jc w:val="center"/>
                    <w:textAlignment w:val="center"/>
                    <w:rPr>
                      <w:rFonts w:hint="eastAsia" w:ascii="Times New Roman" w:hAnsi="Times New Roman" w:eastAsia="宋体" w:cs="Times New Roman"/>
                      <w:kern w:val="2"/>
                      <w:sz w:val="21"/>
                      <w:szCs w:val="21"/>
                      <w:lang w:val="en-US" w:eastAsia="zh-CN" w:bidi="ar-SA"/>
                    </w:rPr>
                  </w:pPr>
                  <w:r>
                    <w:rPr>
                      <w:rFonts w:hint="eastAsia"/>
                      <w:sz w:val="21"/>
                      <w:szCs w:val="21"/>
                      <w:lang w:val="en-US" w:eastAsia="zh-CN"/>
                    </w:rPr>
                    <w:t>24h</w:t>
                  </w:r>
                </w:p>
              </w:tc>
              <w:tc>
                <w:tcPr>
                  <w:tcW w:w="287" w:type="pct"/>
                  <w:shd w:val="clear" w:color="auto" w:fill="auto"/>
                  <w:noWrap w:val="0"/>
                  <w:vAlign w:val="center"/>
                </w:tcPr>
                <w:p w14:paraId="61072116">
                  <w:pPr>
                    <w:widowControl/>
                    <w:jc w:val="center"/>
                    <w:textAlignment w:val="center"/>
                    <w:rPr>
                      <w:rFonts w:hint="eastAsia" w:ascii="Times New Roman" w:hAnsi="Times New Roman" w:eastAsia="宋体" w:cs="Times New Roman"/>
                      <w:kern w:val="2"/>
                      <w:sz w:val="21"/>
                      <w:szCs w:val="21"/>
                      <w:lang w:val="en-US" w:eastAsia="zh-CN" w:bidi="ar-SA"/>
                    </w:rPr>
                  </w:pPr>
                  <w:r>
                    <w:rPr>
                      <w:rFonts w:hint="eastAsia"/>
                      <w:sz w:val="21"/>
                      <w:szCs w:val="21"/>
                      <w:lang w:val="en-US" w:eastAsia="zh-CN"/>
                    </w:rPr>
                    <w:t>15</w:t>
                  </w:r>
                </w:p>
              </w:tc>
              <w:tc>
                <w:tcPr>
                  <w:tcW w:w="192" w:type="pct"/>
                  <w:noWrap w:val="0"/>
                  <w:vAlign w:val="center"/>
                </w:tcPr>
                <w:p w14:paraId="5DE24D63">
                  <w:pPr>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37.4</w:t>
                  </w:r>
                </w:p>
              </w:tc>
              <w:tc>
                <w:tcPr>
                  <w:tcW w:w="192" w:type="pct"/>
                  <w:noWrap w:val="0"/>
                  <w:vAlign w:val="center"/>
                </w:tcPr>
                <w:p w14:paraId="16866CD1">
                  <w:pPr>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54.6</w:t>
                  </w:r>
                </w:p>
              </w:tc>
              <w:tc>
                <w:tcPr>
                  <w:tcW w:w="192" w:type="pct"/>
                  <w:noWrap w:val="0"/>
                  <w:vAlign w:val="center"/>
                </w:tcPr>
                <w:p w14:paraId="2677DA90">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36.0</w:t>
                  </w:r>
                </w:p>
              </w:tc>
              <w:tc>
                <w:tcPr>
                  <w:tcW w:w="193" w:type="pct"/>
                  <w:noWrap w:val="0"/>
                  <w:vAlign w:val="center"/>
                </w:tcPr>
                <w:p w14:paraId="7C98EE59">
                  <w:pPr>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34.8</w:t>
                  </w:r>
                </w:p>
              </w:tc>
              <w:tc>
                <w:tcPr>
                  <w:tcW w:w="287" w:type="pct"/>
                  <w:noWrap w:val="0"/>
                  <w:vAlign w:val="center"/>
                </w:tcPr>
                <w:p w14:paraId="6EB691E3">
                  <w:pPr>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1m</w:t>
                  </w:r>
                </w:p>
              </w:tc>
            </w:tr>
            <w:tr w14:paraId="3533730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76" w:type="pct"/>
                  <w:vMerge w:val="continue"/>
                  <w:noWrap w:val="0"/>
                  <w:vAlign w:val="top"/>
                </w:tcPr>
                <w:p w14:paraId="3819C609">
                  <w:pPr>
                    <w:jc w:val="center"/>
                    <w:rPr>
                      <w:sz w:val="21"/>
                      <w:szCs w:val="21"/>
                    </w:rPr>
                  </w:pPr>
                </w:p>
              </w:tc>
              <w:tc>
                <w:tcPr>
                  <w:tcW w:w="431" w:type="pct"/>
                  <w:noWrap w:val="0"/>
                  <w:vAlign w:val="center"/>
                </w:tcPr>
                <w:p w14:paraId="78AFCD5A">
                  <w:pPr>
                    <w:keepNext w:val="0"/>
                    <w:keepLines w:val="0"/>
                    <w:widowControl/>
                    <w:suppressLineNumbers w:val="0"/>
                    <w:jc w:val="center"/>
                    <w:textAlignment w:val="center"/>
                    <w:rPr>
                      <w:rFonts w:hint="eastAsia" w:cs="Times New Roman"/>
                      <w:b w:val="0"/>
                      <w:bCs w:val="0"/>
                      <w:color w:val="auto"/>
                      <w:kern w:val="0"/>
                      <w:sz w:val="21"/>
                      <w:szCs w:val="21"/>
                      <w:highlight w:val="none"/>
                      <w:vertAlign w:val="baseline"/>
                      <w:lang w:val="en-US" w:eastAsia="zh-CN" w:bidi="ar"/>
                    </w:rPr>
                  </w:pPr>
                  <w:r>
                    <w:rPr>
                      <w:rFonts w:hint="eastAsia" w:cs="Times New Roman"/>
                      <w:b w:val="0"/>
                      <w:bCs w:val="0"/>
                      <w:color w:val="auto"/>
                      <w:kern w:val="0"/>
                      <w:sz w:val="21"/>
                      <w:szCs w:val="21"/>
                      <w:highlight w:val="none"/>
                      <w:vertAlign w:val="baseline"/>
                      <w:lang w:val="en-US" w:eastAsia="zh-CN" w:bidi="ar"/>
                    </w:rPr>
                    <w:t>空压机</w:t>
                  </w:r>
                </w:p>
              </w:tc>
              <w:tc>
                <w:tcPr>
                  <w:tcW w:w="321" w:type="pct"/>
                  <w:noWrap w:val="0"/>
                  <w:vAlign w:val="center"/>
                </w:tcPr>
                <w:p w14:paraId="3F9BA1E0">
                  <w:pPr>
                    <w:widowControl/>
                    <w:jc w:val="center"/>
                    <w:textAlignment w:val="center"/>
                    <w:rPr>
                      <w:rFonts w:hint="eastAsia"/>
                      <w:color w:val="auto"/>
                      <w:sz w:val="21"/>
                      <w:szCs w:val="21"/>
                      <w:lang w:val="en-US" w:eastAsia="zh-CN"/>
                    </w:rPr>
                  </w:pPr>
                  <w:r>
                    <w:rPr>
                      <w:rFonts w:hint="eastAsia"/>
                      <w:color w:val="auto"/>
                      <w:sz w:val="21"/>
                      <w:szCs w:val="21"/>
                      <w:lang w:val="en-US" w:eastAsia="zh-CN"/>
                    </w:rPr>
                    <w:t>90</w:t>
                  </w:r>
                </w:p>
              </w:tc>
              <w:tc>
                <w:tcPr>
                  <w:tcW w:w="224" w:type="pct"/>
                  <w:vMerge w:val="continue"/>
                  <w:noWrap w:val="0"/>
                  <w:vAlign w:val="top"/>
                </w:tcPr>
                <w:p w14:paraId="01EC95F4">
                  <w:pPr>
                    <w:jc w:val="center"/>
                    <w:rPr>
                      <w:sz w:val="21"/>
                      <w:szCs w:val="21"/>
                    </w:rPr>
                  </w:pPr>
                </w:p>
              </w:tc>
              <w:tc>
                <w:tcPr>
                  <w:tcW w:w="248" w:type="pct"/>
                  <w:shd w:val="clear" w:color="auto" w:fill="auto"/>
                  <w:noWrap w:val="0"/>
                  <w:vAlign w:val="center"/>
                </w:tcPr>
                <w:p w14:paraId="585AFF1D">
                  <w:pPr>
                    <w:widowControl/>
                    <w:jc w:val="center"/>
                    <w:textAlignment w:val="center"/>
                    <w:rPr>
                      <w:rFonts w:hint="default" w:ascii="Times New Roman" w:hAnsi="Times New Roman" w:eastAsia="宋体" w:cs="Times New Roman"/>
                      <w:kern w:val="2"/>
                      <w:sz w:val="21"/>
                      <w:szCs w:val="21"/>
                      <w:lang w:val="en-US" w:eastAsia="zh-CN" w:bidi="ar-SA"/>
                    </w:rPr>
                  </w:pPr>
                  <w:r>
                    <w:rPr>
                      <w:rFonts w:hint="eastAsia"/>
                      <w:sz w:val="21"/>
                      <w:szCs w:val="21"/>
                      <w:lang w:val="en-US" w:eastAsia="zh-CN"/>
                    </w:rPr>
                    <w:t>-142.6</w:t>
                  </w:r>
                </w:p>
              </w:tc>
              <w:tc>
                <w:tcPr>
                  <w:tcW w:w="261" w:type="pct"/>
                  <w:shd w:val="clear" w:color="auto" w:fill="auto"/>
                  <w:noWrap w:val="0"/>
                  <w:vAlign w:val="center"/>
                </w:tcPr>
                <w:p w14:paraId="64CC75CD">
                  <w:pPr>
                    <w:widowControl/>
                    <w:jc w:val="center"/>
                    <w:textAlignment w:val="center"/>
                    <w:rPr>
                      <w:rFonts w:hint="default" w:ascii="Times New Roman" w:hAnsi="Times New Roman" w:eastAsia="宋体" w:cs="Times New Roman"/>
                      <w:kern w:val="2"/>
                      <w:sz w:val="21"/>
                      <w:szCs w:val="21"/>
                      <w:lang w:val="en-US" w:eastAsia="zh-CN" w:bidi="ar-SA"/>
                    </w:rPr>
                  </w:pPr>
                  <w:r>
                    <w:rPr>
                      <w:rFonts w:hint="eastAsia"/>
                      <w:sz w:val="21"/>
                      <w:szCs w:val="21"/>
                      <w:lang w:val="en-US" w:eastAsia="zh-CN"/>
                    </w:rPr>
                    <w:t>176.5</w:t>
                  </w:r>
                </w:p>
              </w:tc>
              <w:tc>
                <w:tcPr>
                  <w:tcW w:w="200" w:type="pct"/>
                  <w:shd w:val="clear" w:color="auto" w:fill="auto"/>
                  <w:noWrap w:val="0"/>
                  <w:vAlign w:val="center"/>
                </w:tcPr>
                <w:p w14:paraId="0BB8EE74">
                  <w:pPr>
                    <w:widowControl/>
                    <w:jc w:val="center"/>
                    <w:textAlignment w:val="center"/>
                    <w:rPr>
                      <w:rFonts w:hint="eastAsia" w:ascii="Times New Roman" w:hAnsi="Times New Roman" w:eastAsia="宋体" w:cs="Times New Roman"/>
                      <w:kern w:val="2"/>
                      <w:sz w:val="21"/>
                      <w:szCs w:val="21"/>
                      <w:lang w:val="en-US" w:eastAsia="zh-CN" w:bidi="ar-SA"/>
                    </w:rPr>
                  </w:pPr>
                  <w:r>
                    <w:rPr>
                      <w:rFonts w:hint="eastAsia"/>
                      <w:sz w:val="21"/>
                      <w:szCs w:val="21"/>
                      <w:lang w:val="en-US" w:eastAsia="zh-CN"/>
                    </w:rPr>
                    <w:t>1.2</w:t>
                  </w:r>
                </w:p>
              </w:tc>
              <w:tc>
                <w:tcPr>
                  <w:tcW w:w="203" w:type="pct"/>
                  <w:shd w:val="clear" w:color="auto" w:fill="auto"/>
                  <w:noWrap w:val="0"/>
                  <w:vAlign w:val="center"/>
                </w:tcPr>
                <w:p w14:paraId="7DB2CCB5">
                  <w:pPr>
                    <w:widowControl/>
                    <w:jc w:val="center"/>
                    <w:textAlignment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220.3</w:t>
                  </w:r>
                </w:p>
              </w:tc>
              <w:tc>
                <w:tcPr>
                  <w:tcW w:w="203" w:type="pct"/>
                  <w:shd w:val="clear" w:color="auto" w:fill="auto"/>
                  <w:noWrap w:val="0"/>
                  <w:vAlign w:val="center"/>
                </w:tcPr>
                <w:p w14:paraId="42D522EF">
                  <w:pPr>
                    <w:widowControl/>
                    <w:jc w:val="center"/>
                    <w:textAlignment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12.4</w:t>
                  </w:r>
                </w:p>
              </w:tc>
              <w:tc>
                <w:tcPr>
                  <w:tcW w:w="203" w:type="pct"/>
                  <w:shd w:val="clear" w:color="auto" w:fill="auto"/>
                  <w:noWrap w:val="0"/>
                  <w:vAlign w:val="center"/>
                </w:tcPr>
                <w:p w14:paraId="1C43B8FC">
                  <w:pPr>
                    <w:widowControl/>
                    <w:jc w:val="center"/>
                    <w:textAlignment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116.1</w:t>
                  </w:r>
                </w:p>
              </w:tc>
              <w:tc>
                <w:tcPr>
                  <w:tcW w:w="204" w:type="pct"/>
                  <w:shd w:val="clear" w:color="auto" w:fill="auto"/>
                  <w:noWrap w:val="0"/>
                  <w:vAlign w:val="center"/>
                </w:tcPr>
                <w:p w14:paraId="208637E7">
                  <w:pPr>
                    <w:widowControl/>
                    <w:jc w:val="center"/>
                    <w:textAlignment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125.3</w:t>
                  </w:r>
                </w:p>
              </w:tc>
              <w:tc>
                <w:tcPr>
                  <w:tcW w:w="191" w:type="pct"/>
                  <w:shd w:val="clear" w:color="auto" w:fill="auto"/>
                  <w:noWrap w:val="0"/>
                  <w:vAlign w:val="center"/>
                </w:tcPr>
                <w:p w14:paraId="2B4C82BA">
                  <w:pPr>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43.1</w:t>
                  </w:r>
                </w:p>
              </w:tc>
              <w:tc>
                <w:tcPr>
                  <w:tcW w:w="191" w:type="pct"/>
                  <w:shd w:val="clear" w:color="auto" w:fill="auto"/>
                  <w:noWrap w:val="0"/>
                  <w:vAlign w:val="center"/>
                </w:tcPr>
                <w:p w14:paraId="3B88F694">
                  <w:pPr>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68.1</w:t>
                  </w:r>
                </w:p>
              </w:tc>
              <w:tc>
                <w:tcPr>
                  <w:tcW w:w="191" w:type="pct"/>
                  <w:shd w:val="clear" w:color="auto" w:fill="auto"/>
                  <w:noWrap w:val="0"/>
                  <w:vAlign w:val="center"/>
                </w:tcPr>
                <w:p w14:paraId="26EE1C27">
                  <w:pPr>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48.7</w:t>
                  </w:r>
                </w:p>
              </w:tc>
              <w:tc>
                <w:tcPr>
                  <w:tcW w:w="191" w:type="pct"/>
                  <w:shd w:val="clear" w:color="auto" w:fill="auto"/>
                  <w:noWrap w:val="0"/>
                  <w:vAlign w:val="center"/>
                </w:tcPr>
                <w:p w14:paraId="6D838CC5">
                  <w:pPr>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18.0</w:t>
                  </w:r>
                </w:p>
              </w:tc>
              <w:tc>
                <w:tcPr>
                  <w:tcW w:w="209" w:type="pct"/>
                  <w:shd w:val="clear" w:color="auto" w:fill="auto"/>
                  <w:noWrap w:val="0"/>
                  <w:vAlign w:val="center"/>
                </w:tcPr>
                <w:p w14:paraId="087D8C9A">
                  <w:pPr>
                    <w:widowControl/>
                    <w:jc w:val="center"/>
                    <w:textAlignment w:val="center"/>
                    <w:rPr>
                      <w:rFonts w:hint="eastAsia" w:ascii="Times New Roman" w:hAnsi="Times New Roman" w:eastAsia="宋体" w:cs="Times New Roman"/>
                      <w:kern w:val="2"/>
                      <w:sz w:val="21"/>
                      <w:szCs w:val="21"/>
                      <w:lang w:val="en-US" w:eastAsia="zh-CN" w:bidi="ar-SA"/>
                    </w:rPr>
                  </w:pPr>
                  <w:r>
                    <w:rPr>
                      <w:rFonts w:hint="eastAsia"/>
                      <w:sz w:val="21"/>
                      <w:szCs w:val="21"/>
                      <w:lang w:val="en-US" w:eastAsia="zh-CN"/>
                    </w:rPr>
                    <w:t>24h</w:t>
                  </w:r>
                </w:p>
              </w:tc>
              <w:tc>
                <w:tcPr>
                  <w:tcW w:w="287" w:type="pct"/>
                  <w:shd w:val="clear" w:color="auto" w:fill="auto"/>
                  <w:noWrap w:val="0"/>
                  <w:vAlign w:val="center"/>
                </w:tcPr>
                <w:p w14:paraId="1B7C05B9">
                  <w:pPr>
                    <w:widowControl/>
                    <w:jc w:val="center"/>
                    <w:textAlignment w:val="center"/>
                    <w:rPr>
                      <w:rFonts w:hint="eastAsia" w:ascii="Times New Roman" w:hAnsi="Times New Roman" w:eastAsia="宋体" w:cs="Times New Roman"/>
                      <w:kern w:val="2"/>
                      <w:sz w:val="21"/>
                      <w:szCs w:val="21"/>
                      <w:lang w:val="en-US" w:eastAsia="zh-CN" w:bidi="ar-SA"/>
                    </w:rPr>
                  </w:pPr>
                  <w:r>
                    <w:rPr>
                      <w:rFonts w:hint="eastAsia"/>
                      <w:sz w:val="21"/>
                      <w:szCs w:val="21"/>
                      <w:lang w:val="en-US" w:eastAsia="zh-CN"/>
                    </w:rPr>
                    <w:t>15</w:t>
                  </w:r>
                </w:p>
              </w:tc>
              <w:tc>
                <w:tcPr>
                  <w:tcW w:w="192" w:type="pct"/>
                  <w:noWrap w:val="0"/>
                  <w:vAlign w:val="center"/>
                </w:tcPr>
                <w:p w14:paraId="257E310E">
                  <w:pPr>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28.1</w:t>
                  </w:r>
                </w:p>
              </w:tc>
              <w:tc>
                <w:tcPr>
                  <w:tcW w:w="192" w:type="pct"/>
                  <w:noWrap w:val="0"/>
                  <w:vAlign w:val="center"/>
                </w:tcPr>
                <w:p w14:paraId="70A2E252">
                  <w:pPr>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53.1</w:t>
                  </w:r>
                </w:p>
              </w:tc>
              <w:tc>
                <w:tcPr>
                  <w:tcW w:w="192" w:type="pct"/>
                  <w:noWrap w:val="0"/>
                  <w:vAlign w:val="center"/>
                </w:tcPr>
                <w:p w14:paraId="1D0466AE">
                  <w:pPr>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33.7</w:t>
                  </w:r>
                </w:p>
              </w:tc>
              <w:tc>
                <w:tcPr>
                  <w:tcW w:w="193" w:type="pct"/>
                  <w:noWrap w:val="0"/>
                  <w:vAlign w:val="center"/>
                </w:tcPr>
                <w:p w14:paraId="09221E7E">
                  <w:pPr>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33.0</w:t>
                  </w:r>
                </w:p>
              </w:tc>
              <w:tc>
                <w:tcPr>
                  <w:tcW w:w="287" w:type="pct"/>
                  <w:noWrap w:val="0"/>
                  <w:vAlign w:val="center"/>
                </w:tcPr>
                <w:p w14:paraId="407E8E21">
                  <w:pPr>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1m</w:t>
                  </w:r>
                </w:p>
              </w:tc>
            </w:tr>
          </w:tbl>
          <w:p w14:paraId="28B7BDC5">
            <w:pPr>
              <w:adjustRightInd w:val="0"/>
              <w:snapToGrid w:val="0"/>
              <w:spacing w:line="360" w:lineRule="auto"/>
              <w:jc w:val="both"/>
              <w:rPr>
                <w:rFonts w:hint="eastAsia" w:ascii="宋体" w:cs="宋体"/>
                <w:b/>
                <w:kern w:val="0"/>
                <w:sz w:val="28"/>
                <w:szCs w:val="28"/>
                <w:highlight w:val="none"/>
                <w:vertAlign w:val="baseline"/>
              </w:rPr>
            </w:pPr>
            <w:r>
              <w:rPr>
                <w:rFonts w:hint="default" w:ascii="Times New Roman" w:hAnsi="Times New Roman" w:eastAsia="宋体" w:cs="Times New Roman"/>
                <w:b w:val="0"/>
                <w:bCs/>
                <w:color w:val="auto"/>
                <w:sz w:val="21"/>
                <w:szCs w:val="21"/>
                <w:lang w:val="en-US" w:eastAsia="zh-CN"/>
              </w:rPr>
              <w:t>表中坐标以厂界中心（</w:t>
            </w:r>
            <w:bookmarkStart w:id="7" w:name="PO_7"/>
            <w:r>
              <w:rPr>
                <w:rFonts w:hint="default" w:ascii="Times New Roman" w:hAnsi="Times New Roman" w:eastAsia="TimesNewRomanPSMT" w:cs="Times New Roman"/>
                <w:b w:val="0"/>
                <w:bCs w:val="0"/>
                <w:color w:val="000000"/>
                <w:sz w:val="21"/>
                <w:szCs w:val="21"/>
                <w:highlight w:val="none"/>
              </w:rPr>
              <w:t>118°</w:t>
            </w:r>
            <w:r>
              <w:rPr>
                <w:rFonts w:hint="eastAsia" w:eastAsia="宋体" w:cs="Times New Roman"/>
                <w:b w:val="0"/>
                <w:bCs w:val="0"/>
                <w:color w:val="000000"/>
                <w:sz w:val="21"/>
                <w:szCs w:val="21"/>
                <w:highlight w:val="none"/>
                <w:lang w:val="en-US" w:eastAsia="zh-CN"/>
              </w:rPr>
              <w:t>23</w:t>
            </w:r>
            <w:r>
              <w:rPr>
                <w:rFonts w:hint="default" w:ascii="Times New Roman" w:hAnsi="Times New Roman" w:eastAsia="TimesNewRomanPSMT" w:cs="Times New Roman"/>
                <w:b w:val="0"/>
                <w:bCs w:val="0"/>
                <w:color w:val="000000"/>
                <w:sz w:val="21"/>
                <w:szCs w:val="21"/>
                <w:highlight w:val="none"/>
              </w:rPr>
              <w:t>′</w:t>
            </w:r>
            <w:r>
              <w:rPr>
                <w:rFonts w:hint="eastAsia" w:eastAsia="宋体" w:cs="Times New Roman"/>
                <w:b w:val="0"/>
                <w:bCs w:val="0"/>
                <w:color w:val="000000"/>
                <w:sz w:val="21"/>
                <w:szCs w:val="21"/>
                <w:highlight w:val="none"/>
                <w:lang w:val="en-US" w:eastAsia="zh-CN"/>
              </w:rPr>
              <w:t>25.886</w:t>
            </w:r>
            <w:r>
              <w:rPr>
                <w:rFonts w:hint="default" w:ascii="Times New Roman" w:hAnsi="Times New Roman" w:eastAsia="TimesNewRomanPSMT" w:cs="Times New Roman"/>
                <w:b w:val="0"/>
                <w:bCs w:val="0"/>
                <w:color w:val="000000"/>
                <w:sz w:val="21"/>
                <w:szCs w:val="21"/>
                <w:highlight w:val="none"/>
              </w:rPr>
              <w:t>″</w:t>
            </w:r>
            <w:r>
              <w:rPr>
                <w:rFonts w:hint="eastAsia" w:eastAsia="宋体" w:cs="Times New Roman"/>
                <w:b w:val="0"/>
                <w:bCs/>
                <w:color w:val="auto"/>
                <w:sz w:val="21"/>
                <w:szCs w:val="21"/>
                <w:lang w:val="en-US" w:eastAsia="zh-CN"/>
              </w:rPr>
              <w:t>，</w:t>
            </w:r>
            <w:bookmarkEnd w:id="7"/>
            <w:r>
              <w:rPr>
                <w:rFonts w:hint="default" w:ascii="Times New Roman" w:hAnsi="Times New Roman" w:eastAsia="TimesNewRomanPSMT" w:cs="Times New Roman"/>
                <w:b w:val="0"/>
                <w:bCs w:val="0"/>
                <w:color w:val="000000"/>
                <w:sz w:val="21"/>
                <w:szCs w:val="21"/>
                <w:highlight w:val="none"/>
              </w:rPr>
              <w:t>3</w:t>
            </w:r>
            <w:r>
              <w:rPr>
                <w:rFonts w:hint="eastAsia" w:eastAsia="宋体" w:cs="Times New Roman"/>
                <w:b w:val="0"/>
                <w:bCs w:val="0"/>
                <w:color w:val="000000"/>
                <w:sz w:val="21"/>
                <w:szCs w:val="21"/>
                <w:highlight w:val="none"/>
                <w:lang w:val="en-US" w:eastAsia="zh-CN"/>
              </w:rPr>
              <w:t>8</w:t>
            </w:r>
            <w:r>
              <w:rPr>
                <w:rFonts w:hint="default" w:ascii="Times New Roman" w:hAnsi="Times New Roman" w:eastAsia="TimesNewRomanPSMT" w:cs="Times New Roman"/>
                <w:b w:val="0"/>
                <w:bCs w:val="0"/>
                <w:color w:val="000000"/>
                <w:sz w:val="21"/>
                <w:szCs w:val="21"/>
                <w:highlight w:val="none"/>
              </w:rPr>
              <w:t>°5</w:t>
            </w:r>
            <w:r>
              <w:rPr>
                <w:rFonts w:hint="eastAsia" w:eastAsia="宋体" w:cs="Times New Roman"/>
                <w:b w:val="0"/>
                <w:bCs w:val="0"/>
                <w:color w:val="000000"/>
                <w:sz w:val="21"/>
                <w:szCs w:val="21"/>
                <w:highlight w:val="none"/>
                <w:lang w:val="en-US" w:eastAsia="zh-CN"/>
              </w:rPr>
              <w:t>8</w:t>
            </w:r>
            <w:r>
              <w:rPr>
                <w:rFonts w:hint="default" w:ascii="Times New Roman" w:hAnsi="Times New Roman" w:eastAsia="TimesNewRomanPSMT" w:cs="Times New Roman"/>
                <w:b w:val="0"/>
                <w:bCs w:val="0"/>
                <w:color w:val="000000"/>
                <w:sz w:val="21"/>
                <w:szCs w:val="21"/>
                <w:highlight w:val="none"/>
              </w:rPr>
              <w:t>′</w:t>
            </w:r>
            <w:r>
              <w:rPr>
                <w:rFonts w:hint="eastAsia" w:eastAsia="宋体" w:cs="Times New Roman"/>
                <w:b w:val="0"/>
                <w:bCs w:val="0"/>
                <w:color w:val="000000"/>
                <w:sz w:val="21"/>
                <w:szCs w:val="21"/>
                <w:highlight w:val="none"/>
                <w:lang w:val="en-US" w:eastAsia="zh-CN"/>
              </w:rPr>
              <w:t>54.926</w:t>
            </w:r>
            <w:r>
              <w:rPr>
                <w:rFonts w:hint="default" w:ascii="Times New Roman" w:hAnsi="Times New Roman" w:eastAsia="TimesNewRomanPSMT" w:cs="Times New Roman"/>
                <w:b w:val="0"/>
                <w:bCs w:val="0"/>
                <w:color w:val="000000"/>
                <w:sz w:val="21"/>
                <w:szCs w:val="21"/>
                <w:highlight w:val="none"/>
              </w:rPr>
              <w:t>″</w:t>
            </w:r>
            <w:r>
              <w:rPr>
                <w:rFonts w:hint="default" w:ascii="Times New Roman" w:hAnsi="Times New Roman" w:eastAsia="宋体" w:cs="Times New Roman"/>
                <w:b w:val="0"/>
                <w:bCs/>
                <w:color w:val="auto"/>
                <w:sz w:val="21"/>
                <w:szCs w:val="21"/>
                <w:lang w:val="en-US" w:eastAsia="zh-CN"/>
              </w:rPr>
              <w:t>）为坐标原点，正东向为X轴正方向，正北向为Y轴正方向</w:t>
            </w:r>
          </w:p>
        </w:tc>
      </w:tr>
    </w:tbl>
    <w:p w14:paraId="35F8D533">
      <w:pPr>
        <w:adjustRightInd w:val="0"/>
        <w:snapToGrid w:val="0"/>
        <w:spacing w:line="360" w:lineRule="auto"/>
        <w:rPr>
          <w:rFonts w:hint="eastAsia" w:ascii="宋体" w:cs="宋体"/>
          <w:b/>
          <w:kern w:val="0"/>
          <w:sz w:val="28"/>
          <w:szCs w:val="28"/>
          <w:highlight w:val="none"/>
        </w:rPr>
        <w:sectPr>
          <w:pgSz w:w="16838" w:h="11905" w:orient="landscape"/>
          <w:pgMar w:top="1531" w:right="1701" w:bottom="1531" w:left="2126" w:header="851" w:footer="850" w:gutter="0"/>
          <w:pgBorders>
            <w:top w:val="none" w:sz="0" w:space="0"/>
            <w:left w:val="none" w:sz="0" w:space="0"/>
            <w:bottom w:val="none" w:sz="0" w:space="0"/>
            <w:right w:val="none" w:sz="0" w:space="0"/>
          </w:pgBorders>
          <w:pgNumType w:fmt="decimal"/>
          <w:cols w:space="720" w:num="1"/>
          <w:rtlGutter w:val="0"/>
          <w:docGrid w:linePitch="312" w:charSpace="0"/>
        </w:sectPr>
      </w:pPr>
    </w:p>
    <w:tbl>
      <w:tblPr>
        <w:tblStyle w:val="2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22"/>
        <w:gridCol w:w="8437"/>
      </w:tblGrid>
      <w:tr w14:paraId="356C49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35" w:hRule="atLeast"/>
        </w:trPr>
        <w:tc>
          <w:tcPr>
            <w:tcW w:w="622" w:type="dxa"/>
            <w:noWrap w:val="0"/>
            <w:vAlign w:val="top"/>
          </w:tcPr>
          <w:p w14:paraId="3FFAC082">
            <w:pPr>
              <w:adjustRightInd w:val="0"/>
              <w:snapToGrid w:val="0"/>
              <w:spacing w:line="360" w:lineRule="auto"/>
              <w:rPr>
                <w:rFonts w:hint="eastAsia" w:ascii="宋体" w:cs="宋体"/>
                <w:b/>
                <w:kern w:val="0"/>
                <w:sz w:val="28"/>
                <w:szCs w:val="28"/>
                <w:highlight w:val="none"/>
                <w:vertAlign w:val="baseline"/>
              </w:rPr>
            </w:pPr>
          </w:p>
        </w:tc>
        <w:tc>
          <w:tcPr>
            <w:tcW w:w="8437" w:type="dxa"/>
            <w:noWrap w:val="0"/>
            <w:vAlign w:val="top"/>
          </w:tcPr>
          <w:p w14:paraId="0A7FAEA6">
            <w:pPr>
              <w:keepNext w:val="0"/>
              <w:keepLines w:val="0"/>
              <w:pageBreakBefore w:val="0"/>
              <w:widowControl w:val="0"/>
              <w:kinsoku/>
              <w:wordWrap/>
              <w:overflowPunct/>
              <w:topLinePunct w:val="0"/>
              <w:autoSpaceDE/>
              <w:autoSpaceDN/>
              <w:bidi w:val="0"/>
              <w:spacing w:line="500" w:lineRule="exact"/>
              <w:jc w:val="left"/>
              <w:textAlignment w:val="auto"/>
              <w:rPr>
                <w:rFonts w:hint="default" w:eastAsia="宋体"/>
                <w:b w:val="0"/>
                <w:bCs w:val="0"/>
                <w:color w:val="auto"/>
                <w:szCs w:val="21"/>
                <w:highlight w:val="none"/>
                <w:lang w:val="en-US" w:eastAsia="zh-CN"/>
              </w:rPr>
            </w:pPr>
            <w:r>
              <w:rPr>
                <w:rFonts w:hint="default" w:ascii="Times New Roman" w:hAnsi="Times New Roman" w:eastAsia="宋体" w:cs="Times New Roman"/>
                <w:b w:val="0"/>
                <w:bCs w:val="0"/>
                <w:color w:val="auto"/>
                <w:kern w:val="2"/>
                <w:sz w:val="24"/>
                <w:szCs w:val="24"/>
                <w:highlight w:val="none"/>
                <w:lang w:val="en-US" w:eastAsia="zh-CN" w:bidi="ar-SA"/>
              </w:rPr>
              <w:t>（</w:t>
            </w:r>
            <w:r>
              <w:rPr>
                <w:rFonts w:hint="eastAsia" w:ascii="Times New Roman" w:hAnsi="Times New Roman" w:eastAsia="宋体" w:cs="Times New Roman"/>
                <w:b w:val="0"/>
                <w:bCs w:val="0"/>
                <w:color w:val="auto"/>
                <w:kern w:val="2"/>
                <w:sz w:val="24"/>
                <w:szCs w:val="24"/>
                <w:highlight w:val="none"/>
                <w:lang w:val="en-US" w:eastAsia="zh-CN" w:bidi="ar-SA"/>
              </w:rPr>
              <w:t>2</w:t>
            </w:r>
            <w:r>
              <w:rPr>
                <w:rFonts w:hint="default" w:ascii="Times New Roman" w:hAnsi="Times New Roman" w:eastAsia="宋体" w:cs="Times New Roman"/>
                <w:b w:val="0"/>
                <w:bCs w:val="0"/>
                <w:color w:val="auto"/>
                <w:kern w:val="2"/>
                <w:sz w:val="24"/>
                <w:szCs w:val="24"/>
                <w:highlight w:val="none"/>
                <w:lang w:val="en-US" w:eastAsia="zh-CN" w:bidi="ar-SA"/>
              </w:rPr>
              <w:t>）</w:t>
            </w:r>
            <w:r>
              <w:rPr>
                <w:rFonts w:hint="eastAsia"/>
                <w:b w:val="0"/>
                <w:bCs w:val="0"/>
                <w:color w:val="auto"/>
                <w:szCs w:val="21"/>
                <w:highlight w:val="none"/>
                <w:lang w:val="en-US" w:eastAsia="zh-CN"/>
              </w:rPr>
              <w:t>噪声影响分析</w:t>
            </w:r>
          </w:p>
          <w:p w14:paraId="3427DA1C">
            <w:pPr>
              <w:keepNext w:val="0"/>
              <w:keepLines w:val="0"/>
              <w:pageBreakBefore w:val="0"/>
              <w:widowControl w:val="0"/>
              <w:kinsoku/>
              <w:wordWrap/>
              <w:overflowPunct/>
              <w:topLinePunct w:val="0"/>
              <w:autoSpaceDE/>
              <w:autoSpaceDN/>
              <w:bidi w:val="0"/>
              <w:spacing w:line="500" w:lineRule="exact"/>
              <w:ind w:firstLine="480" w:firstLineChars="200"/>
              <w:jc w:val="left"/>
              <w:textAlignment w:val="auto"/>
              <w:rPr>
                <w:color w:val="auto"/>
                <w:szCs w:val="21"/>
                <w:highlight w:val="none"/>
              </w:rPr>
            </w:pPr>
            <w:r>
              <w:rPr>
                <w:color w:val="auto"/>
                <w:szCs w:val="21"/>
                <w:highlight w:val="none"/>
              </w:rPr>
              <w:t>（</w:t>
            </w:r>
            <w:r>
              <w:rPr>
                <w:rFonts w:hint="eastAsia"/>
                <w:color w:val="auto"/>
                <w:szCs w:val="21"/>
                <w:highlight w:val="none"/>
                <w:lang w:val="en-US" w:eastAsia="zh-CN"/>
              </w:rPr>
              <w:t>1</w:t>
            </w:r>
            <w:r>
              <w:rPr>
                <w:color w:val="auto"/>
                <w:szCs w:val="21"/>
                <w:highlight w:val="none"/>
              </w:rPr>
              <w:t>）预测模式</w:t>
            </w:r>
          </w:p>
          <w:p w14:paraId="2C81498E">
            <w:pPr>
              <w:keepNext w:val="0"/>
              <w:keepLines w:val="0"/>
              <w:pageBreakBefore w:val="0"/>
              <w:widowControl w:val="0"/>
              <w:kinsoku/>
              <w:wordWrap/>
              <w:overflowPunct/>
              <w:topLinePunct w:val="0"/>
              <w:autoSpaceDE/>
              <w:autoSpaceDN/>
              <w:bidi w:val="0"/>
              <w:adjustRightInd w:val="0"/>
              <w:snapToGrid w:val="0"/>
              <w:spacing w:line="500" w:lineRule="exact"/>
              <w:ind w:firstLine="480"/>
              <w:textAlignment w:val="auto"/>
              <w:rPr>
                <w:color w:val="auto"/>
                <w:szCs w:val="21"/>
                <w:highlight w:val="none"/>
              </w:rPr>
            </w:pPr>
            <w:r>
              <w:rPr>
                <w:color w:val="auto"/>
                <w:szCs w:val="21"/>
                <w:highlight w:val="none"/>
              </w:rPr>
              <w:t>1）单个室外的点声源在预测点产生的声级计算基本公式</w:t>
            </w:r>
          </w:p>
          <w:p w14:paraId="075A61BE">
            <w:pPr>
              <w:pStyle w:val="71"/>
              <w:keepNext w:val="0"/>
              <w:keepLines w:val="0"/>
              <w:pageBreakBefore w:val="0"/>
              <w:widowControl w:val="0"/>
              <w:kinsoku/>
              <w:wordWrap/>
              <w:overflowPunct/>
              <w:topLinePunct w:val="0"/>
              <w:autoSpaceDE/>
              <w:autoSpaceDN/>
              <w:bidi w:val="0"/>
              <w:adjustRightInd w:val="0"/>
              <w:snapToGrid w:val="0"/>
              <w:spacing w:line="500" w:lineRule="exact"/>
              <w:ind w:firstLine="480"/>
              <w:textAlignment w:val="auto"/>
              <w:rPr>
                <w:color w:val="auto"/>
                <w:szCs w:val="21"/>
                <w:highlight w:val="none"/>
              </w:rPr>
            </w:pPr>
            <w:r>
              <w:rPr>
                <w:color w:val="auto"/>
                <w:szCs w:val="21"/>
                <w:highlight w:val="none"/>
              </w:rPr>
              <w:t>已知声源的倍频带声功率级(从63Hz到8000Hz标称频带中心频率的8个倍频带)，预测点位置的倍频带声压级Lp(r)可按下式计算：</w:t>
            </w:r>
          </w:p>
          <w:p w14:paraId="58125AB0">
            <w:pPr>
              <w:pStyle w:val="71"/>
              <w:keepNext w:val="0"/>
              <w:keepLines w:val="0"/>
              <w:pageBreakBefore w:val="0"/>
              <w:widowControl w:val="0"/>
              <w:kinsoku/>
              <w:wordWrap/>
              <w:overflowPunct/>
              <w:topLinePunct w:val="0"/>
              <w:autoSpaceDE/>
              <w:autoSpaceDN/>
              <w:bidi w:val="0"/>
              <w:adjustRightInd w:val="0"/>
              <w:snapToGrid w:val="0"/>
              <w:spacing w:line="500" w:lineRule="exact"/>
              <w:ind w:firstLine="480"/>
              <w:textAlignment w:val="auto"/>
              <w:rPr>
                <w:rFonts w:hint="default" w:eastAsia="宋体"/>
                <w:color w:val="auto"/>
                <w:szCs w:val="21"/>
                <w:highlight w:val="none"/>
                <w:lang w:val="en-US" w:eastAsia="zh-CN"/>
              </w:rPr>
            </w:pPr>
            <m:oMathPara>
              <m:oMath>
                <m:sSub>
                  <m:sSubPr>
                    <m:ctrlPr>
                      <w:rPr>
                        <w:rFonts w:hint="default" w:ascii="Cambria Math" w:hAnsi="Cambria Math"/>
                        <w:i/>
                        <w:color w:val="auto"/>
                        <w:szCs w:val="21"/>
                        <w:highlight w:val="none"/>
                      </w:rPr>
                    </m:ctrlPr>
                  </m:sSubPr>
                  <m:e>
                    <m:r>
                      <m:rPr/>
                      <w:rPr>
                        <w:rFonts w:hint="default" w:ascii="Cambria Math" w:hAnsi="Cambria Math"/>
                        <w:color w:val="auto"/>
                        <w:szCs w:val="21"/>
                        <w:highlight w:val="none"/>
                        <w:lang w:val="en-US" w:eastAsia="zh-CN"/>
                      </w:rPr>
                      <m:t>L</m:t>
                    </m:r>
                    <m:ctrlPr>
                      <w:rPr>
                        <w:rFonts w:hint="default" w:ascii="Cambria Math" w:hAnsi="Cambria Math"/>
                        <w:i/>
                        <w:color w:val="auto"/>
                        <w:szCs w:val="21"/>
                        <w:highlight w:val="none"/>
                      </w:rPr>
                    </m:ctrlPr>
                  </m:e>
                  <m:sub>
                    <m:r>
                      <m:rPr/>
                      <w:rPr>
                        <w:rFonts w:hint="default" w:ascii="Cambria Math" w:hAnsi="Cambria Math"/>
                        <w:color w:val="auto"/>
                        <w:szCs w:val="21"/>
                        <w:highlight w:val="none"/>
                        <w:lang w:val="en-US" w:eastAsia="zh-CN"/>
                      </w:rPr>
                      <m:t>p</m:t>
                    </m:r>
                    <m:ctrlPr>
                      <w:rPr>
                        <w:rFonts w:hint="default" w:ascii="Cambria Math" w:hAnsi="Cambria Math"/>
                        <w:i/>
                        <w:color w:val="auto"/>
                        <w:szCs w:val="21"/>
                        <w:highlight w:val="none"/>
                      </w:rPr>
                    </m:ctrlPr>
                  </m:sub>
                </m:sSub>
                <m:r>
                  <m:rPr/>
                  <w:rPr>
                    <w:rFonts w:hint="default" w:ascii="Cambria Math" w:hAnsi="Cambria Math"/>
                    <w:color w:val="auto"/>
                    <w:szCs w:val="21"/>
                    <w:highlight w:val="none"/>
                    <w:lang w:eastAsia="zh-CN"/>
                  </w:rPr>
                  <m:t>（</m:t>
                </m:r>
                <m:r>
                  <m:rPr/>
                  <w:rPr>
                    <w:rFonts w:hint="default" w:ascii="Cambria Math" w:hAnsi="Cambria Math"/>
                    <w:color w:val="auto"/>
                    <w:szCs w:val="21"/>
                    <w:highlight w:val="none"/>
                    <w:lang w:val="en-US" w:eastAsia="zh-CN"/>
                  </w:rPr>
                  <m:t>r</m:t>
                </m:r>
                <m:r>
                  <m:rPr/>
                  <w:rPr>
                    <w:rFonts w:hint="default" w:ascii="Cambria Math" w:hAnsi="Cambria Math"/>
                    <w:color w:val="auto"/>
                    <w:szCs w:val="21"/>
                    <w:highlight w:val="none"/>
                    <w:lang w:eastAsia="zh-CN"/>
                  </w:rPr>
                  <m:t>）</m:t>
                </m:r>
                <m:r>
                  <m:rPr/>
                  <w:rPr>
                    <w:rFonts w:hint="default" w:ascii="Cambria Math" w:hAnsi="Cambria Math"/>
                    <w:color w:val="auto"/>
                    <w:szCs w:val="21"/>
                    <w:highlight w:val="none"/>
                    <w:lang w:val="en-US" w:eastAsia="zh-CN"/>
                  </w:rPr>
                  <m:t>=</m:t>
                </m:r>
                <m:sSub>
                  <m:sSubPr>
                    <m:ctrlPr>
                      <w:rPr>
                        <w:rFonts w:hint="default" w:ascii="Cambria Math" w:hAnsi="Cambria Math"/>
                        <w:i/>
                        <w:color w:val="auto"/>
                        <w:szCs w:val="21"/>
                        <w:highlight w:val="none"/>
                      </w:rPr>
                    </m:ctrlPr>
                  </m:sSubPr>
                  <m:e>
                    <m:r>
                      <m:rPr/>
                      <w:rPr>
                        <w:rFonts w:hint="default" w:ascii="Cambria Math" w:hAnsi="Cambria Math"/>
                        <w:color w:val="auto"/>
                        <w:szCs w:val="21"/>
                        <w:highlight w:val="none"/>
                        <w:lang w:val="en-US" w:eastAsia="zh-CN"/>
                      </w:rPr>
                      <m:t>L</m:t>
                    </m:r>
                    <m:ctrlPr>
                      <w:rPr>
                        <w:rFonts w:hint="default" w:ascii="Cambria Math" w:hAnsi="Cambria Math"/>
                        <w:i/>
                        <w:color w:val="auto"/>
                        <w:szCs w:val="21"/>
                        <w:highlight w:val="none"/>
                      </w:rPr>
                    </m:ctrlPr>
                  </m:e>
                  <m:sub>
                    <m:r>
                      <m:rPr/>
                      <w:rPr>
                        <w:rFonts w:hint="default" w:ascii="Cambria Math" w:hAnsi="Cambria Math"/>
                        <w:color w:val="auto"/>
                        <w:szCs w:val="21"/>
                        <w:highlight w:val="none"/>
                        <w:lang w:val="en-US" w:eastAsia="zh-CN"/>
                      </w:rPr>
                      <m:t>w</m:t>
                    </m:r>
                    <m:ctrlPr>
                      <w:rPr>
                        <w:rFonts w:hint="default" w:ascii="Cambria Math" w:hAnsi="Cambria Math"/>
                        <w:i/>
                        <w:color w:val="auto"/>
                        <w:szCs w:val="21"/>
                        <w:highlight w:val="none"/>
                      </w:rPr>
                    </m:ctrlPr>
                  </m:sub>
                </m:sSub>
                <m:r>
                  <m:rPr/>
                  <w:rPr>
                    <w:rFonts w:hint="default" w:ascii="Cambria Math" w:hAnsi="Cambria Math"/>
                    <w:color w:val="auto"/>
                    <w:szCs w:val="21"/>
                    <w:highlight w:val="none"/>
                    <w:lang w:val="en-US" w:eastAsia="zh-CN"/>
                  </w:rPr>
                  <m:t>+</m:t>
                </m:r>
                <m:sSub>
                  <m:sSubPr>
                    <m:ctrlPr>
                      <w:rPr>
                        <w:rFonts w:hint="default" w:ascii="Cambria Math" w:hAnsi="Cambria Math"/>
                        <w:i/>
                        <w:color w:val="auto"/>
                        <w:szCs w:val="21"/>
                        <w:highlight w:val="none"/>
                      </w:rPr>
                    </m:ctrlPr>
                  </m:sSubPr>
                  <m:e>
                    <m:r>
                      <m:rPr/>
                      <w:rPr>
                        <w:rFonts w:hint="default" w:ascii="Cambria Math" w:hAnsi="Cambria Math"/>
                        <w:color w:val="auto"/>
                        <w:szCs w:val="21"/>
                        <w:highlight w:val="none"/>
                        <w:lang w:val="en-US" w:eastAsia="zh-CN"/>
                      </w:rPr>
                      <m:t>D</m:t>
                    </m:r>
                    <m:ctrlPr>
                      <w:rPr>
                        <w:rFonts w:hint="default" w:ascii="Cambria Math" w:hAnsi="Cambria Math"/>
                        <w:i/>
                        <w:color w:val="auto"/>
                        <w:szCs w:val="21"/>
                        <w:highlight w:val="none"/>
                      </w:rPr>
                    </m:ctrlPr>
                  </m:e>
                  <m:sub>
                    <m:r>
                      <m:rPr/>
                      <w:rPr>
                        <w:rFonts w:hint="default" w:ascii="Cambria Math" w:hAnsi="Cambria Math"/>
                        <w:color w:val="auto"/>
                        <w:szCs w:val="21"/>
                        <w:highlight w:val="none"/>
                        <w:lang w:val="en-US" w:eastAsia="zh-CN"/>
                      </w:rPr>
                      <m:t>c</m:t>
                    </m:r>
                    <m:ctrlPr>
                      <w:rPr>
                        <w:rFonts w:hint="default" w:ascii="Cambria Math" w:hAnsi="Cambria Math"/>
                        <w:i/>
                        <w:color w:val="auto"/>
                        <w:szCs w:val="21"/>
                        <w:highlight w:val="none"/>
                      </w:rPr>
                    </m:ctrlPr>
                  </m:sub>
                </m:sSub>
                <m:r>
                  <m:rPr>
                    <m:sty m:val="p"/>
                  </m:rPr>
                  <w:rPr>
                    <w:rFonts w:hint="eastAsia"/>
                    <w:color w:val="auto"/>
                    <w:szCs w:val="21"/>
                    <w:highlight w:val="none"/>
                    <w:lang w:val="en-US" w:eastAsia="zh-CN"/>
                  </w:rPr>
                  <m:t>−A</m:t>
                </m:r>
              </m:oMath>
            </m:oMathPara>
          </w:p>
          <w:p w14:paraId="69B94205">
            <w:pPr>
              <w:pStyle w:val="71"/>
              <w:keepNext w:val="0"/>
              <w:keepLines w:val="0"/>
              <w:pageBreakBefore w:val="0"/>
              <w:widowControl w:val="0"/>
              <w:kinsoku/>
              <w:wordWrap/>
              <w:overflowPunct/>
              <w:topLinePunct w:val="0"/>
              <w:autoSpaceDE/>
              <w:autoSpaceDN/>
              <w:bidi w:val="0"/>
              <w:adjustRightInd w:val="0"/>
              <w:snapToGrid w:val="0"/>
              <w:spacing w:line="500" w:lineRule="exact"/>
              <w:ind w:firstLine="480"/>
              <w:textAlignment w:val="auto"/>
              <w:rPr>
                <w:rFonts w:hint="eastAsia" w:eastAsia="宋体"/>
                <w:color w:val="auto"/>
                <w:szCs w:val="21"/>
                <w:highlight w:val="none"/>
                <w:lang w:val="en-US" w:eastAsia="zh-CN"/>
              </w:rPr>
            </w:pPr>
            <m:oMathPara>
              <m:oMath>
                <m:r>
                  <m:rPr>
                    <m:sty m:val="p"/>
                  </m:rPr>
                  <w:rPr>
                    <w:color w:val="auto"/>
                    <w:szCs w:val="21"/>
                    <w:highlight w:val="none"/>
                  </w:rPr>
                  <m:t>A</m:t>
                </m:r>
                <m:r>
                  <m:rPr>
                    <m:sty m:val="p"/>
                  </m:rPr>
                  <w:rPr>
                    <w:rFonts w:hint="default" w:ascii="Cambria Math" w:hAnsi="Cambria Math"/>
                    <w:color w:val="auto"/>
                    <w:szCs w:val="21"/>
                    <w:highlight w:val="none"/>
                    <w:lang w:val="en-US" w:eastAsia="zh-CN"/>
                  </w:rPr>
                  <m:t>=</m:t>
                </m:r>
                <m:sSub>
                  <m:sSubPr>
                    <m:ctrlPr>
                      <w:rPr>
                        <w:rFonts w:hint="default" w:ascii="Cambria Math" w:hAnsi="Cambria Math"/>
                        <w:color w:val="auto"/>
                        <w:szCs w:val="21"/>
                        <w:highlight w:val="none"/>
                        <w:lang w:val="en-US" w:eastAsia="zh-CN"/>
                      </w:rPr>
                    </m:ctrlPr>
                  </m:sSubPr>
                  <m:e>
                    <m:r>
                      <m:rPr>
                        <m:sty m:val="p"/>
                      </m:rPr>
                      <w:rPr>
                        <w:rFonts w:hint="default" w:ascii="Cambria Math" w:hAnsi="Cambria Math"/>
                        <w:color w:val="auto"/>
                        <w:szCs w:val="21"/>
                        <w:highlight w:val="none"/>
                        <w:lang w:val="en-US" w:eastAsia="zh-CN"/>
                      </w:rPr>
                      <m:t>A</m:t>
                    </m:r>
                    <m:ctrlPr>
                      <w:rPr>
                        <w:rFonts w:hint="default" w:ascii="Cambria Math" w:hAnsi="Cambria Math"/>
                        <w:color w:val="auto"/>
                        <w:szCs w:val="21"/>
                        <w:highlight w:val="none"/>
                        <w:lang w:val="en-US" w:eastAsia="zh-CN"/>
                      </w:rPr>
                    </m:ctrlPr>
                  </m:e>
                  <m:sub>
                    <m:r>
                      <m:rPr>
                        <m:sty m:val="p"/>
                      </m:rPr>
                      <w:rPr>
                        <w:rFonts w:hint="default" w:ascii="Cambria Math" w:hAnsi="Cambria Math"/>
                        <w:color w:val="auto"/>
                        <w:szCs w:val="21"/>
                        <w:highlight w:val="none"/>
                        <w:lang w:val="en-US" w:eastAsia="zh-CN"/>
                      </w:rPr>
                      <m:t>div</m:t>
                    </m:r>
                    <m:ctrlPr>
                      <w:rPr>
                        <w:rFonts w:hint="default" w:ascii="Cambria Math" w:hAnsi="Cambria Math"/>
                        <w:color w:val="auto"/>
                        <w:szCs w:val="21"/>
                        <w:highlight w:val="none"/>
                        <w:lang w:val="en-US" w:eastAsia="zh-CN"/>
                      </w:rPr>
                    </m:ctrlPr>
                  </m:sub>
                </m:sSub>
                <m:r>
                  <m:rPr>
                    <m:sty m:val="p"/>
                  </m:rPr>
                  <w:rPr>
                    <w:rFonts w:hint="default" w:ascii="Cambria Math" w:hAnsi="Cambria Math"/>
                    <w:color w:val="auto"/>
                    <w:szCs w:val="21"/>
                    <w:highlight w:val="none"/>
                    <w:lang w:val="en-US" w:eastAsia="zh-CN"/>
                  </w:rPr>
                  <m:t>+</m:t>
                </m:r>
                <m:sSub>
                  <m:sSubPr>
                    <m:ctrlPr>
                      <w:rPr>
                        <w:rFonts w:hint="default" w:ascii="Cambria Math" w:hAnsi="Cambria Math"/>
                        <w:color w:val="auto"/>
                        <w:szCs w:val="21"/>
                        <w:highlight w:val="none"/>
                        <w:lang w:val="en-US" w:eastAsia="zh-CN"/>
                      </w:rPr>
                    </m:ctrlPr>
                  </m:sSubPr>
                  <m:e>
                    <m:r>
                      <m:rPr>
                        <m:sty m:val="p"/>
                      </m:rPr>
                      <w:rPr>
                        <w:rFonts w:hint="default" w:ascii="Cambria Math" w:hAnsi="Cambria Math"/>
                        <w:color w:val="auto"/>
                        <w:szCs w:val="21"/>
                        <w:highlight w:val="none"/>
                        <w:lang w:val="en-US" w:eastAsia="zh-CN"/>
                      </w:rPr>
                      <m:t>A</m:t>
                    </m:r>
                    <m:ctrlPr>
                      <w:rPr>
                        <w:rFonts w:hint="default" w:ascii="Cambria Math" w:hAnsi="Cambria Math"/>
                        <w:color w:val="auto"/>
                        <w:szCs w:val="21"/>
                        <w:highlight w:val="none"/>
                        <w:lang w:val="en-US" w:eastAsia="zh-CN"/>
                      </w:rPr>
                    </m:ctrlPr>
                  </m:e>
                  <m:sub>
                    <m:r>
                      <m:rPr>
                        <m:sty m:val="p"/>
                      </m:rPr>
                      <w:rPr>
                        <w:rFonts w:hint="default" w:ascii="Cambria Math" w:hAnsi="Cambria Math"/>
                        <w:color w:val="auto"/>
                        <w:szCs w:val="21"/>
                        <w:highlight w:val="none"/>
                        <w:lang w:val="en-US" w:eastAsia="zh-CN"/>
                      </w:rPr>
                      <m:t>gr</m:t>
                    </m:r>
                    <m:ctrlPr>
                      <w:rPr>
                        <w:rFonts w:hint="default" w:ascii="Cambria Math" w:hAnsi="Cambria Math"/>
                        <w:color w:val="auto"/>
                        <w:szCs w:val="21"/>
                        <w:highlight w:val="none"/>
                        <w:lang w:val="en-US" w:eastAsia="zh-CN"/>
                      </w:rPr>
                    </m:ctrlPr>
                  </m:sub>
                </m:sSub>
                <m:r>
                  <m:rPr>
                    <m:sty m:val="p"/>
                  </m:rPr>
                  <w:rPr>
                    <w:rFonts w:hint="default" w:ascii="Cambria Math" w:hAnsi="Cambria Math"/>
                    <w:color w:val="auto"/>
                    <w:szCs w:val="21"/>
                    <w:highlight w:val="none"/>
                    <w:lang w:val="en-US" w:eastAsia="zh-CN"/>
                  </w:rPr>
                  <m:t>+</m:t>
                </m:r>
                <m:sSub>
                  <m:sSubPr>
                    <m:ctrlPr>
                      <w:rPr>
                        <w:rFonts w:hint="default" w:ascii="Cambria Math" w:hAnsi="Cambria Math"/>
                        <w:color w:val="auto"/>
                        <w:szCs w:val="21"/>
                        <w:highlight w:val="none"/>
                        <w:lang w:val="en-US" w:eastAsia="zh-CN"/>
                      </w:rPr>
                    </m:ctrlPr>
                  </m:sSubPr>
                  <m:e>
                    <m:r>
                      <m:rPr>
                        <m:sty m:val="p"/>
                      </m:rPr>
                      <w:rPr>
                        <w:rFonts w:hint="default" w:ascii="Cambria Math" w:hAnsi="Cambria Math"/>
                        <w:color w:val="auto"/>
                        <w:szCs w:val="21"/>
                        <w:highlight w:val="none"/>
                        <w:lang w:val="en-US" w:eastAsia="zh-CN"/>
                      </w:rPr>
                      <m:t>A</m:t>
                    </m:r>
                    <m:ctrlPr>
                      <w:rPr>
                        <w:rFonts w:hint="default" w:ascii="Cambria Math" w:hAnsi="Cambria Math"/>
                        <w:color w:val="auto"/>
                        <w:szCs w:val="21"/>
                        <w:highlight w:val="none"/>
                        <w:lang w:val="en-US" w:eastAsia="zh-CN"/>
                      </w:rPr>
                    </m:ctrlPr>
                  </m:e>
                  <m:sub>
                    <m:r>
                      <m:rPr>
                        <m:sty m:val="p"/>
                      </m:rPr>
                      <w:rPr>
                        <w:rFonts w:hint="default" w:ascii="Cambria Math" w:hAnsi="Cambria Math"/>
                        <w:color w:val="auto"/>
                        <w:szCs w:val="21"/>
                        <w:highlight w:val="none"/>
                        <w:lang w:val="en-US" w:eastAsia="zh-CN"/>
                      </w:rPr>
                      <m:t>atm</m:t>
                    </m:r>
                    <m:ctrlPr>
                      <w:rPr>
                        <w:rFonts w:hint="default" w:ascii="Cambria Math" w:hAnsi="Cambria Math"/>
                        <w:color w:val="auto"/>
                        <w:szCs w:val="21"/>
                        <w:highlight w:val="none"/>
                        <w:lang w:val="en-US" w:eastAsia="zh-CN"/>
                      </w:rPr>
                    </m:ctrlPr>
                  </m:sub>
                </m:sSub>
                <m:r>
                  <m:rPr>
                    <m:sty m:val="p"/>
                  </m:rPr>
                  <w:rPr>
                    <w:rFonts w:hint="default" w:ascii="Cambria Math" w:hAnsi="Cambria Math"/>
                    <w:color w:val="auto"/>
                    <w:szCs w:val="21"/>
                    <w:highlight w:val="none"/>
                    <w:lang w:val="en-US" w:eastAsia="zh-CN"/>
                  </w:rPr>
                  <m:t>+</m:t>
                </m:r>
                <m:sSub>
                  <m:sSubPr>
                    <m:ctrlPr>
                      <w:rPr>
                        <w:rFonts w:hint="default" w:ascii="Cambria Math" w:hAnsi="Cambria Math"/>
                        <w:color w:val="auto"/>
                        <w:szCs w:val="21"/>
                        <w:highlight w:val="none"/>
                        <w:lang w:val="en-US" w:eastAsia="zh-CN"/>
                      </w:rPr>
                    </m:ctrlPr>
                  </m:sSubPr>
                  <m:e>
                    <m:r>
                      <m:rPr>
                        <m:sty m:val="p"/>
                      </m:rPr>
                      <w:rPr>
                        <w:rFonts w:hint="default" w:ascii="Cambria Math" w:hAnsi="Cambria Math"/>
                        <w:color w:val="auto"/>
                        <w:szCs w:val="21"/>
                        <w:highlight w:val="none"/>
                        <w:lang w:val="en-US" w:eastAsia="zh-CN"/>
                      </w:rPr>
                      <m:t>A</m:t>
                    </m:r>
                    <m:ctrlPr>
                      <w:rPr>
                        <w:rFonts w:hint="default" w:ascii="Cambria Math" w:hAnsi="Cambria Math"/>
                        <w:color w:val="auto"/>
                        <w:szCs w:val="21"/>
                        <w:highlight w:val="none"/>
                        <w:lang w:val="en-US" w:eastAsia="zh-CN"/>
                      </w:rPr>
                    </m:ctrlPr>
                  </m:e>
                  <m:sub>
                    <m:r>
                      <m:rPr>
                        <m:sty m:val="p"/>
                      </m:rPr>
                      <w:rPr>
                        <w:rFonts w:hint="default" w:ascii="Cambria Math" w:hAnsi="Cambria Math"/>
                        <w:color w:val="auto"/>
                        <w:szCs w:val="21"/>
                        <w:highlight w:val="none"/>
                        <w:lang w:val="en-US" w:eastAsia="zh-CN"/>
                      </w:rPr>
                      <m:t>bar</m:t>
                    </m:r>
                    <m:ctrlPr>
                      <w:rPr>
                        <w:rFonts w:hint="default" w:ascii="Cambria Math" w:hAnsi="Cambria Math"/>
                        <w:color w:val="auto"/>
                        <w:szCs w:val="21"/>
                        <w:highlight w:val="none"/>
                        <w:lang w:val="en-US" w:eastAsia="zh-CN"/>
                      </w:rPr>
                    </m:ctrlPr>
                  </m:sub>
                </m:sSub>
                <m:r>
                  <m:rPr>
                    <m:sty m:val="p"/>
                  </m:rPr>
                  <w:rPr>
                    <w:rFonts w:hint="default" w:ascii="Cambria Math" w:hAnsi="Cambria Math"/>
                    <w:color w:val="auto"/>
                    <w:szCs w:val="21"/>
                    <w:highlight w:val="none"/>
                    <w:lang w:val="en-US" w:eastAsia="zh-CN"/>
                  </w:rPr>
                  <m:t>+</m:t>
                </m:r>
                <m:sSub>
                  <m:sSubPr>
                    <m:ctrlPr>
                      <w:rPr>
                        <w:rFonts w:hint="default" w:ascii="Cambria Math" w:hAnsi="Cambria Math"/>
                        <w:color w:val="auto"/>
                        <w:szCs w:val="21"/>
                        <w:highlight w:val="none"/>
                        <w:lang w:val="en-US" w:eastAsia="zh-CN"/>
                      </w:rPr>
                    </m:ctrlPr>
                  </m:sSubPr>
                  <m:e>
                    <m:r>
                      <m:rPr>
                        <m:sty m:val="p"/>
                      </m:rPr>
                      <w:rPr>
                        <w:rFonts w:hint="default" w:ascii="Cambria Math" w:hAnsi="Cambria Math"/>
                        <w:color w:val="auto"/>
                        <w:szCs w:val="21"/>
                        <w:highlight w:val="none"/>
                        <w:lang w:val="en-US" w:eastAsia="zh-CN"/>
                      </w:rPr>
                      <m:t>A</m:t>
                    </m:r>
                    <m:ctrlPr>
                      <w:rPr>
                        <w:rFonts w:hint="default" w:ascii="Cambria Math" w:hAnsi="Cambria Math"/>
                        <w:color w:val="auto"/>
                        <w:szCs w:val="21"/>
                        <w:highlight w:val="none"/>
                        <w:lang w:val="en-US" w:eastAsia="zh-CN"/>
                      </w:rPr>
                    </m:ctrlPr>
                  </m:e>
                  <m:sub>
                    <m:r>
                      <m:rPr>
                        <m:sty m:val="p"/>
                      </m:rPr>
                      <w:rPr>
                        <w:rFonts w:hint="default" w:ascii="Cambria Math" w:hAnsi="Cambria Math"/>
                        <w:color w:val="auto"/>
                        <w:szCs w:val="21"/>
                        <w:highlight w:val="none"/>
                        <w:lang w:val="en-US" w:eastAsia="zh-CN"/>
                      </w:rPr>
                      <m:t>misc</m:t>
                    </m:r>
                    <m:ctrlPr>
                      <w:rPr>
                        <w:rFonts w:hint="default" w:ascii="Cambria Math" w:hAnsi="Cambria Math"/>
                        <w:color w:val="auto"/>
                        <w:szCs w:val="21"/>
                        <w:highlight w:val="none"/>
                        <w:lang w:val="en-US" w:eastAsia="zh-CN"/>
                      </w:rPr>
                    </m:ctrlPr>
                  </m:sub>
                </m:sSub>
              </m:oMath>
            </m:oMathPara>
          </w:p>
          <w:p w14:paraId="00A41C85">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式中：L</w:t>
            </w:r>
            <w:r>
              <w:rPr>
                <w:color w:val="auto"/>
                <w:szCs w:val="21"/>
                <w:highlight w:val="none"/>
                <w:vertAlign w:val="subscript"/>
              </w:rPr>
              <w:t>p</w:t>
            </w:r>
            <w:r>
              <w:rPr>
                <w:color w:val="auto"/>
                <w:szCs w:val="21"/>
                <w:highlight w:val="none"/>
              </w:rPr>
              <w:t>(r)</w:t>
            </w:r>
            <w:r>
              <w:rPr>
                <w:rFonts w:hint="default" w:ascii="Times New Roman" w:hAnsi="Times New Roman" w:cs="Times New Roman"/>
                <w:b w:val="0"/>
                <w:bCs w:val="0"/>
                <w:color w:val="000000"/>
                <w:sz w:val="24"/>
                <w:szCs w:val="24"/>
                <w:highlight w:val="none"/>
                <w:lang w:val="en-US" w:eastAsia="zh-CN"/>
              </w:rPr>
              <w:t>—</w:t>
            </w:r>
            <w:r>
              <w:rPr>
                <w:color w:val="auto"/>
                <w:szCs w:val="21"/>
                <w:highlight w:val="none"/>
              </w:rPr>
              <w:t>距离声源r处的倍频带声压级，dB；</w:t>
            </w:r>
          </w:p>
          <w:p w14:paraId="18AA8B64">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L</w:t>
            </w:r>
            <w:r>
              <w:rPr>
                <w:color w:val="auto"/>
                <w:szCs w:val="21"/>
                <w:highlight w:val="none"/>
                <w:vertAlign w:val="subscript"/>
              </w:rPr>
              <w:t>w</w:t>
            </w:r>
            <w:r>
              <w:rPr>
                <w:rFonts w:hint="default" w:ascii="Times New Roman" w:hAnsi="Times New Roman" w:cs="Times New Roman"/>
                <w:b w:val="0"/>
                <w:bCs w:val="0"/>
                <w:color w:val="000000"/>
                <w:sz w:val="24"/>
                <w:szCs w:val="24"/>
                <w:highlight w:val="none"/>
                <w:lang w:val="en-US" w:eastAsia="zh-CN"/>
              </w:rPr>
              <w:t>—</w:t>
            </w:r>
            <w:r>
              <w:rPr>
                <w:color w:val="auto"/>
                <w:szCs w:val="21"/>
                <w:highlight w:val="none"/>
              </w:rPr>
              <w:t>指向性校正，dB；</w:t>
            </w:r>
          </w:p>
          <w:p w14:paraId="0BDED250">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A</w:t>
            </w:r>
            <w:r>
              <w:rPr>
                <w:rFonts w:hint="default" w:ascii="Times New Roman" w:hAnsi="Times New Roman" w:cs="Times New Roman"/>
                <w:b w:val="0"/>
                <w:bCs w:val="0"/>
                <w:color w:val="000000"/>
                <w:sz w:val="24"/>
                <w:szCs w:val="24"/>
                <w:highlight w:val="none"/>
                <w:lang w:val="en-US" w:eastAsia="zh-CN"/>
              </w:rPr>
              <w:t>—</w:t>
            </w:r>
            <w:r>
              <w:rPr>
                <w:color w:val="auto"/>
                <w:szCs w:val="21"/>
                <w:highlight w:val="none"/>
              </w:rPr>
              <w:t>倍频带衰减，dB；</w:t>
            </w:r>
          </w:p>
          <w:p w14:paraId="67AB97CA">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D</w:t>
            </w:r>
            <w:r>
              <w:rPr>
                <w:color w:val="auto"/>
                <w:szCs w:val="21"/>
                <w:highlight w:val="none"/>
                <w:vertAlign w:val="subscript"/>
              </w:rPr>
              <w:t>c</w:t>
            </w:r>
            <w:r>
              <w:rPr>
                <w:rFonts w:hint="default" w:ascii="Times New Roman" w:hAnsi="Times New Roman" w:cs="Times New Roman"/>
                <w:b w:val="0"/>
                <w:bCs w:val="0"/>
                <w:color w:val="000000"/>
                <w:sz w:val="24"/>
                <w:szCs w:val="24"/>
                <w:highlight w:val="none"/>
                <w:lang w:val="en-US" w:eastAsia="zh-CN"/>
              </w:rPr>
              <w:t>—</w:t>
            </w:r>
            <w:r>
              <w:rPr>
                <w:color w:val="auto"/>
                <w:szCs w:val="21"/>
                <w:highlight w:val="none"/>
              </w:rPr>
              <w:t>指向性校正，dB；</w:t>
            </w:r>
          </w:p>
          <w:p w14:paraId="53C7C63A">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A</w:t>
            </w:r>
            <w:r>
              <w:rPr>
                <w:color w:val="auto"/>
                <w:szCs w:val="21"/>
                <w:highlight w:val="none"/>
                <w:vertAlign w:val="subscript"/>
              </w:rPr>
              <w:t>div</w:t>
            </w:r>
            <w:r>
              <w:rPr>
                <w:rFonts w:hint="default" w:ascii="Times New Roman" w:hAnsi="Times New Roman" w:cs="Times New Roman"/>
                <w:b w:val="0"/>
                <w:bCs w:val="0"/>
                <w:color w:val="000000"/>
                <w:sz w:val="24"/>
                <w:szCs w:val="24"/>
                <w:highlight w:val="none"/>
                <w:lang w:val="en-US" w:eastAsia="zh-CN"/>
              </w:rPr>
              <w:t>—</w:t>
            </w:r>
            <w:r>
              <w:rPr>
                <w:color w:val="auto"/>
                <w:szCs w:val="21"/>
                <w:highlight w:val="none"/>
              </w:rPr>
              <w:t>几何发散引起的倍频带衰减，dB；</w:t>
            </w:r>
          </w:p>
          <w:p w14:paraId="5B84DAB3">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A</w:t>
            </w:r>
            <w:r>
              <w:rPr>
                <w:color w:val="auto"/>
                <w:szCs w:val="21"/>
                <w:highlight w:val="none"/>
                <w:vertAlign w:val="subscript"/>
              </w:rPr>
              <w:t>gr</w:t>
            </w:r>
            <w:r>
              <w:rPr>
                <w:rFonts w:hint="default" w:ascii="Times New Roman" w:hAnsi="Times New Roman" w:cs="Times New Roman"/>
                <w:b w:val="0"/>
                <w:bCs w:val="0"/>
                <w:color w:val="000000"/>
                <w:sz w:val="24"/>
                <w:szCs w:val="24"/>
                <w:highlight w:val="none"/>
                <w:lang w:val="en-US" w:eastAsia="zh-CN"/>
              </w:rPr>
              <w:t>—</w:t>
            </w:r>
            <w:r>
              <w:rPr>
                <w:color w:val="auto"/>
                <w:szCs w:val="21"/>
                <w:highlight w:val="none"/>
              </w:rPr>
              <w:t>地面效应引起的倍频带衰减，dB；</w:t>
            </w:r>
          </w:p>
          <w:p w14:paraId="64B92EA0">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A</w:t>
            </w:r>
            <w:r>
              <w:rPr>
                <w:color w:val="auto"/>
                <w:szCs w:val="21"/>
                <w:highlight w:val="none"/>
                <w:vertAlign w:val="subscript"/>
              </w:rPr>
              <w:t>atm</w:t>
            </w:r>
            <w:r>
              <w:rPr>
                <w:rFonts w:hint="default" w:ascii="Times New Roman" w:hAnsi="Times New Roman" w:cs="Times New Roman"/>
                <w:b w:val="0"/>
                <w:bCs w:val="0"/>
                <w:color w:val="000000"/>
                <w:sz w:val="24"/>
                <w:szCs w:val="24"/>
                <w:highlight w:val="none"/>
                <w:lang w:val="en-US" w:eastAsia="zh-CN"/>
              </w:rPr>
              <w:t>—</w:t>
            </w:r>
            <w:r>
              <w:rPr>
                <w:color w:val="auto"/>
                <w:szCs w:val="21"/>
                <w:highlight w:val="none"/>
              </w:rPr>
              <w:t>大气吸收引起的倍频带衰减，dB；</w:t>
            </w:r>
          </w:p>
          <w:p w14:paraId="16CF4EC0">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A</w:t>
            </w:r>
            <w:r>
              <w:rPr>
                <w:color w:val="auto"/>
                <w:szCs w:val="21"/>
                <w:highlight w:val="none"/>
                <w:vertAlign w:val="subscript"/>
              </w:rPr>
              <w:t>bar</w:t>
            </w:r>
            <w:r>
              <w:rPr>
                <w:rFonts w:hint="default" w:ascii="Times New Roman" w:hAnsi="Times New Roman" w:cs="Times New Roman"/>
                <w:b w:val="0"/>
                <w:bCs w:val="0"/>
                <w:color w:val="000000"/>
                <w:sz w:val="24"/>
                <w:szCs w:val="24"/>
                <w:highlight w:val="none"/>
                <w:lang w:val="en-US" w:eastAsia="zh-CN"/>
              </w:rPr>
              <w:t>—</w:t>
            </w:r>
            <w:r>
              <w:rPr>
                <w:color w:val="auto"/>
                <w:szCs w:val="21"/>
                <w:highlight w:val="none"/>
              </w:rPr>
              <w:t>声屏障引起的倍频带衰减，dB；</w:t>
            </w:r>
          </w:p>
          <w:p w14:paraId="59615ABA">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A</w:t>
            </w:r>
            <w:r>
              <w:rPr>
                <w:color w:val="auto"/>
                <w:szCs w:val="21"/>
                <w:highlight w:val="none"/>
                <w:vertAlign w:val="subscript"/>
              </w:rPr>
              <w:t>misc</w:t>
            </w:r>
            <w:r>
              <w:rPr>
                <w:rFonts w:hint="default" w:ascii="Times New Roman" w:hAnsi="Times New Roman" w:cs="Times New Roman"/>
                <w:b w:val="0"/>
                <w:bCs w:val="0"/>
                <w:color w:val="000000"/>
                <w:sz w:val="24"/>
                <w:szCs w:val="24"/>
                <w:highlight w:val="none"/>
                <w:lang w:val="en-US" w:eastAsia="zh-CN"/>
              </w:rPr>
              <w:t>—</w:t>
            </w:r>
            <w:r>
              <w:rPr>
                <w:color w:val="auto"/>
                <w:szCs w:val="21"/>
                <w:highlight w:val="none"/>
              </w:rPr>
              <w:t>其他多方面效应引起的倍频带衰减，dB。</w:t>
            </w:r>
          </w:p>
          <w:p w14:paraId="01FD58C2">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highlight w:val="none"/>
              </w:rPr>
            </w:pPr>
            <w:r>
              <w:rPr>
                <w:color w:val="auto"/>
                <w:highlight w:val="none"/>
              </w:rPr>
              <w:t>2）室内点声源对厂界噪声预测点贡献值预测模式</w:t>
            </w:r>
          </w:p>
          <w:p w14:paraId="13BC02B2">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室内声源首先换算成等效室外声源，再按各类声源模式计算。</w:t>
            </w:r>
          </w:p>
          <w:p w14:paraId="38EF18E7">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①首先计算出某一室内声源靠近围护结构处产生的倍频带声压级：</w:t>
            </w:r>
          </w:p>
          <w:p w14:paraId="65544DC8">
            <w:pPr>
              <w:pStyle w:val="71"/>
              <w:keepNext w:val="0"/>
              <w:keepLines w:val="0"/>
              <w:pageBreakBefore w:val="0"/>
              <w:widowControl w:val="0"/>
              <w:kinsoku/>
              <w:wordWrap/>
              <w:overflowPunct/>
              <w:topLinePunct w:val="0"/>
              <w:bidi w:val="0"/>
              <w:adjustRightInd w:val="0"/>
              <w:snapToGrid w:val="0"/>
              <w:spacing w:line="500" w:lineRule="exact"/>
              <w:ind w:firstLine="480"/>
              <w:jc w:val="center"/>
              <w:textAlignment w:val="auto"/>
              <w:rPr>
                <w:rFonts w:hint="default" w:eastAsia="宋体"/>
                <w:color w:val="auto"/>
                <w:sz w:val="24"/>
                <w:highlight w:val="none"/>
                <w:lang w:val="en-US" w:eastAsia="zh-CN"/>
              </w:rPr>
            </w:pPr>
            <m:oMathPara>
              <m:oMath>
                <m:sSub>
                  <m:sSubPr>
                    <m:ctrlPr>
                      <w:rPr>
                        <w:rFonts w:hint="default" w:ascii="Cambria Math" w:hAnsi="Cambria Math"/>
                        <w:i/>
                        <w:color w:val="auto"/>
                        <w:sz w:val="24"/>
                        <w:highlight w:val="none"/>
                      </w:rPr>
                    </m:ctrlPr>
                  </m:sSubPr>
                  <m:e>
                    <m:r>
                      <m:rPr/>
                      <w:rPr>
                        <w:rFonts w:hint="default" w:ascii="Cambria Math" w:hAnsi="Cambria Math"/>
                        <w:color w:val="auto"/>
                        <w:sz w:val="24"/>
                        <w:highlight w:val="none"/>
                        <w:lang w:val="en-US" w:eastAsia="zh-CN"/>
                      </w:rPr>
                      <m:t>L</m:t>
                    </m:r>
                    <m:ctrlPr>
                      <w:rPr>
                        <w:rFonts w:hint="default" w:ascii="Cambria Math" w:hAnsi="Cambria Math"/>
                        <w:i/>
                        <w:color w:val="auto"/>
                        <w:sz w:val="24"/>
                        <w:highlight w:val="none"/>
                      </w:rPr>
                    </m:ctrlPr>
                  </m:e>
                  <m:sub>
                    <m:r>
                      <m:rPr/>
                      <w:rPr>
                        <w:rFonts w:hint="default" w:ascii="Cambria Math" w:hAnsi="Cambria Math"/>
                        <w:color w:val="auto"/>
                        <w:sz w:val="24"/>
                        <w:highlight w:val="none"/>
                        <w:lang w:val="en-US" w:eastAsia="zh-CN"/>
                      </w:rPr>
                      <m:t>p1</m:t>
                    </m:r>
                    <m:ctrlPr>
                      <w:rPr>
                        <w:rFonts w:hint="default" w:ascii="Cambria Math" w:hAnsi="Cambria Math"/>
                        <w:i/>
                        <w:color w:val="auto"/>
                        <w:sz w:val="24"/>
                        <w:highlight w:val="none"/>
                      </w:rPr>
                    </m:ctrlPr>
                  </m:sub>
                </m:sSub>
                <m:r>
                  <m:rPr/>
                  <w:rPr>
                    <w:rFonts w:hint="default" w:ascii="Cambria Math" w:hAnsi="Cambria Math"/>
                    <w:color w:val="auto"/>
                    <w:sz w:val="24"/>
                    <w:highlight w:val="none"/>
                    <w:lang w:val="en-US" w:eastAsia="zh-CN"/>
                  </w:rPr>
                  <m:t>=</m:t>
                </m:r>
                <m:sSub>
                  <m:sSubPr>
                    <m:ctrlPr>
                      <w:rPr>
                        <w:rFonts w:hint="default" w:ascii="Cambria Math" w:hAnsi="Cambria Math"/>
                        <w:i/>
                        <w:color w:val="auto"/>
                        <w:sz w:val="24"/>
                        <w:highlight w:val="none"/>
                        <w:lang w:val="en-US" w:eastAsia="zh-CN"/>
                      </w:rPr>
                    </m:ctrlPr>
                  </m:sSubPr>
                  <m:e>
                    <m:r>
                      <m:rPr/>
                      <w:rPr>
                        <w:rFonts w:hint="default" w:ascii="Cambria Math" w:hAnsi="Cambria Math"/>
                        <w:color w:val="auto"/>
                        <w:sz w:val="24"/>
                        <w:highlight w:val="none"/>
                        <w:lang w:val="en-US" w:eastAsia="zh-CN"/>
                      </w:rPr>
                      <m:t>L</m:t>
                    </m:r>
                    <m:ctrlPr>
                      <w:rPr>
                        <w:rFonts w:hint="default" w:ascii="Cambria Math" w:hAnsi="Cambria Math"/>
                        <w:i/>
                        <w:color w:val="auto"/>
                        <w:sz w:val="24"/>
                        <w:highlight w:val="none"/>
                        <w:lang w:val="en-US" w:eastAsia="zh-CN"/>
                      </w:rPr>
                    </m:ctrlPr>
                  </m:e>
                  <m:sub>
                    <m:r>
                      <m:rPr/>
                      <w:rPr>
                        <w:rFonts w:hint="default" w:ascii="Cambria Math" w:hAnsi="Cambria Math"/>
                        <w:color w:val="auto"/>
                        <w:sz w:val="24"/>
                        <w:highlight w:val="none"/>
                        <w:lang w:val="en-US" w:eastAsia="zh-CN"/>
                      </w:rPr>
                      <m:t>w</m:t>
                    </m:r>
                    <m:ctrlPr>
                      <w:rPr>
                        <w:rFonts w:hint="default" w:ascii="Cambria Math" w:hAnsi="Cambria Math"/>
                        <w:i/>
                        <w:color w:val="auto"/>
                        <w:sz w:val="24"/>
                        <w:highlight w:val="none"/>
                        <w:lang w:val="en-US" w:eastAsia="zh-CN"/>
                      </w:rPr>
                    </m:ctrlPr>
                  </m:sub>
                </m:sSub>
                <m:r>
                  <m:rPr/>
                  <w:rPr>
                    <w:rFonts w:hint="default" w:ascii="Cambria Math" w:hAnsi="Cambria Math"/>
                    <w:color w:val="auto"/>
                    <w:sz w:val="24"/>
                    <w:highlight w:val="none"/>
                    <w:lang w:val="en-US" w:eastAsia="zh-CN"/>
                  </w:rPr>
                  <m:t>+10</m:t>
                </m:r>
                <m:func>
                  <m:funcPr>
                    <m:ctrlPr>
                      <w:rPr>
                        <w:rFonts w:hint="default" w:ascii="Cambria Math" w:hAnsi="Cambria Math"/>
                        <w:color w:val="auto"/>
                        <w:sz w:val="24"/>
                        <w:highlight w:val="none"/>
                        <w:lang w:val="en-US" w:eastAsia="zh-CN"/>
                      </w:rPr>
                    </m:ctrlPr>
                  </m:funcPr>
                  <m:fName>
                    <m:r>
                      <m:rPr>
                        <m:sty m:val="p"/>
                      </m:rPr>
                      <w:rPr>
                        <w:rFonts w:hint="default" w:ascii="Cambria Math" w:hAnsi="Cambria Math"/>
                        <w:color w:val="auto"/>
                        <w:sz w:val="24"/>
                        <w:highlight w:val="none"/>
                        <w:lang w:val="en-US"/>
                      </w:rPr>
                      <m:t>lg</m:t>
                    </m:r>
                    <m:ctrlPr>
                      <w:rPr>
                        <w:rFonts w:hint="default" w:ascii="Cambria Math" w:hAnsi="Cambria Math"/>
                        <w:i/>
                        <w:color w:val="auto"/>
                        <w:sz w:val="24"/>
                        <w:highlight w:val="none"/>
                        <w:lang w:val="en-US" w:eastAsia="zh-CN"/>
                      </w:rPr>
                    </m:ctrlPr>
                  </m:fName>
                  <m:e>
                    <m:r>
                      <m:rPr/>
                      <w:rPr>
                        <w:rFonts w:hint="default" w:ascii="Cambria Math" w:hAnsi="Cambria Math"/>
                        <w:color w:val="auto"/>
                        <w:sz w:val="24"/>
                        <w:highlight w:val="none"/>
                        <w:lang w:val="en-US" w:eastAsia="zh-CN"/>
                      </w:rPr>
                      <m:t>(</m:t>
                    </m:r>
                    <m:box>
                      <m:boxPr>
                        <m:ctrlPr>
                          <w:rPr>
                            <w:rFonts w:hint="default" w:ascii="Cambria Math" w:hAnsi="Cambria Math"/>
                            <w:i/>
                            <w:color w:val="auto"/>
                            <w:sz w:val="24"/>
                            <w:highlight w:val="none"/>
                            <w:lang w:val="en-US" w:eastAsia="zh-CN"/>
                          </w:rPr>
                        </m:ctrlPr>
                      </m:boxPr>
                      <m:e>
                        <m:argPr>
                          <m:argSz m:val="-1"/>
                        </m:argPr>
                        <m:f>
                          <m:fPr>
                            <m:ctrlPr>
                              <w:rPr>
                                <w:rFonts w:hint="default" w:ascii="Cambria Math" w:hAnsi="Cambria Math"/>
                                <w:i/>
                                <w:color w:val="auto"/>
                                <w:sz w:val="24"/>
                                <w:highlight w:val="none"/>
                                <w:lang w:val="en-US" w:eastAsia="zh-CN"/>
                              </w:rPr>
                            </m:ctrlPr>
                          </m:fPr>
                          <m:num>
                            <m:r>
                              <m:rPr/>
                              <w:rPr>
                                <w:rFonts w:hint="default" w:ascii="Cambria Math" w:hAnsi="Cambria Math"/>
                                <w:color w:val="auto"/>
                                <w:sz w:val="24"/>
                                <w:highlight w:val="none"/>
                                <w:lang w:val="en-US" w:eastAsia="zh-CN"/>
                              </w:rPr>
                              <m:t>Q</m:t>
                            </m:r>
                            <m:ctrlPr>
                              <w:rPr>
                                <w:rFonts w:hint="default" w:ascii="Cambria Math" w:hAnsi="Cambria Math"/>
                                <w:i/>
                                <w:color w:val="auto"/>
                                <w:sz w:val="24"/>
                                <w:highlight w:val="none"/>
                                <w:lang w:val="en-US" w:eastAsia="zh-CN"/>
                              </w:rPr>
                            </m:ctrlPr>
                          </m:num>
                          <m:den>
                            <m:r>
                              <m:rPr/>
                              <w:rPr>
                                <w:rFonts w:hint="default" w:ascii="Cambria Math" w:hAnsi="Cambria Math"/>
                                <w:color w:val="auto"/>
                                <w:sz w:val="24"/>
                                <w:highlight w:val="none"/>
                                <w:lang w:val="en-US" w:eastAsia="zh-CN"/>
                              </w:rPr>
                              <m:t>4π</m:t>
                            </m:r>
                            <m:sSup>
                              <m:sSupPr>
                                <m:ctrlPr>
                                  <w:rPr>
                                    <w:rFonts w:hint="default" w:ascii="Cambria Math" w:hAnsi="Cambria Math"/>
                                    <w:i/>
                                    <w:color w:val="auto"/>
                                    <w:sz w:val="24"/>
                                    <w:highlight w:val="none"/>
                                    <w:lang w:val="en-US" w:eastAsia="zh-CN"/>
                                  </w:rPr>
                                </m:ctrlPr>
                              </m:sSupPr>
                              <m:e>
                                <m:r>
                                  <m:rPr/>
                                  <w:rPr>
                                    <w:rFonts w:hint="default" w:ascii="Cambria Math" w:hAnsi="Cambria Math"/>
                                    <w:color w:val="auto"/>
                                    <w:sz w:val="24"/>
                                    <w:highlight w:val="none"/>
                                    <w:lang w:val="en-US" w:eastAsia="zh-CN"/>
                                  </w:rPr>
                                  <m:t>r</m:t>
                                </m:r>
                                <m:ctrlPr>
                                  <w:rPr>
                                    <w:rFonts w:hint="default" w:ascii="Cambria Math" w:hAnsi="Cambria Math"/>
                                    <w:i/>
                                    <w:color w:val="auto"/>
                                    <w:sz w:val="24"/>
                                    <w:highlight w:val="none"/>
                                    <w:lang w:val="en-US" w:eastAsia="zh-CN"/>
                                  </w:rPr>
                                </m:ctrlPr>
                              </m:e>
                              <m:sup>
                                <m:r>
                                  <m:rPr/>
                                  <w:rPr>
                                    <w:rFonts w:hint="default" w:ascii="Cambria Math" w:hAnsi="Cambria Math"/>
                                    <w:color w:val="auto"/>
                                    <w:sz w:val="24"/>
                                    <w:highlight w:val="none"/>
                                    <w:lang w:val="en-US" w:eastAsia="zh-CN"/>
                                  </w:rPr>
                                  <m:t>2</m:t>
                                </m:r>
                                <m:ctrlPr>
                                  <w:rPr>
                                    <w:rFonts w:hint="default" w:ascii="Cambria Math" w:hAnsi="Cambria Math"/>
                                    <w:i/>
                                    <w:color w:val="auto"/>
                                    <w:sz w:val="24"/>
                                    <w:highlight w:val="none"/>
                                    <w:lang w:val="en-US" w:eastAsia="zh-CN"/>
                                  </w:rPr>
                                </m:ctrlPr>
                              </m:sup>
                            </m:sSup>
                            <m:ctrlPr>
                              <w:rPr>
                                <w:rFonts w:hint="default" w:ascii="Cambria Math" w:hAnsi="Cambria Math"/>
                                <w:i/>
                                <w:color w:val="auto"/>
                                <w:sz w:val="24"/>
                                <w:highlight w:val="none"/>
                                <w:lang w:val="en-US" w:eastAsia="zh-CN"/>
                              </w:rPr>
                            </m:ctrlPr>
                          </m:den>
                        </m:f>
                        <m:ctrlPr>
                          <w:rPr>
                            <w:rFonts w:hint="default" w:ascii="Cambria Math" w:hAnsi="Cambria Math"/>
                            <w:i/>
                            <w:color w:val="auto"/>
                            <w:sz w:val="24"/>
                            <w:highlight w:val="none"/>
                            <w:lang w:val="en-US" w:eastAsia="zh-CN"/>
                          </w:rPr>
                        </m:ctrlPr>
                      </m:e>
                    </m:box>
                    <m:ctrlPr>
                      <w:rPr>
                        <w:rFonts w:hint="default" w:ascii="Cambria Math" w:hAnsi="Cambria Math"/>
                        <w:i/>
                        <w:color w:val="auto"/>
                        <w:sz w:val="24"/>
                        <w:highlight w:val="none"/>
                        <w:lang w:val="en-US" w:eastAsia="zh-CN"/>
                      </w:rPr>
                    </m:ctrlPr>
                  </m:e>
                </m:func>
                <m:r>
                  <m:rPr/>
                  <w:rPr>
                    <w:rFonts w:hint="default" w:ascii="Cambria Math" w:hAnsi="Cambria Math"/>
                    <w:color w:val="auto"/>
                    <w:sz w:val="24"/>
                    <w:highlight w:val="none"/>
                    <w:lang w:val="en-US" w:eastAsia="zh-CN"/>
                  </w:rPr>
                  <m:t>+</m:t>
                </m:r>
                <m:box>
                  <m:boxPr>
                    <m:ctrlPr>
                      <w:rPr>
                        <w:rFonts w:hint="default" w:ascii="Cambria Math" w:hAnsi="Cambria Math"/>
                        <w:i/>
                        <w:color w:val="auto"/>
                        <w:sz w:val="24"/>
                        <w:highlight w:val="none"/>
                        <w:lang w:val="en-US" w:eastAsia="zh-CN"/>
                      </w:rPr>
                    </m:ctrlPr>
                  </m:boxPr>
                  <m:e>
                    <m:argPr>
                      <m:argSz m:val="-1"/>
                    </m:argPr>
                    <m:f>
                      <m:fPr>
                        <m:ctrlPr>
                          <w:rPr>
                            <w:rFonts w:hint="default" w:ascii="Cambria Math" w:hAnsi="Cambria Math"/>
                            <w:i/>
                            <w:color w:val="auto"/>
                            <w:sz w:val="24"/>
                            <w:highlight w:val="none"/>
                            <w:lang w:val="en-US" w:eastAsia="zh-CN"/>
                          </w:rPr>
                        </m:ctrlPr>
                      </m:fPr>
                      <m:num>
                        <m:r>
                          <m:rPr/>
                          <w:rPr>
                            <w:rFonts w:hint="default" w:ascii="Cambria Math" w:hAnsi="Cambria Math"/>
                            <w:color w:val="auto"/>
                            <w:sz w:val="24"/>
                            <w:highlight w:val="none"/>
                            <w:lang w:val="en-US" w:eastAsia="zh-CN"/>
                          </w:rPr>
                          <m:t>4</m:t>
                        </m:r>
                        <m:ctrlPr>
                          <w:rPr>
                            <w:rFonts w:hint="default" w:ascii="Cambria Math" w:hAnsi="Cambria Math"/>
                            <w:i/>
                            <w:color w:val="auto"/>
                            <w:sz w:val="24"/>
                            <w:highlight w:val="none"/>
                            <w:lang w:val="en-US" w:eastAsia="zh-CN"/>
                          </w:rPr>
                        </m:ctrlPr>
                      </m:num>
                      <m:den>
                        <m:r>
                          <m:rPr/>
                          <w:rPr>
                            <w:rFonts w:hint="default" w:ascii="Cambria Math" w:hAnsi="Cambria Math"/>
                            <w:color w:val="auto"/>
                            <w:sz w:val="24"/>
                            <w:highlight w:val="none"/>
                            <w:lang w:val="en-US" w:eastAsia="zh-CN"/>
                          </w:rPr>
                          <m:t>R</m:t>
                        </m:r>
                        <m:ctrlPr>
                          <w:rPr>
                            <w:rFonts w:hint="default" w:ascii="Cambria Math" w:hAnsi="Cambria Math"/>
                            <w:i/>
                            <w:color w:val="auto"/>
                            <w:sz w:val="24"/>
                            <w:highlight w:val="none"/>
                            <w:lang w:val="en-US" w:eastAsia="zh-CN"/>
                          </w:rPr>
                        </m:ctrlPr>
                      </m:den>
                    </m:f>
                    <m:ctrlPr>
                      <w:rPr>
                        <w:rFonts w:hint="default" w:ascii="Cambria Math" w:hAnsi="Cambria Math"/>
                        <w:i/>
                        <w:color w:val="auto"/>
                        <w:sz w:val="24"/>
                        <w:highlight w:val="none"/>
                        <w:lang w:val="en-US" w:eastAsia="zh-CN"/>
                      </w:rPr>
                    </m:ctrlPr>
                  </m:e>
                </m:box>
                <m:r>
                  <m:rPr/>
                  <w:rPr>
                    <w:rFonts w:hint="default" w:ascii="Cambria Math" w:hAnsi="Cambria Math"/>
                    <w:color w:val="auto"/>
                    <w:sz w:val="24"/>
                    <w:highlight w:val="none"/>
                    <w:lang w:val="en-US" w:eastAsia="zh-CN"/>
                  </w:rPr>
                  <m:t>)</m:t>
                </m:r>
              </m:oMath>
            </m:oMathPara>
          </w:p>
          <w:p w14:paraId="02B72605">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式中：L</w:t>
            </w:r>
            <w:r>
              <w:rPr>
                <w:color w:val="auto"/>
                <w:szCs w:val="21"/>
                <w:highlight w:val="none"/>
                <w:vertAlign w:val="subscript"/>
              </w:rPr>
              <w:t>p1</w:t>
            </w:r>
            <w:r>
              <w:rPr>
                <w:rFonts w:hint="default" w:ascii="Times New Roman" w:hAnsi="Times New Roman" w:cs="Times New Roman"/>
                <w:b w:val="0"/>
                <w:bCs w:val="0"/>
                <w:color w:val="000000"/>
                <w:sz w:val="24"/>
                <w:szCs w:val="24"/>
                <w:highlight w:val="none"/>
                <w:lang w:val="en-US" w:eastAsia="zh-CN"/>
              </w:rPr>
              <w:t>—</w:t>
            </w:r>
            <w:r>
              <w:rPr>
                <w:color w:val="auto"/>
                <w:szCs w:val="21"/>
                <w:highlight w:val="none"/>
              </w:rPr>
              <w:t>室内声源在靠近围护结构处产生的倍频带声压级，dB；</w:t>
            </w:r>
          </w:p>
          <w:p w14:paraId="3828A42D">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L</w:t>
            </w:r>
            <w:r>
              <w:rPr>
                <w:color w:val="auto"/>
                <w:szCs w:val="21"/>
                <w:highlight w:val="none"/>
                <w:vertAlign w:val="subscript"/>
              </w:rPr>
              <w:t>w</w:t>
            </w:r>
            <w:r>
              <w:rPr>
                <w:rFonts w:hint="default" w:ascii="Times New Roman" w:hAnsi="Times New Roman" w:cs="Times New Roman"/>
                <w:b w:val="0"/>
                <w:bCs w:val="0"/>
                <w:color w:val="000000"/>
                <w:sz w:val="24"/>
                <w:szCs w:val="24"/>
                <w:highlight w:val="none"/>
                <w:lang w:val="en-US" w:eastAsia="zh-CN"/>
              </w:rPr>
              <w:t>—</w:t>
            </w:r>
            <w:r>
              <w:rPr>
                <w:color w:val="auto"/>
                <w:szCs w:val="21"/>
                <w:highlight w:val="none"/>
              </w:rPr>
              <w:t>声源的倍频带声功率级，dB；</w:t>
            </w:r>
          </w:p>
          <w:p w14:paraId="575C759D">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r</w:t>
            </w:r>
            <w:r>
              <w:rPr>
                <w:rFonts w:hint="default" w:ascii="Times New Roman" w:hAnsi="Times New Roman" w:cs="Times New Roman"/>
                <w:b w:val="0"/>
                <w:bCs w:val="0"/>
                <w:color w:val="000000"/>
                <w:sz w:val="24"/>
                <w:szCs w:val="24"/>
                <w:highlight w:val="none"/>
                <w:lang w:val="en-US" w:eastAsia="zh-CN"/>
              </w:rPr>
              <w:t>—</w:t>
            </w:r>
            <w:r>
              <w:rPr>
                <w:color w:val="auto"/>
                <w:szCs w:val="21"/>
                <w:highlight w:val="none"/>
              </w:rPr>
              <w:t>声源到靠近围护结构某点处的距离，m；</w:t>
            </w:r>
          </w:p>
          <w:p w14:paraId="1CF62B4D">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Q</w:t>
            </w:r>
            <w:r>
              <w:rPr>
                <w:rFonts w:hint="default" w:ascii="Times New Roman" w:hAnsi="Times New Roman" w:cs="Times New Roman"/>
                <w:b w:val="0"/>
                <w:bCs w:val="0"/>
                <w:color w:val="000000"/>
                <w:sz w:val="24"/>
                <w:szCs w:val="24"/>
                <w:highlight w:val="none"/>
                <w:lang w:val="en-US" w:eastAsia="zh-CN"/>
              </w:rPr>
              <w:t>—</w:t>
            </w:r>
            <w:r>
              <w:rPr>
                <w:color w:val="auto"/>
                <w:szCs w:val="21"/>
                <w:highlight w:val="none"/>
              </w:rPr>
              <w:t>指向性因子；</w:t>
            </w:r>
          </w:p>
          <w:p w14:paraId="6F4BFEBB">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R</w:t>
            </w:r>
            <w:r>
              <w:rPr>
                <w:rFonts w:hint="default" w:ascii="Times New Roman" w:hAnsi="Times New Roman" w:cs="Times New Roman"/>
                <w:b w:val="0"/>
                <w:bCs w:val="0"/>
                <w:color w:val="000000"/>
                <w:sz w:val="24"/>
                <w:szCs w:val="24"/>
                <w:highlight w:val="none"/>
                <w:lang w:val="en-US" w:eastAsia="zh-CN"/>
              </w:rPr>
              <w:t>—</w:t>
            </w:r>
            <w:r>
              <w:rPr>
                <w:color w:val="auto"/>
                <w:szCs w:val="21"/>
                <w:highlight w:val="none"/>
              </w:rPr>
              <w:t>房间常数，R=Sα/（1−α），S为房间内表面面积，m</w:t>
            </w:r>
            <w:r>
              <w:rPr>
                <w:color w:val="auto"/>
                <w:szCs w:val="21"/>
                <w:highlight w:val="none"/>
                <w:vertAlign w:val="superscript"/>
              </w:rPr>
              <w:t>2</w:t>
            </w:r>
            <w:r>
              <w:rPr>
                <w:color w:val="auto"/>
                <w:szCs w:val="21"/>
                <w:highlight w:val="none"/>
              </w:rPr>
              <w:t>；α为平均吸声系数。</w:t>
            </w:r>
          </w:p>
          <w:p w14:paraId="1868CA4C">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②计算出所有室内声源在靠近围护结构处产生的i倍频带叠加声压级：</w:t>
            </w:r>
          </w:p>
          <w:p w14:paraId="103C9EE4">
            <w:pPr>
              <w:pStyle w:val="71"/>
              <w:keepNext w:val="0"/>
              <w:keepLines w:val="0"/>
              <w:pageBreakBefore w:val="0"/>
              <w:widowControl w:val="0"/>
              <w:kinsoku/>
              <w:wordWrap/>
              <w:overflowPunct/>
              <w:topLinePunct w:val="0"/>
              <w:bidi w:val="0"/>
              <w:adjustRightInd w:val="0"/>
              <w:snapToGrid w:val="0"/>
              <w:spacing w:line="500" w:lineRule="exact"/>
              <w:ind w:firstLine="480"/>
              <w:jc w:val="center"/>
              <w:textAlignment w:val="auto"/>
              <w:rPr>
                <w:rFonts w:hint="default" w:hAnsi="Cambria Math" w:cs="Times New Roman"/>
                <w:i/>
                <w:color w:val="auto"/>
                <w:sz w:val="24"/>
                <w:highlight w:val="none"/>
                <w:lang w:val="en-US" w:eastAsia="zh-CN"/>
              </w:rPr>
            </w:pPr>
            <m:oMathPara>
              <m:oMath>
                <m:sSub>
                  <m:sSubPr>
                    <m:ctrlPr>
                      <w:rPr>
                        <w:rFonts w:hint="default" w:ascii="Cambria Math" w:hAnsi="Cambria Math" w:cs="Times New Roman"/>
                        <w:i/>
                        <w:color w:val="auto"/>
                        <w:sz w:val="24"/>
                        <w:highlight w:val="none"/>
                      </w:rPr>
                    </m:ctrlPr>
                  </m:sSubPr>
                  <m:e>
                    <m:r>
                      <m:rPr/>
                      <w:rPr>
                        <w:rFonts w:hint="default" w:ascii="Cambria Math" w:hAnsi="Cambria Math" w:cs="Times New Roman"/>
                        <w:color w:val="auto"/>
                        <w:sz w:val="24"/>
                        <w:highlight w:val="none"/>
                        <w:lang w:val="en-US" w:eastAsia="zh-CN"/>
                      </w:rPr>
                      <m:t>L</m:t>
                    </m:r>
                    <m:ctrlPr>
                      <w:rPr>
                        <w:rFonts w:hint="default" w:ascii="Cambria Math" w:hAnsi="Cambria Math" w:cs="Times New Roman"/>
                        <w:i/>
                        <w:color w:val="auto"/>
                        <w:sz w:val="24"/>
                        <w:highlight w:val="none"/>
                      </w:rPr>
                    </m:ctrlPr>
                  </m:e>
                  <m:sub>
                    <m:r>
                      <m:rPr/>
                      <w:rPr>
                        <w:rFonts w:hint="default" w:ascii="Cambria Math" w:hAnsi="Cambria Math" w:cs="Times New Roman"/>
                        <w:color w:val="auto"/>
                        <w:sz w:val="24"/>
                        <w:highlight w:val="none"/>
                        <w:lang w:val="en-US" w:eastAsia="zh-CN"/>
                      </w:rPr>
                      <m:t>p1i</m:t>
                    </m:r>
                    <m:ctrlPr>
                      <w:rPr>
                        <w:rFonts w:hint="default" w:ascii="Cambria Math" w:hAnsi="Cambria Math" w:cs="Times New Roman"/>
                        <w:i/>
                        <w:color w:val="auto"/>
                        <w:sz w:val="24"/>
                        <w:highlight w:val="none"/>
                      </w:rPr>
                    </m:ctrlPr>
                  </m:sub>
                </m:sSub>
                <m:r>
                  <m:rPr/>
                  <w:rPr>
                    <w:rFonts w:hint="default" w:ascii="Cambria Math" w:hAnsi="Cambria Math" w:cs="Times New Roman"/>
                    <w:color w:val="auto"/>
                    <w:sz w:val="24"/>
                    <w:highlight w:val="none"/>
                    <w:lang w:val="en-US" w:eastAsia="zh-CN"/>
                  </w:rPr>
                  <m:t>(T)=10</m:t>
                </m:r>
                <m:func>
                  <m:funcPr>
                    <m:ctrlPr>
                      <w:rPr>
                        <w:rFonts w:hint="default" w:ascii="Cambria Math" w:hAnsi="Cambria Math" w:cs="Times New Roman"/>
                        <w:color w:val="auto"/>
                        <w:sz w:val="24"/>
                        <w:highlight w:val="none"/>
                        <w:lang w:val="en-US" w:eastAsia="zh-CN"/>
                      </w:rPr>
                    </m:ctrlPr>
                  </m:funcPr>
                  <m:fName>
                    <m:r>
                      <m:rPr>
                        <m:sty m:val="p"/>
                      </m:rPr>
                      <w:rPr>
                        <w:rFonts w:hint="default" w:ascii="Cambria Math" w:hAnsi="Cambria Math" w:cs="Times New Roman"/>
                        <w:color w:val="auto"/>
                        <w:sz w:val="24"/>
                        <w:highlight w:val="none"/>
                        <w:lang w:val="en-US"/>
                      </w:rPr>
                      <m:t>lg</m:t>
                    </m:r>
                    <m:ctrlPr>
                      <w:rPr>
                        <w:rFonts w:hint="default" w:ascii="Cambria Math" w:hAnsi="Cambria Math" w:cs="Times New Roman"/>
                        <w:i/>
                        <w:color w:val="auto"/>
                        <w:sz w:val="24"/>
                        <w:highlight w:val="none"/>
                        <w:lang w:val="en-US" w:eastAsia="zh-CN"/>
                      </w:rPr>
                    </m:ctrlPr>
                  </m:fName>
                  <m:e>
                    <m:nary>
                      <m:naryPr>
                        <m:chr m:val="∑"/>
                        <m:limLoc m:val="undOvr"/>
                        <m:ctrlPr>
                          <w:rPr>
                            <w:rFonts w:hint="default" w:ascii="Cambria Math" w:hAnsi="Cambria Math" w:cs="Times New Roman"/>
                            <w:i/>
                            <w:color w:val="auto"/>
                            <w:sz w:val="24"/>
                            <w:highlight w:val="none"/>
                            <w:lang w:val="en-US" w:eastAsia="zh-CN"/>
                          </w:rPr>
                        </m:ctrlPr>
                      </m:naryPr>
                      <m:sub>
                        <m:r>
                          <m:rPr/>
                          <w:rPr>
                            <w:rFonts w:hint="default" w:ascii="Cambria Math" w:hAnsi="Cambria Math" w:cs="Times New Roman"/>
                            <w:color w:val="auto"/>
                            <w:sz w:val="24"/>
                            <w:highlight w:val="none"/>
                            <w:lang w:val="en-US" w:eastAsia="zh-CN"/>
                          </w:rPr>
                          <m:t>j=1</m:t>
                        </m:r>
                        <m:ctrlPr>
                          <w:rPr>
                            <w:rFonts w:hint="default" w:ascii="Cambria Math" w:hAnsi="Cambria Math" w:cs="Times New Roman"/>
                            <w:i/>
                            <w:color w:val="auto"/>
                            <w:sz w:val="24"/>
                            <w:highlight w:val="none"/>
                            <w:lang w:val="en-US" w:eastAsia="zh-CN"/>
                          </w:rPr>
                        </m:ctrlPr>
                      </m:sub>
                      <m:sup>
                        <m:r>
                          <m:rPr/>
                          <w:rPr>
                            <w:rFonts w:hint="default" w:ascii="Cambria Math" w:hAnsi="Cambria Math" w:cs="Times New Roman"/>
                            <w:color w:val="auto"/>
                            <w:sz w:val="24"/>
                            <w:highlight w:val="none"/>
                            <w:lang w:val="en-US" w:eastAsia="zh-CN"/>
                          </w:rPr>
                          <m:t>N</m:t>
                        </m:r>
                        <m:ctrlPr>
                          <w:rPr>
                            <w:rFonts w:hint="default" w:ascii="Cambria Math" w:hAnsi="Cambria Math" w:cs="Times New Roman"/>
                            <w:i/>
                            <w:color w:val="auto"/>
                            <w:sz w:val="24"/>
                            <w:highlight w:val="none"/>
                            <w:lang w:val="en-US" w:eastAsia="zh-CN"/>
                          </w:rPr>
                        </m:ctrlPr>
                      </m:sup>
                      <m:e>
                        <m:sSup>
                          <m:sSupPr>
                            <m:ctrlPr>
                              <w:rPr>
                                <w:rFonts w:hint="default" w:ascii="Cambria Math" w:hAnsi="Cambria Math" w:cs="Times New Roman"/>
                                <w:i/>
                                <w:color w:val="auto"/>
                                <w:sz w:val="24"/>
                                <w:highlight w:val="none"/>
                                <w:lang w:val="en-US" w:eastAsia="zh-CN"/>
                              </w:rPr>
                            </m:ctrlPr>
                          </m:sSupPr>
                          <m:e>
                            <m:r>
                              <m:rPr/>
                              <w:rPr>
                                <w:rFonts w:hint="default" w:ascii="Cambria Math" w:hAnsi="Cambria Math" w:cs="Times New Roman"/>
                                <w:color w:val="auto"/>
                                <w:sz w:val="24"/>
                                <w:highlight w:val="none"/>
                                <w:lang w:val="en-US" w:eastAsia="zh-CN"/>
                              </w:rPr>
                              <m:t>10</m:t>
                            </m:r>
                            <m:ctrlPr>
                              <w:rPr>
                                <w:rFonts w:hint="default" w:ascii="Cambria Math" w:hAnsi="Cambria Math" w:cs="Times New Roman"/>
                                <w:i/>
                                <w:color w:val="auto"/>
                                <w:sz w:val="24"/>
                                <w:highlight w:val="none"/>
                                <w:lang w:val="en-US" w:eastAsia="zh-CN"/>
                              </w:rPr>
                            </m:ctrlPr>
                          </m:e>
                          <m:sup>
                            <m:r>
                              <m:rPr/>
                              <w:rPr>
                                <w:rFonts w:hint="default" w:ascii="Cambria Math" w:hAnsi="Cambria Math" w:cs="Times New Roman"/>
                                <w:color w:val="auto"/>
                                <w:sz w:val="24"/>
                                <w:highlight w:val="none"/>
                                <w:lang w:val="en-US" w:eastAsia="zh-CN"/>
                              </w:rPr>
                              <m:t>0.1</m:t>
                            </m:r>
                            <m:sSub>
                              <m:sSubPr>
                                <m:ctrlPr>
                                  <w:rPr>
                                    <w:rFonts w:hint="default" w:ascii="Cambria Math" w:hAnsi="Cambria Math" w:cs="Times New Roman"/>
                                    <w:i/>
                                    <w:color w:val="auto"/>
                                    <w:sz w:val="24"/>
                                    <w:highlight w:val="none"/>
                                    <w:lang w:val="en-US" w:eastAsia="zh-CN"/>
                                  </w:rPr>
                                </m:ctrlPr>
                              </m:sSubPr>
                              <m:e>
                                <m:r>
                                  <m:rPr/>
                                  <w:rPr>
                                    <w:rFonts w:hint="default" w:ascii="Cambria Math" w:hAnsi="Cambria Math" w:cs="Times New Roman"/>
                                    <w:color w:val="auto"/>
                                    <w:sz w:val="24"/>
                                    <w:highlight w:val="none"/>
                                    <w:lang w:val="en-US" w:eastAsia="zh-CN"/>
                                  </w:rPr>
                                  <m:t>L</m:t>
                                </m:r>
                                <m:ctrlPr>
                                  <w:rPr>
                                    <w:rFonts w:hint="default" w:ascii="Cambria Math" w:hAnsi="Cambria Math" w:cs="Times New Roman"/>
                                    <w:i/>
                                    <w:color w:val="auto"/>
                                    <w:sz w:val="24"/>
                                    <w:highlight w:val="none"/>
                                    <w:lang w:val="en-US" w:eastAsia="zh-CN"/>
                                  </w:rPr>
                                </m:ctrlPr>
                              </m:e>
                              <m:sub>
                                <m:r>
                                  <m:rPr/>
                                  <w:rPr>
                                    <w:rFonts w:hint="default" w:ascii="Cambria Math" w:hAnsi="Cambria Math" w:cs="Times New Roman"/>
                                    <w:color w:val="auto"/>
                                    <w:sz w:val="24"/>
                                    <w:highlight w:val="none"/>
                                    <w:lang w:val="en-US" w:eastAsia="zh-CN"/>
                                  </w:rPr>
                                  <m:t>p1ij</m:t>
                                </m:r>
                                <m:ctrlPr>
                                  <w:rPr>
                                    <w:rFonts w:hint="default" w:ascii="Cambria Math" w:hAnsi="Cambria Math" w:cs="Times New Roman"/>
                                    <w:i/>
                                    <w:color w:val="auto"/>
                                    <w:sz w:val="24"/>
                                    <w:highlight w:val="none"/>
                                    <w:lang w:val="en-US" w:eastAsia="zh-CN"/>
                                  </w:rPr>
                                </m:ctrlPr>
                              </m:sub>
                            </m:sSub>
                            <m:ctrlPr>
                              <w:rPr>
                                <w:rFonts w:hint="default" w:ascii="Cambria Math" w:hAnsi="Cambria Math" w:cs="Times New Roman"/>
                                <w:i/>
                                <w:color w:val="auto"/>
                                <w:sz w:val="24"/>
                                <w:highlight w:val="none"/>
                                <w:lang w:val="en-US" w:eastAsia="zh-CN"/>
                              </w:rPr>
                            </m:ctrlPr>
                          </m:sup>
                        </m:sSup>
                        <m:ctrlPr>
                          <w:rPr>
                            <w:rFonts w:hint="default" w:ascii="Cambria Math" w:hAnsi="Cambria Math" w:cs="Times New Roman"/>
                            <w:i/>
                            <w:color w:val="auto"/>
                            <w:sz w:val="24"/>
                            <w:highlight w:val="none"/>
                            <w:lang w:val="en-US" w:eastAsia="zh-CN"/>
                          </w:rPr>
                        </m:ctrlPr>
                      </m:e>
                    </m:nary>
                    <m:ctrlPr>
                      <w:rPr>
                        <w:rFonts w:hint="default" w:ascii="Cambria Math" w:hAnsi="Cambria Math" w:cs="Times New Roman"/>
                        <w:i/>
                        <w:color w:val="auto"/>
                        <w:sz w:val="24"/>
                        <w:highlight w:val="none"/>
                        <w:lang w:val="en-US" w:eastAsia="zh-CN"/>
                      </w:rPr>
                    </m:ctrlPr>
                  </m:e>
                </m:func>
              </m:oMath>
            </m:oMathPara>
          </w:p>
          <w:p w14:paraId="4ED9D056">
            <w:pPr>
              <w:pStyle w:val="71"/>
              <w:keepNext w:val="0"/>
              <w:keepLines w:val="0"/>
              <w:pageBreakBefore w:val="0"/>
              <w:widowControl w:val="0"/>
              <w:kinsoku/>
              <w:wordWrap/>
              <w:overflowPunct/>
              <w:topLinePunct w:val="0"/>
              <w:autoSpaceDE/>
              <w:autoSpaceDN/>
              <w:bidi w:val="0"/>
              <w:adjustRightInd w:val="0"/>
              <w:snapToGrid w:val="0"/>
              <w:spacing w:line="500" w:lineRule="exact"/>
              <w:ind w:left="0" w:leftChars="0" w:firstLine="480" w:firstLineChars="200"/>
              <w:textAlignment w:val="auto"/>
              <w:rPr>
                <w:color w:val="auto"/>
                <w:szCs w:val="21"/>
                <w:highlight w:val="none"/>
              </w:rPr>
            </w:pPr>
            <w:r>
              <w:rPr>
                <w:color w:val="auto"/>
                <w:szCs w:val="21"/>
                <w:highlight w:val="none"/>
              </w:rPr>
              <w:t>式中：</w:t>
            </w:r>
          </w:p>
          <w:p w14:paraId="1CF744EB">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Lp1i(T)—靠近围护结构处室内N个声源i倍频带的叠加声压级，dB；</w:t>
            </w:r>
          </w:p>
          <w:p w14:paraId="4B6F30EA">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Lp1ij—室内j声源i倍频带的声压级，dB；</w:t>
            </w:r>
          </w:p>
          <w:p w14:paraId="1F36D6E7">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N—室内声源总数。</w:t>
            </w:r>
          </w:p>
          <w:p w14:paraId="0A7AC1C6">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③计算出室外靠近室外围护结构处的声压级：</w:t>
            </w:r>
          </w:p>
          <w:p w14:paraId="327DE72C">
            <w:pPr>
              <w:pStyle w:val="71"/>
              <w:keepNext w:val="0"/>
              <w:keepLines w:val="0"/>
              <w:pageBreakBefore w:val="0"/>
              <w:widowControl w:val="0"/>
              <w:kinsoku/>
              <w:wordWrap/>
              <w:overflowPunct/>
              <w:topLinePunct w:val="0"/>
              <w:bidi w:val="0"/>
              <w:adjustRightInd w:val="0"/>
              <w:snapToGrid w:val="0"/>
              <w:spacing w:line="500" w:lineRule="exact"/>
              <w:ind w:firstLine="480"/>
              <w:jc w:val="center"/>
              <w:textAlignment w:val="auto"/>
              <w:rPr>
                <w:rFonts w:hint="default" w:eastAsia="宋体"/>
                <w:color w:val="auto"/>
                <w:sz w:val="24"/>
                <w:highlight w:val="none"/>
                <w:lang w:val="en-US" w:eastAsia="zh-CN"/>
              </w:rPr>
            </w:pPr>
            <m:oMathPara>
              <m:oMath>
                <m:sSub>
                  <m:sSubPr>
                    <m:ctrlPr>
                      <w:rPr>
                        <w:rFonts w:hint="default" w:ascii="Cambria Math" w:hAnsi="Cambria Math"/>
                        <w:i/>
                        <w:color w:val="auto"/>
                        <w:sz w:val="24"/>
                        <w:highlight w:val="none"/>
                      </w:rPr>
                    </m:ctrlPr>
                  </m:sSubPr>
                  <m:e>
                    <m:r>
                      <m:rPr/>
                      <w:rPr>
                        <w:rFonts w:hint="default" w:ascii="Cambria Math" w:hAnsi="Cambria Math"/>
                        <w:color w:val="auto"/>
                        <w:sz w:val="24"/>
                        <w:highlight w:val="none"/>
                        <w:lang w:val="en-US" w:eastAsia="zh-CN"/>
                      </w:rPr>
                      <m:t>L</m:t>
                    </m:r>
                    <m:ctrlPr>
                      <w:rPr>
                        <w:rFonts w:hint="default" w:ascii="Cambria Math" w:hAnsi="Cambria Math"/>
                        <w:i/>
                        <w:color w:val="auto"/>
                        <w:sz w:val="24"/>
                        <w:highlight w:val="none"/>
                      </w:rPr>
                    </m:ctrlPr>
                  </m:e>
                  <m:sub>
                    <m:r>
                      <m:rPr/>
                      <w:rPr>
                        <w:rFonts w:hint="default" w:ascii="Cambria Math" w:hAnsi="Cambria Math"/>
                        <w:color w:val="auto"/>
                        <w:sz w:val="24"/>
                        <w:highlight w:val="none"/>
                        <w:lang w:val="en-US" w:eastAsia="zh-CN"/>
                      </w:rPr>
                      <m:t>P2i</m:t>
                    </m:r>
                    <m:ctrlPr>
                      <w:rPr>
                        <w:rFonts w:hint="default" w:ascii="Cambria Math" w:hAnsi="Cambria Math"/>
                        <w:i/>
                        <w:color w:val="auto"/>
                        <w:sz w:val="24"/>
                        <w:highlight w:val="none"/>
                      </w:rPr>
                    </m:ctrlPr>
                  </m:sub>
                </m:sSub>
                <m:r>
                  <m:rPr/>
                  <w:rPr>
                    <w:rFonts w:hint="default" w:ascii="Cambria Math" w:hAnsi="Cambria Math"/>
                    <w:color w:val="auto"/>
                    <w:sz w:val="24"/>
                    <w:highlight w:val="none"/>
                    <w:lang w:val="en-US" w:eastAsia="zh-CN"/>
                  </w:rPr>
                  <m:t>(T)=</m:t>
                </m:r>
                <m:sSub>
                  <m:sSubPr>
                    <m:ctrlPr>
                      <w:rPr>
                        <w:rFonts w:hint="default" w:ascii="Cambria Math" w:hAnsi="Cambria Math"/>
                        <w:i/>
                        <w:color w:val="auto"/>
                        <w:sz w:val="24"/>
                        <w:highlight w:val="none"/>
                      </w:rPr>
                    </m:ctrlPr>
                  </m:sSubPr>
                  <m:e>
                    <m:r>
                      <m:rPr/>
                      <w:rPr>
                        <w:rFonts w:hint="default" w:ascii="Cambria Math" w:hAnsi="Cambria Math"/>
                        <w:color w:val="auto"/>
                        <w:sz w:val="24"/>
                        <w:highlight w:val="none"/>
                        <w:lang w:val="en-US" w:eastAsia="zh-CN"/>
                      </w:rPr>
                      <m:t>L</m:t>
                    </m:r>
                    <m:ctrlPr>
                      <w:rPr>
                        <w:rFonts w:hint="default" w:ascii="Cambria Math" w:hAnsi="Cambria Math"/>
                        <w:i/>
                        <w:color w:val="auto"/>
                        <w:sz w:val="24"/>
                        <w:highlight w:val="none"/>
                      </w:rPr>
                    </m:ctrlPr>
                  </m:e>
                  <m:sub>
                    <m:r>
                      <m:rPr/>
                      <w:rPr>
                        <w:rFonts w:hint="default" w:ascii="Cambria Math" w:hAnsi="Cambria Math"/>
                        <w:color w:val="auto"/>
                        <w:sz w:val="24"/>
                        <w:highlight w:val="none"/>
                        <w:lang w:val="en-US" w:eastAsia="zh-CN"/>
                      </w:rPr>
                      <m:t>P1i</m:t>
                    </m:r>
                    <m:ctrlPr>
                      <w:rPr>
                        <w:rFonts w:hint="default" w:ascii="Cambria Math" w:hAnsi="Cambria Math"/>
                        <w:i/>
                        <w:color w:val="auto"/>
                        <w:sz w:val="24"/>
                        <w:highlight w:val="none"/>
                      </w:rPr>
                    </m:ctrlPr>
                  </m:sub>
                </m:sSub>
                <m:r>
                  <m:rPr/>
                  <w:rPr>
                    <w:rFonts w:hint="default" w:ascii="Cambria Math" w:hAnsi="Cambria Math"/>
                    <w:color w:val="auto"/>
                    <w:sz w:val="24"/>
                    <w:highlight w:val="none"/>
                    <w:lang w:val="en-US" w:eastAsia="zh-CN"/>
                  </w:rPr>
                  <m:t>(T)−(T</m:t>
                </m:r>
                <m:sSub>
                  <m:sSubPr>
                    <m:ctrlPr>
                      <w:rPr>
                        <w:rFonts w:hint="default" w:ascii="Cambria Math" w:hAnsi="Cambria Math"/>
                        <w:i/>
                        <w:color w:val="auto"/>
                        <w:sz w:val="24"/>
                        <w:highlight w:val="none"/>
                      </w:rPr>
                    </m:ctrlPr>
                  </m:sSubPr>
                  <m:e>
                    <m:r>
                      <m:rPr/>
                      <w:rPr>
                        <w:rFonts w:hint="default" w:ascii="Cambria Math" w:hAnsi="Cambria Math"/>
                        <w:color w:val="auto"/>
                        <w:sz w:val="24"/>
                        <w:highlight w:val="none"/>
                        <w:lang w:val="en-US" w:eastAsia="zh-CN"/>
                      </w:rPr>
                      <m:t>L</m:t>
                    </m:r>
                    <m:ctrlPr>
                      <w:rPr>
                        <w:rFonts w:hint="default" w:ascii="Cambria Math" w:hAnsi="Cambria Math"/>
                        <w:i/>
                        <w:color w:val="auto"/>
                        <w:sz w:val="24"/>
                        <w:highlight w:val="none"/>
                      </w:rPr>
                    </m:ctrlPr>
                  </m:e>
                  <m:sub>
                    <m:r>
                      <m:rPr/>
                      <w:rPr>
                        <w:rFonts w:hint="default" w:ascii="Cambria Math" w:hAnsi="Cambria Math"/>
                        <w:color w:val="auto"/>
                        <w:sz w:val="24"/>
                        <w:highlight w:val="none"/>
                        <w:lang w:val="en-US" w:eastAsia="zh-CN"/>
                      </w:rPr>
                      <m:t>i</m:t>
                    </m:r>
                    <m:ctrlPr>
                      <w:rPr>
                        <w:rFonts w:hint="default" w:ascii="Cambria Math" w:hAnsi="Cambria Math"/>
                        <w:i/>
                        <w:color w:val="auto"/>
                        <w:sz w:val="24"/>
                        <w:highlight w:val="none"/>
                      </w:rPr>
                    </m:ctrlPr>
                  </m:sub>
                </m:sSub>
                <m:r>
                  <m:rPr/>
                  <w:rPr>
                    <w:rFonts w:hint="default" w:ascii="Cambria Math" w:hAnsi="Cambria Math"/>
                    <w:color w:val="auto"/>
                    <w:sz w:val="24"/>
                    <w:highlight w:val="none"/>
                    <w:lang w:val="en-US" w:eastAsia="zh-CN"/>
                  </w:rPr>
                  <m:t>+6)</m:t>
                </m:r>
              </m:oMath>
            </m:oMathPara>
          </w:p>
          <w:p w14:paraId="63CEFB12">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式中：</w:t>
            </w:r>
          </w:p>
          <w:p w14:paraId="1CF10E36">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LP2i（T）—靠近围护结构处室外N个声源i倍频带的叠加声压级，dB；</w:t>
            </w:r>
          </w:p>
          <w:p w14:paraId="0D1E5B19">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TLi—围护结构i倍频带的隔声量，dB。</w:t>
            </w:r>
          </w:p>
          <w:p w14:paraId="71BB8621">
            <w:pPr>
              <w:pStyle w:val="71"/>
              <w:keepNext w:val="0"/>
              <w:keepLines w:val="0"/>
              <w:pageBreakBefore w:val="0"/>
              <w:widowControl w:val="0"/>
              <w:kinsoku/>
              <w:wordWrap/>
              <w:overflowPunct/>
              <w:topLinePunct w:val="0"/>
              <w:autoSpaceDE/>
              <w:autoSpaceDN/>
              <w:bidi w:val="0"/>
              <w:adjustRightInd w:val="0"/>
              <w:snapToGrid w:val="0"/>
              <w:spacing w:line="500" w:lineRule="exact"/>
              <w:ind w:firstLine="482"/>
              <w:textAlignment w:val="auto"/>
              <w:rPr>
                <w:color w:val="auto"/>
                <w:szCs w:val="21"/>
                <w:highlight w:val="none"/>
              </w:rPr>
            </w:pPr>
            <w:r>
              <w:rPr>
                <w:color w:val="auto"/>
                <w:szCs w:val="21"/>
                <w:highlight w:val="none"/>
              </w:rPr>
              <w:t>④将室外声源的声压级和透过面积换算成等效的室外声源，计算出中心位置位于透声面积（S）处的等效声源的倍频带声功率级。</w:t>
            </w:r>
          </w:p>
          <w:p w14:paraId="1C6C7C08">
            <w:pPr>
              <w:pStyle w:val="71"/>
              <w:keepNext w:val="0"/>
              <w:keepLines w:val="0"/>
              <w:pageBreakBefore w:val="0"/>
              <w:widowControl w:val="0"/>
              <w:kinsoku/>
              <w:wordWrap/>
              <w:overflowPunct/>
              <w:topLinePunct w:val="0"/>
              <w:bidi w:val="0"/>
              <w:adjustRightInd w:val="0"/>
              <w:snapToGrid w:val="0"/>
              <w:spacing w:line="500" w:lineRule="exact"/>
              <w:ind w:firstLine="480"/>
              <w:jc w:val="center"/>
              <w:textAlignment w:val="auto"/>
              <w:rPr>
                <w:rFonts w:hint="default" w:eastAsia="宋体"/>
                <w:color w:val="auto"/>
                <w:position w:val="-14"/>
                <w:szCs w:val="21"/>
                <w:highlight w:val="none"/>
                <w:lang w:val="en-US" w:eastAsia="zh-CN"/>
              </w:rPr>
            </w:pPr>
            <m:oMathPara>
              <m:oMath>
                <m:sSub>
                  <m:sSubPr>
                    <m:ctrlPr>
                      <w:rPr>
                        <w:rFonts w:hint="default" w:ascii="Cambria Math" w:hAnsi="Cambria Math" w:eastAsia="宋体" w:cs="Times New Roman"/>
                        <w:i/>
                        <w:color w:val="auto"/>
                        <w:sz w:val="24"/>
                        <w:highlight w:val="none"/>
                      </w:rPr>
                    </m:ctrlPr>
                  </m:sSubPr>
                  <m:e>
                    <m:r>
                      <m:rPr/>
                      <w:rPr>
                        <w:rFonts w:hint="default" w:ascii="Cambria Math" w:hAnsi="Cambria Math" w:eastAsia="宋体" w:cs="Times New Roman"/>
                        <w:color w:val="auto"/>
                        <w:sz w:val="24"/>
                        <w:highlight w:val="none"/>
                        <w:lang w:val="en-US" w:eastAsia="zh-CN"/>
                      </w:rPr>
                      <m:t>L</m:t>
                    </m:r>
                    <m:ctrlPr>
                      <w:rPr>
                        <w:rFonts w:hint="default" w:ascii="Cambria Math" w:hAnsi="Cambria Math" w:eastAsia="宋体" w:cs="Times New Roman"/>
                        <w:i/>
                        <w:color w:val="auto"/>
                        <w:sz w:val="24"/>
                        <w:highlight w:val="none"/>
                      </w:rPr>
                    </m:ctrlPr>
                  </m:e>
                  <m:sub>
                    <m:r>
                      <m:rPr/>
                      <w:rPr>
                        <w:rFonts w:hint="default" w:ascii="Cambria Math" w:hAnsi="Cambria Math" w:eastAsia="宋体" w:cs="Times New Roman"/>
                        <w:color w:val="auto"/>
                        <w:sz w:val="24"/>
                        <w:highlight w:val="none"/>
                        <w:lang w:val="en-US" w:eastAsia="zh-CN"/>
                      </w:rPr>
                      <m:t>w</m:t>
                    </m:r>
                    <m:ctrlPr>
                      <w:rPr>
                        <w:rFonts w:hint="default" w:ascii="Cambria Math" w:hAnsi="Cambria Math" w:eastAsia="宋体" w:cs="Times New Roman"/>
                        <w:i/>
                        <w:color w:val="auto"/>
                        <w:sz w:val="24"/>
                        <w:highlight w:val="none"/>
                      </w:rPr>
                    </m:ctrlPr>
                  </m:sub>
                </m:sSub>
                <m:r>
                  <m:rPr/>
                  <w:rPr>
                    <w:rFonts w:hint="default" w:ascii="Cambria Math" w:hAnsi="Cambria Math" w:eastAsia="宋体" w:cs="Times New Roman"/>
                    <w:color w:val="auto"/>
                    <w:sz w:val="24"/>
                    <w:highlight w:val="none"/>
                    <w:lang w:val="en-US" w:eastAsia="zh-CN"/>
                  </w:rPr>
                  <m:t>=</m:t>
                </m:r>
                <m:sSub>
                  <m:sSubPr>
                    <m:ctrlPr>
                      <w:rPr>
                        <w:rFonts w:hint="default" w:ascii="Cambria Math" w:hAnsi="Cambria Math" w:eastAsia="宋体" w:cs="Times New Roman"/>
                        <w:i/>
                        <w:color w:val="auto"/>
                        <w:sz w:val="24"/>
                        <w:highlight w:val="none"/>
                        <w:lang w:val="en-US" w:eastAsia="zh-CN"/>
                      </w:rPr>
                    </m:ctrlPr>
                  </m:sSubPr>
                  <m:e>
                    <m:r>
                      <m:rPr/>
                      <w:rPr>
                        <w:rFonts w:hint="default" w:ascii="Cambria Math" w:hAnsi="Cambria Math" w:eastAsia="宋体" w:cs="Times New Roman"/>
                        <w:color w:val="auto"/>
                        <w:sz w:val="24"/>
                        <w:highlight w:val="none"/>
                        <w:lang w:val="en-US" w:eastAsia="zh-CN"/>
                      </w:rPr>
                      <m:t>L</m:t>
                    </m:r>
                    <m:ctrlPr>
                      <w:rPr>
                        <w:rFonts w:hint="default" w:ascii="Cambria Math" w:hAnsi="Cambria Math" w:eastAsia="宋体" w:cs="Times New Roman"/>
                        <w:i/>
                        <w:color w:val="auto"/>
                        <w:sz w:val="24"/>
                        <w:highlight w:val="none"/>
                        <w:lang w:val="en-US" w:eastAsia="zh-CN"/>
                      </w:rPr>
                    </m:ctrlPr>
                  </m:e>
                  <m:sub>
                    <m:r>
                      <m:rPr/>
                      <w:rPr>
                        <w:rFonts w:hint="default" w:ascii="Cambria Math" w:hAnsi="Cambria Math" w:eastAsia="宋体" w:cs="Times New Roman"/>
                        <w:color w:val="auto"/>
                        <w:sz w:val="24"/>
                        <w:highlight w:val="none"/>
                        <w:lang w:val="en-US" w:eastAsia="zh-CN"/>
                      </w:rPr>
                      <m:t>p2</m:t>
                    </m:r>
                    <m:ctrlPr>
                      <w:rPr>
                        <w:rFonts w:hint="default" w:ascii="Cambria Math" w:hAnsi="Cambria Math" w:eastAsia="宋体" w:cs="Times New Roman"/>
                        <w:i/>
                        <w:color w:val="auto"/>
                        <w:sz w:val="24"/>
                        <w:highlight w:val="none"/>
                        <w:lang w:val="en-US" w:eastAsia="zh-CN"/>
                      </w:rPr>
                    </m:ctrlPr>
                  </m:sub>
                </m:sSub>
                <m:r>
                  <m:rPr/>
                  <w:rPr>
                    <w:rFonts w:hint="default" w:ascii="Cambria Math" w:hAnsi="Cambria Math" w:eastAsia="宋体" w:cs="Times New Roman"/>
                    <w:color w:val="auto"/>
                    <w:sz w:val="24"/>
                    <w:highlight w:val="none"/>
                    <w:lang w:val="en-US" w:eastAsia="zh-CN"/>
                  </w:rPr>
                  <m:t>(T)+10</m:t>
                </m:r>
                <m:func>
                  <m:funcPr>
                    <m:ctrlPr>
                      <w:rPr>
                        <w:rFonts w:hint="default" w:ascii="Cambria Math" w:hAnsi="Cambria Math" w:eastAsia="宋体" w:cs="Times New Roman"/>
                        <w:i/>
                        <w:color w:val="auto"/>
                        <w:sz w:val="24"/>
                        <w:highlight w:val="none"/>
                        <w:lang w:val="en-US" w:eastAsia="zh-CN"/>
                      </w:rPr>
                    </m:ctrlPr>
                  </m:funcPr>
                  <m:fName>
                    <m:r>
                      <m:rPr/>
                      <w:rPr>
                        <w:rFonts w:hint="default" w:ascii="Cambria Math" w:hAnsi="Cambria Math" w:eastAsia="宋体" w:cs="Times New Roman"/>
                        <w:color w:val="auto"/>
                        <w:sz w:val="24"/>
                        <w:highlight w:val="none"/>
                        <w:lang w:val="en-US"/>
                      </w:rPr>
                      <m:t>lg</m:t>
                    </m:r>
                    <m:ctrlPr>
                      <w:rPr>
                        <w:rFonts w:hint="default" w:ascii="Cambria Math" w:hAnsi="Cambria Math" w:eastAsia="宋体" w:cs="Times New Roman"/>
                        <w:i/>
                        <w:color w:val="auto"/>
                        <w:sz w:val="24"/>
                        <w:highlight w:val="none"/>
                        <w:lang w:val="en-US" w:eastAsia="zh-CN"/>
                      </w:rPr>
                    </m:ctrlPr>
                  </m:fName>
                  <m:e>
                    <m:r>
                      <m:rPr/>
                      <w:rPr>
                        <w:rFonts w:hint="default" w:ascii="Cambria Math" w:hAnsi="Cambria Math" w:eastAsia="宋体" w:cs="Times New Roman"/>
                        <w:color w:val="auto"/>
                        <w:sz w:val="24"/>
                        <w:highlight w:val="none"/>
                        <w:lang w:val="en-US" w:eastAsia="zh-CN"/>
                      </w:rPr>
                      <m:t>S</m:t>
                    </m:r>
                    <m:ctrlPr>
                      <w:rPr>
                        <w:rFonts w:hint="default" w:ascii="Cambria Math" w:hAnsi="Cambria Math" w:eastAsia="宋体" w:cs="Times New Roman"/>
                        <w:i/>
                        <w:color w:val="auto"/>
                        <w:sz w:val="24"/>
                        <w:highlight w:val="none"/>
                        <w:lang w:val="en-US" w:eastAsia="zh-CN"/>
                      </w:rPr>
                    </m:ctrlPr>
                  </m:e>
                </m:func>
              </m:oMath>
            </m:oMathPara>
          </w:p>
          <w:p w14:paraId="07376F32">
            <w:pPr>
              <w:keepNext w:val="0"/>
              <w:keepLines w:val="0"/>
              <w:pageBreakBefore w:val="0"/>
              <w:widowControl w:val="0"/>
              <w:kinsoku/>
              <w:wordWrap/>
              <w:overflowPunct/>
              <w:topLinePunct w:val="0"/>
              <w:autoSpaceDE w:val="0"/>
              <w:autoSpaceDN w:val="0"/>
              <w:bidi w:val="0"/>
              <w:adjustRightInd w:val="0"/>
              <w:snapToGrid w:val="0"/>
              <w:spacing w:line="500" w:lineRule="exact"/>
              <w:ind w:left="0" w:leftChars="0" w:firstLine="480" w:firstLineChars="200"/>
              <w:textAlignment w:val="auto"/>
              <w:rPr>
                <w:rFonts w:ascii="Times New Roman" w:hAnsi="Times New Roman" w:eastAsia="宋体" w:cs="Times New Roman"/>
                <w:color w:val="auto"/>
                <w:kern w:val="0"/>
                <w:szCs w:val="21"/>
                <w:highlight w:val="none"/>
              </w:rPr>
            </w:pPr>
            <w:r>
              <w:rPr>
                <w:rFonts w:ascii="Times New Roman" w:hAnsi="Times New Roman" w:eastAsia="宋体" w:cs="Times New Roman"/>
                <w:color w:val="auto"/>
                <w:kern w:val="0"/>
                <w:szCs w:val="21"/>
                <w:highlight w:val="none"/>
              </w:rPr>
              <w:t>⑤等效室外声源的位置为围护结构的位置，其倍频带声功率级为LW，根据厂房结构（门、窗）和预测点的位置关系，分别按照面声源、线声源和点声源的衰减模式，计算预测点处的声级。</w:t>
            </w:r>
          </w:p>
          <w:p w14:paraId="26D52AD1">
            <w:pPr>
              <w:keepNext w:val="0"/>
              <w:keepLines w:val="0"/>
              <w:pageBreakBefore w:val="0"/>
              <w:widowControl w:val="0"/>
              <w:kinsoku/>
              <w:wordWrap/>
              <w:overflowPunct/>
              <w:topLinePunct w:val="0"/>
              <w:autoSpaceDE w:val="0"/>
              <w:autoSpaceDN w:val="0"/>
              <w:bidi w:val="0"/>
              <w:adjustRightInd w:val="0"/>
              <w:snapToGrid w:val="0"/>
              <w:spacing w:line="500" w:lineRule="exact"/>
              <w:ind w:left="437" w:leftChars="182"/>
              <w:textAlignment w:val="auto"/>
              <w:rPr>
                <w:color w:val="auto"/>
                <w:kern w:val="0"/>
                <w:szCs w:val="21"/>
                <w:highlight w:val="none"/>
              </w:rPr>
            </w:pPr>
            <w:r>
              <w:rPr>
                <w:rFonts w:ascii="Times New Roman" w:hAnsi="Times New Roman" w:eastAsia="宋体" w:cs="Times New Roman"/>
                <w:color w:val="auto"/>
                <w:kern w:val="0"/>
                <w:szCs w:val="21"/>
                <w:highlight w:val="none"/>
              </w:rPr>
              <w:t>3）计算总</w:t>
            </w:r>
            <w:r>
              <w:rPr>
                <w:color w:val="auto"/>
                <w:kern w:val="0"/>
                <w:szCs w:val="21"/>
                <w:highlight w:val="none"/>
              </w:rPr>
              <w:t>声压级</w:t>
            </w:r>
          </w:p>
          <w:p w14:paraId="30AD21C6">
            <w:pPr>
              <w:pStyle w:val="71"/>
              <w:keepNext w:val="0"/>
              <w:keepLines w:val="0"/>
              <w:pageBreakBefore w:val="0"/>
              <w:widowControl w:val="0"/>
              <w:kinsoku/>
              <w:wordWrap/>
              <w:overflowPunct/>
              <w:topLinePunct w:val="0"/>
              <w:bidi w:val="0"/>
              <w:adjustRightInd w:val="0"/>
              <w:snapToGrid w:val="0"/>
              <w:spacing w:line="500" w:lineRule="exact"/>
              <w:ind w:firstLine="480"/>
              <w:textAlignment w:val="auto"/>
              <w:rPr>
                <w:color w:val="auto"/>
                <w:szCs w:val="21"/>
                <w:highlight w:val="none"/>
              </w:rPr>
            </w:pPr>
            <w:r>
              <w:rPr>
                <w:color w:val="auto"/>
                <w:szCs w:val="21"/>
                <w:highlight w:val="none"/>
              </w:rPr>
              <w:t>①计算本工程各室外噪声源和各含噪声源厂房对各预测点噪声贡献值</w:t>
            </w:r>
          </w:p>
          <w:p w14:paraId="6547A3E3">
            <w:pPr>
              <w:pStyle w:val="71"/>
              <w:keepNext w:val="0"/>
              <w:keepLines w:val="0"/>
              <w:pageBreakBefore w:val="0"/>
              <w:widowControl w:val="0"/>
              <w:kinsoku/>
              <w:wordWrap/>
              <w:overflowPunct/>
              <w:topLinePunct w:val="0"/>
              <w:bidi w:val="0"/>
              <w:adjustRightInd w:val="0"/>
              <w:snapToGrid w:val="0"/>
              <w:spacing w:line="500" w:lineRule="exact"/>
              <w:ind w:firstLine="480"/>
              <w:textAlignment w:val="auto"/>
              <w:rPr>
                <w:rFonts w:hint="eastAsia" w:eastAsia="宋体"/>
                <w:color w:val="auto"/>
                <w:position w:val="-32"/>
                <w:sz w:val="24"/>
                <w:highlight w:val="none"/>
                <w:lang w:eastAsia="zh-CN"/>
              </w:rPr>
            </w:pPr>
            <w:r>
              <w:rPr>
                <w:color w:val="auto"/>
                <w:szCs w:val="21"/>
                <w:highlight w:val="none"/>
              </w:rPr>
              <w:t>设第i个室外声源在预测点产生的A声级为L</w:t>
            </w:r>
            <w:r>
              <w:rPr>
                <w:color w:val="auto"/>
                <w:szCs w:val="21"/>
                <w:highlight w:val="none"/>
                <w:vertAlign w:val="subscript"/>
              </w:rPr>
              <w:t>Ai</w:t>
            </w:r>
            <w:r>
              <w:rPr>
                <w:color w:val="auto"/>
                <w:szCs w:val="21"/>
                <w:highlight w:val="none"/>
              </w:rPr>
              <w:t>，在T时间内该声源工作时间为t</w:t>
            </w:r>
            <w:r>
              <w:rPr>
                <w:color w:val="auto"/>
                <w:szCs w:val="21"/>
                <w:highlight w:val="none"/>
                <w:vertAlign w:val="subscript"/>
              </w:rPr>
              <w:t>i</w:t>
            </w:r>
            <w:r>
              <w:rPr>
                <w:color w:val="auto"/>
                <w:szCs w:val="21"/>
                <w:highlight w:val="none"/>
              </w:rPr>
              <w:t>；第j个等效室外声源在预测点产生的A声级为L</w:t>
            </w:r>
            <w:r>
              <w:rPr>
                <w:color w:val="auto"/>
                <w:szCs w:val="21"/>
                <w:highlight w:val="none"/>
                <w:vertAlign w:val="subscript"/>
              </w:rPr>
              <w:t>Aj</w:t>
            </w:r>
            <w:r>
              <w:rPr>
                <w:color w:val="auto"/>
                <w:szCs w:val="21"/>
                <w:highlight w:val="none"/>
              </w:rPr>
              <w:t>，在T时间内该声源工作时间为t</w:t>
            </w:r>
            <w:r>
              <w:rPr>
                <w:color w:val="auto"/>
                <w:szCs w:val="21"/>
                <w:highlight w:val="none"/>
                <w:vertAlign w:val="subscript"/>
              </w:rPr>
              <w:t>j</w:t>
            </w:r>
            <w:r>
              <w:rPr>
                <w:color w:val="auto"/>
                <w:szCs w:val="21"/>
                <w:highlight w:val="none"/>
              </w:rPr>
              <w:t>，则本工程声源对预测点产生的贡献值（L</w:t>
            </w:r>
            <w:r>
              <w:rPr>
                <w:color w:val="auto"/>
                <w:szCs w:val="21"/>
                <w:highlight w:val="none"/>
                <w:vertAlign w:val="subscript"/>
              </w:rPr>
              <w:t>eqg</w:t>
            </w:r>
            <w:r>
              <w:rPr>
                <w:color w:val="auto"/>
                <w:szCs w:val="21"/>
                <w:highlight w:val="none"/>
              </w:rPr>
              <w:t>）为：</w:t>
            </w:r>
          </w:p>
          <w:p w14:paraId="2913B1D5">
            <w:pPr>
              <w:pStyle w:val="71"/>
              <w:keepNext w:val="0"/>
              <w:keepLines w:val="0"/>
              <w:pageBreakBefore w:val="0"/>
              <w:widowControl w:val="0"/>
              <w:kinsoku/>
              <w:wordWrap/>
              <w:overflowPunct/>
              <w:topLinePunct w:val="0"/>
              <w:bidi w:val="0"/>
              <w:adjustRightInd w:val="0"/>
              <w:snapToGrid w:val="0"/>
              <w:spacing w:line="500" w:lineRule="exact"/>
              <w:ind w:firstLine="480"/>
              <w:jc w:val="center"/>
              <w:textAlignment w:val="auto"/>
              <w:rPr>
                <w:color w:val="auto"/>
                <w:position w:val="-32"/>
                <w:sz w:val="24"/>
                <w:highlight w:val="none"/>
              </w:rPr>
            </w:pPr>
            <w:r>
              <w:rPr>
                <w:rFonts w:hint="eastAsia" w:cs="宋体"/>
                <w:color w:val="auto"/>
                <w:position w:val="-22"/>
                <w:sz w:val="24"/>
              </w:rPr>
              <w:object>
                <v:shape id="_x0000_i1029" o:spt="75" type="#_x0000_t75" style="height:35.35pt;width:204.25pt;" o:ole="t" filled="f" o:preferrelative="t" stroked="f" coordsize="21600,21600">
                  <v:path/>
                  <v:fill on="f" focussize="0,0"/>
                  <v:stroke on="f"/>
                  <v:imagedata r:id="rId27" o:title=""/>
                  <o:lock v:ext="edit" aspectratio="t"/>
                  <w10:wrap type="none"/>
                  <w10:anchorlock/>
                </v:shape>
                <o:OLEObject Type="Embed" ProgID="Equation.3" ShapeID="_x0000_i1029" DrawAspect="Content" ObjectID="_1468075733" r:id="rId26">
                  <o:LockedField>false</o:LockedField>
                </o:OLEObject>
              </w:object>
            </w:r>
          </w:p>
          <w:p w14:paraId="6D0A0950">
            <w:pPr>
              <w:pStyle w:val="5"/>
              <w:keepNext w:val="0"/>
              <w:keepLines w:val="0"/>
              <w:pageBreakBefore w:val="0"/>
              <w:widowControl w:val="0"/>
              <w:kinsoku/>
              <w:wordWrap/>
              <w:overflowPunct/>
              <w:topLinePunct w:val="0"/>
              <w:bidi w:val="0"/>
              <w:adjustRightInd w:val="0"/>
              <w:snapToGrid w:val="0"/>
              <w:spacing w:line="500" w:lineRule="exact"/>
              <w:textAlignment w:val="auto"/>
              <w:rPr>
                <w:color w:val="auto"/>
                <w:kern w:val="0"/>
                <w:szCs w:val="21"/>
                <w:highlight w:val="none"/>
              </w:rPr>
            </w:pPr>
            <w:r>
              <w:rPr>
                <w:color w:val="auto"/>
                <w:kern w:val="0"/>
                <w:szCs w:val="21"/>
                <w:highlight w:val="none"/>
              </w:rPr>
              <w:t>②预测点的噪声预测值</w:t>
            </w:r>
          </w:p>
          <w:p w14:paraId="4FA0D4D0">
            <w:pPr>
              <w:pStyle w:val="71"/>
              <w:keepNext w:val="0"/>
              <w:keepLines w:val="0"/>
              <w:pageBreakBefore w:val="0"/>
              <w:widowControl w:val="0"/>
              <w:kinsoku/>
              <w:wordWrap/>
              <w:overflowPunct/>
              <w:topLinePunct w:val="0"/>
              <w:bidi w:val="0"/>
              <w:adjustRightInd w:val="0"/>
              <w:snapToGrid w:val="0"/>
              <w:spacing w:line="500" w:lineRule="exact"/>
              <w:ind w:firstLine="480"/>
              <w:jc w:val="center"/>
              <w:textAlignment w:val="auto"/>
              <w:rPr>
                <w:color w:val="auto"/>
                <w:szCs w:val="21"/>
                <w:highlight w:val="none"/>
              </w:rPr>
            </w:pPr>
            <w:r>
              <w:rPr>
                <w:rFonts w:hint="eastAsia" w:cs="宋体"/>
                <w:color w:val="auto"/>
                <w:position w:val="-12"/>
                <w:sz w:val="24"/>
              </w:rPr>
              <w:object>
                <v:shape id="_x0000_i1030" o:spt="75" type="#_x0000_t75" style="height:23.55pt;width:141.7pt;" o:ole="t" filled="f" o:preferrelative="t" stroked="f" coordsize="21600,21600">
                  <v:path/>
                  <v:fill on="f" focussize="0,0"/>
                  <v:stroke on="f"/>
                  <v:imagedata r:id="rId29" o:title=""/>
                  <o:lock v:ext="edit" aspectratio="t"/>
                  <w10:wrap type="none"/>
                  <w10:anchorlock/>
                </v:shape>
                <o:OLEObject Type="Embed" ProgID="Equation.3" ShapeID="_x0000_i1030" DrawAspect="Content" ObjectID="_1468075734" r:id="rId28">
                  <o:LockedField>false</o:LockedField>
                </o:OLEObject>
              </w:object>
            </w:r>
          </w:p>
          <w:p w14:paraId="4C45EC69">
            <w:pPr>
              <w:pStyle w:val="71"/>
              <w:keepNext w:val="0"/>
              <w:keepLines w:val="0"/>
              <w:pageBreakBefore w:val="0"/>
              <w:widowControl w:val="0"/>
              <w:kinsoku/>
              <w:wordWrap/>
              <w:overflowPunct/>
              <w:topLinePunct w:val="0"/>
              <w:autoSpaceDE/>
              <w:autoSpaceDN/>
              <w:bidi w:val="0"/>
              <w:adjustRightInd w:val="0"/>
              <w:snapToGrid w:val="0"/>
              <w:spacing w:line="500" w:lineRule="exact"/>
              <w:ind w:firstLine="480"/>
              <w:textAlignment w:val="auto"/>
              <w:rPr>
                <w:color w:val="auto"/>
                <w:szCs w:val="21"/>
                <w:highlight w:val="none"/>
              </w:rPr>
            </w:pPr>
            <w:r>
              <w:rPr>
                <w:color w:val="auto"/>
                <w:szCs w:val="21"/>
                <w:highlight w:val="none"/>
              </w:rPr>
              <w:t>式中：</w:t>
            </w:r>
          </w:p>
          <w:p w14:paraId="0DBA0850">
            <w:pPr>
              <w:pStyle w:val="71"/>
              <w:keepNext w:val="0"/>
              <w:keepLines w:val="0"/>
              <w:pageBreakBefore w:val="0"/>
              <w:widowControl w:val="0"/>
              <w:kinsoku/>
              <w:wordWrap/>
              <w:overflowPunct/>
              <w:topLinePunct w:val="0"/>
              <w:autoSpaceDE/>
              <w:autoSpaceDN/>
              <w:bidi w:val="0"/>
              <w:adjustRightInd w:val="0"/>
              <w:snapToGrid w:val="0"/>
              <w:spacing w:line="500" w:lineRule="exact"/>
              <w:ind w:firstLine="480"/>
              <w:textAlignment w:val="auto"/>
              <w:rPr>
                <w:color w:val="auto"/>
                <w:szCs w:val="21"/>
                <w:highlight w:val="none"/>
              </w:rPr>
            </w:pPr>
            <w:r>
              <w:rPr>
                <w:color w:val="auto"/>
                <w:szCs w:val="21"/>
                <w:highlight w:val="none"/>
              </w:rPr>
              <w:t>Leqg—建设项目声源在预测点的等效声级贡献值，dB（A）；</w:t>
            </w:r>
          </w:p>
          <w:p w14:paraId="57348F46">
            <w:pPr>
              <w:pStyle w:val="71"/>
              <w:keepNext w:val="0"/>
              <w:keepLines w:val="0"/>
              <w:pageBreakBefore w:val="0"/>
              <w:widowControl w:val="0"/>
              <w:kinsoku/>
              <w:wordWrap/>
              <w:overflowPunct/>
              <w:topLinePunct w:val="0"/>
              <w:autoSpaceDE/>
              <w:autoSpaceDN/>
              <w:bidi w:val="0"/>
              <w:adjustRightInd w:val="0"/>
              <w:snapToGrid w:val="0"/>
              <w:spacing w:line="500" w:lineRule="exact"/>
              <w:ind w:firstLine="480"/>
              <w:textAlignment w:val="auto"/>
              <w:rPr>
                <w:color w:val="auto"/>
                <w:szCs w:val="21"/>
                <w:highlight w:val="none"/>
              </w:rPr>
            </w:pPr>
            <w:r>
              <w:rPr>
                <w:color w:val="auto"/>
                <w:szCs w:val="21"/>
                <w:highlight w:val="none"/>
              </w:rPr>
              <w:t>Leqb—预测点的背景值，dB（A）。</w:t>
            </w:r>
          </w:p>
          <w:p w14:paraId="655AE3BD">
            <w:pPr>
              <w:pStyle w:val="71"/>
              <w:keepNext w:val="0"/>
              <w:keepLines w:val="0"/>
              <w:pageBreakBefore w:val="0"/>
              <w:widowControl w:val="0"/>
              <w:kinsoku/>
              <w:wordWrap/>
              <w:overflowPunct/>
              <w:topLinePunct w:val="0"/>
              <w:autoSpaceDE/>
              <w:autoSpaceDN/>
              <w:bidi w:val="0"/>
              <w:adjustRightInd w:val="0"/>
              <w:snapToGrid w:val="0"/>
              <w:spacing w:line="500" w:lineRule="exact"/>
              <w:ind w:firstLine="480"/>
              <w:textAlignment w:val="auto"/>
              <w:rPr>
                <w:color w:val="auto"/>
                <w:szCs w:val="21"/>
                <w:highlight w:val="none"/>
              </w:rPr>
            </w:pPr>
            <w:r>
              <w:rPr>
                <w:color w:val="auto"/>
                <w:szCs w:val="21"/>
                <w:highlight w:val="none"/>
              </w:rPr>
              <w:t>4）噪声预测点位</w:t>
            </w:r>
          </w:p>
          <w:p w14:paraId="0FE578F1">
            <w:pPr>
              <w:pStyle w:val="71"/>
              <w:keepNext w:val="0"/>
              <w:keepLines w:val="0"/>
              <w:pageBreakBefore w:val="0"/>
              <w:widowControl w:val="0"/>
              <w:kinsoku/>
              <w:wordWrap/>
              <w:overflowPunct/>
              <w:topLinePunct w:val="0"/>
              <w:autoSpaceDE/>
              <w:autoSpaceDN/>
              <w:bidi w:val="0"/>
              <w:adjustRightInd w:val="0"/>
              <w:snapToGrid w:val="0"/>
              <w:spacing w:line="500" w:lineRule="exact"/>
              <w:ind w:firstLine="480"/>
              <w:textAlignment w:val="auto"/>
              <w:rPr>
                <w:color w:val="auto"/>
                <w:szCs w:val="21"/>
                <w:highlight w:val="none"/>
              </w:rPr>
            </w:pPr>
            <w:r>
              <w:rPr>
                <w:color w:val="auto"/>
                <w:szCs w:val="21"/>
                <w:highlight w:val="none"/>
              </w:rPr>
              <w:t>预测本工程噪声源对四周厂界的噪声贡献值。</w:t>
            </w:r>
          </w:p>
          <w:p w14:paraId="6A3D3DD9">
            <w:pPr>
              <w:keepNext w:val="0"/>
              <w:keepLines w:val="0"/>
              <w:pageBreakBefore w:val="0"/>
              <w:widowControl w:val="0"/>
              <w:kinsoku/>
              <w:wordWrap/>
              <w:overflowPunct/>
              <w:topLinePunct w:val="0"/>
              <w:autoSpaceDE/>
              <w:autoSpaceDN/>
              <w:bidi w:val="0"/>
              <w:spacing w:line="500" w:lineRule="exact"/>
              <w:ind w:firstLine="472" w:firstLineChars="200"/>
              <w:textAlignment w:val="auto"/>
              <w:rPr>
                <w:color w:val="auto"/>
                <w:spacing w:val="-2"/>
                <w:szCs w:val="21"/>
                <w:highlight w:val="none"/>
              </w:rPr>
            </w:pPr>
            <w:r>
              <w:rPr>
                <w:color w:val="auto"/>
                <w:spacing w:val="-2"/>
                <w:szCs w:val="21"/>
                <w:highlight w:val="none"/>
              </w:rPr>
              <w:t>（3）预测结果</w:t>
            </w:r>
          </w:p>
          <w:p w14:paraId="0342113F">
            <w:pPr>
              <w:keepNext w:val="0"/>
              <w:keepLines w:val="0"/>
              <w:pageBreakBefore w:val="0"/>
              <w:widowControl w:val="0"/>
              <w:kinsoku/>
              <w:wordWrap/>
              <w:overflowPunct/>
              <w:topLinePunct w:val="0"/>
              <w:autoSpaceDE/>
              <w:autoSpaceDN/>
              <w:bidi w:val="0"/>
              <w:spacing w:line="500" w:lineRule="exact"/>
              <w:ind w:firstLine="480" w:firstLineChars="200"/>
              <w:textAlignment w:val="auto"/>
              <w:rPr>
                <w:color w:val="auto"/>
                <w:szCs w:val="21"/>
                <w:highlight w:val="none"/>
              </w:rPr>
            </w:pPr>
            <w:r>
              <w:rPr>
                <w:rFonts w:hint="eastAsia"/>
                <w:color w:val="auto"/>
                <w:szCs w:val="21"/>
                <w:highlight w:val="none"/>
                <w:lang w:eastAsia="zh-CN"/>
              </w:rPr>
              <w:t>经</w:t>
            </w:r>
            <w:r>
              <w:rPr>
                <w:color w:val="auto"/>
                <w:szCs w:val="21"/>
                <w:highlight w:val="none"/>
              </w:rPr>
              <w:t>计算，各预测点声级值预测结果见</w:t>
            </w:r>
            <w:r>
              <w:rPr>
                <w:rFonts w:hint="eastAsia"/>
                <w:color w:val="auto"/>
                <w:szCs w:val="21"/>
                <w:highlight w:val="none"/>
                <w:lang w:eastAsia="zh-CN"/>
              </w:rPr>
              <w:t>下</w:t>
            </w:r>
            <w:r>
              <w:rPr>
                <w:color w:val="auto"/>
                <w:szCs w:val="21"/>
                <w:highlight w:val="none"/>
              </w:rPr>
              <w:t>表。</w:t>
            </w:r>
          </w:p>
          <w:p w14:paraId="2944EB0A">
            <w:pPr>
              <w:spacing w:line="440" w:lineRule="exact"/>
              <w:ind w:firstLine="482" w:firstLineChars="200"/>
              <w:jc w:val="center"/>
              <w:rPr>
                <w:b/>
                <w:color w:val="auto"/>
                <w:szCs w:val="21"/>
                <w:highlight w:val="none"/>
              </w:rPr>
            </w:pPr>
            <w:r>
              <w:rPr>
                <w:b/>
                <w:color w:val="auto"/>
                <w:szCs w:val="21"/>
                <w:highlight w:val="none"/>
              </w:rPr>
              <w:t>表</w:t>
            </w:r>
            <w:r>
              <w:rPr>
                <w:rFonts w:hint="eastAsia"/>
                <w:b/>
                <w:color w:val="auto"/>
                <w:szCs w:val="21"/>
                <w:highlight w:val="none"/>
                <w:lang w:val="en-US" w:eastAsia="zh-CN"/>
              </w:rPr>
              <w:t>4</w:t>
            </w:r>
            <w:r>
              <w:rPr>
                <w:rFonts w:hint="eastAsia"/>
                <w:b/>
                <w:color w:val="auto"/>
                <w:szCs w:val="21"/>
                <w:highlight w:val="none"/>
              </w:rPr>
              <w:t>-</w:t>
            </w:r>
            <w:r>
              <w:rPr>
                <w:rFonts w:hint="eastAsia"/>
                <w:b/>
                <w:color w:val="auto"/>
                <w:szCs w:val="21"/>
                <w:highlight w:val="none"/>
                <w:lang w:val="en-US" w:eastAsia="zh-CN"/>
              </w:rPr>
              <w:t xml:space="preserve">11 </w:t>
            </w:r>
            <w:r>
              <w:rPr>
                <w:b/>
                <w:color w:val="auto"/>
                <w:szCs w:val="21"/>
                <w:highlight w:val="none"/>
              </w:rPr>
              <w:t>厂界噪声预测结果一览表</w:t>
            </w:r>
          </w:p>
          <w:tbl>
            <w:tblPr>
              <w:tblStyle w:val="25"/>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319"/>
              <w:gridCol w:w="770"/>
              <w:gridCol w:w="1280"/>
              <w:gridCol w:w="1341"/>
              <w:gridCol w:w="1368"/>
              <w:gridCol w:w="1606"/>
            </w:tblGrid>
            <w:tr w14:paraId="667B311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2089" w:type="dxa"/>
                  <w:gridSpan w:val="2"/>
                  <w:vMerge w:val="restart"/>
                  <w:tcBorders>
                    <w:tl2br w:val="nil"/>
                    <w:tr2bl w:val="nil"/>
                  </w:tcBorders>
                  <w:noWrap w:val="0"/>
                  <w:vAlign w:val="center"/>
                </w:tcPr>
                <w:p w14:paraId="68F0F9CC">
                  <w:pPr>
                    <w:adjustRightInd w:val="0"/>
                    <w:snapToGrid w:val="0"/>
                    <w:spacing w:line="280" w:lineRule="exact"/>
                    <w:jc w:val="center"/>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噪声源</w:t>
                  </w:r>
                </w:p>
              </w:tc>
              <w:tc>
                <w:tcPr>
                  <w:tcW w:w="5595" w:type="dxa"/>
                  <w:gridSpan w:val="4"/>
                  <w:tcBorders>
                    <w:tl2br w:val="nil"/>
                    <w:tr2bl w:val="nil"/>
                  </w:tcBorders>
                  <w:noWrap w:val="0"/>
                  <w:vAlign w:val="center"/>
                </w:tcPr>
                <w:p w14:paraId="349D152B">
                  <w:pPr>
                    <w:adjustRightInd w:val="0"/>
                    <w:snapToGrid w:val="0"/>
                    <w:spacing w:line="280" w:lineRule="exact"/>
                    <w:jc w:val="center"/>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各厂界噪声预测结果dB（A）</w:t>
                  </w:r>
                </w:p>
              </w:tc>
            </w:tr>
            <w:tr w14:paraId="3FADBE3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74" w:hRule="exact"/>
                <w:jc w:val="center"/>
              </w:trPr>
              <w:tc>
                <w:tcPr>
                  <w:tcW w:w="2089" w:type="dxa"/>
                  <w:gridSpan w:val="2"/>
                  <w:vMerge w:val="continue"/>
                  <w:tcBorders>
                    <w:tl2br w:val="nil"/>
                    <w:tr2bl w:val="nil"/>
                  </w:tcBorders>
                  <w:noWrap w:val="0"/>
                  <w:vAlign w:val="center"/>
                </w:tcPr>
                <w:p w14:paraId="5F80FCAC">
                  <w:pPr>
                    <w:adjustRightInd w:val="0"/>
                    <w:snapToGrid w:val="0"/>
                    <w:spacing w:line="280" w:lineRule="exact"/>
                    <w:jc w:val="center"/>
                    <w:rPr>
                      <w:rFonts w:hint="default" w:ascii="Times New Roman" w:hAnsi="Times New Roman" w:cs="Times New Roman"/>
                      <w:color w:val="auto"/>
                      <w:sz w:val="21"/>
                      <w:szCs w:val="21"/>
                      <w:highlight w:val="none"/>
                    </w:rPr>
                  </w:pPr>
                </w:p>
              </w:tc>
              <w:tc>
                <w:tcPr>
                  <w:tcW w:w="1280" w:type="dxa"/>
                  <w:tcBorders>
                    <w:tl2br w:val="nil"/>
                    <w:tr2bl w:val="nil"/>
                  </w:tcBorders>
                  <w:noWrap w:val="0"/>
                  <w:vAlign w:val="center"/>
                </w:tcPr>
                <w:p w14:paraId="303D162A">
                  <w:pPr>
                    <w:autoSpaceDE w:val="0"/>
                    <w:autoSpaceDN w:val="0"/>
                    <w:adjustRightInd w:val="0"/>
                    <w:snapToGrid w:val="0"/>
                    <w:jc w:val="center"/>
                    <w:rPr>
                      <w:rFonts w:hint="default" w:ascii="Times New Roman" w:hAnsi="Times New Roman" w:cs="Times New Roman"/>
                      <w:color w:val="auto"/>
                      <w:sz w:val="21"/>
                      <w:szCs w:val="21"/>
                      <w:highlight w:val="none"/>
                    </w:rPr>
                  </w:pPr>
                  <w:r>
                    <w:rPr>
                      <w:rFonts w:hint="eastAsia"/>
                      <w:color w:val="auto"/>
                      <w:sz w:val="21"/>
                      <w:szCs w:val="21"/>
                      <w:lang w:val="en-US" w:eastAsia="zh-CN"/>
                    </w:rPr>
                    <w:t>东侧</w:t>
                  </w:r>
                </w:p>
              </w:tc>
              <w:tc>
                <w:tcPr>
                  <w:tcW w:w="1341" w:type="dxa"/>
                  <w:tcBorders>
                    <w:tl2br w:val="nil"/>
                    <w:tr2bl w:val="nil"/>
                  </w:tcBorders>
                  <w:noWrap w:val="0"/>
                  <w:vAlign w:val="center"/>
                </w:tcPr>
                <w:p w14:paraId="5C5E1BF4">
                  <w:pPr>
                    <w:autoSpaceDE w:val="0"/>
                    <w:autoSpaceDN w:val="0"/>
                    <w:adjustRightInd w:val="0"/>
                    <w:snapToGrid w:val="0"/>
                    <w:jc w:val="center"/>
                    <w:rPr>
                      <w:rFonts w:hint="default" w:ascii="Times New Roman" w:hAnsi="Times New Roman" w:cs="Times New Roman"/>
                      <w:color w:val="auto"/>
                      <w:sz w:val="21"/>
                      <w:szCs w:val="21"/>
                      <w:highlight w:val="none"/>
                    </w:rPr>
                  </w:pPr>
                  <w:r>
                    <w:rPr>
                      <w:rFonts w:hint="eastAsia"/>
                      <w:color w:val="auto"/>
                      <w:sz w:val="21"/>
                      <w:szCs w:val="21"/>
                      <w:lang w:val="en-US" w:eastAsia="zh-CN"/>
                    </w:rPr>
                    <w:t>南侧</w:t>
                  </w:r>
                </w:p>
              </w:tc>
              <w:tc>
                <w:tcPr>
                  <w:tcW w:w="1368" w:type="dxa"/>
                  <w:tcBorders>
                    <w:tl2br w:val="nil"/>
                    <w:tr2bl w:val="nil"/>
                  </w:tcBorders>
                  <w:noWrap w:val="0"/>
                  <w:vAlign w:val="center"/>
                </w:tcPr>
                <w:p w14:paraId="40B1ABB4">
                  <w:pPr>
                    <w:autoSpaceDE w:val="0"/>
                    <w:autoSpaceDN w:val="0"/>
                    <w:adjustRightInd w:val="0"/>
                    <w:snapToGrid w:val="0"/>
                    <w:jc w:val="center"/>
                    <w:rPr>
                      <w:rFonts w:hint="default" w:ascii="Times New Roman" w:hAnsi="Times New Roman" w:cs="Times New Roman"/>
                      <w:color w:val="auto"/>
                      <w:sz w:val="21"/>
                      <w:szCs w:val="21"/>
                      <w:highlight w:val="none"/>
                    </w:rPr>
                  </w:pPr>
                  <w:r>
                    <w:rPr>
                      <w:rFonts w:hint="eastAsia"/>
                      <w:color w:val="auto"/>
                      <w:sz w:val="21"/>
                      <w:szCs w:val="21"/>
                      <w:lang w:val="en-US" w:eastAsia="zh-CN"/>
                    </w:rPr>
                    <w:t>西侧</w:t>
                  </w:r>
                </w:p>
              </w:tc>
              <w:tc>
                <w:tcPr>
                  <w:tcW w:w="1606" w:type="dxa"/>
                  <w:tcBorders>
                    <w:tl2br w:val="nil"/>
                    <w:tr2bl w:val="nil"/>
                  </w:tcBorders>
                  <w:noWrap w:val="0"/>
                  <w:vAlign w:val="center"/>
                </w:tcPr>
                <w:p w14:paraId="6DD16580">
                  <w:pPr>
                    <w:autoSpaceDE w:val="0"/>
                    <w:autoSpaceDN w:val="0"/>
                    <w:adjustRightInd w:val="0"/>
                    <w:snapToGrid w:val="0"/>
                    <w:jc w:val="center"/>
                    <w:rPr>
                      <w:rFonts w:hint="default" w:ascii="Times New Roman" w:hAnsi="Times New Roman" w:cs="Times New Roman"/>
                      <w:color w:val="auto"/>
                      <w:sz w:val="21"/>
                      <w:szCs w:val="21"/>
                      <w:highlight w:val="none"/>
                    </w:rPr>
                  </w:pPr>
                  <w:r>
                    <w:rPr>
                      <w:rFonts w:hint="eastAsia"/>
                      <w:color w:val="auto"/>
                      <w:sz w:val="21"/>
                      <w:szCs w:val="21"/>
                      <w:lang w:val="en-US" w:eastAsia="zh-CN"/>
                    </w:rPr>
                    <w:t>北侧</w:t>
                  </w:r>
                </w:p>
              </w:tc>
            </w:tr>
            <w:tr w14:paraId="73D8820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74" w:hRule="exact"/>
                <w:jc w:val="center"/>
              </w:trPr>
              <w:tc>
                <w:tcPr>
                  <w:tcW w:w="2089" w:type="dxa"/>
                  <w:gridSpan w:val="2"/>
                  <w:tcBorders>
                    <w:tl2br w:val="nil"/>
                    <w:tr2bl w:val="nil"/>
                  </w:tcBorders>
                  <w:noWrap w:val="0"/>
                  <w:vAlign w:val="center"/>
                </w:tcPr>
                <w:p w14:paraId="47676B9A">
                  <w:pPr>
                    <w:adjustRightInd w:val="0"/>
                    <w:snapToGrid w:val="0"/>
                    <w:spacing w:line="280" w:lineRule="exact"/>
                    <w:jc w:val="center"/>
                    <w:rPr>
                      <w:rFonts w:hint="eastAsia" w:ascii="Times New Roman" w:hAnsi="Times New Roman" w:eastAsia="宋体" w:cs="Times New Roman"/>
                      <w:color w:val="auto"/>
                      <w:sz w:val="21"/>
                      <w:szCs w:val="21"/>
                      <w:highlight w:val="none"/>
                      <w:lang w:eastAsia="zh-CN"/>
                    </w:rPr>
                  </w:pPr>
                  <w:r>
                    <w:rPr>
                      <w:rFonts w:hint="eastAsia" w:cs="Times New Roman"/>
                      <w:color w:val="auto"/>
                      <w:sz w:val="21"/>
                      <w:szCs w:val="21"/>
                      <w:highlight w:val="none"/>
                      <w:lang w:eastAsia="zh-CN"/>
                    </w:rPr>
                    <w:t>车间距厂界距离</w:t>
                  </w:r>
                </w:p>
              </w:tc>
              <w:tc>
                <w:tcPr>
                  <w:tcW w:w="1280" w:type="dxa"/>
                  <w:tcBorders>
                    <w:tl2br w:val="nil"/>
                    <w:tr2bl w:val="nil"/>
                  </w:tcBorders>
                  <w:noWrap w:val="0"/>
                  <w:vAlign w:val="center"/>
                </w:tcPr>
                <w:p w14:paraId="7173800B">
                  <w:pPr>
                    <w:widowControl/>
                    <w:jc w:val="center"/>
                    <w:textAlignment w:val="center"/>
                    <w:rPr>
                      <w:rFonts w:hint="default"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val="en-US" w:eastAsia="zh-CN"/>
                    </w:rPr>
                    <w:t>22</w:t>
                  </w:r>
                </w:p>
              </w:tc>
              <w:tc>
                <w:tcPr>
                  <w:tcW w:w="1341" w:type="dxa"/>
                  <w:tcBorders>
                    <w:tl2br w:val="nil"/>
                    <w:tr2bl w:val="nil"/>
                  </w:tcBorders>
                  <w:noWrap w:val="0"/>
                  <w:vAlign w:val="center"/>
                </w:tcPr>
                <w:p w14:paraId="16EE926F">
                  <w:pPr>
                    <w:widowControl/>
                    <w:jc w:val="center"/>
                    <w:textAlignment w:val="center"/>
                    <w:rPr>
                      <w:rFonts w:hint="default" w:ascii="Times New Roman" w:hAnsi="Times New Roman" w:cs="Times New Roman"/>
                      <w:color w:val="auto"/>
                      <w:sz w:val="21"/>
                      <w:szCs w:val="21"/>
                      <w:highlight w:val="none"/>
                      <w:lang w:val="en-US"/>
                    </w:rPr>
                  </w:pPr>
                  <w:r>
                    <w:rPr>
                      <w:rFonts w:hint="eastAsia"/>
                      <w:color w:val="auto"/>
                      <w:sz w:val="21"/>
                      <w:szCs w:val="21"/>
                      <w:lang w:val="en-US" w:eastAsia="zh-CN"/>
                    </w:rPr>
                    <w:t>460</w:t>
                  </w:r>
                </w:p>
              </w:tc>
              <w:tc>
                <w:tcPr>
                  <w:tcW w:w="1368" w:type="dxa"/>
                  <w:tcBorders>
                    <w:tl2br w:val="nil"/>
                    <w:tr2bl w:val="nil"/>
                  </w:tcBorders>
                  <w:noWrap w:val="0"/>
                  <w:vAlign w:val="center"/>
                </w:tcPr>
                <w:p w14:paraId="18B8C3FF">
                  <w:pPr>
                    <w:widowControl/>
                    <w:jc w:val="center"/>
                    <w:textAlignment w:val="center"/>
                    <w:rPr>
                      <w:rFonts w:hint="default" w:ascii="Times New Roman" w:hAnsi="Times New Roman" w:cs="Times New Roman"/>
                      <w:color w:val="auto"/>
                      <w:sz w:val="21"/>
                      <w:szCs w:val="21"/>
                      <w:highlight w:val="none"/>
                      <w:lang w:val="en-US"/>
                    </w:rPr>
                  </w:pPr>
                  <w:r>
                    <w:rPr>
                      <w:rFonts w:hint="eastAsia"/>
                      <w:color w:val="auto"/>
                      <w:sz w:val="21"/>
                      <w:szCs w:val="21"/>
                      <w:lang w:val="en-US" w:eastAsia="zh-CN"/>
                    </w:rPr>
                    <w:t>22</w:t>
                  </w:r>
                </w:p>
              </w:tc>
              <w:tc>
                <w:tcPr>
                  <w:tcW w:w="1606" w:type="dxa"/>
                  <w:tcBorders>
                    <w:tl2br w:val="nil"/>
                    <w:tr2bl w:val="nil"/>
                  </w:tcBorders>
                  <w:noWrap w:val="0"/>
                  <w:vAlign w:val="center"/>
                </w:tcPr>
                <w:p w14:paraId="08264A91">
                  <w:pPr>
                    <w:widowControl/>
                    <w:jc w:val="center"/>
                    <w:textAlignment w:val="center"/>
                    <w:rPr>
                      <w:rFonts w:hint="default" w:ascii="Times New Roman" w:hAnsi="Times New Roman" w:cs="Times New Roman"/>
                      <w:color w:val="auto"/>
                      <w:sz w:val="21"/>
                      <w:szCs w:val="21"/>
                      <w:highlight w:val="none"/>
                      <w:lang w:val="en-US"/>
                    </w:rPr>
                  </w:pPr>
                  <w:r>
                    <w:rPr>
                      <w:rFonts w:hint="eastAsia"/>
                      <w:color w:val="auto"/>
                      <w:sz w:val="21"/>
                      <w:szCs w:val="21"/>
                      <w:lang w:val="en-US" w:eastAsia="zh-CN"/>
                    </w:rPr>
                    <w:t>5</w:t>
                  </w:r>
                </w:p>
              </w:tc>
            </w:tr>
            <w:tr w14:paraId="536C04F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1319" w:type="dxa"/>
                  <w:vMerge w:val="restart"/>
                  <w:tcBorders>
                    <w:tl2br w:val="nil"/>
                    <w:tr2bl w:val="nil"/>
                  </w:tcBorders>
                  <w:noWrap w:val="0"/>
                  <w:vAlign w:val="center"/>
                </w:tcPr>
                <w:p w14:paraId="5091B032">
                  <w:pPr>
                    <w:adjustRightInd w:val="0"/>
                    <w:snapToGrid w:val="0"/>
                    <w:spacing w:line="280" w:lineRule="exact"/>
                    <w:jc w:val="center"/>
                    <w:rPr>
                      <w:rFonts w:hint="default" w:ascii="Times New Roman" w:hAnsi="Times New Roman" w:eastAsia="宋体" w:cs="Times New Roman"/>
                      <w:color w:val="auto"/>
                      <w:sz w:val="21"/>
                      <w:szCs w:val="21"/>
                      <w:highlight w:val="none"/>
                      <w:lang w:eastAsia="zh-CN"/>
                    </w:rPr>
                  </w:pPr>
                  <w:r>
                    <w:rPr>
                      <w:rFonts w:hint="default" w:ascii="Times New Roman" w:hAnsi="Times New Roman" w:cs="Times New Roman"/>
                      <w:color w:val="auto"/>
                      <w:sz w:val="21"/>
                      <w:szCs w:val="21"/>
                      <w:highlight w:val="none"/>
                      <w:lang w:eastAsia="zh-CN"/>
                    </w:rPr>
                    <w:t>贡献噪声值</w:t>
                  </w:r>
                </w:p>
              </w:tc>
              <w:tc>
                <w:tcPr>
                  <w:tcW w:w="770" w:type="dxa"/>
                  <w:tcBorders>
                    <w:tl2br w:val="nil"/>
                    <w:tr2bl w:val="nil"/>
                  </w:tcBorders>
                  <w:noWrap w:val="0"/>
                  <w:vAlign w:val="center"/>
                </w:tcPr>
                <w:p w14:paraId="56C878D2">
                  <w:pPr>
                    <w:adjustRightInd w:val="0"/>
                    <w:snapToGrid w:val="0"/>
                    <w:spacing w:line="280" w:lineRule="exact"/>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cs="Times New Roman"/>
                      <w:color w:val="auto"/>
                      <w:sz w:val="21"/>
                      <w:szCs w:val="21"/>
                      <w:highlight w:val="none"/>
                      <w:lang w:eastAsia="zh-CN"/>
                    </w:rPr>
                    <w:t>昼间</w:t>
                  </w:r>
                </w:p>
              </w:tc>
              <w:tc>
                <w:tcPr>
                  <w:tcW w:w="1280" w:type="dxa"/>
                  <w:tcBorders>
                    <w:tl2br w:val="nil"/>
                    <w:tr2bl w:val="nil"/>
                  </w:tcBorders>
                  <w:noWrap w:val="0"/>
                  <w:vAlign w:val="center"/>
                </w:tcPr>
                <w:p w14:paraId="3A85FDA7">
                  <w:pPr>
                    <w:adjustRightInd w:val="0"/>
                    <w:snapToGrid w:val="0"/>
                    <w:spacing w:line="280" w:lineRule="exact"/>
                    <w:jc w:val="center"/>
                    <w:rPr>
                      <w:rFonts w:hint="default" w:ascii="Times New Roman" w:hAnsi="Times New Roman" w:cs="Times New Roman"/>
                      <w:color w:val="auto"/>
                      <w:sz w:val="21"/>
                      <w:szCs w:val="21"/>
                      <w:highlight w:val="none"/>
                      <w:lang w:val="en-US" w:eastAsia="zh-CN"/>
                    </w:rPr>
                  </w:pPr>
                  <w:r>
                    <w:rPr>
                      <w:rFonts w:hint="eastAsia" w:cs="Times New Roman"/>
                      <w:color w:val="auto"/>
                      <w:sz w:val="21"/>
                      <w:szCs w:val="21"/>
                      <w:highlight w:val="none"/>
                      <w:lang w:val="en-US" w:eastAsia="zh-CN"/>
                    </w:rPr>
                    <w:t>41.7</w:t>
                  </w:r>
                </w:p>
              </w:tc>
              <w:tc>
                <w:tcPr>
                  <w:tcW w:w="1341" w:type="dxa"/>
                  <w:tcBorders>
                    <w:tl2br w:val="nil"/>
                    <w:tr2bl w:val="nil"/>
                  </w:tcBorders>
                  <w:noWrap w:val="0"/>
                  <w:vAlign w:val="center"/>
                </w:tcPr>
                <w:p w14:paraId="3FBCCE35">
                  <w:pPr>
                    <w:adjustRightInd w:val="0"/>
                    <w:snapToGrid w:val="0"/>
                    <w:spacing w:line="280" w:lineRule="exact"/>
                    <w:jc w:val="center"/>
                    <w:rPr>
                      <w:rFonts w:hint="default" w:ascii="Times New Roman" w:hAnsi="Times New Roman" w:cs="Times New Roman"/>
                      <w:color w:val="auto"/>
                      <w:sz w:val="21"/>
                      <w:szCs w:val="21"/>
                      <w:highlight w:val="none"/>
                      <w:lang w:val="en-US" w:eastAsia="zh-CN"/>
                    </w:rPr>
                  </w:pPr>
                  <w:r>
                    <w:rPr>
                      <w:rFonts w:hint="eastAsia" w:cs="Times New Roman"/>
                      <w:color w:val="auto"/>
                      <w:sz w:val="21"/>
                      <w:szCs w:val="21"/>
                      <w:highlight w:val="none"/>
                      <w:lang w:val="en-US" w:eastAsia="zh-CN"/>
                    </w:rPr>
                    <w:t>51.7</w:t>
                  </w:r>
                </w:p>
              </w:tc>
              <w:tc>
                <w:tcPr>
                  <w:tcW w:w="1368" w:type="dxa"/>
                  <w:tcBorders>
                    <w:tl2br w:val="nil"/>
                    <w:tr2bl w:val="nil"/>
                  </w:tcBorders>
                  <w:noWrap w:val="0"/>
                  <w:vAlign w:val="center"/>
                </w:tcPr>
                <w:p w14:paraId="3D389A25">
                  <w:pPr>
                    <w:adjustRightInd w:val="0"/>
                    <w:snapToGrid w:val="0"/>
                    <w:spacing w:line="280" w:lineRule="exact"/>
                    <w:jc w:val="center"/>
                    <w:rPr>
                      <w:rFonts w:hint="default" w:ascii="Times New Roman" w:hAnsi="Times New Roman" w:cs="Times New Roman"/>
                      <w:color w:val="auto"/>
                      <w:sz w:val="21"/>
                      <w:szCs w:val="21"/>
                      <w:highlight w:val="none"/>
                      <w:lang w:val="en-US" w:eastAsia="zh-CN"/>
                    </w:rPr>
                  </w:pPr>
                  <w:r>
                    <w:rPr>
                      <w:rFonts w:hint="eastAsia" w:cs="Times New Roman"/>
                      <w:color w:val="auto"/>
                      <w:sz w:val="21"/>
                      <w:szCs w:val="21"/>
                      <w:highlight w:val="none"/>
                      <w:lang w:val="en-US" w:eastAsia="zh-CN"/>
                    </w:rPr>
                    <w:t>53.8</w:t>
                  </w:r>
                </w:p>
              </w:tc>
              <w:tc>
                <w:tcPr>
                  <w:tcW w:w="1606" w:type="dxa"/>
                  <w:tcBorders>
                    <w:tl2br w:val="nil"/>
                    <w:tr2bl w:val="nil"/>
                  </w:tcBorders>
                  <w:noWrap w:val="0"/>
                  <w:vAlign w:val="center"/>
                </w:tcPr>
                <w:p w14:paraId="153E75E5">
                  <w:pPr>
                    <w:adjustRightInd w:val="0"/>
                    <w:snapToGrid w:val="0"/>
                    <w:spacing w:line="280" w:lineRule="exact"/>
                    <w:jc w:val="center"/>
                    <w:rPr>
                      <w:rFonts w:hint="default" w:ascii="Times New Roman" w:hAnsi="Times New Roman" w:cs="Times New Roman"/>
                      <w:color w:val="auto"/>
                      <w:sz w:val="21"/>
                      <w:szCs w:val="21"/>
                      <w:highlight w:val="none"/>
                      <w:lang w:val="en-US" w:eastAsia="zh-CN"/>
                    </w:rPr>
                  </w:pPr>
                  <w:r>
                    <w:rPr>
                      <w:rFonts w:hint="eastAsia" w:cs="Times New Roman"/>
                      <w:color w:val="auto"/>
                      <w:sz w:val="21"/>
                      <w:szCs w:val="21"/>
                      <w:highlight w:val="none"/>
                      <w:lang w:val="en-US" w:eastAsia="zh-CN"/>
                    </w:rPr>
                    <w:t>52.0</w:t>
                  </w:r>
                </w:p>
              </w:tc>
            </w:tr>
            <w:tr w14:paraId="59814A0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1319" w:type="dxa"/>
                  <w:vMerge w:val="continue"/>
                  <w:tcBorders>
                    <w:tl2br w:val="nil"/>
                    <w:tr2bl w:val="nil"/>
                  </w:tcBorders>
                  <w:noWrap w:val="0"/>
                  <w:vAlign w:val="center"/>
                </w:tcPr>
                <w:p w14:paraId="7F0FDEC4">
                  <w:pPr>
                    <w:adjustRightInd w:val="0"/>
                    <w:snapToGrid w:val="0"/>
                    <w:spacing w:line="280" w:lineRule="exact"/>
                    <w:jc w:val="center"/>
                    <w:rPr>
                      <w:rFonts w:hint="default" w:ascii="Times New Roman" w:hAnsi="Times New Roman" w:cs="Times New Roman"/>
                      <w:color w:val="auto"/>
                      <w:sz w:val="21"/>
                      <w:szCs w:val="21"/>
                      <w:highlight w:val="none"/>
                    </w:rPr>
                  </w:pPr>
                </w:p>
              </w:tc>
              <w:tc>
                <w:tcPr>
                  <w:tcW w:w="770" w:type="dxa"/>
                  <w:tcBorders>
                    <w:tl2br w:val="nil"/>
                    <w:tr2bl w:val="nil"/>
                  </w:tcBorders>
                  <w:noWrap w:val="0"/>
                  <w:vAlign w:val="center"/>
                </w:tcPr>
                <w:p w14:paraId="7207A71B">
                  <w:pPr>
                    <w:adjustRightInd w:val="0"/>
                    <w:snapToGrid w:val="0"/>
                    <w:spacing w:line="280" w:lineRule="exact"/>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cs="Times New Roman"/>
                      <w:color w:val="auto"/>
                      <w:sz w:val="21"/>
                      <w:szCs w:val="21"/>
                      <w:highlight w:val="none"/>
                      <w:lang w:eastAsia="zh-CN"/>
                    </w:rPr>
                    <w:t>夜间</w:t>
                  </w:r>
                </w:p>
              </w:tc>
              <w:tc>
                <w:tcPr>
                  <w:tcW w:w="1280" w:type="dxa"/>
                  <w:tcBorders>
                    <w:tl2br w:val="nil"/>
                    <w:tr2bl w:val="nil"/>
                  </w:tcBorders>
                  <w:noWrap w:val="0"/>
                  <w:vAlign w:val="center"/>
                </w:tcPr>
                <w:p w14:paraId="6DD1C2DA">
                  <w:pPr>
                    <w:adjustRightInd w:val="0"/>
                    <w:snapToGrid w:val="0"/>
                    <w:spacing w:line="280" w:lineRule="exact"/>
                    <w:jc w:val="center"/>
                    <w:rPr>
                      <w:rFonts w:hint="default" w:ascii="Times New Roman" w:hAnsi="Times New Roman" w:eastAsia="宋体" w:cs="Times New Roman"/>
                      <w:color w:val="auto"/>
                      <w:kern w:val="2"/>
                      <w:sz w:val="21"/>
                      <w:szCs w:val="21"/>
                      <w:highlight w:val="none"/>
                      <w:lang w:val="en-US" w:eastAsia="zh-CN" w:bidi="ar-SA"/>
                    </w:rPr>
                  </w:pPr>
                  <w:r>
                    <w:rPr>
                      <w:rFonts w:hint="eastAsia" w:cs="Times New Roman"/>
                      <w:color w:val="auto"/>
                      <w:sz w:val="21"/>
                      <w:szCs w:val="21"/>
                      <w:highlight w:val="none"/>
                      <w:lang w:val="en-US" w:eastAsia="zh-CN"/>
                    </w:rPr>
                    <w:t>41.7</w:t>
                  </w:r>
                </w:p>
              </w:tc>
              <w:tc>
                <w:tcPr>
                  <w:tcW w:w="1341" w:type="dxa"/>
                  <w:tcBorders>
                    <w:tl2br w:val="nil"/>
                    <w:tr2bl w:val="nil"/>
                  </w:tcBorders>
                  <w:noWrap w:val="0"/>
                  <w:vAlign w:val="center"/>
                </w:tcPr>
                <w:p w14:paraId="0DDF9589">
                  <w:pPr>
                    <w:adjustRightInd w:val="0"/>
                    <w:snapToGrid w:val="0"/>
                    <w:spacing w:line="280" w:lineRule="exact"/>
                    <w:jc w:val="center"/>
                    <w:rPr>
                      <w:rFonts w:hint="default" w:ascii="Times New Roman" w:hAnsi="Times New Roman" w:eastAsia="宋体" w:cs="Times New Roman"/>
                      <w:color w:val="auto"/>
                      <w:kern w:val="2"/>
                      <w:sz w:val="21"/>
                      <w:szCs w:val="21"/>
                      <w:highlight w:val="none"/>
                      <w:lang w:val="en-US" w:eastAsia="zh-CN" w:bidi="ar-SA"/>
                    </w:rPr>
                  </w:pPr>
                  <w:r>
                    <w:rPr>
                      <w:rFonts w:hint="eastAsia" w:cs="Times New Roman"/>
                      <w:color w:val="auto"/>
                      <w:sz w:val="21"/>
                      <w:szCs w:val="21"/>
                      <w:highlight w:val="none"/>
                      <w:lang w:val="en-US" w:eastAsia="zh-CN"/>
                    </w:rPr>
                    <w:t>51.7</w:t>
                  </w:r>
                </w:p>
              </w:tc>
              <w:tc>
                <w:tcPr>
                  <w:tcW w:w="1368" w:type="dxa"/>
                  <w:tcBorders>
                    <w:tl2br w:val="nil"/>
                    <w:tr2bl w:val="nil"/>
                  </w:tcBorders>
                  <w:noWrap w:val="0"/>
                  <w:vAlign w:val="center"/>
                </w:tcPr>
                <w:p w14:paraId="5188E548">
                  <w:pPr>
                    <w:adjustRightInd w:val="0"/>
                    <w:snapToGrid w:val="0"/>
                    <w:spacing w:line="280" w:lineRule="exact"/>
                    <w:jc w:val="center"/>
                    <w:rPr>
                      <w:rFonts w:hint="default" w:ascii="Times New Roman" w:hAnsi="Times New Roman" w:eastAsia="宋体" w:cs="Times New Roman"/>
                      <w:color w:val="auto"/>
                      <w:kern w:val="2"/>
                      <w:sz w:val="21"/>
                      <w:szCs w:val="21"/>
                      <w:highlight w:val="none"/>
                      <w:lang w:val="en-US" w:eastAsia="zh-CN" w:bidi="ar-SA"/>
                    </w:rPr>
                  </w:pPr>
                  <w:r>
                    <w:rPr>
                      <w:rFonts w:hint="eastAsia" w:cs="Times New Roman"/>
                      <w:color w:val="auto"/>
                      <w:sz w:val="21"/>
                      <w:szCs w:val="21"/>
                      <w:highlight w:val="none"/>
                      <w:lang w:val="en-US" w:eastAsia="zh-CN"/>
                    </w:rPr>
                    <w:t>53.8</w:t>
                  </w:r>
                </w:p>
              </w:tc>
              <w:tc>
                <w:tcPr>
                  <w:tcW w:w="1606" w:type="dxa"/>
                  <w:tcBorders>
                    <w:tl2br w:val="nil"/>
                    <w:tr2bl w:val="nil"/>
                  </w:tcBorders>
                  <w:noWrap w:val="0"/>
                  <w:vAlign w:val="center"/>
                </w:tcPr>
                <w:p w14:paraId="6C5BE3EB">
                  <w:pPr>
                    <w:adjustRightInd w:val="0"/>
                    <w:snapToGrid w:val="0"/>
                    <w:spacing w:line="280" w:lineRule="exact"/>
                    <w:jc w:val="center"/>
                    <w:rPr>
                      <w:rFonts w:hint="default" w:ascii="Times New Roman" w:hAnsi="Times New Roman" w:eastAsia="宋体" w:cs="Times New Roman"/>
                      <w:color w:val="auto"/>
                      <w:kern w:val="2"/>
                      <w:sz w:val="21"/>
                      <w:szCs w:val="21"/>
                      <w:highlight w:val="none"/>
                      <w:lang w:val="en-US" w:eastAsia="zh-CN" w:bidi="ar-SA"/>
                    </w:rPr>
                  </w:pPr>
                  <w:r>
                    <w:rPr>
                      <w:rFonts w:hint="eastAsia" w:cs="Times New Roman"/>
                      <w:color w:val="auto"/>
                      <w:sz w:val="21"/>
                      <w:szCs w:val="21"/>
                      <w:highlight w:val="none"/>
                      <w:lang w:val="en-US" w:eastAsia="zh-CN"/>
                    </w:rPr>
                    <w:t>52.0</w:t>
                  </w:r>
                </w:p>
              </w:tc>
            </w:tr>
            <w:tr w14:paraId="2DF0CFF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2089" w:type="dxa"/>
                  <w:gridSpan w:val="2"/>
                  <w:tcBorders>
                    <w:tl2br w:val="nil"/>
                    <w:tr2bl w:val="nil"/>
                  </w:tcBorders>
                  <w:noWrap w:val="0"/>
                  <w:vAlign w:val="center"/>
                </w:tcPr>
                <w:p w14:paraId="440F63EE">
                  <w:pPr>
                    <w:adjustRightInd w:val="0"/>
                    <w:snapToGrid w:val="0"/>
                    <w:spacing w:line="280" w:lineRule="exact"/>
                    <w:jc w:val="center"/>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标准值</w:t>
                  </w:r>
                </w:p>
              </w:tc>
              <w:tc>
                <w:tcPr>
                  <w:tcW w:w="5595" w:type="dxa"/>
                  <w:gridSpan w:val="4"/>
                  <w:tcBorders>
                    <w:tl2br w:val="nil"/>
                    <w:tr2bl w:val="nil"/>
                  </w:tcBorders>
                  <w:noWrap w:val="0"/>
                  <w:vAlign w:val="center"/>
                </w:tcPr>
                <w:p w14:paraId="17F07FCD">
                  <w:pPr>
                    <w:adjustRightInd w:val="0"/>
                    <w:snapToGrid w:val="0"/>
                    <w:spacing w:line="280" w:lineRule="exact"/>
                    <w:jc w:val="center"/>
                    <w:rPr>
                      <w:rFonts w:hint="default" w:ascii="Times New Roman" w:hAnsi="Times New Roman" w:cs="Times New Roman"/>
                      <w:color w:val="auto"/>
                      <w:sz w:val="21"/>
                      <w:szCs w:val="21"/>
                      <w:highlight w:val="none"/>
                      <w:lang w:val="en-US" w:eastAsia="zh-CN"/>
                    </w:rPr>
                  </w:pPr>
                  <w:r>
                    <w:rPr>
                      <w:rFonts w:hint="default" w:ascii="Times New Roman" w:hAnsi="Times New Roman" w:cs="Times New Roman"/>
                      <w:color w:val="auto"/>
                      <w:sz w:val="21"/>
                      <w:szCs w:val="21"/>
                      <w:highlight w:val="none"/>
                      <w:lang w:val="en-US" w:eastAsia="zh-CN"/>
                    </w:rPr>
                    <w:t>65</w:t>
                  </w:r>
                  <w:r>
                    <w:rPr>
                      <w:rFonts w:hint="default" w:ascii="Times New Roman" w:hAnsi="Times New Roman" w:cs="Times New Roman"/>
                      <w:color w:val="auto"/>
                      <w:sz w:val="21"/>
                      <w:szCs w:val="21"/>
                      <w:highlight w:val="none"/>
                    </w:rPr>
                    <w:t>（昼间）/</w:t>
                  </w:r>
                  <w:r>
                    <w:rPr>
                      <w:rFonts w:hint="default" w:ascii="Times New Roman" w:hAnsi="Times New Roman" w:cs="Times New Roman"/>
                      <w:color w:val="auto"/>
                      <w:sz w:val="21"/>
                      <w:szCs w:val="21"/>
                      <w:highlight w:val="none"/>
                      <w:lang w:val="en-US" w:eastAsia="zh-CN"/>
                    </w:rPr>
                    <w:t>55</w:t>
                  </w:r>
                  <w:r>
                    <w:rPr>
                      <w:rFonts w:hint="default" w:ascii="Times New Roman" w:hAnsi="Times New Roman" w:cs="Times New Roman"/>
                      <w:color w:val="auto"/>
                      <w:sz w:val="21"/>
                      <w:szCs w:val="21"/>
                      <w:highlight w:val="none"/>
                    </w:rPr>
                    <w:t>（夜间）</w:t>
                  </w:r>
                </w:p>
              </w:tc>
            </w:tr>
            <w:tr w14:paraId="4F323D9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2089" w:type="dxa"/>
                  <w:gridSpan w:val="2"/>
                  <w:tcBorders>
                    <w:tl2br w:val="nil"/>
                    <w:tr2bl w:val="nil"/>
                  </w:tcBorders>
                  <w:noWrap w:val="0"/>
                  <w:vAlign w:val="center"/>
                </w:tcPr>
                <w:p w14:paraId="74D66D14">
                  <w:pPr>
                    <w:adjustRightInd w:val="0"/>
                    <w:snapToGrid w:val="0"/>
                    <w:spacing w:line="280" w:lineRule="exact"/>
                    <w:jc w:val="center"/>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是否达标</w:t>
                  </w:r>
                </w:p>
              </w:tc>
              <w:tc>
                <w:tcPr>
                  <w:tcW w:w="1280" w:type="dxa"/>
                  <w:tcBorders>
                    <w:tl2br w:val="nil"/>
                    <w:tr2bl w:val="nil"/>
                  </w:tcBorders>
                  <w:noWrap w:val="0"/>
                  <w:vAlign w:val="center"/>
                </w:tcPr>
                <w:p w14:paraId="51AA4D80">
                  <w:pPr>
                    <w:adjustRightInd w:val="0"/>
                    <w:snapToGrid w:val="0"/>
                    <w:spacing w:line="280" w:lineRule="exact"/>
                    <w:jc w:val="center"/>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达标</w:t>
                  </w:r>
                </w:p>
              </w:tc>
              <w:tc>
                <w:tcPr>
                  <w:tcW w:w="1341" w:type="dxa"/>
                  <w:tcBorders>
                    <w:tl2br w:val="nil"/>
                    <w:tr2bl w:val="nil"/>
                  </w:tcBorders>
                  <w:noWrap w:val="0"/>
                  <w:vAlign w:val="center"/>
                </w:tcPr>
                <w:p w14:paraId="320A5B3F">
                  <w:pPr>
                    <w:adjustRightInd w:val="0"/>
                    <w:snapToGrid w:val="0"/>
                    <w:spacing w:line="280" w:lineRule="exact"/>
                    <w:jc w:val="center"/>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达标</w:t>
                  </w:r>
                </w:p>
              </w:tc>
              <w:tc>
                <w:tcPr>
                  <w:tcW w:w="1368" w:type="dxa"/>
                  <w:tcBorders>
                    <w:tl2br w:val="nil"/>
                    <w:tr2bl w:val="nil"/>
                  </w:tcBorders>
                  <w:noWrap w:val="0"/>
                  <w:vAlign w:val="center"/>
                </w:tcPr>
                <w:p w14:paraId="7D09D0E6">
                  <w:pPr>
                    <w:adjustRightInd w:val="0"/>
                    <w:snapToGrid w:val="0"/>
                    <w:spacing w:line="280" w:lineRule="exact"/>
                    <w:jc w:val="center"/>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达标</w:t>
                  </w:r>
                </w:p>
              </w:tc>
              <w:tc>
                <w:tcPr>
                  <w:tcW w:w="1606" w:type="dxa"/>
                  <w:tcBorders>
                    <w:tl2br w:val="nil"/>
                    <w:tr2bl w:val="nil"/>
                  </w:tcBorders>
                  <w:noWrap w:val="0"/>
                  <w:vAlign w:val="center"/>
                </w:tcPr>
                <w:p w14:paraId="17899897">
                  <w:pPr>
                    <w:adjustRightInd w:val="0"/>
                    <w:snapToGrid w:val="0"/>
                    <w:spacing w:line="280" w:lineRule="exact"/>
                    <w:jc w:val="center"/>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达标</w:t>
                  </w:r>
                </w:p>
              </w:tc>
            </w:tr>
          </w:tbl>
          <w:p w14:paraId="552F378A">
            <w:pPr>
              <w:keepNext w:val="0"/>
              <w:keepLines w:val="0"/>
              <w:pageBreakBefore w:val="0"/>
              <w:widowControl w:val="0"/>
              <w:kinsoku/>
              <w:wordWrap/>
              <w:overflowPunct/>
              <w:topLinePunct w:val="0"/>
              <w:autoSpaceDE/>
              <w:autoSpaceDN/>
              <w:bidi w:val="0"/>
              <w:spacing w:line="500" w:lineRule="exact"/>
              <w:ind w:firstLine="480" w:firstLineChars="200"/>
              <w:textAlignment w:val="auto"/>
              <w:rPr>
                <w:rFonts w:hint="eastAsia" w:eastAsia="宋体"/>
                <w:b/>
                <w:bCs/>
                <w:szCs w:val="32"/>
                <w:lang w:eastAsia="zh-CN"/>
              </w:rPr>
            </w:pPr>
            <w:r>
              <w:rPr>
                <w:rFonts w:ascii="Times New Roman" w:hAnsi="Times New Roman" w:eastAsia="宋体" w:cs="Times New Roman"/>
                <w:bCs/>
              </w:rPr>
              <w:t>根据上表，采取相应措施后，</w:t>
            </w:r>
            <w:r>
              <w:rPr>
                <w:rFonts w:hint="eastAsia" w:ascii="Times New Roman" w:hAnsi="Times New Roman" w:eastAsia="宋体" w:cs="Times New Roman"/>
                <w:bCs/>
                <w:lang w:eastAsia="zh-CN"/>
              </w:rPr>
              <w:t>本</w:t>
            </w:r>
            <w:r>
              <w:rPr>
                <w:rFonts w:hint="eastAsia" w:ascii="Times New Roman" w:hAnsi="Times New Roman" w:eastAsia="宋体" w:cs="Times New Roman"/>
                <w:bCs/>
              </w:rPr>
              <w:t>项目营运期设备运行噪声在厂界外1m处</w:t>
            </w:r>
            <w:r>
              <w:rPr>
                <w:rFonts w:hint="eastAsia" w:ascii="Times New Roman" w:hAnsi="Times New Roman" w:eastAsia="宋体" w:cs="Times New Roman"/>
                <w:bCs/>
                <w:lang w:eastAsia="zh-CN"/>
              </w:rPr>
              <w:t>昼间</w:t>
            </w:r>
            <w:r>
              <w:rPr>
                <w:rFonts w:hint="eastAsia" w:cs="Times New Roman"/>
                <w:bCs/>
                <w:lang w:eastAsia="zh-CN"/>
              </w:rPr>
              <w:t>、夜间</w:t>
            </w:r>
            <w:r>
              <w:rPr>
                <w:rFonts w:hint="eastAsia" w:ascii="Times New Roman" w:hAnsi="Times New Roman" w:eastAsia="宋体" w:cs="Times New Roman"/>
                <w:bCs/>
              </w:rPr>
              <w:t>噪声贡献值在</w:t>
            </w:r>
            <w:r>
              <w:rPr>
                <w:rFonts w:hint="eastAsia" w:cs="Times New Roman"/>
                <w:bCs/>
                <w:lang w:val="en-US" w:eastAsia="zh-CN"/>
              </w:rPr>
              <w:t>41.7-53.8</w:t>
            </w:r>
            <w:r>
              <w:rPr>
                <w:rFonts w:hint="eastAsia" w:ascii="Times New Roman" w:hAnsi="Times New Roman" w:eastAsia="宋体" w:cs="Times New Roman"/>
                <w:bCs/>
              </w:rPr>
              <w:t>dB(A)之间</w:t>
            </w:r>
            <w:r>
              <w:rPr>
                <w:rFonts w:hint="eastAsia" w:ascii="Times New Roman" w:hAnsi="Times New Roman" w:eastAsia="宋体" w:cs="Times New Roman"/>
                <w:bCs/>
                <w:lang w:eastAsia="zh-CN"/>
              </w:rPr>
              <w:t>。</w:t>
            </w:r>
            <w:r>
              <w:rPr>
                <w:rFonts w:hint="eastAsia"/>
                <w:bCs/>
                <w:lang w:val="en-US" w:eastAsia="zh-CN"/>
              </w:rPr>
              <w:t>东、西、南、北</w:t>
            </w:r>
            <w:r>
              <w:rPr>
                <w:bCs/>
              </w:rPr>
              <w:t>厂界噪声满足《工业企业厂界环境噪声排放标准》（GB12348-2008）</w:t>
            </w:r>
            <w:r>
              <w:rPr>
                <w:rFonts w:hint="eastAsia"/>
                <w:bCs/>
                <w:lang w:val="en-US" w:eastAsia="zh-CN"/>
              </w:rPr>
              <w:t>3</w:t>
            </w:r>
            <w:r>
              <w:rPr>
                <w:bCs/>
              </w:rPr>
              <w:t>类</w:t>
            </w:r>
            <w:r>
              <w:rPr>
                <w:rFonts w:hint="eastAsia"/>
                <w:bCs/>
                <w:lang w:val="en-US" w:eastAsia="zh-CN"/>
              </w:rPr>
              <w:t>标准要求，</w:t>
            </w:r>
            <w:r>
              <w:rPr>
                <w:bCs/>
              </w:rPr>
              <w:t>项目厂界外50m范围内无声环境敏感目标，本项目在保证各设备正常运行的情况下，不会对厂界周围声环境产生明显影响</w:t>
            </w:r>
            <w:r>
              <w:rPr>
                <w:rFonts w:hint="eastAsia"/>
                <w:bCs/>
                <w:lang w:eastAsia="zh-CN"/>
              </w:rPr>
              <w:t>。</w:t>
            </w:r>
          </w:p>
          <w:p w14:paraId="2959EC2B">
            <w:pPr>
              <w:keepNext w:val="0"/>
              <w:keepLines w:val="0"/>
              <w:pageBreakBefore w:val="0"/>
              <w:widowControl w:val="0"/>
              <w:kinsoku/>
              <w:wordWrap/>
              <w:overflowPunct/>
              <w:topLinePunct w:val="0"/>
              <w:autoSpaceDE/>
              <w:autoSpaceDN/>
              <w:bidi w:val="0"/>
              <w:adjustRightInd w:val="0"/>
              <w:snapToGrid w:val="0"/>
              <w:spacing w:line="500" w:lineRule="exact"/>
              <w:textAlignment w:val="auto"/>
              <w:rPr>
                <w:rFonts w:hint="default" w:ascii="Times New Roman" w:hAnsi="Times New Roman" w:eastAsia="宋体" w:cs="Times New Roman"/>
                <w:b w:val="0"/>
                <w:bCs/>
                <w:color w:val="auto"/>
                <w:spacing w:val="0"/>
                <w:sz w:val="24"/>
                <w:szCs w:val="24"/>
                <w:highlight w:val="none"/>
                <w:lang w:val="en-US" w:eastAsia="zh-CN"/>
              </w:rPr>
            </w:pPr>
            <w:r>
              <w:rPr>
                <w:rFonts w:hint="eastAsia" w:ascii="Times New Roman" w:hAnsi="Times New Roman" w:eastAsia="宋体" w:cs="Times New Roman"/>
                <w:b w:val="0"/>
                <w:bCs/>
                <w:color w:val="auto"/>
                <w:spacing w:val="0"/>
                <w:sz w:val="24"/>
                <w:szCs w:val="24"/>
                <w:highlight w:val="none"/>
                <w:lang w:val="en-US" w:eastAsia="zh-CN"/>
              </w:rPr>
              <w:t>（3）</w:t>
            </w:r>
            <w:r>
              <w:rPr>
                <w:rFonts w:hint="default" w:ascii="Times New Roman" w:hAnsi="Times New Roman" w:eastAsia="宋体" w:cs="Times New Roman"/>
                <w:b w:val="0"/>
                <w:bCs/>
                <w:color w:val="auto"/>
                <w:spacing w:val="0"/>
                <w:sz w:val="24"/>
                <w:szCs w:val="24"/>
                <w:highlight w:val="none"/>
                <w:lang w:val="en-US" w:eastAsia="zh-CN"/>
              </w:rPr>
              <w:t>降噪措施可行性分析</w:t>
            </w:r>
          </w:p>
          <w:p w14:paraId="3746F775">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bCs/>
                <w:color w:val="auto"/>
                <w:spacing w:val="0"/>
                <w:sz w:val="24"/>
                <w:szCs w:val="24"/>
                <w:highlight w:val="none"/>
                <w:lang w:val="en-US" w:eastAsia="zh-CN"/>
              </w:rPr>
            </w:pPr>
            <w:r>
              <w:rPr>
                <w:rFonts w:hint="default" w:ascii="Times New Roman" w:hAnsi="Times New Roman" w:eastAsia="宋体" w:cs="Times New Roman"/>
                <w:bCs/>
                <w:color w:val="auto"/>
                <w:spacing w:val="0"/>
                <w:sz w:val="24"/>
                <w:szCs w:val="24"/>
                <w:highlight w:val="none"/>
              </w:rPr>
              <w:t>根据本项目所</w:t>
            </w:r>
            <w:r>
              <w:rPr>
                <w:rFonts w:hint="default" w:ascii="Times New Roman" w:hAnsi="Times New Roman" w:eastAsia="宋体" w:cs="Times New Roman"/>
                <w:bCs/>
                <w:color w:val="auto"/>
                <w:spacing w:val="0"/>
                <w:sz w:val="24"/>
                <w:szCs w:val="24"/>
                <w:highlight w:val="none"/>
                <w:lang w:eastAsia="zh-CN"/>
              </w:rPr>
              <w:t>在</w:t>
            </w:r>
            <w:r>
              <w:rPr>
                <w:rFonts w:hint="default" w:ascii="Times New Roman" w:hAnsi="Times New Roman" w:eastAsia="宋体" w:cs="Times New Roman"/>
                <w:bCs/>
                <w:color w:val="auto"/>
                <w:spacing w:val="0"/>
                <w:sz w:val="24"/>
                <w:szCs w:val="24"/>
                <w:highlight w:val="none"/>
              </w:rPr>
              <w:t>位置，</w:t>
            </w:r>
            <w:r>
              <w:rPr>
                <w:rFonts w:hint="default" w:ascii="Times New Roman" w:hAnsi="Times New Roman" w:eastAsia="宋体" w:cs="Times New Roman"/>
                <w:bCs/>
                <w:color w:val="auto"/>
                <w:spacing w:val="0"/>
                <w:sz w:val="24"/>
                <w:szCs w:val="24"/>
                <w:highlight w:val="none"/>
                <w:lang w:eastAsia="zh-CN"/>
              </w:rPr>
              <w:t>厂界</w:t>
            </w:r>
            <w:r>
              <w:rPr>
                <w:rFonts w:hint="default" w:ascii="Times New Roman" w:hAnsi="Times New Roman" w:eastAsia="宋体" w:cs="Times New Roman"/>
                <w:bCs/>
                <w:color w:val="auto"/>
                <w:spacing w:val="0"/>
                <w:sz w:val="24"/>
                <w:szCs w:val="24"/>
                <w:highlight w:val="none"/>
              </w:rPr>
              <w:t>周边</w:t>
            </w:r>
            <w:r>
              <w:rPr>
                <w:rFonts w:hint="default" w:ascii="Times New Roman" w:hAnsi="Times New Roman" w:eastAsia="宋体" w:cs="Times New Roman"/>
                <w:bCs/>
                <w:color w:val="auto"/>
                <w:spacing w:val="0"/>
                <w:sz w:val="24"/>
                <w:szCs w:val="24"/>
                <w:highlight w:val="none"/>
                <w:lang w:val="en-US" w:eastAsia="zh-CN"/>
              </w:rPr>
              <w:t>50m范围内</w:t>
            </w:r>
            <w:r>
              <w:rPr>
                <w:rFonts w:hint="default" w:ascii="Times New Roman" w:hAnsi="Times New Roman" w:eastAsia="宋体" w:cs="Times New Roman"/>
                <w:bCs/>
                <w:color w:val="auto"/>
                <w:spacing w:val="0"/>
                <w:sz w:val="24"/>
                <w:szCs w:val="24"/>
                <w:highlight w:val="none"/>
                <w:lang w:eastAsia="zh-CN"/>
              </w:rPr>
              <w:t>无声</w:t>
            </w:r>
            <w:r>
              <w:rPr>
                <w:rFonts w:hint="default" w:ascii="Times New Roman" w:hAnsi="Times New Roman" w:eastAsia="宋体" w:cs="Times New Roman"/>
                <w:bCs/>
                <w:color w:val="auto"/>
                <w:spacing w:val="0"/>
                <w:sz w:val="24"/>
                <w:szCs w:val="24"/>
                <w:highlight w:val="none"/>
              </w:rPr>
              <w:t>环境敏感保护目标，</w:t>
            </w:r>
            <w:r>
              <w:rPr>
                <w:rFonts w:hint="default" w:ascii="Times New Roman" w:hAnsi="Times New Roman" w:eastAsia="宋体" w:cs="Times New Roman"/>
                <w:bCs/>
                <w:color w:val="auto"/>
                <w:spacing w:val="0"/>
                <w:sz w:val="24"/>
                <w:szCs w:val="24"/>
                <w:highlight w:val="none"/>
                <w:lang w:val="en-US" w:eastAsia="zh-CN"/>
              </w:rPr>
              <w:t>建议采取如下措施：</w:t>
            </w:r>
          </w:p>
          <w:p w14:paraId="1440360A">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bCs/>
                <w:color w:val="auto"/>
                <w:spacing w:val="0"/>
                <w:sz w:val="24"/>
                <w:szCs w:val="24"/>
                <w:highlight w:val="none"/>
                <w:lang w:val="en-US" w:eastAsia="zh-CN"/>
              </w:rPr>
            </w:pPr>
            <w:r>
              <w:rPr>
                <w:rFonts w:hint="default" w:ascii="Times New Roman" w:hAnsi="Times New Roman" w:eastAsia="宋体" w:cs="Times New Roman"/>
                <w:bCs/>
                <w:color w:val="auto"/>
                <w:spacing w:val="0"/>
                <w:sz w:val="24"/>
                <w:szCs w:val="24"/>
                <w:highlight w:val="none"/>
                <w:lang w:val="en-US" w:eastAsia="zh-CN"/>
              </w:rPr>
              <w:t>①设备降噪措施</w:t>
            </w:r>
          </w:p>
          <w:p w14:paraId="05DA9089">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bCs/>
                <w:color w:val="auto"/>
                <w:spacing w:val="0"/>
                <w:sz w:val="24"/>
                <w:szCs w:val="24"/>
                <w:highlight w:val="none"/>
                <w:lang w:val="en-US" w:eastAsia="zh-CN"/>
              </w:rPr>
            </w:pPr>
            <w:r>
              <w:rPr>
                <w:rFonts w:hint="default" w:ascii="Times New Roman" w:hAnsi="Times New Roman" w:eastAsia="宋体" w:cs="Times New Roman"/>
                <w:bCs/>
                <w:color w:val="auto"/>
                <w:spacing w:val="0"/>
                <w:sz w:val="24"/>
                <w:szCs w:val="24"/>
                <w:highlight w:val="none"/>
                <w:lang w:val="en-US" w:eastAsia="zh-CN"/>
              </w:rPr>
              <w:t>设备均安装在生产车间内，因此在设备选型时尽量选择噪声低的设备，在生产运转时必须定期对其进行检查，保证设备正常运转。直接采用低噪音电机、合理设计钢结构避免共振、采用</w:t>
            </w:r>
            <w:r>
              <w:rPr>
                <w:rFonts w:hint="eastAsia" w:ascii="Times New Roman" w:hAnsi="Times New Roman" w:eastAsia="宋体" w:cs="Times New Roman"/>
                <w:bCs/>
                <w:color w:val="auto"/>
                <w:spacing w:val="0"/>
                <w:sz w:val="24"/>
                <w:szCs w:val="24"/>
                <w:highlight w:val="none"/>
                <w:lang w:val="en-US" w:eastAsia="zh-CN"/>
              </w:rPr>
              <w:t>减振垫</w:t>
            </w:r>
            <w:r>
              <w:rPr>
                <w:rFonts w:hint="default" w:ascii="Times New Roman" w:hAnsi="Times New Roman" w:eastAsia="宋体" w:cs="Times New Roman"/>
                <w:bCs/>
                <w:color w:val="auto"/>
                <w:spacing w:val="0"/>
                <w:sz w:val="24"/>
                <w:szCs w:val="24"/>
                <w:highlight w:val="none"/>
                <w:lang w:val="en-US" w:eastAsia="zh-CN"/>
              </w:rPr>
              <w:t>措施等。</w:t>
            </w:r>
          </w:p>
          <w:p w14:paraId="49A3A189">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bCs/>
                <w:color w:val="auto"/>
                <w:spacing w:val="0"/>
                <w:sz w:val="24"/>
                <w:szCs w:val="24"/>
                <w:highlight w:val="none"/>
                <w:lang w:val="en-US" w:eastAsia="zh-CN"/>
              </w:rPr>
            </w:pPr>
            <w:r>
              <w:rPr>
                <w:rFonts w:hint="default" w:ascii="Times New Roman" w:hAnsi="Times New Roman" w:eastAsia="宋体" w:cs="Times New Roman"/>
                <w:bCs/>
                <w:color w:val="auto"/>
                <w:spacing w:val="0"/>
                <w:sz w:val="24"/>
                <w:szCs w:val="24"/>
                <w:highlight w:val="none"/>
                <w:lang w:val="en-US" w:eastAsia="zh-CN"/>
              </w:rPr>
              <w:t>②运输车辆：根据调查，当车辆在平滑路面行驶时其噪声值较坑洼路面行驶时的噪声值低15dB（A），因此要求企业修筑平滑路面，尽量减少路面坡度，这样可减轻车辆在启动及行驶过程发动机轰鸣噪声，且运出车辆进出场及经过沿途企业生活区时，禁止鸣笛。</w:t>
            </w:r>
          </w:p>
          <w:p w14:paraId="6369B13B">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bCs/>
                <w:color w:val="auto"/>
                <w:spacing w:val="0"/>
                <w:sz w:val="24"/>
                <w:szCs w:val="24"/>
                <w:highlight w:val="none"/>
                <w:lang w:val="en-US" w:eastAsia="zh-CN"/>
              </w:rPr>
            </w:pPr>
            <w:r>
              <w:rPr>
                <w:rFonts w:hint="default" w:ascii="Times New Roman" w:hAnsi="Times New Roman" w:eastAsia="宋体" w:cs="Times New Roman"/>
                <w:bCs/>
                <w:color w:val="auto"/>
                <w:spacing w:val="0"/>
                <w:sz w:val="24"/>
                <w:szCs w:val="24"/>
                <w:highlight w:val="none"/>
                <w:lang w:val="en-US" w:eastAsia="zh-CN"/>
              </w:rPr>
              <w:t>③加强管理：建立设备定期维护保养的管理制度，以防止设备故障以形成的非正常生产噪声；强化车辆管理制度，设置降噪标准，严禁鸣号，进入厂区低速行驶，最大限度减少流动噪声源。</w:t>
            </w:r>
          </w:p>
          <w:p w14:paraId="3109FC57">
            <w:pPr>
              <w:keepNext w:val="0"/>
              <w:keepLines w:val="0"/>
              <w:pageBreakBefore w:val="0"/>
              <w:widowControl w:val="0"/>
              <w:kinsoku/>
              <w:wordWrap/>
              <w:overflowPunct/>
              <w:topLinePunct w:val="0"/>
              <w:autoSpaceDE/>
              <w:autoSpaceDN/>
              <w:bidi w:val="0"/>
              <w:spacing w:line="500" w:lineRule="exact"/>
              <w:ind w:firstLine="480" w:firstLineChars="200"/>
              <w:textAlignment w:val="auto"/>
              <w:rPr>
                <w:rFonts w:hint="eastAsia" w:eastAsia="宋体"/>
                <w:b/>
                <w:bCs/>
                <w:szCs w:val="32"/>
                <w:lang w:eastAsia="zh-CN"/>
              </w:rPr>
            </w:pPr>
            <w:r>
              <w:rPr>
                <w:rFonts w:hint="default" w:ascii="Times New Roman" w:hAnsi="Times New Roman" w:eastAsia="宋体" w:cs="Times New Roman"/>
                <w:color w:val="auto"/>
                <w:spacing w:val="0"/>
                <w:sz w:val="24"/>
                <w:szCs w:val="24"/>
                <w:highlight w:val="none"/>
                <w:lang w:eastAsia="zh-CN"/>
              </w:rPr>
              <w:t>采取上述措施，</w:t>
            </w:r>
            <w:r>
              <w:rPr>
                <w:rFonts w:hint="eastAsia" w:ascii="Times New Roman" w:hAnsi="Times New Roman" w:eastAsia="宋体" w:cs="Times New Roman"/>
                <w:bCs/>
                <w:lang w:eastAsia="zh-CN"/>
              </w:rPr>
              <w:t>本</w:t>
            </w:r>
            <w:r>
              <w:rPr>
                <w:rFonts w:hint="eastAsia" w:ascii="Times New Roman" w:hAnsi="Times New Roman" w:eastAsia="宋体" w:cs="Times New Roman"/>
                <w:bCs/>
              </w:rPr>
              <w:t>项目营运期设备运行噪声在厂界外1m处</w:t>
            </w:r>
            <w:r>
              <w:rPr>
                <w:rFonts w:hint="eastAsia" w:ascii="Times New Roman" w:hAnsi="Times New Roman" w:eastAsia="宋体" w:cs="Times New Roman"/>
                <w:bCs/>
                <w:lang w:eastAsia="zh-CN"/>
              </w:rPr>
              <w:t>昼间</w:t>
            </w:r>
            <w:r>
              <w:rPr>
                <w:rFonts w:hint="eastAsia" w:cs="Times New Roman"/>
                <w:bCs/>
                <w:lang w:eastAsia="zh-CN"/>
              </w:rPr>
              <w:t>、</w:t>
            </w:r>
            <w:r>
              <w:rPr>
                <w:rFonts w:hint="eastAsia" w:ascii="Times New Roman" w:hAnsi="Times New Roman" w:eastAsia="宋体" w:cs="Times New Roman"/>
                <w:bCs/>
                <w:lang w:eastAsia="zh-CN"/>
              </w:rPr>
              <w:t>夜间</w:t>
            </w:r>
            <w:r>
              <w:rPr>
                <w:rFonts w:hint="eastAsia" w:ascii="Times New Roman" w:hAnsi="Times New Roman" w:eastAsia="宋体" w:cs="Times New Roman"/>
                <w:bCs/>
              </w:rPr>
              <w:t>噪声贡献值在</w:t>
            </w:r>
            <w:r>
              <w:rPr>
                <w:rFonts w:hint="eastAsia" w:cs="Times New Roman"/>
                <w:bCs/>
                <w:lang w:val="en-US" w:eastAsia="zh-CN"/>
              </w:rPr>
              <w:t>41.7-53.8</w:t>
            </w:r>
            <w:r>
              <w:rPr>
                <w:rFonts w:hint="eastAsia" w:ascii="Times New Roman" w:hAnsi="Times New Roman" w:eastAsia="宋体" w:cs="Times New Roman"/>
                <w:bCs/>
              </w:rPr>
              <w:t>dB(A)</w:t>
            </w:r>
            <w:r>
              <w:rPr>
                <w:rFonts w:hint="eastAsia" w:cs="Times New Roman"/>
                <w:bCs/>
                <w:lang w:eastAsia="zh-CN"/>
              </w:rPr>
              <w:t>之间</w:t>
            </w:r>
            <w:r>
              <w:rPr>
                <w:rFonts w:hint="eastAsia" w:ascii="Times New Roman" w:hAnsi="Times New Roman" w:eastAsia="宋体" w:cs="Times New Roman"/>
                <w:bCs/>
                <w:lang w:eastAsia="zh-CN"/>
              </w:rPr>
              <w:t>。</w:t>
            </w:r>
            <w:r>
              <w:rPr>
                <w:bCs/>
              </w:rPr>
              <w:t>厂界噪声</w:t>
            </w:r>
            <w:r>
              <w:rPr>
                <w:rFonts w:hint="eastAsia"/>
                <w:bCs/>
                <w:lang w:eastAsia="zh-CN"/>
              </w:rPr>
              <w:t>均</w:t>
            </w:r>
            <w:r>
              <w:rPr>
                <w:bCs/>
              </w:rPr>
              <w:t>满足《工业企业厂界环境噪声排放标准》（GB12348-2008）</w:t>
            </w:r>
            <w:r>
              <w:rPr>
                <w:rFonts w:hint="eastAsia"/>
                <w:bCs/>
                <w:lang w:val="en-US" w:eastAsia="zh-CN"/>
              </w:rPr>
              <w:t>3</w:t>
            </w:r>
            <w:r>
              <w:rPr>
                <w:bCs/>
              </w:rPr>
              <w:t>类</w:t>
            </w:r>
            <w:r>
              <w:rPr>
                <w:rFonts w:hint="eastAsia"/>
                <w:bCs/>
                <w:lang w:val="en-US" w:eastAsia="zh-CN"/>
              </w:rPr>
              <w:t>标准要求</w:t>
            </w:r>
            <w:r>
              <w:rPr>
                <w:bCs/>
              </w:rPr>
              <w:t>。项目厂界外50m范围内无声环境敏感目标，本项目在保证各设备正常运行的情况下，不会对厂界周围声环境产生明显影响</w:t>
            </w:r>
            <w:r>
              <w:rPr>
                <w:rFonts w:hint="eastAsia"/>
                <w:bCs/>
                <w:lang w:eastAsia="zh-CN"/>
              </w:rPr>
              <w:t>。</w:t>
            </w:r>
          </w:p>
          <w:p w14:paraId="513F90AE">
            <w:pPr>
              <w:spacing w:line="480" w:lineRule="exact"/>
              <w:jc w:val="center"/>
              <w:rPr>
                <w:b/>
                <w:bCs/>
                <w:szCs w:val="32"/>
              </w:rPr>
            </w:pPr>
            <w:r>
              <w:rPr>
                <w:b/>
                <w:bCs/>
                <w:szCs w:val="32"/>
              </w:rPr>
              <w:t>表</w:t>
            </w:r>
            <w:r>
              <w:rPr>
                <w:rFonts w:hint="eastAsia"/>
                <w:b/>
                <w:bCs/>
                <w:szCs w:val="32"/>
                <w:lang w:val="en-US" w:eastAsia="zh-CN"/>
              </w:rPr>
              <w:t>4-12</w:t>
            </w:r>
            <w:r>
              <w:rPr>
                <w:rFonts w:hint="eastAsia"/>
                <w:b/>
                <w:bCs/>
                <w:szCs w:val="32"/>
              </w:rPr>
              <w:t xml:space="preserve"> </w:t>
            </w:r>
            <w:r>
              <w:rPr>
                <w:b/>
                <w:bCs/>
                <w:szCs w:val="32"/>
              </w:rPr>
              <w:t>本项目</w:t>
            </w:r>
            <w:r>
              <w:rPr>
                <w:rFonts w:hint="eastAsia"/>
                <w:b/>
                <w:bCs/>
                <w:szCs w:val="32"/>
              </w:rPr>
              <w:t>噪声</w:t>
            </w:r>
            <w:r>
              <w:rPr>
                <w:b/>
                <w:bCs/>
                <w:szCs w:val="32"/>
              </w:rPr>
              <w:t>环境监测计划一览表</w:t>
            </w:r>
          </w:p>
          <w:tbl>
            <w:tblPr>
              <w:tblStyle w:val="25"/>
              <w:tblW w:w="4998"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1384"/>
              <w:gridCol w:w="1735"/>
              <w:gridCol w:w="4017"/>
              <w:gridCol w:w="1062"/>
            </w:tblGrid>
            <w:tr w14:paraId="2AF5524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844" w:type="pct"/>
                  <w:noWrap w:val="0"/>
                  <w:vAlign w:val="center"/>
                </w:tcPr>
                <w:p w14:paraId="41E5C5A4">
                  <w:pPr>
                    <w:jc w:val="center"/>
                    <w:rPr>
                      <w:sz w:val="21"/>
                      <w:szCs w:val="21"/>
                    </w:rPr>
                  </w:pPr>
                  <w:r>
                    <w:rPr>
                      <w:sz w:val="21"/>
                      <w:szCs w:val="21"/>
                    </w:rPr>
                    <w:t>监测点位</w:t>
                  </w:r>
                </w:p>
              </w:tc>
              <w:tc>
                <w:tcPr>
                  <w:tcW w:w="1058" w:type="pct"/>
                  <w:noWrap w:val="0"/>
                  <w:vAlign w:val="center"/>
                </w:tcPr>
                <w:p w14:paraId="64C821D0">
                  <w:pPr>
                    <w:jc w:val="center"/>
                    <w:rPr>
                      <w:sz w:val="21"/>
                      <w:szCs w:val="21"/>
                    </w:rPr>
                  </w:pPr>
                  <w:r>
                    <w:rPr>
                      <w:sz w:val="21"/>
                      <w:szCs w:val="21"/>
                    </w:rPr>
                    <w:t>监测指标</w:t>
                  </w:r>
                </w:p>
              </w:tc>
              <w:tc>
                <w:tcPr>
                  <w:tcW w:w="2449" w:type="pct"/>
                  <w:noWrap w:val="0"/>
                  <w:vAlign w:val="center"/>
                </w:tcPr>
                <w:p w14:paraId="5691E91E">
                  <w:pPr>
                    <w:jc w:val="center"/>
                    <w:rPr>
                      <w:sz w:val="21"/>
                      <w:szCs w:val="21"/>
                    </w:rPr>
                  </w:pPr>
                  <w:r>
                    <w:rPr>
                      <w:rFonts w:hint="eastAsia"/>
                      <w:sz w:val="21"/>
                      <w:szCs w:val="21"/>
                    </w:rPr>
                    <w:t>执行排放标准</w:t>
                  </w:r>
                </w:p>
              </w:tc>
              <w:tc>
                <w:tcPr>
                  <w:tcW w:w="647" w:type="pct"/>
                  <w:noWrap w:val="0"/>
                  <w:vAlign w:val="center"/>
                </w:tcPr>
                <w:p w14:paraId="38EA4B3F">
                  <w:pPr>
                    <w:jc w:val="center"/>
                    <w:rPr>
                      <w:sz w:val="21"/>
                      <w:szCs w:val="21"/>
                    </w:rPr>
                  </w:pPr>
                  <w:r>
                    <w:rPr>
                      <w:sz w:val="21"/>
                      <w:szCs w:val="21"/>
                    </w:rPr>
                    <w:t>监测频次</w:t>
                  </w:r>
                </w:p>
              </w:tc>
            </w:tr>
            <w:tr w14:paraId="0EC4A35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844" w:type="pct"/>
                  <w:noWrap w:val="0"/>
                  <w:vAlign w:val="center"/>
                </w:tcPr>
                <w:p w14:paraId="7423FE8F">
                  <w:pPr>
                    <w:jc w:val="center"/>
                    <w:rPr>
                      <w:rFonts w:hint="default" w:eastAsia="宋体"/>
                      <w:sz w:val="21"/>
                      <w:szCs w:val="21"/>
                      <w:lang w:val="en-US" w:eastAsia="zh-CN"/>
                    </w:rPr>
                  </w:pPr>
                  <w:r>
                    <w:rPr>
                      <w:rFonts w:hint="eastAsia"/>
                      <w:sz w:val="21"/>
                      <w:szCs w:val="21"/>
                      <w:lang w:val="en-US" w:eastAsia="zh-CN"/>
                    </w:rPr>
                    <w:t>厂界</w:t>
                  </w:r>
                </w:p>
              </w:tc>
              <w:tc>
                <w:tcPr>
                  <w:tcW w:w="1058" w:type="pct"/>
                  <w:noWrap w:val="0"/>
                  <w:vAlign w:val="center"/>
                </w:tcPr>
                <w:p w14:paraId="55FA7818">
                  <w:pPr>
                    <w:jc w:val="center"/>
                    <w:rPr>
                      <w:sz w:val="21"/>
                      <w:szCs w:val="21"/>
                    </w:rPr>
                  </w:pPr>
                  <w:r>
                    <w:rPr>
                      <w:sz w:val="21"/>
                      <w:szCs w:val="21"/>
                    </w:rPr>
                    <w:t>等效连续A声级</w:t>
                  </w:r>
                </w:p>
              </w:tc>
              <w:tc>
                <w:tcPr>
                  <w:tcW w:w="2449" w:type="pct"/>
                  <w:noWrap w:val="0"/>
                  <w:vAlign w:val="center"/>
                </w:tcPr>
                <w:p w14:paraId="3C6579BF">
                  <w:pPr>
                    <w:jc w:val="center"/>
                    <w:rPr>
                      <w:rFonts w:hint="default" w:eastAsia="宋体"/>
                      <w:sz w:val="21"/>
                      <w:szCs w:val="21"/>
                      <w:lang w:val="en-US" w:eastAsia="zh-CN"/>
                    </w:rPr>
                  </w:pPr>
                  <w:r>
                    <w:rPr>
                      <w:sz w:val="21"/>
                      <w:szCs w:val="21"/>
                    </w:rPr>
                    <w:t>《工业企业厂界环境噪声排放标准》</w:t>
                  </w:r>
                  <w:r>
                    <w:rPr>
                      <w:rFonts w:hint="eastAsia"/>
                      <w:sz w:val="21"/>
                      <w:szCs w:val="21"/>
                      <w:lang w:val="en-US" w:eastAsia="zh-CN"/>
                    </w:rPr>
                    <w:t>3</w:t>
                  </w:r>
                  <w:r>
                    <w:rPr>
                      <w:sz w:val="21"/>
                      <w:szCs w:val="21"/>
                    </w:rPr>
                    <w:t>类</w:t>
                  </w:r>
                </w:p>
              </w:tc>
              <w:tc>
                <w:tcPr>
                  <w:tcW w:w="647" w:type="pct"/>
                  <w:noWrap w:val="0"/>
                  <w:vAlign w:val="center"/>
                </w:tcPr>
                <w:p w14:paraId="3D4094AF">
                  <w:pPr>
                    <w:jc w:val="center"/>
                    <w:rPr>
                      <w:rFonts w:hint="eastAsia"/>
                      <w:sz w:val="21"/>
                      <w:szCs w:val="21"/>
                    </w:rPr>
                  </w:pPr>
                  <w:r>
                    <w:rPr>
                      <w:rFonts w:hint="eastAsia"/>
                      <w:sz w:val="21"/>
                      <w:szCs w:val="21"/>
                    </w:rPr>
                    <w:t>1次</w:t>
                  </w:r>
                  <w:r>
                    <w:rPr>
                      <w:sz w:val="21"/>
                      <w:szCs w:val="21"/>
                    </w:rPr>
                    <w:t>/</w:t>
                  </w:r>
                  <w:r>
                    <w:rPr>
                      <w:rFonts w:hint="eastAsia"/>
                      <w:sz w:val="21"/>
                      <w:szCs w:val="21"/>
                    </w:rPr>
                    <w:t>季度</w:t>
                  </w:r>
                </w:p>
              </w:tc>
            </w:tr>
          </w:tbl>
          <w:p w14:paraId="78F08EC4">
            <w:pPr>
              <w:keepNext w:val="0"/>
              <w:keepLines w:val="0"/>
              <w:pageBreakBefore w:val="0"/>
              <w:widowControl w:val="0"/>
              <w:kinsoku/>
              <w:wordWrap/>
              <w:overflowPunct/>
              <w:topLinePunct w:val="0"/>
              <w:autoSpaceDE/>
              <w:autoSpaceDN/>
              <w:bidi w:val="0"/>
              <w:adjustRightInd/>
              <w:snapToGrid/>
              <w:spacing w:line="480" w:lineRule="exact"/>
              <w:ind w:firstLine="482" w:firstLineChars="200"/>
              <w:textAlignment w:val="auto"/>
              <w:rPr>
                <w:rFonts w:hint="eastAsia" w:eastAsia="宋体"/>
                <w:b/>
                <w:bCs/>
                <w:lang w:eastAsia="zh-CN"/>
              </w:rPr>
            </w:pPr>
            <w:r>
              <w:rPr>
                <w:rFonts w:hint="eastAsia"/>
                <w:b/>
                <w:bCs/>
              </w:rPr>
              <w:t>4、</w:t>
            </w:r>
            <w:r>
              <w:rPr>
                <w:rFonts w:hint="eastAsia"/>
                <w:b/>
                <w:bCs/>
                <w:lang w:eastAsia="zh-CN"/>
              </w:rPr>
              <w:t>固体废物环境影响分析</w:t>
            </w:r>
          </w:p>
          <w:p w14:paraId="27AE4EEA">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lang w:val="en-US" w:eastAsia="zh-CN"/>
              </w:rPr>
            </w:pPr>
            <w:r>
              <w:rPr>
                <w:rFonts w:hint="eastAsia"/>
                <w:color w:val="auto"/>
                <w:lang w:val="en-US" w:eastAsia="zh-CN"/>
              </w:rPr>
              <w:t>本项目产生的固体废物主要包括压缩机劣质煤、废滤布，洗车平台沉淀池污泥、</w:t>
            </w:r>
            <w:r>
              <w:rPr>
                <w:rFonts w:hint="eastAsia"/>
                <w:color w:val="auto"/>
                <w:lang w:eastAsia="zh-CN"/>
              </w:rPr>
              <w:t>雨水沉淀池及排水沟污泥</w:t>
            </w:r>
            <w:r>
              <w:rPr>
                <w:rFonts w:hint="eastAsia"/>
                <w:color w:val="auto"/>
                <w:lang w:val="en-US" w:eastAsia="zh-CN"/>
              </w:rPr>
              <w:t>，</w:t>
            </w:r>
            <w:r>
              <w:rPr>
                <w:rFonts w:hint="eastAsia"/>
                <w:lang w:val="en-US" w:eastAsia="zh-CN"/>
              </w:rPr>
              <w:t>除尘器产生的废布袋、除尘灰，生产设备检修产生的废润滑油、废油桶，食堂产生的</w:t>
            </w:r>
            <w:r>
              <w:rPr>
                <w:rFonts w:hint="eastAsia"/>
                <w:lang w:eastAsia="zh-CN"/>
              </w:rPr>
              <w:t>餐厨垃圾、</w:t>
            </w:r>
            <w:r>
              <w:rPr>
                <w:rFonts w:hint="eastAsia" w:cs="Times New Roman"/>
                <w:lang w:val="en-US" w:eastAsia="zh-CN"/>
              </w:rPr>
              <w:t>油烟净化器和油水分离器产生的</w:t>
            </w:r>
            <w:r>
              <w:rPr>
                <w:rFonts w:hint="eastAsia"/>
                <w:lang w:eastAsia="zh-CN"/>
              </w:rPr>
              <w:t>废油脂，</w:t>
            </w:r>
            <w:r>
              <w:rPr>
                <w:rFonts w:hint="eastAsia"/>
                <w:lang w:val="en-US" w:eastAsia="zh-CN"/>
              </w:rPr>
              <w:t>生活垃圾等，详细信息见下表。</w:t>
            </w:r>
          </w:p>
          <w:p w14:paraId="30C02159">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480" w:firstLineChars="200"/>
              <w:textAlignment w:val="auto"/>
              <w:rPr>
                <w:rFonts w:hint="eastAsia"/>
                <w:lang w:val="en-US" w:eastAsia="zh-CN"/>
              </w:rPr>
            </w:pPr>
            <w:r>
              <w:rPr>
                <w:rFonts w:hint="eastAsia" w:ascii="Times New Roman" w:hAnsi="Times New Roman" w:eastAsia="宋体" w:cs="Times New Roman"/>
                <w:kern w:val="2"/>
                <w:sz w:val="24"/>
                <w:szCs w:val="24"/>
                <w:lang w:val="en-US" w:eastAsia="zh-CN" w:bidi="ar-SA"/>
              </w:rPr>
              <w:t>1、</w:t>
            </w:r>
            <w:r>
              <w:rPr>
                <w:rFonts w:hint="eastAsia"/>
                <w:lang w:val="en-US" w:eastAsia="zh-CN"/>
              </w:rPr>
              <w:t>一般固体废物</w:t>
            </w:r>
          </w:p>
          <w:p w14:paraId="327A2E4B">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eastAsia="宋体"/>
                <w:color w:val="auto"/>
                <w:lang w:val="en-US" w:eastAsia="zh-CN"/>
              </w:rPr>
            </w:pPr>
            <w:r>
              <w:rPr>
                <w:rFonts w:hint="eastAsia"/>
                <w:lang w:val="en-US" w:eastAsia="zh-CN"/>
              </w:rPr>
              <w:t>本项目产生的压缩机劣质煤产生量为1418.141t/a、压缩机废滤布0.5t/a、除尘器废布袋产生量为0.5t/a，收集后外售；洗车平台沉淀池污泥产生量为1t/a、</w:t>
            </w:r>
            <w:r>
              <w:rPr>
                <w:rFonts w:hint="eastAsia"/>
                <w:lang w:eastAsia="zh-CN"/>
              </w:rPr>
              <w:t>雨水沉淀池及排水沟污泥</w:t>
            </w:r>
            <w:r>
              <w:rPr>
                <w:rFonts w:hint="eastAsia"/>
                <w:lang w:val="en-US" w:eastAsia="zh-CN"/>
              </w:rPr>
              <w:t>产生量为1t/a、除尘灰产</w:t>
            </w:r>
            <w:r>
              <w:rPr>
                <w:rFonts w:hint="eastAsia"/>
                <w:highlight w:val="none"/>
                <w:lang w:val="en-US" w:eastAsia="zh-CN"/>
              </w:rPr>
              <w:t>生量</w:t>
            </w:r>
            <w:r>
              <w:rPr>
                <w:rFonts w:hint="eastAsia" w:ascii="Times New Roman" w:hAnsi="Times New Roman" w:eastAsia="宋体" w:cs="Times New Roman"/>
                <w:lang w:val="en-US" w:eastAsia="zh-CN"/>
              </w:rPr>
              <w:t>为578.9t/a</w:t>
            </w:r>
            <w:r>
              <w:rPr>
                <w:rFonts w:hint="eastAsia"/>
                <w:highlight w:val="none"/>
                <w:lang w:val="en-US" w:eastAsia="zh-CN"/>
              </w:rPr>
              <w:t>、收</w:t>
            </w:r>
            <w:r>
              <w:rPr>
                <w:rFonts w:hint="eastAsia"/>
                <w:lang w:val="en-US" w:eastAsia="zh-CN"/>
              </w:rPr>
              <w:t>集后回用于生产。本项目劳动定员150人，按每人每天产生</w:t>
            </w:r>
            <w:r>
              <w:rPr>
                <w:rFonts w:hint="default"/>
                <w:lang w:val="en-US" w:eastAsia="zh-CN"/>
              </w:rPr>
              <w:t>0.3kg</w:t>
            </w:r>
            <w:r>
              <w:rPr>
                <w:rFonts w:hint="eastAsia"/>
                <w:lang w:val="en-US" w:eastAsia="zh-CN"/>
              </w:rPr>
              <w:t>垃圾计算，则生活垃圾产生量为13.5</w:t>
            </w:r>
            <w:r>
              <w:rPr>
                <w:rFonts w:hint="default"/>
                <w:lang w:val="en-US" w:eastAsia="zh-CN"/>
              </w:rPr>
              <w:t>t/a</w:t>
            </w:r>
            <w:r>
              <w:rPr>
                <w:rFonts w:hint="eastAsia"/>
                <w:lang w:val="en-US" w:eastAsia="zh-CN"/>
              </w:rPr>
              <w:t>，产生的生活垃圾</w:t>
            </w:r>
            <w:r>
              <w:rPr>
                <w:rFonts w:hint="eastAsia" w:ascii="Times New Roman" w:hAnsi="Times New Roman" w:eastAsia="宋体" w:cs="Times New Roman"/>
                <w:lang w:val="en-US" w:eastAsia="zh-CN"/>
              </w:rPr>
              <w:t>袋装化，集中收集由当地环卫部门统一处理。食堂餐厨垃圾产生量</w:t>
            </w:r>
            <w:r>
              <w:rPr>
                <w:rFonts w:hint="eastAsia" w:ascii="Times New Roman" w:hAnsi="Times New Roman" w:eastAsia="宋体" w:cs="Times New Roman"/>
                <w:color w:val="auto"/>
                <w:lang w:val="en-US" w:eastAsia="zh-CN"/>
              </w:rPr>
              <w:t>为4.05</w:t>
            </w:r>
            <w:r>
              <w:rPr>
                <w:rFonts w:hint="default" w:ascii="Times New Roman" w:hAnsi="Times New Roman" w:eastAsia="宋体" w:cs="Times New Roman"/>
                <w:color w:val="auto"/>
                <w:lang w:val="en-US" w:eastAsia="zh-CN"/>
              </w:rPr>
              <w:t>t/a</w:t>
            </w:r>
            <w:r>
              <w:rPr>
                <w:rFonts w:hint="eastAsia" w:ascii="Times New Roman" w:hAnsi="Times New Roman" w:eastAsia="宋体" w:cs="Times New Roman"/>
                <w:color w:val="auto"/>
                <w:lang w:val="en-US" w:eastAsia="zh-CN"/>
              </w:rPr>
              <w:t>，</w:t>
            </w:r>
            <w:r>
              <w:rPr>
                <w:rFonts w:hint="eastAsia" w:cs="Times New Roman"/>
                <w:color w:val="auto"/>
                <w:lang w:val="en-US" w:eastAsia="zh-CN"/>
              </w:rPr>
              <w:t>油烟净化器和油水分离器产生的</w:t>
            </w:r>
            <w:r>
              <w:rPr>
                <w:rFonts w:hint="eastAsia" w:ascii="Times New Roman" w:hAnsi="Times New Roman" w:eastAsia="宋体" w:cs="Times New Roman"/>
                <w:color w:val="auto"/>
                <w:lang w:val="en-US" w:eastAsia="zh-CN"/>
              </w:rPr>
              <w:t>废油脂0.27</w:t>
            </w:r>
            <w:r>
              <w:rPr>
                <w:rFonts w:hint="default" w:ascii="Times New Roman" w:hAnsi="Times New Roman" w:eastAsia="宋体" w:cs="Times New Roman"/>
                <w:color w:val="auto"/>
                <w:lang w:val="en-US" w:eastAsia="zh-CN"/>
              </w:rPr>
              <w:t>t/a</w:t>
            </w:r>
            <w:r>
              <w:rPr>
                <w:rFonts w:hint="eastAsia" w:ascii="Times New Roman" w:hAnsi="Times New Roman" w:eastAsia="宋体" w:cs="Times New Roman"/>
                <w:color w:val="auto"/>
                <w:lang w:val="en-US" w:eastAsia="zh-CN"/>
              </w:rPr>
              <w:t>，收集后由有餐饮垃圾资质单位处理。</w:t>
            </w:r>
          </w:p>
          <w:p w14:paraId="73D7C013">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lang w:val="en-US" w:eastAsia="zh-CN"/>
              </w:rPr>
            </w:pPr>
            <w:r>
              <w:rPr>
                <w:rFonts w:hint="eastAsia"/>
                <w:lang w:val="en-US" w:eastAsia="zh-CN"/>
              </w:rPr>
              <w:t>本项目一般固废产生及处置情况见下表。</w:t>
            </w:r>
          </w:p>
          <w:p w14:paraId="044CDD98">
            <w:pPr>
              <w:spacing w:line="480" w:lineRule="exact"/>
              <w:jc w:val="center"/>
              <w:rPr>
                <w:b/>
                <w:bCs/>
                <w:szCs w:val="32"/>
              </w:rPr>
            </w:pPr>
            <w:r>
              <w:rPr>
                <w:b/>
                <w:bCs/>
                <w:szCs w:val="32"/>
              </w:rPr>
              <w:t>表</w:t>
            </w:r>
            <w:r>
              <w:rPr>
                <w:rFonts w:hint="eastAsia"/>
                <w:b/>
                <w:bCs/>
                <w:szCs w:val="32"/>
                <w:lang w:val="en-US" w:eastAsia="zh-CN"/>
              </w:rPr>
              <w:t>4-13</w:t>
            </w:r>
            <w:r>
              <w:rPr>
                <w:rFonts w:hint="eastAsia"/>
                <w:b/>
                <w:bCs/>
                <w:szCs w:val="32"/>
              </w:rPr>
              <w:t xml:space="preserve"> </w:t>
            </w:r>
            <w:r>
              <w:rPr>
                <w:b/>
                <w:bCs/>
                <w:szCs w:val="32"/>
              </w:rPr>
              <w:t>本项目</w:t>
            </w:r>
            <w:r>
              <w:rPr>
                <w:rFonts w:hint="eastAsia"/>
                <w:b/>
                <w:bCs/>
                <w:szCs w:val="32"/>
                <w:lang w:eastAsia="zh-CN"/>
              </w:rPr>
              <w:t>一般固体废物产生情况汇总</w:t>
            </w:r>
            <w:r>
              <w:rPr>
                <w:b/>
                <w:bCs/>
                <w:szCs w:val="32"/>
              </w:rPr>
              <w:t>表</w:t>
            </w:r>
          </w:p>
          <w:tbl>
            <w:tblPr>
              <w:tblStyle w:val="26"/>
              <w:tblW w:w="4995"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705"/>
              <w:gridCol w:w="849"/>
              <w:gridCol w:w="664"/>
              <w:gridCol w:w="759"/>
              <w:gridCol w:w="1484"/>
              <w:gridCol w:w="1214"/>
              <w:gridCol w:w="659"/>
              <w:gridCol w:w="959"/>
              <w:gridCol w:w="900"/>
            </w:tblGrid>
            <w:tr w14:paraId="647186F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109" w:hRule="atLeast"/>
                <w:jc w:val="center"/>
              </w:trPr>
              <w:tc>
                <w:tcPr>
                  <w:tcW w:w="447" w:type="pct"/>
                  <w:tcBorders>
                    <w:tl2br w:val="nil"/>
                    <w:tr2bl w:val="nil"/>
                  </w:tcBorders>
                  <w:noWrap w:val="0"/>
                  <w:vAlign w:val="center"/>
                </w:tcPr>
                <w:p w14:paraId="599D6045">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产生环节</w:t>
                  </w:r>
                </w:p>
              </w:tc>
              <w:tc>
                <w:tcPr>
                  <w:tcW w:w="535" w:type="pct"/>
                  <w:tcBorders>
                    <w:tl2br w:val="nil"/>
                    <w:tr2bl w:val="nil"/>
                  </w:tcBorders>
                  <w:noWrap w:val="0"/>
                  <w:vAlign w:val="center"/>
                </w:tcPr>
                <w:p w14:paraId="171E0C00">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r>
                    <w:rPr>
                      <w:rFonts w:hint="default" w:ascii="Times New Roman" w:hAnsi="Times New Roman" w:cs="Times New Roman"/>
                      <w:b w:val="0"/>
                      <w:bCs/>
                      <w:kern w:val="0"/>
                      <w:sz w:val="21"/>
                      <w:szCs w:val="21"/>
                      <w:highlight w:val="none"/>
                      <w:vertAlign w:val="baseline"/>
                      <w:lang w:val="en-US" w:eastAsia="zh-CN"/>
                    </w:rPr>
                    <w:t>名称</w:t>
                  </w:r>
                </w:p>
              </w:tc>
              <w:tc>
                <w:tcPr>
                  <w:tcW w:w="422" w:type="pct"/>
                  <w:tcBorders>
                    <w:tl2br w:val="nil"/>
                    <w:tr2bl w:val="nil"/>
                  </w:tcBorders>
                  <w:noWrap w:val="0"/>
                  <w:vAlign w:val="center"/>
                </w:tcPr>
                <w:p w14:paraId="288A3BCD">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属性</w:t>
                  </w:r>
                </w:p>
              </w:tc>
              <w:tc>
                <w:tcPr>
                  <w:tcW w:w="480" w:type="pct"/>
                  <w:tcBorders>
                    <w:tl2br w:val="nil"/>
                    <w:tr2bl w:val="nil"/>
                  </w:tcBorders>
                  <w:noWrap w:val="0"/>
                  <w:vAlign w:val="center"/>
                </w:tcPr>
                <w:p w14:paraId="3CC996A9">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物理性状</w:t>
                  </w:r>
                </w:p>
              </w:tc>
              <w:tc>
                <w:tcPr>
                  <w:tcW w:w="922" w:type="pct"/>
                  <w:tcBorders>
                    <w:tl2br w:val="nil"/>
                    <w:tr2bl w:val="nil"/>
                  </w:tcBorders>
                  <w:noWrap w:val="0"/>
                  <w:vAlign w:val="center"/>
                </w:tcPr>
                <w:p w14:paraId="6C37EF87">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代码类别</w:t>
                  </w:r>
                </w:p>
              </w:tc>
              <w:tc>
                <w:tcPr>
                  <w:tcW w:w="604" w:type="pct"/>
                  <w:tcBorders>
                    <w:tl2br w:val="nil"/>
                    <w:tr2bl w:val="nil"/>
                  </w:tcBorders>
                  <w:noWrap w:val="0"/>
                  <w:vAlign w:val="center"/>
                </w:tcPr>
                <w:p w14:paraId="605D7F64">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产生量</w:t>
                  </w:r>
                </w:p>
              </w:tc>
              <w:tc>
                <w:tcPr>
                  <w:tcW w:w="419" w:type="pct"/>
                  <w:tcBorders>
                    <w:tl2br w:val="nil"/>
                    <w:tr2bl w:val="nil"/>
                  </w:tcBorders>
                  <w:noWrap w:val="0"/>
                  <w:vAlign w:val="center"/>
                </w:tcPr>
                <w:p w14:paraId="0230F7C7">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贮存方式</w:t>
                  </w:r>
                </w:p>
              </w:tc>
              <w:tc>
                <w:tcPr>
                  <w:tcW w:w="602" w:type="pct"/>
                  <w:tcBorders>
                    <w:tl2br w:val="nil"/>
                    <w:tr2bl w:val="nil"/>
                  </w:tcBorders>
                  <w:noWrap w:val="0"/>
                  <w:vAlign w:val="center"/>
                </w:tcPr>
                <w:p w14:paraId="07A1242E">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利用处置方式</w:t>
                  </w:r>
                </w:p>
              </w:tc>
              <w:tc>
                <w:tcPr>
                  <w:tcW w:w="565" w:type="pct"/>
                  <w:tcBorders>
                    <w:tl2br w:val="nil"/>
                    <w:tr2bl w:val="nil"/>
                  </w:tcBorders>
                  <w:noWrap w:val="0"/>
                  <w:vAlign w:val="center"/>
                </w:tcPr>
                <w:p w14:paraId="3E5DBD39">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利用或处置量</w:t>
                  </w:r>
                </w:p>
              </w:tc>
            </w:tr>
            <w:tr w14:paraId="5617DC4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47" w:type="pct"/>
                  <w:vMerge w:val="restart"/>
                  <w:tcBorders>
                    <w:tl2br w:val="nil"/>
                    <w:tr2bl w:val="nil"/>
                  </w:tcBorders>
                  <w:noWrap w:val="0"/>
                  <w:vAlign w:val="center"/>
                </w:tcPr>
                <w:p w14:paraId="1046819C">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压缩机</w:t>
                  </w:r>
                </w:p>
              </w:tc>
              <w:tc>
                <w:tcPr>
                  <w:tcW w:w="535" w:type="pct"/>
                  <w:tcBorders>
                    <w:tl2br w:val="nil"/>
                    <w:tr2bl w:val="nil"/>
                  </w:tcBorders>
                  <w:noWrap w:val="0"/>
                  <w:vAlign w:val="center"/>
                </w:tcPr>
                <w:p w14:paraId="6A9A93B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劣质煤</w:t>
                  </w:r>
                </w:p>
              </w:tc>
              <w:tc>
                <w:tcPr>
                  <w:tcW w:w="422" w:type="pct"/>
                  <w:vMerge w:val="restart"/>
                  <w:tcBorders>
                    <w:tl2br w:val="nil"/>
                    <w:tr2bl w:val="nil"/>
                  </w:tcBorders>
                  <w:noWrap w:val="0"/>
                  <w:vAlign w:val="center"/>
                </w:tcPr>
                <w:p w14:paraId="1620AD2E">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一般工业固体废物</w:t>
                  </w:r>
                </w:p>
              </w:tc>
              <w:tc>
                <w:tcPr>
                  <w:tcW w:w="480" w:type="pct"/>
                  <w:tcBorders>
                    <w:tl2br w:val="nil"/>
                    <w:tr2bl w:val="nil"/>
                  </w:tcBorders>
                  <w:noWrap w:val="0"/>
                  <w:vAlign w:val="center"/>
                </w:tcPr>
                <w:p w14:paraId="777AE14D">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固态</w:t>
                  </w:r>
                </w:p>
              </w:tc>
              <w:tc>
                <w:tcPr>
                  <w:tcW w:w="922" w:type="pct"/>
                  <w:tcBorders>
                    <w:tl2br w:val="nil"/>
                    <w:tr2bl w:val="nil"/>
                  </w:tcBorders>
                  <w:noWrap w:val="0"/>
                  <w:vAlign w:val="center"/>
                </w:tcPr>
                <w:p w14:paraId="5D60D24D">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900-099-S59</w:t>
                  </w:r>
                </w:p>
              </w:tc>
              <w:tc>
                <w:tcPr>
                  <w:tcW w:w="604" w:type="pct"/>
                  <w:tcBorders>
                    <w:tl2br w:val="nil"/>
                    <w:tr2bl w:val="nil"/>
                  </w:tcBorders>
                  <w:noWrap w:val="0"/>
                  <w:vAlign w:val="center"/>
                </w:tcPr>
                <w:p w14:paraId="7906CC9B">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1418.141t/a</w:t>
                  </w:r>
                </w:p>
              </w:tc>
              <w:tc>
                <w:tcPr>
                  <w:tcW w:w="419" w:type="pct"/>
                  <w:tcBorders>
                    <w:tl2br w:val="nil"/>
                    <w:tr2bl w:val="nil"/>
                  </w:tcBorders>
                  <w:noWrap w:val="0"/>
                  <w:vAlign w:val="center"/>
                </w:tcPr>
                <w:p w14:paraId="6E738693">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bidi="ar-SA"/>
                    </w:rPr>
                  </w:pPr>
                  <w:r>
                    <w:rPr>
                      <w:rFonts w:hint="eastAsia" w:cs="Times New Roman"/>
                      <w:b w:val="0"/>
                      <w:bCs/>
                      <w:kern w:val="0"/>
                      <w:sz w:val="21"/>
                      <w:szCs w:val="21"/>
                      <w:highlight w:val="none"/>
                      <w:vertAlign w:val="baseline"/>
                      <w:lang w:val="en-US" w:eastAsia="zh-CN"/>
                    </w:rPr>
                    <w:t>集中收集</w:t>
                  </w:r>
                </w:p>
              </w:tc>
              <w:tc>
                <w:tcPr>
                  <w:tcW w:w="602" w:type="pct"/>
                  <w:tcBorders>
                    <w:tl2br w:val="nil"/>
                    <w:tr2bl w:val="nil"/>
                  </w:tcBorders>
                  <w:noWrap w:val="0"/>
                  <w:vAlign w:val="center"/>
                </w:tcPr>
                <w:p w14:paraId="34D62C33">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外售</w:t>
                  </w:r>
                </w:p>
              </w:tc>
              <w:tc>
                <w:tcPr>
                  <w:tcW w:w="565" w:type="pct"/>
                  <w:tcBorders>
                    <w:tl2br w:val="nil"/>
                    <w:tr2bl w:val="nil"/>
                  </w:tcBorders>
                  <w:noWrap w:val="0"/>
                  <w:vAlign w:val="center"/>
                </w:tcPr>
                <w:p w14:paraId="1BFDC51B">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3700t/a</w:t>
                  </w:r>
                </w:p>
              </w:tc>
            </w:tr>
            <w:tr w14:paraId="56D2E75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47" w:type="pct"/>
                  <w:vMerge w:val="continue"/>
                  <w:tcBorders>
                    <w:tl2br w:val="nil"/>
                    <w:tr2bl w:val="nil"/>
                  </w:tcBorders>
                  <w:noWrap w:val="0"/>
                  <w:vAlign w:val="center"/>
                </w:tcPr>
                <w:p w14:paraId="2DEEBF71">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b w:val="0"/>
                      <w:bCs/>
                      <w:kern w:val="0"/>
                      <w:sz w:val="21"/>
                      <w:szCs w:val="21"/>
                      <w:highlight w:val="none"/>
                      <w:vertAlign w:val="baseline"/>
                      <w:lang w:val="en-US" w:eastAsia="zh-CN"/>
                    </w:rPr>
                  </w:pPr>
                </w:p>
              </w:tc>
              <w:tc>
                <w:tcPr>
                  <w:tcW w:w="535" w:type="pct"/>
                  <w:tcBorders>
                    <w:tl2br w:val="nil"/>
                    <w:tr2bl w:val="nil"/>
                  </w:tcBorders>
                  <w:noWrap w:val="0"/>
                  <w:vAlign w:val="center"/>
                </w:tcPr>
                <w:p w14:paraId="1AB3AD95">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废滤布</w:t>
                  </w:r>
                </w:p>
              </w:tc>
              <w:tc>
                <w:tcPr>
                  <w:tcW w:w="422" w:type="pct"/>
                  <w:vMerge w:val="continue"/>
                  <w:tcBorders>
                    <w:tl2br w:val="nil"/>
                    <w:tr2bl w:val="nil"/>
                  </w:tcBorders>
                  <w:noWrap w:val="0"/>
                  <w:vAlign w:val="center"/>
                </w:tcPr>
                <w:p w14:paraId="2A706375">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b w:val="0"/>
                      <w:bCs/>
                      <w:kern w:val="0"/>
                      <w:sz w:val="21"/>
                      <w:szCs w:val="21"/>
                      <w:highlight w:val="none"/>
                      <w:vertAlign w:val="baseline"/>
                      <w:lang w:val="en-US" w:eastAsia="zh-CN"/>
                    </w:rPr>
                  </w:pPr>
                </w:p>
              </w:tc>
              <w:tc>
                <w:tcPr>
                  <w:tcW w:w="480" w:type="pct"/>
                  <w:tcBorders>
                    <w:tl2br w:val="nil"/>
                    <w:tr2bl w:val="nil"/>
                  </w:tcBorders>
                  <w:noWrap w:val="0"/>
                  <w:vAlign w:val="center"/>
                </w:tcPr>
                <w:p w14:paraId="1DD8AB06">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固态</w:t>
                  </w:r>
                </w:p>
              </w:tc>
              <w:tc>
                <w:tcPr>
                  <w:tcW w:w="922" w:type="pct"/>
                  <w:tcBorders>
                    <w:tl2br w:val="nil"/>
                    <w:tr2bl w:val="nil"/>
                  </w:tcBorders>
                  <w:noWrap w:val="0"/>
                  <w:vAlign w:val="center"/>
                </w:tcPr>
                <w:p w14:paraId="691D942B">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900-009-S17</w:t>
                  </w:r>
                </w:p>
              </w:tc>
              <w:tc>
                <w:tcPr>
                  <w:tcW w:w="604" w:type="pct"/>
                  <w:tcBorders>
                    <w:tl2br w:val="nil"/>
                    <w:tr2bl w:val="nil"/>
                  </w:tcBorders>
                  <w:noWrap w:val="0"/>
                  <w:vAlign w:val="center"/>
                </w:tcPr>
                <w:p w14:paraId="6D92D074">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0.5t/a</w:t>
                  </w:r>
                </w:p>
              </w:tc>
              <w:tc>
                <w:tcPr>
                  <w:tcW w:w="419" w:type="pct"/>
                  <w:tcBorders>
                    <w:tl2br w:val="nil"/>
                    <w:tr2bl w:val="nil"/>
                  </w:tcBorders>
                  <w:noWrap w:val="0"/>
                  <w:vAlign w:val="center"/>
                </w:tcPr>
                <w:p w14:paraId="052199DD">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bidi="ar-SA"/>
                    </w:rPr>
                  </w:pPr>
                  <w:r>
                    <w:rPr>
                      <w:rFonts w:hint="eastAsia" w:cs="Times New Roman"/>
                      <w:b w:val="0"/>
                      <w:bCs/>
                      <w:kern w:val="0"/>
                      <w:sz w:val="21"/>
                      <w:szCs w:val="21"/>
                      <w:highlight w:val="none"/>
                      <w:vertAlign w:val="baseline"/>
                      <w:lang w:val="en-US" w:eastAsia="zh-CN"/>
                    </w:rPr>
                    <w:t>集中收集</w:t>
                  </w:r>
                </w:p>
              </w:tc>
              <w:tc>
                <w:tcPr>
                  <w:tcW w:w="602" w:type="pct"/>
                  <w:tcBorders>
                    <w:tl2br w:val="nil"/>
                    <w:tr2bl w:val="nil"/>
                  </w:tcBorders>
                  <w:noWrap w:val="0"/>
                  <w:vAlign w:val="center"/>
                </w:tcPr>
                <w:p w14:paraId="1FAFD5EB">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bidi="ar-SA"/>
                    </w:rPr>
                  </w:pPr>
                  <w:r>
                    <w:rPr>
                      <w:rFonts w:hint="eastAsia" w:cs="Times New Roman"/>
                      <w:b w:val="0"/>
                      <w:bCs/>
                      <w:kern w:val="0"/>
                      <w:sz w:val="21"/>
                      <w:szCs w:val="21"/>
                      <w:highlight w:val="none"/>
                      <w:vertAlign w:val="baseline"/>
                      <w:lang w:val="en-US" w:eastAsia="zh-CN"/>
                    </w:rPr>
                    <w:t>外售</w:t>
                  </w:r>
                </w:p>
              </w:tc>
              <w:tc>
                <w:tcPr>
                  <w:tcW w:w="565" w:type="pct"/>
                  <w:tcBorders>
                    <w:tl2br w:val="nil"/>
                    <w:tr2bl w:val="nil"/>
                  </w:tcBorders>
                  <w:noWrap w:val="0"/>
                  <w:vAlign w:val="center"/>
                </w:tcPr>
                <w:p w14:paraId="52C0F70F">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0.5t/a</w:t>
                  </w:r>
                </w:p>
              </w:tc>
            </w:tr>
            <w:tr w14:paraId="2CE6AF1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47" w:type="pct"/>
                  <w:tcBorders>
                    <w:tl2br w:val="nil"/>
                    <w:tr2bl w:val="nil"/>
                  </w:tcBorders>
                  <w:noWrap w:val="0"/>
                  <w:vAlign w:val="center"/>
                </w:tcPr>
                <w:p w14:paraId="6210492C">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雨水沉淀池及排水沟</w:t>
                  </w:r>
                </w:p>
              </w:tc>
              <w:tc>
                <w:tcPr>
                  <w:tcW w:w="535" w:type="pct"/>
                  <w:tcBorders>
                    <w:tl2br w:val="nil"/>
                    <w:tr2bl w:val="nil"/>
                  </w:tcBorders>
                  <w:noWrap w:val="0"/>
                  <w:vAlign w:val="center"/>
                </w:tcPr>
                <w:p w14:paraId="641AD1B5">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污泥</w:t>
                  </w:r>
                </w:p>
              </w:tc>
              <w:tc>
                <w:tcPr>
                  <w:tcW w:w="422" w:type="pct"/>
                  <w:vMerge w:val="continue"/>
                  <w:tcBorders>
                    <w:tl2br w:val="nil"/>
                    <w:tr2bl w:val="nil"/>
                  </w:tcBorders>
                  <w:noWrap w:val="0"/>
                  <w:vAlign w:val="center"/>
                </w:tcPr>
                <w:p w14:paraId="5FE3B059">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p>
              </w:tc>
              <w:tc>
                <w:tcPr>
                  <w:tcW w:w="480" w:type="pct"/>
                  <w:tcBorders>
                    <w:tl2br w:val="nil"/>
                    <w:tr2bl w:val="nil"/>
                  </w:tcBorders>
                  <w:noWrap w:val="0"/>
                  <w:vAlign w:val="center"/>
                </w:tcPr>
                <w:p w14:paraId="7DC459AC">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固态</w:t>
                  </w:r>
                </w:p>
              </w:tc>
              <w:tc>
                <w:tcPr>
                  <w:tcW w:w="922" w:type="pct"/>
                  <w:tcBorders>
                    <w:tl2br w:val="nil"/>
                    <w:tr2bl w:val="nil"/>
                  </w:tcBorders>
                  <w:noWrap w:val="0"/>
                  <w:vAlign w:val="center"/>
                </w:tcPr>
                <w:p w14:paraId="7DF26F56">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900-099-S07</w:t>
                  </w:r>
                </w:p>
              </w:tc>
              <w:tc>
                <w:tcPr>
                  <w:tcW w:w="604" w:type="pct"/>
                  <w:tcBorders>
                    <w:tl2br w:val="nil"/>
                    <w:tr2bl w:val="nil"/>
                  </w:tcBorders>
                  <w:noWrap w:val="0"/>
                  <w:vAlign w:val="center"/>
                </w:tcPr>
                <w:p w14:paraId="3731B1CD">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1t/a</w:t>
                  </w:r>
                </w:p>
              </w:tc>
              <w:tc>
                <w:tcPr>
                  <w:tcW w:w="419" w:type="pct"/>
                  <w:tcBorders>
                    <w:tl2br w:val="nil"/>
                    <w:tr2bl w:val="nil"/>
                  </w:tcBorders>
                  <w:noWrap w:val="0"/>
                  <w:vAlign w:val="center"/>
                </w:tcPr>
                <w:p w14:paraId="4EBEB147">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集中收集</w:t>
                  </w:r>
                </w:p>
              </w:tc>
              <w:tc>
                <w:tcPr>
                  <w:tcW w:w="602" w:type="pct"/>
                  <w:tcBorders>
                    <w:tl2br w:val="nil"/>
                    <w:tr2bl w:val="nil"/>
                  </w:tcBorders>
                  <w:noWrap w:val="0"/>
                  <w:vAlign w:val="center"/>
                </w:tcPr>
                <w:p w14:paraId="6E338DA9">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回用</w:t>
                  </w:r>
                </w:p>
              </w:tc>
              <w:tc>
                <w:tcPr>
                  <w:tcW w:w="565" w:type="pct"/>
                  <w:tcBorders>
                    <w:tl2br w:val="nil"/>
                    <w:tr2bl w:val="nil"/>
                  </w:tcBorders>
                  <w:noWrap w:val="0"/>
                  <w:vAlign w:val="center"/>
                </w:tcPr>
                <w:p w14:paraId="0BC3A75F">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1t/a</w:t>
                  </w:r>
                </w:p>
              </w:tc>
            </w:tr>
            <w:tr w14:paraId="33E3C8B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47" w:type="pct"/>
                  <w:tcBorders>
                    <w:tl2br w:val="nil"/>
                    <w:tr2bl w:val="nil"/>
                  </w:tcBorders>
                  <w:noWrap w:val="0"/>
                  <w:vAlign w:val="center"/>
                </w:tcPr>
                <w:p w14:paraId="4283AC3B">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洗车平台沉淀池</w:t>
                  </w:r>
                </w:p>
              </w:tc>
              <w:tc>
                <w:tcPr>
                  <w:tcW w:w="535" w:type="pct"/>
                  <w:tcBorders>
                    <w:tl2br w:val="nil"/>
                    <w:tr2bl w:val="nil"/>
                  </w:tcBorders>
                  <w:noWrap w:val="0"/>
                  <w:vAlign w:val="center"/>
                </w:tcPr>
                <w:p w14:paraId="60D89CCB">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污泥</w:t>
                  </w:r>
                </w:p>
              </w:tc>
              <w:tc>
                <w:tcPr>
                  <w:tcW w:w="422" w:type="pct"/>
                  <w:vMerge w:val="continue"/>
                  <w:tcBorders>
                    <w:tl2br w:val="nil"/>
                    <w:tr2bl w:val="nil"/>
                  </w:tcBorders>
                  <w:noWrap w:val="0"/>
                  <w:vAlign w:val="center"/>
                </w:tcPr>
                <w:p w14:paraId="598894FD">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p>
              </w:tc>
              <w:tc>
                <w:tcPr>
                  <w:tcW w:w="480" w:type="pct"/>
                  <w:tcBorders>
                    <w:tl2br w:val="nil"/>
                    <w:tr2bl w:val="nil"/>
                  </w:tcBorders>
                  <w:noWrap w:val="0"/>
                  <w:vAlign w:val="center"/>
                </w:tcPr>
                <w:p w14:paraId="050207D0">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bidi="ar-SA"/>
                    </w:rPr>
                  </w:pPr>
                  <w:r>
                    <w:rPr>
                      <w:rFonts w:hint="eastAsia" w:cs="Times New Roman"/>
                      <w:b w:val="0"/>
                      <w:bCs/>
                      <w:kern w:val="0"/>
                      <w:sz w:val="21"/>
                      <w:szCs w:val="21"/>
                      <w:highlight w:val="none"/>
                      <w:vertAlign w:val="baseline"/>
                      <w:lang w:val="en-US" w:eastAsia="zh-CN"/>
                    </w:rPr>
                    <w:t>固态</w:t>
                  </w:r>
                </w:p>
              </w:tc>
              <w:tc>
                <w:tcPr>
                  <w:tcW w:w="922" w:type="pct"/>
                  <w:tcBorders>
                    <w:tl2br w:val="nil"/>
                    <w:tr2bl w:val="nil"/>
                  </w:tcBorders>
                  <w:noWrap w:val="0"/>
                  <w:vAlign w:val="center"/>
                </w:tcPr>
                <w:p w14:paraId="0605CFC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bidi="ar-SA"/>
                    </w:rPr>
                  </w:pPr>
                  <w:r>
                    <w:rPr>
                      <w:rFonts w:hint="eastAsia" w:cs="Times New Roman"/>
                      <w:b w:val="0"/>
                      <w:bCs/>
                      <w:kern w:val="0"/>
                      <w:sz w:val="21"/>
                      <w:szCs w:val="21"/>
                      <w:highlight w:val="none"/>
                      <w:vertAlign w:val="baseline"/>
                      <w:lang w:val="en-US" w:eastAsia="zh-CN"/>
                    </w:rPr>
                    <w:t>900-099-S07</w:t>
                  </w:r>
                </w:p>
              </w:tc>
              <w:tc>
                <w:tcPr>
                  <w:tcW w:w="604" w:type="pct"/>
                  <w:tcBorders>
                    <w:tl2br w:val="nil"/>
                    <w:tr2bl w:val="nil"/>
                  </w:tcBorders>
                  <w:noWrap w:val="0"/>
                  <w:vAlign w:val="center"/>
                </w:tcPr>
                <w:p w14:paraId="387E63F2">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bidi="ar-SA"/>
                    </w:rPr>
                  </w:pPr>
                  <w:r>
                    <w:rPr>
                      <w:rFonts w:hint="eastAsia" w:cs="Times New Roman"/>
                      <w:b w:val="0"/>
                      <w:bCs/>
                      <w:kern w:val="0"/>
                      <w:sz w:val="21"/>
                      <w:szCs w:val="21"/>
                      <w:highlight w:val="none"/>
                      <w:vertAlign w:val="baseline"/>
                      <w:lang w:val="en-US" w:eastAsia="zh-CN"/>
                    </w:rPr>
                    <w:t>1t/a</w:t>
                  </w:r>
                </w:p>
              </w:tc>
              <w:tc>
                <w:tcPr>
                  <w:tcW w:w="419" w:type="pct"/>
                  <w:tcBorders>
                    <w:tl2br w:val="nil"/>
                    <w:tr2bl w:val="nil"/>
                  </w:tcBorders>
                  <w:noWrap w:val="0"/>
                  <w:vAlign w:val="center"/>
                </w:tcPr>
                <w:p w14:paraId="1EE73B9E">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bidi="ar-SA"/>
                    </w:rPr>
                  </w:pPr>
                  <w:r>
                    <w:rPr>
                      <w:rFonts w:hint="eastAsia" w:cs="Times New Roman"/>
                      <w:b w:val="0"/>
                      <w:bCs/>
                      <w:kern w:val="0"/>
                      <w:sz w:val="21"/>
                      <w:szCs w:val="21"/>
                      <w:highlight w:val="none"/>
                      <w:vertAlign w:val="baseline"/>
                      <w:lang w:val="en-US" w:eastAsia="zh-CN"/>
                    </w:rPr>
                    <w:t>集中收集</w:t>
                  </w:r>
                </w:p>
              </w:tc>
              <w:tc>
                <w:tcPr>
                  <w:tcW w:w="602" w:type="pct"/>
                  <w:tcBorders>
                    <w:tl2br w:val="nil"/>
                    <w:tr2bl w:val="nil"/>
                  </w:tcBorders>
                  <w:noWrap w:val="0"/>
                  <w:vAlign w:val="center"/>
                </w:tcPr>
                <w:p w14:paraId="79F2873C">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bidi="ar-SA"/>
                    </w:rPr>
                  </w:pPr>
                  <w:r>
                    <w:rPr>
                      <w:rFonts w:hint="eastAsia" w:ascii="Times New Roman" w:hAnsi="Times New Roman" w:eastAsia="宋体" w:cs="Times New Roman"/>
                      <w:b w:val="0"/>
                      <w:bCs/>
                      <w:kern w:val="0"/>
                      <w:sz w:val="21"/>
                      <w:szCs w:val="21"/>
                      <w:highlight w:val="none"/>
                      <w:vertAlign w:val="baseline"/>
                      <w:lang w:val="en-US" w:eastAsia="zh-CN"/>
                    </w:rPr>
                    <w:t>回用</w:t>
                  </w:r>
                </w:p>
              </w:tc>
              <w:tc>
                <w:tcPr>
                  <w:tcW w:w="565" w:type="pct"/>
                  <w:tcBorders>
                    <w:tl2br w:val="nil"/>
                    <w:tr2bl w:val="nil"/>
                  </w:tcBorders>
                  <w:noWrap w:val="0"/>
                  <w:vAlign w:val="center"/>
                </w:tcPr>
                <w:p w14:paraId="22A58821">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bidi="ar-SA"/>
                    </w:rPr>
                  </w:pPr>
                  <w:r>
                    <w:rPr>
                      <w:rFonts w:hint="eastAsia" w:cs="Times New Roman"/>
                      <w:b w:val="0"/>
                      <w:bCs/>
                      <w:kern w:val="0"/>
                      <w:sz w:val="21"/>
                      <w:szCs w:val="21"/>
                      <w:highlight w:val="none"/>
                      <w:vertAlign w:val="baseline"/>
                      <w:lang w:val="en-US" w:eastAsia="zh-CN"/>
                    </w:rPr>
                    <w:t>1t/a</w:t>
                  </w:r>
                </w:p>
              </w:tc>
            </w:tr>
            <w:tr w14:paraId="2D0B655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47" w:type="pct"/>
                  <w:vMerge w:val="restart"/>
                  <w:tcBorders>
                    <w:tl2br w:val="nil"/>
                    <w:tr2bl w:val="nil"/>
                  </w:tcBorders>
                  <w:noWrap w:val="0"/>
                  <w:vAlign w:val="center"/>
                </w:tcPr>
                <w:p w14:paraId="7B3E17F5">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除尘器</w:t>
                  </w:r>
                </w:p>
              </w:tc>
              <w:tc>
                <w:tcPr>
                  <w:tcW w:w="535" w:type="pct"/>
                  <w:tcBorders>
                    <w:tl2br w:val="nil"/>
                    <w:tr2bl w:val="nil"/>
                  </w:tcBorders>
                  <w:noWrap w:val="0"/>
                  <w:vAlign w:val="center"/>
                </w:tcPr>
                <w:p w14:paraId="1B534F56">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废布袋</w:t>
                  </w:r>
                </w:p>
              </w:tc>
              <w:tc>
                <w:tcPr>
                  <w:tcW w:w="422" w:type="pct"/>
                  <w:vMerge w:val="continue"/>
                  <w:tcBorders>
                    <w:tl2br w:val="nil"/>
                    <w:tr2bl w:val="nil"/>
                  </w:tcBorders>
                  <w:noWrap w:val="0"/>
                  <w:vAlign w:val="center"/>
                </w:tcPr>
                <w:p w14:paraId="212D660F">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p>
              </w:tc>
              <w:tc>
                <w:tcPr>
                  <w:tcW w:w="480" w:type="pct"/>
                  <w:tcBorders>
                    <w:tl2br w:val="nil"/>
                    <w:tr2bl w:val="nil"/>
                  </w:tcBorders>
                  <w:noWrap w:val="0"/>
                  <w:vAlign w:val="center"/>
                </w:tcPr>
                <w:p w14:paraId="00E7F921">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固态</w:t>
                  </w:r>
                </w:p>
              </w:tc>
              <w:tc>
                <w:tcPr>
                  <w:tcW w:w="922" w:type="pct"/>
                  <w:tcBorders>
                    <w:tl2br w:val="nil"/>
                    <w:tr2bl w:val="nil"/>
                  </w:tcBorders>
                  <w:noWrap w:val="0"/>
                  <w:vAlign w:val="center"/>
                </w:tcPr>
                <w:p w14:paraId="6C1E890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900-009-S59</w:t>
                  </w:r>
                </w:p>
              </w:tc>
              <w:tc>
                <w:tcPr>
                  <w:tcW w:w="604" w:type="pct"/>
                  <w:tcBorders>
                    <w:tl2br w:val="nil"/>
                    <w:tr2bl w:val="nil"/>
                  </w:tcBorders>
                  <w:noWrap w:val="0"/>
                  <w:vAlign w:val="center"/>
                </w:tcPr>
                <w:p w14:paraId="5A7A752F">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0.5t/a</w:t>
                  </w:r>
                </w:p>
              </w:tc>
              <w:tc>
                <w:tcPr>
                  <w:tcW w:w="419" w:type="pct"/>
                  <w:tcBorders>
                    <w:tl2br w:val="nil"/>
                    <w:tr2bl w:val="nil"/>
                  </w:tcBorders>
                  <w:noWrap w:val="0"/>
                  <w:vAlign w:val="center"/>
                </w:tcPr>
                <w:p w14:paraId="31913D7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集中收集</w:t>
                  </w:r>
                </w:p>
              </w:tc>
              <w:tc>
                <w:tcPr>
                  <w:tcW w:w="602" w:type="pct"/>
                  <w:tcBorders>
                    <w:tl2br w:val="nil"/>
                    <w:tr2bl w:val="nil"/>
                  </w:tcBorders>
                  <w:noWrap w:val="0"/>
                  <w:vAlign w:val="center"/>
                </w:tcPr>
                <w:p w14:paraId="5BE1E44A">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外售</w:t>
                  </w:r>
                </w:p>
              </w:tc>
              <w:tc>
                <w:tcPr>
                  <w:tcW w:w="565" w:type="pct"/>
                  <w:tcBorders>
                    <w:tl2br w:val="nil"/>
                    <w:tr2bl w:val="nil"/>
                  </w:tcBorders>
                  <w:noWrap w:val="0"/>
                  <w:vAlign w:val="center"/>
                </w:tcPr>
                <w:p w14:paraId="60B159A6">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bidi="ar-SA"/>
                    </w:rPr>
                  </w:pPr>
                  <w:r>
                    <w:rPr>
                      <w:rFonts w:hint="eastAsia" w:cs="Times New Roman"/>
                      <w:b w:val="0"/>
                      <w:bCs/>
                      <w:kern w:val="0"/>
                      <w:sz w:val="21"/>
                      <w:szCs w:val="21"/>
                      <w:highlight w:val="none"/>
                      <w:vertAlign w:val="baseline"/>
                      <w:lang w:val="en-US" w:eastAsia="zh-CN"/>
                    </w:rPr>
                    <w:t>0.5t/a</w:t>
                  </w:r>
                </w:p>
              </w:tc>
            </w:tr>
            <w:tr w14:paraId="298251D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47" w:type="pct"/>
                  <w:vMerge w:val="continue"/>
                  <w:tcBorders>
                    <w:tl2br w:val="nil"/>
                    <w:tr2bl w:val="nil"/>
                  </w:tcBorders>
                  <w:noWrap w:val="0"/>
                  <w:vAlign w:val="center"/>
                </w:tcPr>
                <w:p w14:paraId="091F822C">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p>
              </w:tc>
              <w:tc>
                <w:tcPr>
                  <w:tcW w:w="535" w:type="pct"/>
                  <w:tcBorders>
                    <w:tl2br w:val="nil"/>
                    <w:tr2bl w:val="nil"/>
                  </w:tcBorders>
                  <w:noWrap w:val="0"/>
                  <w:vAlign w:val="center"/>
                </w:tcPr>
                <w:p w14:paraId="24193C87">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除尘灰</w:t>
                  </w:r>
                </w:p>
              </w:tc>
              <w:tc>
                <w:tcPr>
                  <w:tcW w:w="422" w:type="pct"/>
                  <w:vMerge w:val="continue"/>
                  <w:tcBorders>
                    <w:tl2br w:val="nil"/>
                    <w:tr2bl w:val="nil"/>
                  </w:tcBorders>
                  <w:noWrap w:val="0"/>
                  <w:vAlign w:val="center"/>
                </w:tcPr>
                <w:p w14:paraId="5CF9B1E1">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p>
              </w:tc>
              <w:tc>
                <w:tcPr>
                  <w:tcW w:w="480" w:type="pct"/>
                  <w:tcBorders>
                    <w:tl2br w:val="nil"/>
                    <w:tr2bl w:val="nil"/>
                  </w:tcBorders>
                  <w:noWrap w:val="0"/>
                  <w:vAlign w:val="center"/>
                </w:tcPr>
                <w:p w14:paraId="3D096DAA">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固态</w:t>
                  </w:r>
                </w:p>
              </w:tc>
              <w:tc>
                <w:tcPr>
                  <w:tcW w:w="922" w:type="pct"/>
                  <w:tcBorders>
                    <w:tl2br w:val="nil"/>
                    <w:tr2bl w:val="nil"/>
                  </w:tcBorders>
                  <w:noWrap w:val="0"/>
                  <w:vAlign w:val="center"/>
                </w:tcPr>
                <w:p w14:paraId="5A43A5FF">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900-099-S59</w:t>
                  </w:r>
                </w:p>
              </w:tc>
              <w:tc>
                <w:tcPr>
                  <w:tcW w:w="604" w:type="pct"/>
                  <w:tcBorders>
                    <w:tl2br w:val="nil"/>
                    <w:tr2bl w:val="nil"/>
                  </w:tcBorders>
                  <w:noWrap w:val="0"/>
                  <w:vAlign w:val="center"/>
                </w:tcPr>
                <w:p w14:paraId="4E195925">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578.9</w:t>
                  </w:r>
                  <w:r>
                    <w:rPr>
                      <w:rFonts w:hint="eastAsia" w:ascii="Times New Roman" w:hAnsi="Times New Roman" w:eastAsia="宋体" w:cs="Times New Roman"/>
                      <w:b w:val="0"/>
                      <w:bCs/>
                      <w:kern w:val="0"/>
                      <w:sz w:val="21"/>
                      <w:szCs w:val="21"/>
                      <w:highlight w:val="none"/>
                      <w:vertAlign w:val="baseline"/>
                      <w:lang w:val="en-US" w:eastAsia="zh-CN"/>
                    </w:rPr>
                    <w:t>t/a</w:t>
                  </w:r>
                </w:p>
              </w:tc>
              <w:tc>
                <w:tcPr>
                  <w:tcW w:w="419" w:type="pct"/>
                  <w:tcBorders>
                    <w:tl2br w:val="nil"/>
                    <w:tr2bl w:val="nil"/>
                  </w:tcBorders>
                  <w:noWrap w:val="0"/>
                  <w:vAlign w:val="center"/>
                </w:tcPr>
                <w:p w14:paraId="46F41686">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集中收集</w:t>
                  </w:r>
                </w:p>
              </w:tc>
              <w:tc>
                <w:tcPr>
                  <w:tcW w:w="602" w:type="pct"/>
                  <w:tcBorders>
                    <w:tl2br w:val="nil"/>
                    <w:tr2bl w:val="nil"/>
                  </w:tcBorders>
                  <w:noWrap w:val="0"/>
                  <w:vAlign w:val="center"/>
                </w:tcPr>
                <w:p w14:paraId="544E170F">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回用</w:t>
                  </w:r>
                </w:p>
              </w:tc>
              <w:tc>
                <w:tcPr>
                  <w:tcW w:w="565" w:type="pct"/>
                  <w:tcBorders>
                    <w:tl2br w:val="nil"/>
                    <w:tr2bl w:val="nil"/>
                  </w:tcBorders>
                  <w:noWrap w:val="0"/>
                  <w:vAlign w:val="center"/>
                </w:tcPr>
                <w:p w14:paraId="2471C491">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578.9</w:t>
                  </w:r>
                  <w:r>
                    <w:rPr>
                      <w:rFonts w:hint="eastAsia" w:ascii="Times New Roman" w:hAnsi="Times New Roman" w:eastAsia="宋体" w:cs="Times New Roman"/>
                      <w:b w:val="0"/>
                      <w:bCs/>
                      <w:kern w:val="0"/>
                      <w:sz w:val="21"/>
                      <w:szCs w:val="21"/>
                      <w:highlight w:val="none"/>
                      <w:vertAlign w:val="baseline"/>
                      <w:lang w:val="en-US" w:eastAsia="zh-CN"/>
                    </w:rPr>
                    <w:t>t/a</w:t>
                  </w:r>
                </w:p>
              </w:tc>
            </w:tr>
            <w:tr w14:paraId="105F9DA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47" w:type="pct"/>
                  <w:tcBorders>
                    <w:tl2br w:val="nil"/>
                    <w:tr2bl w:val="nil"/>
                  </w:tcBorders>
                  <w:noWrap w:val="0"/>
                  <w:vAlign w:val="center"/>
                </w:tcPr>
                <w:p w14:paraId="3D4294B4">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生活</w:t>
                  </w:r>
                </w:p>
              </w:tc>
              <w:tc>
                <w:tcPr>
                  <w:tcW w:w="535" w:type="pct"/>
                  <w:tcBorders>
                    <w:tl2br w:val="nil"/>
                    <w:tr2bl w:val="nil"/>
                  </w:tcBorders>
                  <w:noWrap w:val="0"/>
                  <w:vAlign w:val="center"/>
                </w:tcPr>
                <w:p w14:paraId="4FA6886F">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生活垃圾</w:t>
                  </w:r>
                </w:p>
              </w:tc>
              <w:tc>
                <w:tcPr>
                  <w:tcW w:w="422" w:type="pct"/>
                  <w:vMerge w:val="continue"/>
                  <w:tcBorders>
                    <w:tl2br w:val="nil"/>
                    <w:tr2bl w:val="nil"/>
                  </w:tcBorders>
                  <w:noWrap w:val="0"/>
                  <w:vAlign w:val="center"/>
                </w:tcPr>
                <w:p w14:paraId="5D6C5B50">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p>
              </w:tc>
              <w:tc>
                <w:tcPr>
                  <w:tcW w:w="480" w:type="pct"/>
                  <w:tcBorders>
                    <w:tl2br w:val="nil"/>
                    <w:tr2bl w:val="nil"/>
                  </w:tcBorders>
                  <w:noWrap w:val="0"/>
                  <w:vAlign w:val="center"/>
                </w:tcPr>
                <w:p w14:paraId="1DFD4549">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固态</w:t>
                  </w:r>
                </w:p>
              </w:tc>
              <w:tc>
                <w:tcPr>
                  <w:tcW w:w="922" w:type="pct"/>
                  <w:tcBorders>
                    <w:tl2br w:val="nil"/>
                    <w:tr2bl w:val="nil"/>
                  </w:tcBorders>
                  <w:noWrap w:val="0"/>
                  <w:vAlign w:val="center"/>
                </w:tcPr>
                <w:p w14:paraId="1B53C046">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900-001-S62</w:t>
                  </w:r>
                </w:p>
              </w:tc>
              <w:tc>
                <w:tcPr>
                  <w:tcW w:w="604" w:type="pct"/>
                  <w:tcBorders>
                    <w:tl2br w:val="nil"/>
                    <w:tr2bl w:val="nil"/>
                  </w:tcBorders>
                  <w:noWrap w:val="0"/>
                  <w:vAlign w:val="center"/>
                </w:tcPr>
                <w:p w14:paraId="5B476CB4">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13.5</w:t>
                  </w:r>
                  <w:r>
                    <w:rPr>
                      <w:rFonts w:hint="default" w:ascii="Times New Roman" w:hAnsi="Times New Roman" w:eastAsia="宋体" w:cs="Times New Roman"/>
                      <w:b w:val="0"/>
                      <w:bCs/>
                      <w:kern w:val="0"/>
                      <w:sz w:val="21"/>
                      <w:szCs w:val="21"/>
                      <w:highlight w:val="none"/>
                      <w:vertAlign w:val="baseline"/>
                      <w:lang w:val="en-US" w:eastAsia="zh-CN"/>
                    </w:rPr>
                    <w:t>t/a</w:t>
                  </w:r>
                </w:p>
              </w:tc>
              <w:tc>
                <w:tcPr>
                  <w:tcW w:w="419" w:type="pct"/>
                  <w:tcBorders>
                    <w:tl2br w:val="nil"/>
                    <w:tr2bl w:val="nil"/>
                  </w:tcBorders>
                  <w:noWrap w:val="0"/>
                  <w:vAlign w:val="center"/>
                </w:tcPr>
                <w:p w14:paraId="06887EA2">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集中收集</w:t>
                  </w:r>
                </w:p>
              </w:tc>
              <w:tc>
                <w:tcPr>
                  <w:tcW w:w="602" w:type="pct"/>
                  <w:tcBorders>
                    <w:tl2br w:val="nil"/>
                    <w:tr2bl w:val="nil"/>
                  </w:tcBorders>
                  <w:noWrap w:val="0"/>
                  <w:vAlign w:val="center"/>
                </w:tcPr>
                <w:p w14:paraId="62A3109A">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收集后由环卫部门统一处理</w:t>
                  </w:r>
                </w:p>
              </w:tc>
              <w:tc>
                <w:tcPr>
                  <w:tcW w:w="565" w:type="pct"/>
                  <w:tcBorders>
                    <w:tl2br w:val="nil"/>
                    <w:tr2bl w:val="nil"/>
                  </w:tcBorders>
                  <w:noWrap w:val="0"/>
                  <w:vAlign w:val="center"/>
                </w:tcPr>
                <w:p w14:paraId="4CE0BE0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1.35</w:t>
                  </w:r>
                  <w:r>
                    <w:rPr>
                      <w:rFonts w:hint="default" w:ascii="Times New Roman" w:hAnsi="Times New Roman" w:eastAsia="宋体" w:cs="Times New Roman"/>
                      <w:b w:val="0"/>
                      <w:bCs/>
                      <w:kern w:val="0"/>
                      <w:sz w:val="21"/>
                      <w:szCs w:val="21"/>
                      <w:highlight w:val="none"/>
                      <w:vertAlign w:val="baseline"/>
                      <w:lang w:val="en-US" w:eastAsia="zh-CN"/>
                    </w:rPr>
                    <w:t>t/a</w:t>
                  </w:r>
                </w:p>
              </w:tc>
            </w:tr>
            <w:tr w14:paraId="1644634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47" w:type="pct"/>
                  <w:vMerge w:val="restart"/>
                  <w:tcBorders>
                    <w:tl2br w:val="nil"/>
                    <w:tr2bl w:val="nil"/>
                  </w:tcBorders>
                  <w:noWrap w:val="0"/>
                  <w:vAlign w:val="center"/>
                </w:tcPr>
                <w:p w14:paraId="3199C25E">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食堂</w:t>
                  </w:r>
                </w:p>
              </w:tc>
              <w:tc>
                <w:tcPr>
                  <w:tcW w:w="535" w:type="pct"/>
                  <w:tcBorders>
                    <w:tl2br w:val="nil"/>
                    <w:tr2bl w:val="nil"/>
                  </w:tcBorders>
                  <w:noWrap w:val="0"/>
                  <w:vAlign w:val="center"/>
                </w:tcPr>
                <w:p w14:paraId="6D40E732">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餐厨垃圾</w:t>
                  </w:r>
                </w:p>
              </w:tc>
              <w:tc>
                <w:tcPr>
                  <w:tcW w:w="422" w:type="pct"/>
                  <w:vMerge w:val="continue"/>
                  <w:tcBorders>
                    <w:tl2br w:val="nil"/>
                    <w:tr2bl w:val="nil"/>
                  </w:tcBorders>
                  <w:noWrap w:val="0"/>
                  <w:vAlign w:val="center"/>
                </w:tcPr>
                <w:p w14:paraId="5AC95B0E">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p>
              </w:tc>
              <w:tc>
                <w:tcPr>
                  <w:tcW w:w="480" w:type="pct"/>
                  <w:tcBorders>
                    <w:tl2br w:val="nil"/>
                    <w:tr2bl w:val="nil"/>
                  </w:tcBorders>
                  <w:noWrap w:val="0"/>
                  <w:vAlign w:val="center"/>
                </w:tcPr>
                <w:p w14:paraId="205CFA3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固态</w:t>
                  </w:r>
                </w:p>
              </w:tc>
              <w:tc>
                <w:tcPr>
                  <w:tcW w:w="922" w:type="pct"/>
                  <w:tcBorders>
                    <w:tl2br w:val="nil"/>
                    <w:tr2bl w:val="nil"/>
                  </w:tcBorders>
                  <w:noWrap w:val="0"/>
                  <w:vAlign w:val="center"/>
                </w:tcPr>
                <w:p w14:paraId="64AEF460">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900-002-S61</w:t>
                  </w:r>
                </w:p>
              </w:tc>
              <w:tc>
                <w:tcPr>
                  <w:tcW w:w="604" w:type="pct"/>
                  <w:tcBorders>
                    <w:tl2br w:val="nil"/>
                    <w:tr2bl w:val="nil"/>
                  </w:tcBorders>
                  <w:noWrap w:val="0"/>
                  <w:vAlign w:val="center"/>
                </w:tcPr>
                <w:p w14:paraId="22E6A31F">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0.27</w:t>
                  </w:r>
                  <w:r>
                    <w:rPr>
                      <w:rFonts w:hint="default" w:ascii="Times New Roman" w:hAnsi="Times New Roman" w:eastAsia="宋体" w:cs="Times New Roman"/>
                      <w:b w:val="0"/>
                      <w:bCs/>
                      <w:kern w:val="0"/>
                      <w:sz w:val="21"/>
                      <w:szCs w:val="21"/>
                      <w:highlight w:val="none"/>
                      <w:vertAlign w:val="baseline"/>
                      <w:lang w:val="en-US" w:eastAsia="zh-CN"/>
                    </w:rPr>
                    <w:t>t/a</w:t>
                  </w:r>
                </w:p>
              </w:tc>
              <w:tc>
                <w:tcPr>
                  <w:tcW w:w="419" w:type="pct"/>
                  <w:tcBorders>
                    <w:tl2br w:val="nil"/>
                    <w:tr2bl w:val="nil"/>
                  </w:tcBorders>
                  <w:noWrap w:val="0"/>
                  <w:vAlign w:val="center"/>
                </w:tcPr>
                <w:p w14:paraId="2D02B3E9">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集中收集</w:t>
                  </w:r>
                </w:p>
              </w:tc>
              <w:tc>
                <w:tcPr>
                  <w:tcW w:w="602" w:type="pct"/>
                  <w:vMerge w:val="restart"/>
                  <w:tcBorders>
                    <w:tl2br w:val="nil"/>
                    <w:tr2bl w:val="nil"/>
                  </w:tcBorders>
                  <w:noWrap w:val="0"/>
                  <w:vAlign w:val="center"/>
                </w:tcPr>
                <w:p w14:paraId="0FED94AA">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收集后由有餐饮垃圾资质单位处理</w:t>
                  </w:r>
                </w:p>
              </w:tc>
              <w:tc>
                <w:tcPr>
                  <w:tcW w:w="565" w:type="pct"/>
                  <w:tcBorders>
                    <w:tl2br w:val="nil"/>
                    <w:tr2bl w:val="nil"/>
                  </w:tcBorders>
                  <w:noWrap w:val="0"/>
                  <w:vAlign w:val="center"/>
                </w:tcPr>
                <w:p w14:paraId="10E71147">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0.27</w:t>
                  </w:r>
                  <w:r>
                    <w:rPr>
                      <w:rFonts w:hint="default" w:ascii="Times New Roman" w:hAnsi="Times New Roman" w:eastAsia="宋体" w:cs="Times New Roman"/>
                      <w:b w:val="0"/>
                      <w:bCs/>
                      <w:kern w:val="0"/>
                      <w:sz w:val="21"/>
                      <w:szCs w:val="21"/>
                      <w:highlight w:val="none"/>
                      <w:vertAlign w:val="baseline"/>
                      <w:lang w:val="en-US" w:eastAsia="zh-CN"/>
                    </w:rPr>
                    <w:t>t/a</w:t>
                  </w:r>
                </w:p>
              </w:tc>
            </w:tr>
            <w:tr w14:paraId="31C5311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47" w:type="pct"/>
                  <w:vMerge w:val="continue"/>
                  <w:tcBorders>
                    <w:tl2br w:val="nil"/>
                    <w:tr2bl w:val="nil"/>
                  </w:tcBorders>
                  <w:noWrap w:val="0"/>
                  <w:vAlign w:val="center"/>
                </w:tcPr>
                <w:p w14:paraId="4E888389">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b w:val="0"/>
                      <w:bCs/>
                      <w:kern w:val="0"/>
                      <w:sz w:val="21"/>
                      <w:szCs w:val="21"/>
                      <w:highlight w:val="none"/>
                      <w:vertAlign w:val="baseline"/>
                      <w:lang w:val="en-US" w:eastAsia="zh-CN"/>
                    </w:rPr>
                  </w:pPr>
                </w:p>
              </w:tc>
              <w:tc>
                <w:tcPr>
                  <w:tcW w:w="535" w:type="pct"/>
                  <w:tcBorders>
                    <w:tl2br w:val="nil"/>
                    <w:tr2bl w:val="nil"/>
                  </w:tcBorders>
                  <w:noWrap w:val="0"/>
                  <w:vAlign w:val="center"/>
                </w:tcPr>
                <w:p w14:paraId="2487F655">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b w:val="0"/>
                      <w:bCs/>
                      <w:kern w:val="0"/>
                      <w:sz w:val="21"/>
                      <w:szCs w:val="21"/>
                      <w:highlight w:val="none"/>
                      <w:vertAlign w:val="baseline"/>
                      <w:lang w:val="en-US" w:eastAsia="zh-CN"/>
                    </w:rPr>
                  </w:pPr>
                  <w:r>
                    <w:rPr>
                      <w:rFonts w:hint="eastAsia" w:cs="Times New Roman"/>
                      <w:b w:val="0"/>
                      <w:bCs/>
                      <w:kern w:val="0"/>
                      <w:sz w:val="21"/>
                      <w:szCs w:val="21"/>
                      <w:highlight w:val="none"/>
                      <w:vertAlign w:val="baseline"/>
                      <w:lang w:val="en-US" w:eastAsia="zh-CN"/>
                    </w:rPr>
                    <w:t>废油脂</w:t>
                  </w:r>
                </w:p>
              </w:tc>
              <w:tc>
                <w:tcPr>
                  <w:tcW w:w="422" w:type="pct"/>
                  <w:vMerge w:val="continue"/>
                  <w:tcBorders>
                    <w:tl2br w:val="nil"/>
                    <w:tr2bl w:val="nil"/>
                  </w:tcBorders>
                  <w:noWrap w:val="0"/>
                  <w:vAlign w:val="center"/>
                </w:tcPr>
                <w:p w14:paraId="7785FA35">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kern w:val="0"/>
                      <w:sz w:val="21"/>
                      <w:szCs w:val="21"/>
                      <w:highlight w:val="none"/>
                      <w:vertAlign w:val="baseline"/>
                      <w:lang w:val="en-US" w:eastAsia="zh-CN"/>
                    </w:rPr>
                  </w:pPr>
                </w:p>
              </w:tc>
              <w:tc>
                <w:tcPr>
                  <w:tcW w:w="480" w:type="pct"/>
                  <w:tcBorders>
                    <w:tl2br w:val="nil"/>
                    <w:tr2bl w:val="nil"/>
                  </w:tcBorders>
                  <w:noWrap w:val="0"/>
                  <w:vAlign w:val="center"/>
                </w:tcPr>
                <w:p w14:paraId="4DAB6403">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液态</w:t>
                  </w:r>
                </w:p>
              </w:tc>
              <w:tc>
                <w:tcPr>
                  <w:tcW w:w="922" w:type="pct"/>
                  <w:tcBorders>
                    <w:tl2br w:val="nil"/>
                    <w:tr2bl w:val="nil"/>
                  </w:tcBorders>
                  <w:noWrap w:val="0"/>
                  <w:vAlign w:val="center"/>
                </w:tcPr>
                <w:p w14:paraId="5BA8A31C">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900-002-S61</w:t>
                  </w:r>
                </w:p>
              </w:tc>
              <w:tc>
                <w:tcPr>
                  <w:tcW w:w="604" w:type="pct"/>
                  <w:tcBorders>
                    <w:tl2br w:val="nil"/>
                    <w:tr2bl w:val="nil"/>
                  </w:tcBorders>
                  <w:noWrap w:val="0"/>
                  <w:vAlign w:val="center"/>
                </w:tcPr>
                <w:p w14:paraId="6B0C409E">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4.05</w:t>
                  </w:r>
                  <w:r>
                    <w:rPr>
                      <w:rFonts w:hint="default" w:ascii="Times New Roman" w:hAnsi="Times New Roman" w:eastAsia="宋体" w:cs="Times New Roman"/>
                      <w:b w:val="0"/>
                      <w:bCs/>
                      <w:kern w:val="0"/>
                      <w:sz w:val="21"/>
                      <w:szCs w:val="21"/>
                      <w:highlight w:val="none"/>
                      <w:vertAlign w:val="baseline"/>
                      <w:lang w:val="en-US" w:eastAsia="zh-CN"/>
                    </w:rPr>
                    <w:t>t/a</w:t>
                  </w:r>
                </w:p>
              </w:tc>
              <w:tc>
                <w:tcPr>
                  <w:tcW w:w="419" w:type="pct"/>
                  <w:tcBorders>
                    <w:tl2br w:val="nil"/>
                    <w:tr2bl w:val="nil"/>
                  </w:tcBorders>
                  <w:noWrap w:val="0"/>
                  <w:vAlign w:val="center"/>
                </w:tcPr>
                <w:p w14:paraId="42C4CDBA">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集中收集</w:t>
                  </w:r>
                </w:p>
              </w:tc>
              <w:tc>
                <w:tcPr>
                  <w:tcW w:w="602" w:type="pct"/>
                  <w:vMerge w:val="continue"/>
                  <w:tcBorders>
                    <w:tl2br w:val="nil"/>
                    <w:tr2bl w:val="nil"/>
                  </w:tcBorders>
                  <w:noWrap w:val="0"/>
                  <w:vAlign w:val="center"/>
                </w:tcPr>
                <w:p w14:paraId="3AC7F684">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rPr>
                  </w:pPr>
                </w:p>
              </w:tc>
              <w:tc>
                <w:tcPr>
                  <w:tcW w:w="565" w:type="pct"/>
                  <w:tcBorders>
                    <w:tl2br w:val="nil"/>
                    <w:tr2bl w:val="nil"/>
                  </w:tcBorders>
                  <w:noWrap w:val="0"/>
                  <w:vAlign w:val="center"/>
                </w:tcPr>
                <w:p w14:paraId="53F2A9E2">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rPr>
                  </w:pPr>
                  <w:r>
                    <w:rPr>
                      <w:rFonts w:hint="eastAsia" w:ascii="Times New Roman" w:hAnsi="Times New Roman" w:eastAsia="宋体" w:cs="Times New Roman"/>
                      <w:b w:val="0"/>
                      <w:bCs/>
                      <w:kern w:val="0"/>
                      <w:sz w:val="21"/>
                      <w:szCs w:val="21"/>
                      <w:highlight w:val="none"/>
                      <w:vertAlign w:val="baseline"/>
                      <w:lang w:val="en-US" w:eastAsia="zh-CN"/>
                    </w:rPr>
                    <w:t>4.05</w:t>
                  </w:r>
                  <w:r>
                    <w:rPr>
                      <w:rFonts w:hint="default" w:ascii="Times New Roman" w:hAnsi="Times New Roman" w:eastAsia="宋体" w:cs="Times New Roman"/>
                      <w:b w:val="0"/>
                      <w:bCs/>
                      <w:kern w:val="0"/>
                      <w:sz w:val="21"/>
                      <w:szCs w:val="21"/>
                      <w:highlight w:val="none"/>
                      <w:vertAlign w:val="baseline"/>
                      <w:lang w:val="en-US" w:eastAsia="zh-CN"/>
                    </w:rPr>
                    <w:t>t/a</w:t>
                  </w:r>
                </w:p>
              </w:tc>
            </w:tr>
          </w:tbl>
          <w:p w14:paraId="2E822BB1">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lang w:val="en-US" w:eastAsia="zh-CN"/>
              </w:rPr>
            </w:pPr>
            <w:r>
              <w:rPr>
                <w:rFonts w:hint="eastAsia"/>
                <w:lang w:val="en-US" w:eastAsia="zh-CN"/>
              </w:rPr>
              <w:t>一般固废暂存区：</w:t>
            </w:r>
          </w:p>
          <w:p w14:paraId="41C1168A">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lang w:val="en-US" w:eastAsia="zh-CN"/>
              </w:rPr>
            </w:pPr>
            <w:r>
              <w:rPr>
                <w:rFonts w:hint="eastAsia"/>
                <w:lang w:val="en-US" w:eastAsia="zh-CN"/>
              </w:rPr>
              <w:t>本项目在1#厂房东南角设置一般固废储存区，暂存劣质煤、废滤布、废布袋，储存区设置环境保护图形标志。一般固废区应做到防扬散、防流失、防渗漏或者其他防止污染环境的措施，不得擅自倾倒、堆放、丢弃、遗撒固体废物，并建立一般固废管理台账，一般固废分类分区储存。落实上述措施后，本项目产生的一般工业固体废物不会对周围环境产生二次污染；危险废物和生活垃圾不得进入一般工业固体废物储存区；一般固废储存区应设置清晰、完整的一般工业固体废物标志牌。并建立环境管理台账制度，环境管理台账记录应符合生态环境部规定的一般工业固体废物环境管理台账相关标准及管理文件要求。</w:t>
            </w:r>
          </w:p>
          <w:p w14:paraId="22F1CDDE">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lang w:val="en-US" w:eastAsia="zh-CN"/>
              </w:rPr>
            </w:pPr>
            <w:r>
              <w:rPr>
                <w:rFonts w:hint="eastAsia"/>
                <w:lang w:val="en-US" w:eastAsia="zh-CN"/>
              </w:rPr>
              <w:t>综上，本项目一般固废均得到合理处置，不会对周边环境造成影响。</w:t>
            </w:r>
          </w:p>
          <w:p w14:paraId="264CF3BB">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default"/>
                <w:lang w:val="en-US" w:eastAsia="zh-CN"/>
              </w:rPr>
            </w:pPr>
            <w:r>
              <w:rPr>
                <w:rFonts w:hint="eastAsia"/>
                <w:lang w:val="en-US" w:eastAsia="zh-CN"/>
              </w:rPr>
              <w:t>2、危险废物</w:t>
            </w:r>
          </w:p>
          <w:p w14:paraId="3D7E305B">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lang w:val="en-US" w:eastAsia="zh-CN"/>
              </w:rPr>
            </w:pPr>
            <w:r>
              <w:rPr>
                <w:rFonts w:hint="eastAsia"/>
                <w:lang w:val="en-US" w:eastAsia="zh-CN"/>
              </w:rPr>
              <w:t>（1）危险废物产生及处理情况</w:t>
            </w:r>
          </w:p>
          <w:p w14:paraId="51E8438C">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default"/>
                <w:lang w:val="en-US" w:eastAsia="zh-CN"/>
              </w:rPr>
            </w:pPr>
            <w:r>
              <w:rPr>
                <w:rFonts w:hint="eastAsia"/>
                <w:lang w:val="en-US" w:eastAsia="zh-CN"/>
              </w:rPr>
              <w:t>本项目危险废物主要为设备维护保养过程中产生的废润滑油产生量为0.25t/a、废油桶产生量为0.1t/a。暂存于危废间，定期委托有资质单位处置。</w:t>
            </w:r>
          </w:p>
          <w:p w14:paraId="3EC1E045">
            <w:pPr>
              <w:keepNext w:val="0"/>
              <w:keepLines w:val="0"/>
              <w:pageBreakBefore w:val="0"/>
              <w:widowControl w:val="0"/>
              <w:kinsoku/>
              <w:wordWrap/>
              <w:overflowPunct/>
              <w:topLinePunct w:val="0"/>
              <w:autoSpaceDE/>
              <w:autoSpaceDN/>
              <w:bidi w:val="0"/>
              <w:adjustRightInd w:val="0"/>
              <w:snapToGrid w:val="0"/>
              <w:spacing w:line="480" w:lineRule="exact"/>
              <w:jc w:val="center"/>
              <w:textAlignment w:val="auto"/>
              <w:rPr>
                <w:rFonts w:hint="eastAsia" w:ascii="宋体" w:cs="宋体"/>
                <w:b/>
                <w:bCs w:val="0"/>
                <w:kern w:val="0"/>
                <w:sz w:val="24"/>
                <w:szCs w:val="24"/>
                <w:highlight w:val="none"/>
                <w:vertAlign w:val="baseline"/>
                <w:lang w:val="en-US" w:eastAsia="zh-CN"/>
              </w:rPr>
            </w:pPr>
            <w:r>
              <w:rPr>
                <w:rFonts w:hint="eastAsia" w:ascii="宋体" w:cs="宋体"/>
                <w:b/>
                <w:bCs w:val="0"/>
                <w:kern w:val="0"/>
                <w:sz w:val="24"/>
                <w:szCs w:val="24"/>
                <w:highlight w:val="none"/>
                <w:vertAlign w:val="baseline"/>
                <w:lang w:val="en-US" w:eastAsia="zh-CN"/>
              </w:rPr>
              <w:t>表</w:t>
            </w:r>
            <w:r>
              <w:rPr>
                <w:rFonts w:hint="eastAsia" w:cs="Times New Roman"/>
                <w:b/>
                <w:bCs w:val="0"/>
                <w:kern w:val="0"/>
                <w:sz w:val="24"/>
                <w:szCs w:val="24"/>
                <w:highlight w:val="none"/>
                <w:vertAlign w:val="baseline"/>
                <w:lang w:val="en-US" w:eastAsia="zh-CN"/>
              </w:rPr>
              <w:t>4-14</w:t>
            </w:r>
            <w:r>
              <w:rPr>
                <w:rFonts w:hint="eastAsia" w:ascii="宋体" w:cs="宋体"/>
                <w:b/>
                <w:bCs w:val="0"/>
                <w:kern w:val="0"/>
                <w:sz w:val="24"/>
                <w:szCs w:val="24"/>
                <w:highlight w:val="none"/>
                <w:vertAlign w:val="baseline"/>
                <w:lang w:val="en-US" w:eastAsia="zh-CN"/>
              </w:rPr>
              <w:t xml:space="preserve"> 本项目危险废物汇总表</w:t>
            </w:r>
          </w:p>
          <w:tbl>
            <w:tblPr>
              <w:tblStyle w:val="26"/>
              <w:tblW w:w="4998"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710"/>
              <w:gridCol w:w="776"/>
              <w:gridCol w:w="1196"/>
              <w:gridCol w:w="644"/>
              <w:gridCol w:w="689"/>
              <w:gridCol w:w="658"/>
              <w:gridCol w:w="644"/>
              <w:gridCol w:w="675"/>
              <w:gridCol w:w="616"/>
              <w:gridCol w:w="1164"/>
            </w:tblGrid>
            <w:tr w14:paraId="4AC1373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59" w:type="pct"/>
                  <w:tcBorders>
                    <w:tl2br w:val="nil"/>
                    <w:tr2bl w:val="nil"/>
                  </w:tcBorders>
                  <w:noWrap w:val="0"/>
                  <w:vAlign w:val="center"/>
                </w:tcPr>
                <w:p w14:paraId="2D12ACF7">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default" w:ascii="Times New Roman" w:hAnsi="Times New Roman" w:eastAsia="宋体" w:cs="Times New Roman"/>
                      <w:b w:val="0"/>
                      <w:bCs/>
                      <w:kern w:val="0"/>
                      <w:sz w:val="21"/>
                      <w:szCs w:val="21"/>
                      <w:highlight w:val="none"/>
                      <w:vertAlign w:val="baseline"/>
                      <w:lang w:val="en-US" w:eastAsia="zh-CN"/>
                    </w:rPr>
                    <w:t>序号</w:t>
                  </w:r>
                </w:p>
              </w:tc>
              <w:tc>
                <w:tcPr>
                  <w:tcW w:w="433" w:type="pct"/>
                  <w:tcBorders>
                    <w:tl2br w:val="nil"/>
                    <w:tr2bl w:val="nil"/>
                  </w:tcBorders>
                  <w:noWrap w:val="0"/>
                  <w:vAlign w:val="center"/>
                </w:tcPr>
                <w:p w14:paraId="62773404">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default" w:ascii="Times New Roman" w:hAnsi="Times New Roman" w:eastAsia="宋体" w:cs="Times New Roman"/>
                      <w:b w:val="0"/>
                      <w:bCs/>
                      <w:kern w:val="0"/>
                      <w:sz w:val="21"/>
                      <w:szCs w:val="21"/>
                      <w:highlight w:val="none"/>
                      <w:vertAlign w:val="baseline"/>
                      <w:lang w:val="en-US" w:eastAsia="zh-CN"/>
                    </w:rPr>
                    <w:t>名称</w:t>
                  </w:r>
                </w:p>
              </w:tc>
              <w:tc>
                <w:tcPr>
                  <w:tcW w:w="473" w:type="pct"/>
                  <w:tcBorders>
                    <w:tl2br w:val="nil"/>
                    <w:tr2bl w:val="nil"/>
                  </w:tcBorders>
                  <w:noWrap w:val="0"/>
                  <w:vAlign w:val="center"/>
                </w:tcPr>
                <w:p w14:paraId="5DAC8D74">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default" w:ascii="Times New Roman" w:hAnsi="Times New Roman" w:eastAsia="宋体" w:cs="Times New Roman"/>
                      <w:b w:val="0"/>
                      <w:bCs/>
                      <w:kern w:val="0"/>
                      <w:sz w:val="21"/>
                      <w:szCs w:val="21"/>
                      <w:highlight w:val="none"/>
                      <w:vertAlign w:val="baseline"/>
                      <w:lang w:val="en-US" w:eastAsia="zh-CN"/>
                    </w:rPr>
                    <w:t>危险废物类别</w:t>
                  </w:r>
                </w:p>
              </w:tc>
              <w:tc>
                <w:tcPr>
                  <w:tcW w:w="729" w:type="pct"/>
                  <w:tcBorders>
                    <w:tl2br w:val="nil"/>
                    <w:tr2bl w:val="nil"/>
                  </w:tcBorders>
                  <w:noWrap w:val="0"/>
                  <w:vAlign w:val="center"/>
                </w:tcPr>
                <w:p w14:paraId="2FA60D91">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default" w:ascii="Times New Roman" w:hAnsi="Times New Roman" w:eastAsia="宋体" w:cs="Times New Roman"/>
                      <w:b w:val="0"/>
                      <w:bCs/>
                      <w:kern w:val="0"/>
                      <w:sz w:val="21"/>
                      <w:szCs w:val="21"/>
                      <w:highlight w:val="none"/>
                      <w:vertAlign w:val="baseline"/>
                      <w:lang w:val="en-US" w:eastAsia="zh-CN"/>
                    </w:rPr>
                    <w:t>危险废物代码</w:t>
                  </w:r>
                </w:p>
              </w:tc>
              <w:tc>
                <w:tcPr>
                  <w:tcW w:w="392" w:type="pct"/>
                  <w:tcBorders>
                    <w:tl2br w:val="nil"/>
                    <w:tr2bl w:val="nil"/>
                  </w:tcBorders>
                  <w:noWrap w:val="0"/>
                  <w:vAlign w:val="center"/>
                </w:tcPr>
                <w:p w14:paraId="344B6A4B">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default" w:ascii="Times New Roman" w:hAnsi="Times New Roman" w:eastAsia="宋体" w:cs="Times New Roman"/>
                      <w:b w:val="0"/>
                      <w:bCs/>
                      <w:kern w:val="0"/>
                      <w:sz w:val="21"/>
                      <w:szCs w:val="21"/>
                      <w:highlight w:val="none"/>
                      <w:vertAlign w:val="baseline"/>
                      <w:lang w:val="en-US" w:eastAsia="zh-CN"/>
                    </w:rPr>
                    <w:t>产生工序</w:t>
                  </w:r>
                </w:p>
              </w:tc>
              <w:tc>
                <w:tcPr>
                  <w:tcW w:w="420" w:type="pct"/>
                  <w:tcBorders>
                    <w:tl2br w:val="nil"/>
                    <w:tr2bl w:val="nil"/>
                  </w:tcBorders>
                  <w:noWrap w:val="0"/>
                  <w:vAlign w:val="center"/>
                </w:tcPr>
                <w:p w14:paraId="7180A8AB">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default" w:ascii="Times New Roman" w:hAnsi="Times New Roman" w:eastAsia="宋体" w:cs="Times New Roman"/>
                      <w:b w:val="0"/>
                      <w:bCs/>
                      <w:kern w:val="0"/>
                      <w:sz w:val="21"/>
                      <w:szCs w:val="21"/>
                      <w:highlight w:val="none"/>
                      <w:vertAlign w:val="baseline"/>
                      <w:lang w:val="en-US" w:eastAsia="zh-CN"/>
                    </w:rPr>
                    <w:t>形态</w:t>
                  </w:r>
                </w:p>
              </w:tc>
              <w:tc>
                <w:tcPr>
                  <w:tcW w:w="401" w:type="pct"/>
                  <w:tcBorders>
                    <w:tl2br w:val="nil"/>
                    <w:tr2bl w:val="nil"/>
                  </w:tcBorders>
                  <w:noWrap w:val="0"/>
                  <w:vAlign w:val="center"/>
                </w:tcPr>
                <w:p w14:paraId="5C90DA11">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default" w:ascii="Times New Roman" w:hAnsi="Times New Roman" w:eastAsia="宋体" w:cs="Times New Roman"/>
                      <w:b w:val="0"/>
                      <w:bCs/>
                      <w:kern w:val="0"/>
                      <w:sz w:val="21"/>
                      <w:szCs w:val="21"/>
                      <w:highlight w:val="none"/>
                      <w:vertAlign w:val="baseline"/>
                      <w:lang w:val="en-US" w:eastAsia="zh-CN"/>
                    </w:rPr>
                    <w:t>主要成分</w:t>
                  </w:r>
                </w:p>
              </w:tc>
              <w:tc>
                <w:tcPr>
                  <w:tcW w:w="392" w:type="pct"/>
                  <w:tcBorders>
                    <w:tl2br w:val="nil"/>
                    <w:tr2bl w:val="nil"/>
                  </w:tcBorders>
                  <w:noWrap w:val="0"/>
                  <w:vAlign w:val="center"/>
                </w:tcPr>
                <w:p w14:paraId="799A902F">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default" w:ascii="Times New Roman" w:hAnsi="Times New Roman" w:eastAsia="宋体" w:cs="Times New Roman"/>
                      <w:b w:val="0"/>
                      <w:bCs/>
                      <w:kern w:val="0"/>
                      <w:sz w:val="21"/>
                      <w:szCs w:val="21"/>
                      <w:highlight w:val="none"/>
                      <w:vertAlign w:val="baseline"/>
                      <w:lang w:val="en-US" w:eastAsia="zh-CN"/>
                    </w:rPr>
                    <w:t>有害成分</w:t>
                  </w:r>
                </w:p>
              </w:tc>
              <w:tc>
                <w:tcPr>
                  <w:tcW w:w="411" w:type="pct"/>
                  <w:tcBorders>
                    <w:tl2br w:val="nil"/>
                    <w:tr2bl w:val="nil"/>
                  </w:tcBorders>
                  <w:noWrap w:val="0"/>
                  <w:vAlign w:val="center"/>
                </w:tcPr>
                <w:p w14:paraId="3CFC495A">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default" w:ascii="Times New Roman" w:hAnsi="Times New Roman" w:eastAsia="宋体" w:cs="Times New Roman"/>
                      <w:b w:val="0"/>
                      <w:bCs/>
                      <w:kern w:val="0"/>
                      <w:sz w:val="21"/>
                      <w:szCs w:val="21"/>
                      <w:highlight w:val="none"/>
                      <w:vertAlign w:val="baseline"/>
                      <w:lang w:val="en-US" w:eastAsia="zh-CN"/>
                    </w:rPr>
                    <w:t>产废周期</w:t>
                  </w:r>
                </w:p>
              </w:tc>
              <w:tc>
                <w:tcPr>
                  <w:tcW w:w="375" w:type="pct"/>
                  <w:tcBorders>
                    <w:tl2br w:val="nil"/>
                    <w:tr2bl w:val="nil"/>
                  </w:tcBorders>
                  <w:noWrap w:val="0"/>
                  <w:vAlign w:val="center"/>
                </w:tcPr>
                <w:p w14:paraId="27B4C3DD">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default" w:ascii="Times New Roman" w:hAnsi="Times New Roman" w:eastAsia="宋体" w:cs="Times New Roman"/>
                      <w:b w:val="0"/>
                      <w:bCs/>
                      <w:kern w:val="0"/>
                      <w:sz w:val="21"/>
                      <w:szCs w:val="21"/>
                      <w:highlight w:val="none"/>
                      <w:vertAlign w:val="baseline"/>
                      <w:lang w:val="en-US" w:eastAsia="zh-CN"/>
                    </w:rPr>
                    <w:t>危险特性</w:t>
                  </w:r>
                </w:p>
              </w:tc>
              <w:tc>
                <w:tcPr>
                  <w:tcW w:w="709" w:type="pct"/>
                  <w:tcBorders>
                    <w:tl2br w:val="nil"/>
                    <w:tr2bl w:val="nil"/>
                  </w:tcBorders>
                  <w:noWrap w:val="0"/>
                  <w:vAlign w:val="center"/>
                </w:tcPr>
                <w:p w14:paraId="1FF526A6">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default" w:ascii="Times New Roman" w:hAnsi="Times New Roman" w:eastAsia="宋体" w:cs="Times New Roman"/>
                      <w:b w:val="0"/>
                      <w:bCs/>
                      <w:kern w:val="0"/>
                      <w:sz w:val="21"/>
                      <w:szCs w:val="21"/>
                      <w:highlight w:val="none"/>
                      <w:vertAlign w:val="baseline"/>
                      <w:lang w:val="en-US" w:eastAsia="zh-CN"/>
                    </w:rPr>
                    <w:t>污染防治措施</w:t>
                  </w:r>
                </w:p>
              </w:tc>
            </w:tr>
            <w:tr w14:paraId="30AB667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59" w:type="pct"/>
                  <w:tcBorders>
                    <w:tl2br w:val="nil"/>
                    <w:tr2bl w:val="nil"/>
                  </w:tcBorders>
                  <w:noWrap w:val="0"/>
                  <w:vAlign w:val="center"/>
                </w:tcPr>
                <w:p w14:paraId="050E8424">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default" w:ascii="Times New Roman" w:hAnsi="Times New Roman" w:eastAsia="宋体" w:cs="Times New Roman"/>
                      <w:b w:val="0"/>
                      <w:bCs/>
                      <w:kern w:val="0"/>
                      <w:sz w:val="21"/>
                      <w:szCs w:val="21"/>
                      <w:highlight w:val="none"/>
                      <w:vertAlign w:val="baseline"/>
                      <w:lang w:val="en-US" w:eastAsia="zh-CN"/>
                    </w:rPr>
                    <w:t>1</w:t>
                  </w:r>
                </w:p>
              </w:tc>
              <w:tc>
                <w:tcPr>
                  <w:tcW w:w="433" w:type="pct"/>
                  <w:tcBorders>
                    <w:tl2br w:val="nil"/>
                    <w:tr2bl w:val="nil"/>
                  </w:tcBorders>
                  <w:noWrap w:val="0"/>
                  <w:vAlign w:val="center"/>
                </w:tcPr>
                <w:p w14:paraId="5AE2FA9C">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default" w:ascii="Times New Roman" w:hAnsi="Times New Roman" w:eastAsia="宋体" w:cs="Times New Roman"/>
                      <w:b w:val="0"/>
                      <w:bCs/>
                      <w:kern w:val="0"/>
                      <w:sz w:val="21"/>
                      <w:szCs w:val="21"/>
                      <w:highlight w:val="none"/>
                      <w:vertAlign w:val="baseline"/>
                      <w:lang w:val="en-US" w:eastAsia="zh-CN"/>
                    </w:rPr>
                    <w:t>废润滑油</w:t>
                  </w:r>
                </w:p>
              </w:tc>
              <w:tc>
                <w:tcPr>
                  <w:tcW w:w="473" w:type="pct"/>
                  <w:tcBorders>
                    <w:tl2br w:val="nil"/>
                    <w:tr2bl w:val="nil"/>
                  </w:tcBorders>
                  <w:noWrap w:val="0"/>
                  <w:vAlign w:val="center"/>
                </w:tcPr>
                <w:p w14:paraId="536ADBFA">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default" w:ascii="Times New Roman" w:hAnsi="Times New Roman" w:eastAsia="宋体" w:cs="Times New Roman"/>
                      <w:b w:val="0"/>
                      <w:bCs/>
                      <w:kern w:val="0"/>
                      <w:sz w:val="21"/>
                      <w:szCs w:val="21"/>
                      <w:highlight w:val="none"/>
                      <w:vertAlign w:val="baseline"/>
                      <w:lang w:val="en-US" w:eastAsia="zh-CN"/>
                    </w:rPr>
                    <w:t>HW08</w:t>
                  </w:r>
                </w:p>
              </w:tc>
              <w:tc>
                <w:tcPr>
                  <w:tcW w:w="729" w:type="pct"/>
                  <w:tcBorders>
                    <w:tl2br w:val="nil"/>
                    <w:tr2bl w:val="nil"/>
                  </w:tcBorders>
                  <w:noWrap w:val="0"/>
                  <w:vAlign w:val="center"/>
                </w:tcPr>
                <w:p w14:paraId="5D3C631C">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default" w:ascii="Times New Roman" w:hAnsi="Times New Roman" w:eastAsia="宋体" w:cs="Times New Roman"/>
                      <w:b w:val="0"/>
                      <w:bCs/>
                      <w:kern w:val="0"/>
                      <w:sz w:val="21"/>
                      <w:szCs w:val="21"/>
                      <w:highlight w:val="none"/>
                      <w:vertAlign w:val="baseline"/>
                      <w:lang w:val="en-US" w:eastAsia="zh-CN"/>
                    </w:rPr>
                    <w:t>900-214-08</w:t>
                  </w:r>
                </w:p>
              </w:tc>
              <w:tc>
                <w:tcPr>
                  <w:tcW w:w="392" w:type="pct"/>
                  <w:vMerge w:val="restart"/>
                  <w:tcBorders>
                    <w:tl2br w:val="nil"/>
                    <w:tr2bl w:val="nil"/>
                  </w:tcBorders>
                  <w:noWrap w:val="0"/>
                  <w:vAlign w:val="center"/>
                </w:tcPr>
                <w:p w14:paraId="4320E17F">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default" w:ascii="Times New Roman" w:hAnsi="Times New Roman" w:eastAsia="宋体" w:cs="Times New Roman"/>
                      <w:b w:val="0"/>
                      <w:bCs/>
                      <w:kern w:val="0"/>
                      <w:sz w:val="21"/>
                      <w:szCs w:val="21"/>
                      <w:highlight w:val="none"/>
                      <w:vertAlign w:val="baseline"/>
                      <w:lang w:val="en-US" w:eastAsia="zh-CN"/>
                    </w:rPr>
                    <w:t>设备维护保养</w:t>
                  </w:r>
                </w:p>
              </w:tc>
              <w:tc>
                <w:tcPr>
                  <w:tcW w:w="420" w:type="pct"/>
                  <w:tcBorders>
                    <w:tl2br w:val="nil"/>
                    <w:tr2bl w:val="nil"/>
                  </w:tcBorders>
                  <w:noWrap w:val="0"/>
                  <w:vAlign w:val="center"/>
                </w:tcPr>
                <w:p w14:paraId="7FF00E5B">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default" w:ascii="Times New Roman" w:hAnsi="Times New Roman" w:eastAsia="宋体" w:cs="Times New Roman"/>
                      <w:b w:val="0"/>
                      <w:bCs/>
                      <w:kern w:val="0"/>
                      <w:sz w:val="21"/>
                      <w:szCs w:val="21"/>
                      <w:highlight w:val="none"/>
                      <w:vertAlign w:val="baseline"/>
                      <w:lang w:val="en-US" w:eastAsia="zh-CN"/>
                    </w:rPr>
                    <w:t>液态</w:t>
                  </w:r>
                </w:p>
              </w:tc>
              <w:tc>
                <w:tcPr>
                  <w:tcW w:w="401" w:type="pct"/>
                  <w:tcBorders>
                    <w:tl2br w:val="nil"/>
                    <w:tr2bl w:val="nil"/>
                  </w:tcBorders>
                  <w:noWrap w:val="0"/>
                  <w:vAlign w:val="center"/>
                </w:tcPr>
                <w:p w14:paraId="4D30394B">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default" w:ascii="Times New Roman" w:hAnsi="Times New Roman" w:eastAsia="宋体" w:cs="Times New Roman"/>
                      <w:b w:val="0"/>
                      <w:bCs/>
                      <w:kern w:val="0"/>
                      <w:sz w:val="21"/>
                      <w:szCs w:val="21"/>
                      <w:highlight w:val="none"/>
                      <w:vertAlign w:val="baseline"/>
                      <w:lang w:val="en-US" w:eastAsia="zh-CN"/>
                    </w:rPr>
                    <w:t>润滑油</w:t>
                  </w:r>
                </w:p>
              </w:tc>
              <w:tc>
                <w:tcPr>
                  <w:tcW w:w="392" w:type="pct"/>
                  <w:tcBorders>
                    <w:tl2br w:val="nil"/>
                    <w:tr2bl w:val="nil"/>
                  </w:tcBorders>
                  <w:noWrap w:val="0"/>
                  <w:vAlign w:val="center"/>
                </w:tcPr>
                <w:p w14:paraId="61E15367">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color w:val="auto"/>
                      <w:kern w:val="0"/>
                      <w:sz w:val="21"/>
                      <w:szCs w:val="21"/>
                      <w:highlight w:val="none"/>
                      <w:vertAlign w:val="baseline"/>
                      <w:lang w:val="en-US" w:eastAsia="zh-CN"/>
                    </w:rPr>
                  </w:pPr>
                  <w:r>
                    <w:rPr>
                      <w:rFonts w:hint="default" w:ascii="Times New Roman" w:hAnsi="Times New Roman" w:eastAsia="宋体" w:cs="Times New Roman"/>
                      <w:b w:val="0"/>
                      <w:bCs/>
                      <w:color w:val="auto"/>
                      <w:kern w:val="0"/>
                      <w:sz w:val="21"/>
                      <w:szCs w:val="21"/>
                      <w:highlight w:val="none"/>
                      <w:vertAlign w:val="baseline"/>
                      <w:lang w:val="en-US" w:eastAsia="zh-CN"/>
                    </w:rPr>
                    <w:t>石油类</w:t>
                  </w:r>
                </w:p>
              </w:tc>
              <w:tc>
                <w:tcPr>
                  <w:tcW w:w="411" w:type="pct"/>
                  <w:vMerge w:val="restart"/>
                  <w:tcBorders>
                    <w:tl2br w:val="nil"/>
                    <w:tr2bl w:val="nil"/>
                  </w:tcBorders>
                  <w:noWrap w:val="0"/>
                  <w:vAlign w:val="center"/>
                </w:tcPr>
                <w:p w14:paraId="6FDEB86F">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color w:val="auto"/>
                      <w:kern w:val="0"/>
                      <w:sz w:val="21"/>
                      <w:szCs w:val="21"/>
                      <w:highlight w:val="none"/>
                      <w:vertAlign w:val="baseline"/>
                      <w:lang w:val="en-US" w:eastAsia="zh-CN"/>
                    </w:rPr>
                  </w:pPr>
                  <w:r>
                    <w:rPr>
                      <w:rFonts w:hint="default" w:ascii="Times New Roman" w:hAnsi="Times New Roman" w:eastAsia="宋体" w:cs="Times New Roman"/>
                      <w:b w:val="0"/>
                      <w:bCs/>
                      <w:color w:val="auto"/>
                      <w:kern w:val="0"/>
                      <w:sz w:val="21"/>
                      <w:szCs w:val="21"/>
                      <w:highlight w:val="none"/>
                      <w:vertAlign w:val="baseline"/>
                      <w:lang w:val="en-US" w:eastAsia="zh-CN"/>
                    </w:rPr>
                    <w:t>1次/</w:t>
                  </w:r>
                  <w:r>
                    <w:rPr>
                      <w:rFonts w:hint="eastAsia" w:cs="Times New Roman"/>
                      <w:b w:val="0"/>
                      <w:bCs/>
                      <w:color w:val="auto"/>
                      <w:kern w:val="0"/>
                      <w:sz w:val="21"/>
                      <w:szCs w:val="21"/>
                      <w:highlight w:val="none"/>
                      <w:vertAlign w:val="baseline"/>
                      <w:lang w:val="en-US" w:eastAsia="zh-CN"/>
                    </w:rPr>
                    <w:t>年</w:t>
                  </w:r>
                </w:p>
              </w:tc>
              <w:tc>
                <w:tcPr>
                  <w:tcW w:w="375" w:type="pct"/>
                  <w:tcBorders>
                    <w:tl2br w:val="nil"/>
                    <w:tr2bl w:val="nil"/>
                  </w:tcBorders>
                  <w:noWrap w:val="0"/>
                  <w:vAlign w:val="center"/>
                </w:tcPr>
                <w:p w14:paraId="52AB294E">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default" w:ascii="Times New Roman" w:hAnsi="Times New Roman" w:eastAsia="宋体" w:cs="Times New Roman"/>
                      <w:b w:val="0"/>
                      <w:bCs/>
                      <w:kern w:val="0"/>
                      <w:sz w:val="21"/>
                      <w:szCs w:val="21"/>
                      <w:highlight w:val="none"/>
                      <w:vertAlign w:val="baseline"/>
                      <w:lang w:val="en-US" w:eastAsia="zh-CN"/>
                    </w:rPr>
                    <w:t>T/I</w:t>
                  </w:r>
                </w:p>
              </w:tc>
              <w:tc>
                <w:tcPr>
                  <w:tcW w:w="709" w:type="pct"/>
                  <w:vMerge w:val="restart"/>
                  <w:tcBorders>
                    <w:tl2br w:val="nil"/>
                    <w:tr2bl w:val="nil"/>
                  </w:tcBorders>
                  <w:noWrap w:val="0"/>
                  <w:vAlign w:val="center"/>
                </w:tcPr>
                <w:p w14:paraId="4FA4B639">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default" w:ascii="Times New Roman" w:hAnsi="Times New Roman" w:eastAsia="宋体" w:cs="Times New Roman"/>
                      <w:b w:val="0"/>
                      <w:bCs/>
                      <w:kern w:val="0"/>
                      <w:sz w:val="21"/>
                      <w:szCs w:val="21"/>
                      <w:highlight w:val="none"/>
                      <w:vertAlign w:val="baseline"/>
                      <w:lang w:val="en-US" w:eastAsia="zh-CN"/>
                    </w:rPr>
                    <w:t>暂存于危废间内，定期交由有资质单位处理</w:t>
                  </w:r>
                </w:p>
              </w:tc>
            </w:tr>
            <w:tr w14:paraId="6544AFA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59" w:type="pct"/>
                  <w:tcBorders>
                    <w:tl2br w:val="nil"/>
                    <w:tr2bl w:val="nil"/>
                  </w:tcBorders>
                  <w:noWrap w:val="0"/>
                  <w:vAlign w:val="center"/>
                </w:tcPr>
                <w:p w14:paraId="3313E194">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default" w:ascii="Times New Roman" w:hAnsi="Times New Roman" w:eastAsia="宋体" w:cs="Times New Roman"/>
                      <w:b w:val="0"/>
                      <w:bCs/>
                      <w:kern w:val="0"/>
                      <w:sz w:val="21"/>
                      <w:szCs w:val="21"/>
                      <w:highlight w:val="none"/>
                      <w:vertAlign w:val="baseline"/>
                      <w:lang w:val="en-US" w:eastAsia="zh-CN"/>
                    </w:rPr>
                    <w:t>2</w:t>
                  </w:r>
                </w:p>
              </w:tc>
              <w:tc>
                <w:tcPr>
                  <w:tcW w:w="433" w:type="pct"/>
                  <w:tcBorders>
                    <w:tl2br w:val="nil"/>
                    <w:tr2bl w:val="nil"/>
                  </w:tcBorders>
                  <w:noWrap w:val="0"/>
                  <w:vAlign w:val="center"/>
                </w:tcPr>
                <w:p w14:paraId="081A4505">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r>
                    <w:rPr>
                      <w:rFonts w:hint="default" w:ascii="Times New Roman" w:hAnsi="Times New Roman" w:eastAsia="宋体" w:cs="Times New Roman"/>
                      <w:b w:val="0"/>
                      <w:bCs/>
                      <w:kern w:val="0"/>
                      <w:sz w:val="21"/>
                      <w:szCs w:val="21"/>
                      <w:highlight w:val="none"/>
                      <w:vertAlign w:val="baseline"/>
                      <w:lang w:val="en-US" w:eastAsia="zh-CN"/>
                    </w:rPr>
                    <w:t>废油桶</w:t>
                  </w:r>
                </w:p>
              </w:tc>
              <w:tc>
                <w:tcPr>
                  <w:tcW w:w="473" w:type="pct"/>
                  <w:tcBorders>
                    <w:tl2br w:val="nil"/>
                    <w:tr2bl w:val="nil"/>
                  </w:tcBorders>
                  <w:noWrap w:val="0"/>
                  <w:vAlign w:val="center"/>
                </w:tcPr>
                <w:p w14:paraId="3FE89ECA">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bidi="ar-SA"/>
                    </w:rPr>
                  </w:pPr>
                  <w:r>
                    <w:rPr>
                      <w:rFonts w:hint="default" w:ascii="Times New Roman" w:hAnsi="Times New Roman" w:eastAsia="宋体" w:cs="Times New Roman"/>
                      <w:b w:val="0"/>
                      <w:bCs/>
                      <w:kern w:val="0"/>
                      <w:sz w:val="21"/>
                      <w:szCs w:val="21"/>
                      <w:highlight w:val="none"/>
                      <w:vertAlign w:val="baseline"/>
                      <w:lang w:val="en-US" w:eastAsia="zh-CN"/>
                    </w:rPr>
                    <w:t>HW08</w:t>
                  </w:r>
                </w:p>
              </w:tc>
              <w:tc>
                <w:tcPr>
                  <w:tcW w:w="729" w:type="pct"/>
                  <w:tcBorders>
                    <w:tl2br w:val="nil"/>
                    <w:tr2bl w:val="nil"/>
                  </w:tcBorders>
                  <w:noWrap w:val="0"/>
                  <w:vAlign w:val="center"/>
                </w:tcPr>
                <w:p w14:paraId="099B9A85">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bidi="ar-SA"/>
                    </w:rPr>
                  </w:pPr>
                  <w:r>
                    <w:rPr>
                      <w:rFonts w:hint="default" w:ascii="Times New Roman" w:hAnsi="Times New Roman" w:eastAsia="宋体" w:cs="Times New Roman"/>
                      <w:b w:val="0"/>
                      <w:bCs/>
                      <w:kern w:val="0"/>
                      <w:sz w:val="21"/>
                      <w:szCs w:val="21"/>
                      <w:highlight w:val="none"/>
                      <w:vertAlign w:val="baseline"/>
                      <w:lang w:val="en-US" w:eastAsia="zh-CN"/>
                    </w:rPr>
                    <w:t>900-249-08</w:t>
                  </w:r>
                </w:p>
              </w:tc>
              <w:tc>
                <w:tcPr>
                  <w:tcW w:w="392" w:type="pct"/>
                  <w:vMerge w:val="continue"/>
                  <w:tcBorders>
                    <w:tl2br w:val="nil"/>
                    <w:tr2bl w:val="nil"/>
                  </w:tcBorders>
                  <w:noWrap w:val="0"/>
                  <w:vAlign w:val="center"/>
                </w:tcPr>
                <w:p w14:paraId="297D0E6F">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bidi="ar-SA"/>
                    </w:rPr>
                  </w:pPr>
                </w:p>
              </w:tc>
              <w:tc>
                <w:tcPr>
                  <w:tcW w:w="420" w:type="pct"/>
                  <w:tcBorders>
                    <w:tl2br w:val="nil"/>
                    <w:tr2bl w:val="nil"/>
                  </w:tcBorders>
                  <w:noWrap w:val="0"/>
                  <w:vAlign w:val="center"/>
                </w:tcPr>
                <w:p w14:paraId="70F71325">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bidi="ar-SA"/>
                    </w:rPr>
                  </w:pPr>
                  <w:r>
                    <w:rPr>
                      <w:rFonts w:hint="default" w:ascii="Times New Roman" w:hAnsi="Times New Roman" w:eastAsia="宋体" w:cs="Times New Roman"/>
                      <w:b w:val="0"/>
                      <w:bCs/>
                      <w:kern w:val="0"/>
                      <w:sz w:val="21"/>
                      <w:szCs w:val="21"/>
                      <w:highlight w:val="none"/>
                      <w:vertAlign w:val="baseline"/>
                      <w:lang w:val="en-US" w:eastAsia="zh-CN" w:bidi="ar-SA"/>
                    </w:rPr>
                    <w:t>固态</w:t>
                  </w:r>
                </w:p>
              </w:tc>
              <w:tc>
                <w:tcPr>
                  <w:tcW w:w="401" w:type="pct"/>
                  <w:tcBorders>
                    <w:tl2br w:val="nil"/>
                    <w:tr2bl w:val="nil"/>
                  </w:tcBorders>
                  <w:noWrap w:val="0"/>
                  <w:vAlign w:val="center"/>
                </w:tcPr>
                <w:p w14:paraId="0DBD4A8C">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bidi="ar-SA"/>
                    </w:rPr>
                  </w:pPr>
                  <w:r>
                    <w:rPr>
                      <w:rFonts w:hint="default" w:ascii="Times New Roman" w:hAnsi="Times New Roman" w:eastAsia="宋体" w:cs="Times New Roman"/>
                      <w:b w:val="0"/>
                      <w:bCs/>
                      <w:kern w:val="0"/>
                      <w:sz w:val="21"/>
                      <w:szCs w:val="21"/>
                      <w:highlight w:val="none"/>
                      <w:vertAlign w:val="baseline"/>
                      <w:lang w:val="en-US" w:eastAsia="zh-CN"/>
                    </w:rPr>
                    <w:t>润滑油</w:t>
                  </w:r>
                </w:p>
              </w:tc>
              <w:tc>
                <w:tcPr>
                  <w:tcW w:w="392" w:type="pct"/>
                  <w:tcBorders>
                    <w:tl2br w:val="nil"/>
                    <w:tr2bl w:val="nil"/>
                  </w:tcBorders>
                  <w:noWrap w:val="0"/>
                  <w:vAlign w:val="center"/>
                </w:tcPr>
                <w:p w14:paraId="358119CE">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bidi="ar-SA"/>
                    </w:rPr>
                  </w:pPr>
                  <w:r>
                    <w:rPr>
                      <w:rFonts w:hint="default" w:ascii="Times New Roman" w:hAnsi="Times New Roman" w:eastAsia="宋体" w:cs="Times New Roman"/>
                      <w:b w:val="0"/>
                      <w:bCs/>
                      <w:kern w:val="0"/>
                      <w:sz w:val="21"/>
                      <w:szCs w:val="21"/>
                      <w:highlight w:val="none"/>
                      <w:vertAlign w:val="baseline"/>
                      <w:lang w:val="en-US" w:eastAsia="zh-CN" w:bidi="ar-SA"/>
                    </w:rPr>
                    <w:t>石油类</w:t>
                  </w:r>
                </w:p>
              </w:tc>
              <w:tc>
                <w:tcPr>
                  <w:tcW w:w="411" w:type="pct"/>
                  <w:vMerge w:val="continue"/>
                  <w:tcBorders>
                    <w:tl2br w:val="nil"/>
                    <w:tr2bl w:val="nil"/>
                  </w:tcBorders>
                  <w:noWrap w:val="0"/>
                  <w:vAlign w:val="center"/>
                </w:tcPr>
                <w:p w14:paraId="0F1B4736">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bidi="ar-SA"/>
                    </w:rPr>
                  </w:pPr>
                </w:p>
              </w:tc>
              <w:tc>
                <w:tcPr>
                  <w:tcW w:w="375" w:type="pct"/>
                  <w:tcBorders>
                    <w:tl2br w:val="nil"/>
                    <w:tr2bl w:val="nil"/>
                  </w:tcBorders>
                  <w:noWrap w:val="0"/>
                  <w:vAlign w:val="center"/>
                </w:tcPr>
                <w:p w14:paraId="3C25A6F7">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bidi="ar-SA"/>
                    </w:rPr>
                  </w:pPr>
                  <w:r>
                    <w:rPr>
                      <w:rFonts w:hint="default" w:ascii="Times New Roman" w:hAnsi="Times New Roman" w:eastAsia="宋体" w:cs="Times New Roman"/>
                      <w:b w:val="0"/>
                      <w:bCs/>
                      <w:kern w:val="0"/>
                      <w:sz w:val="21"/>
                      <w:szCs w:val="21"/>
                      <w:highlight w:val="none"/>
                      <w:vertAlign w:val="baseline"/>
                      <w:lang w:val="en-US" w:eastAsia="zh-CN"/>
                    </w:rPr>
                    <w:t>T/I</w:t>
                  </w:r>
                </w:p>
              </w:tc>
              <w:tc>
                <w:tcPr>
                  <w:tcW w:w="709" w:type="pct"/>
                  <w:vMerge w:val="continue"/>
                  <w:tcBorders>
                    <w:tl2br w:val="nil"/>
                    <w:tr2bl w:val="nil"/>
                  </w:tcBorders>
                  <w:noWrap w:val="0"/>
                  <w:vAlign w:val="center"/>
                </w:tcPr>
                <w:p w14:paraId="5AF82966">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rPr>
                  </w:pPr>
                </w:p>
              </w:tc>
            </w:tr>
          </w:tbl>
          <w:p w14:paraId="75CB3DA6">
            <w:pPr>
              <w:pStyle w:val="11"/>
              <w:keepNext w:val="0"/>
              <w:keepLines w:val="0"/>
              <w:pageBreakBefore w:val="0"/>
              <w:widowControl w:val="0"/>
              <w:kinsoku/>
              <w:wordWrap/>
              <w:overflowPunct/>
              <w:topLinePunct w:val="0"/>
              <w:autoSpaceDE/>
              <w:autoSpaceDN/>
              <w:bidi w:val="0"/>
              <w:spacing w:after="0" w:line="420" w:lineRule="exact"/>
              <w:ind w:left="0" w:leftChars="0"/>
              <w:jc w:val="center"/>
              <w:textAlignment w:val="auto"/>
              <w:rPr>
                <w:b/>
                <w:bCs w:val="0"/>
                <w:color w:val="auto"/>
                <w:sz w:val="24"/>
                <w:szCs w:val="24"/>
                <w:highlight w:val="none"/>
              </w:rPr>
            </w:pPr>
            <w:r>
              <w:rPr>
                <w:b/>
                <w:bCs w:val="0"/>
                <w:color w:val="auto"/>
                <w:sz w:val="24"/>
                <w:szCs w:val="24"/>
                <w:highlight w:val="none"/>
              </w:rPr>
              <w:t>表4-</w:t>
            </w:r>
            <w:r>
              <w:rPr>
                <w:rFonts w:hint="eastAsia"/>
                <w:b/>
                <w:bCs w:val="0"/>
                <w:color w:val="auto"/>
                <w:sz w:val="24"/>
                <w:szCs w:val="24"/>
                <w:highlight w:val="none"/>
                <w:lang w:val="en-US" w:eastAsia="zh-CN"/>
              </w:rPr>
              <w:t xml:space="preserve">15 </w:t>
            </w:r>
            <w:r>
              <w:rPr>
                <w:b/>
                <w:bCs w:val="0"/>
                <w:color w:val="auto"/>
                <w:sz w:val="24"/>
                <w:szCs w:val="24"/>
                <w:highlight w:val="none"/>
              </w:rPr>
              <w:t>本项目危险废物贮存场所(设施)基本情况一览表</w:t>
            </w:r>
          </w:p>
          <w:tbl>
            <w:tblPr>
              <w:tblStyle w:val="25"/>
              <w:tblW w:w="4876"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28" w:type="dxa"/>
                <w:bottom w:w="0" w:type="dxa"/>
                <w:right w:w="28" w:type="dxa"/>
              </w:tblCellMar>
            </w:tblPr>
            <w:tblGrid>
              <w:gridCol w:w="266"/>
              <w:gridCol w:w="714"/>
              <w:gridCol w:w="797"/>
              <w:gridCol w:w="1125"/>
              <w:gridCol w:w="744"/>
              <w:gridCol w:w="659"/>
              <w:gridCol w:w="2422"/>
              <w:gridCol w:w="649"/>
              <w:gridCol w:w="622"/>
            </w:tblGrid>
            <w:tr w14:paraId="516DF09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266" w:type="dxa"/>
                  <w:tcBorders>
                    <w:tl2br w:val="nil"/>
                    <w:tr2bl w:val="nil"/>
                  </w:tcBorders>
                  <w:noWrap w:val="0"/>
                  <w:vAlign w:val="center"/>
                </w:tcPr>
                <w:p w14:paraId="1531301E">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序号</w:t>
                  </w:r>
                </w:p>
              </w:tc>
              <w:tc>
                <w:tcPr>
                  <w:tcW w:w="714" w:type="dxa"/>
                  <w:tcBorders>
                    <w:tl2br w:val="nil"/>
                    <w:tr2bl w:val="nil"/>
                  </w:tcBorders>
                  <w:noWrap w:val="0"/>
                  <w:vAlign w:val="center"/>
                </w:tcPr>
                <w:p w14:paraId="67574C62">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危险废物名称</w:t>
                  </w:r>
                </w:p>
              </w:tc>
              <w:tc>
                <w:tcPr>
                  <w:tcW w:w="797" w:type="dxa"/>
                  <w:tcBorders>
                    <w:tl2br w:val="nil"/>
                    <w:tr2bl w:val="nil"/>
                  </w:tcBorders>
                  <w:noWrap w:val="0"/>
                  <w:vAlign w:val="center"/>
                </w:tcPr>
                <w:p w14:paraId="6AEC6A5B">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危险废物类别</w:t>
                  </w:r>
                </w:p>
              </w:tc>
              <w:tc>
                <w:tcPr>
                  <w:tcW w:w="1125" w:type="dxa"/>
                  <w:tcBorders>
                    <w:tl2br w:val="nil"/>
                    <w:tr2bl w:val="nil"/>
                  </w:tcBorders>
                  <w:noWrap w:val="0"/>
                  <w:vAlign w:val="center"/>
                </w:tcPr>
                <w:p w14:paraId="119AC826">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危险废物</w:t>
                  </w:r>
                </w:p>
                <w:p w14:paraId="2EEEE725">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代码</w:t>
                  </w:r>
                </w:p>
              </w:tc>
              <w:tc>
                <w:tcPr>
                  <w:tcW w:w="744" w:type="dxa"/>
                  <w:tcBorders>
                    <w:tl2br w:val="nil"/>
                    <w:tr2bl w:val="nil"/>
                  </w:tcBorders>
                  <w:noWrap w:val="0"/>
                  <w:vAlign w:val="center"/>
                </w:tcPr>
                <w:p w14:paraId="0ACED899">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10"/>
                      <w:sz w:val="21"/>
                      <w:szCs w:val="21"/>
                      <w:highlight w:val="none"/>
                    </w:rPr>
                  </w:pPr>
                  <w:r>
                    <w:rPr>
                      <w:rFonts w:hint="default" w:ascii="Times New Roman" w:hAnsi="Times New Roman" w:cs="Times New Roman"/>
                      <w:color w:val="auto"/>
                      <w:spacing w:val="-10"/>
                      <w:sz w:val="21"/>
                      <w:szCs w:val="21"/>
                      <w:highlight w:val="none"/>
                    </w:rPr>
                    <w:t>产生工序及装置</w:t>
                  </w:r>
                </w:p>
              </w:tc>
              <w:tc>
                <w:tcPr>
                  <w:tcW w:w="659" w:type="dxa"/>
                  <w:tcBorders>
                    <w:tl2br w:val="nil"/>
                    <w:tr2bl w:val="nil"/>
                  </w:tcBorders>
                  <w:noWrap w:val="0"/>
                  <w:vAlign w:val="center"/>
                </w:tcPr>
                <w:p w14:paraId="10751899">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10"/>
                      <w:sz w:val="21"/>
                      <w:szCs w:val="21"/>
                      <w:highlight w:val="none"/>
                    </w:rPr>
                  </w:pPr>
                  <w:r>
                    <w:rPr>
                      <w:rFonts w:hint="default" w:ascii="Times New Roman" w:hAnsi="Times New Roman" w:cs="Times New Roman"/>
                      <w:color w:val="auto"/>
                      <w:spacing w:val="-10"/>
                      <w:sz w:val="21"/>
                      <w:szCs w:val="21"/>
                      <w:highlight w:val="none"/>
                    </w:rPr>
                    <w:t>占地面积</w:t>
                  </w:r>
                </w:p>
              </w:tc>
              <w:tc>
                <w:tcPr>
                  <w:tcW w:w="2422" w:type="dxa"/>
                  <w:tcBorders>
                    <w:tl2br w:val="nil"/>
                    <w:tr2bl w:val="nil"/>
                  </w:tcBorders>
                  <w:noWrap w:val="0"/>
                  <w:vAlign w:val="center"/>
                </w:tcPr>
                <w:p w14:paraId="365F21E8">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10"/>
                      <w:sz w:val="21"/>
                      <w:szCs w:val="21"/>
                      <w:highlight w:val="none"/>
                    </w:rPr>
                  </w:pPr>
                  <w:r>
                    <w:rPr>
                      <w:rFonts w:hint="default" w:ascii="Times New Roman" w:hAnsi="Times New Roman" w:cs="Times New Roman"/>
                      <w:color w:val="auto"/>
                      <w:sz w:val="21"/>
                      <w:szCs w:val="21"/>
                      <w:highlight w:val="none"/>
                    </w:rPr>
                    <w:t>全厂临时贮存</w:t>
                  </w:r>
                </w:p>
              </w:tc>
              <w:tc>
                <w:tcPr>
                  <w:tcW w:w="649" w:type="dxa"/>
                  <w:tcBorders>
                    <w:tl2br w:val="nil"/>
                    <w:tr2bl w:val="nil"/>
                  </w:tcBorders>
                  <w:noWrap w:val="0"/>
                  <w:vAlign w:val="center"/>
                </w:tcPr>
                <w:p w14:paraId="0E494FDA">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贮存</w:t>
                  </w:r>
                </w:p>
                <w:p w14:paraId="27D61559">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能力(t)</w:t>
                  </w:r>
                </w:p>
              </w:tc>
              <w:tc>
                <w:tcPr>
                  <w:tcW w:w="622" w:type="dxa"/>
                  <w:tcBorders>
                    <w:tl2br w:val="nil"/>
                    <w:tr2bl w:val="nil"/>
                  </w:tcBorders>
                  <w:noWrap w:val="0"/>
                  <w:vAlign w:val="center"/>
                </w:tcPr>
                <w:p w14:paraId="5532750B">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贮存</w:t>
                  </w:r>
                </w:p>
                <w:p w14:paraId="56CC9F79">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周期</w:t>
                  </w:r>
                </w:p>
              </w:tc>
            </w:tr>
            <w:tr w14:paraId="1811C58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266" w:type="dxa"/>
                  <w:tcBorders>
                    <w:tl2br w:val="nil"/>
                    <w:tr2bl w:val="nil"/>
                  </w:tcBorders>
                  <w:noWrap w:val="0"/>
                  <w:vAlign w:val="center"/>
                </w:tcPr>
                <w:p w14:paraId="4CF9236A">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10"/>
                      <w:sz w:val="21"/>
                      <w:szCs w:val="21"/>
                      <w:highlight w:val="none"/>
                    </w:rPr>
                  </w:pPr>
                  <w:r>
                    <w:rPr>
                      <w:rFonts w:hint="default" w:ascii="Times New Roman" w:hAnsi="Times New Roman" w:cs="Times New Roman"/>
                      <w:color w:val="auto"/>
                      <w:spacing w:val="-10"/>
                      <w:sz w:val="21"/>
                      <w:szCs w:val="21"/>
                      <w:highlight w:val="none"/>
                    </w:rPr>
                    <w:t>1</w:t>
                  </w:r>
                </w:p>
              </w:tc>
              <w:tc>
                <w:tcPr>
                  <w:tcW w:w="714" w:type="dxa"/>
                  <w:tcBorders>
                    <w:tl2br w:val="nil"/>
                    <w:tr2bl w:val="nil"/>
                  </w:tcBorders>
                  <w:noWrap w:val="0"/>
                  <w:vAlign w:val="center"/>
                </w:tcPr>
                <w:p w14:paraId="2C5C46CE">
                  <w:pPr>
                    <w:pStyle w:val="18"/>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z w:val="21"/>
                      <w:szCs w:val="21"/>
                      <w:highlight w:val="none"/>
                    </w:rPr>
                  </w:pPr>
                  <w:r>
                    <w:rPr>
                      <w:rFonts w:hint="default" w:ascii="Times New Roman" w:hAnsi="Times New Roman" w:eastAsia="宋体" w:cs="Times New Roman"/>
                      <w:b w:val="0"/>
                      <w:bCs w:val="0"/>
                      <w:color w:val="auto"/>
                      <w:sz w:val="21"/>
                      <w:szCs w:val="21"/>
                      <w:highlight w:val="none"/>
                      <w:lang w:eastAsia="zh-CN"/>
                    </w:rPr>
                    <w:t>废润滑油</w:t>
                  </w:r>
                </w:p>
              </w:tc>
              <w:tc>
                <w:tcPr>
                  <w:tcW w:w="797" w:type="dxa"/>
                  <w:tcBorders>
                    <w:tl2br w:val="nil"/>
                    <w:tr2bl w:val="nil"/>
                  </w:tcBorders>
                  <w:noWrap w:val="0"/>
                  <w:vAlign w:val="center"/>
                </w:tcPr>
                <w:p w14:paraId="66A2D178">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10"/>
                      <w:sz w:val="21"/>
                      <w:szCs w:val="21"/>
                      <w:highlight w:val="none"/>
                    </w:rPr>
                  </w:pPr>
                  <w:r>
                    <w:rPr>
                      <w:rFonts w:hint="default" w:ascii="Times New Roman" w:hAnsi="Times New Roman" w:cs="Times New Roman"/>
                      <w:color w:val="auto"/>
                      <w:spacing w:val="-10"/>
                      <w:sz w:val="21"/>
                      <w:szCs w:val="21"/>
                      <w:highlight w:val="none"/>
                    </w:rPr>
                    <w:t>HW08</w:t>
                  </w:r>
                </w:p>
              </w:tc>
              <w:tc>
                <w:tcPr>
                  <w:tcW w:w="1125" w:type="dxa"/>
                  <w:tcBorders>
                    <w:tl2br w:val="nil"/>
                    <w:tr2bl w:val="nil"/>
                  </w:tcBorders>
                  <w:noWrap w:val="0"/>
                  <w:vAlign w:val="center"/>
                </w:tcPr>
                <w:p w14:paraId="5162034C">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900-214-08</w:t>
                  </w:r>
                </w:p>
              </w:tc>
              <w:tc>
                <w:tcPr>
                  <w:tcW w:w="744" w:type="dxa"/>
                  <w:vMerge w:val="restart"/>
                  <w:tcBorders>
                    <w:tl2br w:val="nil"/>
                    <w:tr2bl w:val="nil"/>
                  </w:tcBorders>
                  <w:noWrap w:val="0"/>
                  <w:vAlign w:val="center"/>
                </w:tcPr>
                <w:p w14:paraId="447F5277">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10"/>
                      <w:sz w:val="21"/>
                      <w:szCs w:val="21"/>
                      <w:highlight w:val="none"/>
                    </w:rPr>
                  </w:pPr>
                  <w:r>
                    <w:rPr>
                      <w:rFonts w:hint="default" w:ascii="Times New Roman" w:hAnsi="Times New Roman" w:eastAsia="宋体" w:cs="Times New Roman"/>
                      <w:color w:val="auto"/>
                      <w:sz w:val="21"/>
                      <w:szCs w:val="21"/>
                      <w:highlight w:val="none"/>
                      <w:lang w:eastAsia="zh-CN"/>
                    </w:rPr>
                    <w:t>设备</w:t>
                  </w:r>
                  <w:r>
                    <w:rPr>
                      <w:rFonts w:hint="default" w:ascii="Times New Roman" w:hAnsi="Times New Roman" w:cs="Times New Roman"/>
                      <w:color w:val="auto"/>
                      <w:sz w:val="21"/>
                      <w:szCs w:val="21"/>
                      <w:highlight w:val="none"/>
                      <w:lang w:eastAsia="zh-CN"/>
                    </w:rPr>
                    <w:t>维护保养</w:t>
                  </w:r>
                </w:p>
              </w:tc>
              <w:tc>
                <w:tcPr>
                  <w:tcW w:w="659" w:type="dxa"/>
                  <w:vMerge w:val="restart"/>
                  <w:tcBorders>
                    <w:tl2br w:val="nil"/>
                    <w:tr2bl w:val="nil"/>
                  </w:tcBorders>
                  <w:noWrap w:val="0"/>
                  <w:vAlign w:val="center"/>
                </w:tcPr>
                <w:p w14:paraId="4A27A102">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auto"/>
                      <w:spacing w:val="-10"/>
                      <w:sz w:val="21"/>
                      <w:szCs w:val="21"/>
                      <w:highlight w:val="none"/>
                      <w:lang w:val="en-US" w:eastAsia="zh-CN"/>
                    </w:rPr>
                  </w:pPr>
                  <w:r>
                    <w:rPr>
                      <w:rFonts w:hint="default" w:ascii="Times New Roman" w:hAnsi="Times New Roman" w:cs="Times New Roman"/>
                      <w:color w:val="auto"/>
                      <w:spacing w:val="-10"/>
                      <w:sz w:val="21"/>
                      <w:szCs w:val="21"/>
                      <w:highlight w:val="none"/>
                      <w:lang w:val="en-US" w:eastAsia="zh-CN"/>
                    </w:rPr>
                    <w:t>危废间</w:t>
                  </w:r>
                  <w:r>
                    <w:rPr>
                      <w:rFonts w:hint="eastAsia" w:cs="Times New Roman"/>
                      <w:color w:val="auto"/>
                      <w:spacing w:val="-10"/>
                      <w:sz w:val="21"/>
                      <w:szCs w:val="21"/>
                      <w:highlight w:val="none"/>
                      <w:lang w:val="en-US" w:eastAsia="zh-CN"/>
                    </w:rPr>
                    <w:t>6</w:t>
                  </w:r>
                  <w:r>
                    <w:rPr>
                      <w:rFonts w:hint="default" w:ascii="Times New Roman" w:hAnsi="Times New Roman" w:cs="Times New Roman"/>
                      <w:color w:val="auto"/>
                      <w:spacing w:val="-10"/>
                      <w:sz w:val="21"/>
                      <w:szCs w:val="21"/>
                      <w:highlight w:val="none"/>
                      <w:lang w:val="en-US" w:eastAsia="zh-CN"/>
                    </w:rPr>
                    <w:t>m</w:t>
                  </w:r>
                  <w:r>
                    <w:rPr>
                      <w:rFonts w:hint="default" w:ascii="Times New Roman" w:hAnsi="Times New Roman" w:cs="Times New Roman"/>
                      <w:color w:val="auto"/>
                      <w:spacing w:val="-10"/>
                      <w:sz w:val="21"/>
                      <w:szCs w:val="21"/>
                      <w:highlight w:val="none"/>
                      <w:vertAlign w:val="superscript"/>
                      <w:lang w:val="en-US" w:eastAsia="zh-CN"/>
                    </w:rPr>
                    <w:t>2</w:t>
                  </w:r>
                </w:p>
              </w:tc>
              <w:tc>
                <w:tcPr>
                  <w:tcW w:w="2422" w:type="dxa"/>
                  <w:vMerge w:val="restart"/>
                  <w:tcBorders>
                    <w:tl2br w:val="nil"/>
                    <w:tr2bl w:val="nil"/>
                  </w:tcBorders>
                  <w:noWrap w:val="0"/>
                  <w:vAlign w:val="center"/>
                </w:tcPr>
                <w:p w14:paraId="306A0121">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10"/>
                      <w:sz w:val="21"/>
                      <w:szCs w:val="21"/>
                      <w:highlight w:val="none"/>
                    </w:rPr>
                  </w:pPr>
                  <w:r>
                    <w:rPr>
                      <w:rFonts w:hint="default" w:ascii="Times New Roman" w:hAnsi="Times New Roman" w:cs="Times New Roman"/>
                      <w:color w:val="auto"/>
                      <w:kern w:val="0"/>
                      <w:sz w:val="21"/>
                      <w:szCs w:val="21"/>
                      <w:highlight w:val="none"/>
                    </w:rPr>
                    <w:t>废</w:t>
                  </w:r>
                  <w:r>
                    <w:rPr>
                      <w:rFonts w:hint="default" w:ascii="Times New Roman" w:hAnsi="Times New Roman" w:cs="Times New Roman"/>
                      <w:color w:val="auto"/>
                      <w:kern w:val="0"/>
                      <w:sz w:val="21"/>
                      <w:szCs w:val="21"/>
                      <w:highlight w:val="none"/>
                      <w:lang w:val="en-US" w:eastAsia="zh-CN"/>
                    </w:rPr>
                    <w:t>润滑</w:t>
                  </w:r>
                  <w:r>
                    <w:rPr>
                      <w:rFonts w:hint="default" w:ascii="Times New Roman" w:hAnsi="Times New Roman" w:cs="Times New Roman"/>
                      <w:color w:val="auto"/>
                      <w:kern w:val="0"/>
                      <w:sz w:val="21"/>
                      <w:szCs w:val="21"/>
                      <w:highlight w:val="none"/>
                    </w:rPr>
                    <w:t>油</w:t>
                  </w:r>
                  <w:r>
                    <w:rPr>
                      <w:rFonts w:hint="default" w:ascii="Times New Roman" w:hAnsi="Times New Roman" w:cs="Times New Roman"/>
                      <w:color w:val="auto"/>
                      <w:sz w:val="21"/>
                      <w:szCs w:val="21"/>
                      <w:highlight w:val="none"/>
                      <w:lang w:eastAsia="zh-CN"/>
                    </w:rPr>
                    <w:t>采用</w:t>
                  </w:r>
                  <w:r>
                    <w:rPr>
                      <w:rFonts w:hint="default" w:ascii="Times New Roman" w:hAnsi="Times New Roman" w:cs="Times New Roman"/>
                      <w:color w:val="auto"/>
                      <w:sz w:val="21"/>
                      <w:szCs w:val="21"/>
                      <w:highlight w:val="none"/>
                    </w:rPr>
                    <w:t>专用的耐腐蚀容器收集</w:t>
                  </w:r>
                  <w:r>
                    <w:rPr>
                      <w:rFonts w:hint="default" w:ascii="Times New Roman" w:hAnsi="Times New Roman" w:cs="Times New Roman"/>
                      <w:color w:val="auto"/>
                      <w:spacing w:val="0"/>
                      <w:kern w:val="0"/>
                      <w:sz w:val="21"/>
                      <w:szCs w:val="21"/>
                      <w:highlight w:val="none"/>
                    </w:rPr>
                    <w:t>，与废油桶暂存于危废间，</w:t>
                  </w:r>
                  <w:r>
                    <w:rPr>
                      <w:rFonts w:hint="default" w:ascii="Times New Roman" w:hAnsi="Times New Roman" w:cs="Times New Roman"/>
                      <w:color w:val="auto"/>
                      <w:spacing w:val="0"/>
                      <w:sz w:val="21"/>
                      <w:szCs w:val="21"/>
                      <w:highlight w:val="none"/>
                    </w:rPr>
                    <w:t>定期</w:t>
                  </w:r>
                  <w:r>
                    <w:rPr>
                      <w:rFonts w:hint="default" w:ascii="Times New Roman" w:hAnsi="Times New Roman" w:cs="Times New Roman"/>
                      <w:color w:val="auto"/>
                      <w:spacing w:val="0"/>
                      <w:sz w:val="21"/>
                      <w:szCs w:val="21"/>
                      <w:highlight w:val="none"/>
                      <w:lang w:eastAsia="zh-CN"/>
                    </w:rPr>
                    <w:t>委托</w:t>
                  </w:r>
                  <w:r>
                    <w:rPr>
                      <w:rFonts w:hint="default" w:ascii="Times New Roman" w:hAnsi="Times New Roman" w:cs="Times New Roman"/>
                      <w:color w:val="auto"/>
                      <w:spacing w:val="0"/>
                      <w:sz w:val="21"/>
                      <w:szCs w:val="21"/>
                      <w:highlight w:val="none"/>
                    </w:rPr>
                    <w:t>有资质单位处理</w:t>
                  </w:r>
                </w:p>
              </w:tc>
              <w:tc>
                <w:tcPr>
                  <w:tcW w:w="649" w:type="dxa"/>
                  <w:vMerge w:val="restart"/>
                  <w:tcBorders>
                    <w:tl2br w:val="nil"/>
                    <w:tr2bl w:val="nil"/>
                  </w:tcBorders>
                  <w:noWrap w:val="0"/>
                  <w:vAlign w:val="center"/>
                </w:tcPr>
                <w:p w14:paraId="14D56956">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auto"/>
                      <w:spacing w:val="-10"/>
                      <w:sz w:val="21"/>
                      <w:szCs w:val="21"/>
                      <w:highlight w:val="none"/>
                      <w:lang w:val="en-US" w:eastAsia="zh-CN"/>
                    </w:rPr>
                  </w:pPr>
                  <w:r>
                    <w:rPr>
                      <w:rFonts w:hint="default" w:ascii="Times New Roman" w:hAnsi="Times New Roman" w:cs="Times New Roman"/>
                      <w:color w:val="auto"/>
                      <w:spacing w:val="-10"/>
                      <w:sz w:val="21"/>
                      <w:szCs w:val="21"/>
                      <w:highlight w:val="none"/>
                      <w:lang w:val="en-US" w:eastAsia="zh-CN"/>
                    </w:rPr>
                    <w:t>5.0</w:t>
                  </w:r>
                </w:p>
              </w:tc>
              <w:tc>
                <w:tcPr>
                  <w:tcW w:w="622" w:type="dxa"/>
                  <w:vMerge w:val="restart"/>
                  <w:tcBorders>
                    <w:tl2br w:val="nil"/>
                    <w:tr2bl w:val="nil"/>
                  </w:tcBorders>
                  <w:noWrap w:val="0"/>
                  <w:vAlign w:val="center"/>
                </w:tcPr>
                <w:p w14:paraId="6F435C51">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10"/>
                      <w:sz w:val="21"/>
                      <w:szCs w:val="21"/>
                      <w:highlight w:val="none"/>
                      <w:lang w:val="en-US"/>
                    </w:rPr>
                  </w:pPr>
                  <w:r>
                    <w:rPr>
                      <w:rFonts w:hint="default" w:ascii="Times New Roman" w:hAnsi="Times New Roman" w:cs="Times New Roman"/>
                      <w:color w:val="auto"/>
                      <w:spacing w:val="-10"/>
                      <w:sz w:val="21"/>
                      <w:szCs w:val="21"/>
                      <w:highlight w:val="none"/>
                      <w:lang w:val="en-US" w:eastAsia="zh-CN"/>
                    </w:rPr>
                    <w:t>1年</w:t>
                  </w:r>
                </w:p>
              </w:tc>
            </w:tr>
            <w:tr w14:paraId="3183B00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573" w:hRule="atLeast"/>
                <w:jc w:val="center"/>
              </w:trPr>
              <w:tc>
                <w:tcPr>
                  <w:tcW w:w="266" w:type="dxa"/>
                  <w:tcBorders>
                    <w:tl2br w:val="nil"/>
                    <w:tr2bl w:val="nil"/>
                  </w:tcBorders>
                  <w:noWrap w:val="0"/>
                  <w:vAlign w:val="center"/>
                </w:tcPr>
                <w:p w14:paraId="5EC138D7">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auto"/>
                      <w:spacing w:val="-10"/>
                      <w:sz w:val="21"/>
                      <w:szCs w:val="21"/>
                      <w:highlight w:val="none"/>
                      <w:lang w:val="en-US" w:eastAsia="zh-CN"/>
                    </w:rPr>
                  </w:pPr>
                  <w:r>
                    <w:rPr>
                      <w:rFonts w:hint="default" w:ascii="Times New Roman" w:hAnsi="Times New Roman" w:cs="Times New Roman"/>
                      <w:color w:val="auto"/>
                      <w:spacing w:val="-10"/>
                      <w:sz w:val="21"/>
                      <w:szCs w:val="21"/>
                      <w:highlight w:val="none"/>
                      <w:lang w:val="en-US" w:eastAsia="zh-CN"/>
                    </w:rPr>
                    <w:t>2</w:t>
                  </w:r>
                </w:p>
              </w:tc>
              <w:tc>
                <w:tcPr>
                  <w:tcW w:w="714" w:type="dxa"/>
                  <w:tcBorders>
                    <w:tl2br w:val="nil"/>
                    <w:tr2bl w:val="nil"/>
                  </w:tcBorders>
                  <w:noWrap w:val="0"/>
                  <w:vAlign w:val="center"/>
                </w:tcPr>
                <w:p w14:paraId="39739380">
                  <w:pPr>
                    <w:pStyle w:val="18"/>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z w:val="21"/>
                      <w:szCs w:val="21"/>
                      <w:highlight w:val="none"/>
                      <w:lang w:val="en-US"/>
                    </w:rPr>
                  </w:pPr>
                  <w:r>
                    <w:rPr>
                      <w:rFonts w:hint="default" w:ascii="Times New Roman" w:hAnsi="Times New Roman" w:eastAsia="宋体" w:cs="Times New Roman"/>
                      <w:b w:val="0"/>
                      <w:bCs w:val="0"/>
                      <w:color w:val="auto"/>
                      <w:sz w:val="21"/>
                      <w:szCs w:val="21"/>
                      <w:highlight w:val="none"/>
                      <w:lang w:val="en-US" w:eastAsia="zh-CN"/>
                    </w:rPr>
                    <w:t>废油桶</w:t>
                  </w:r>
                </w:p>
              </w:tc>
              <w:tc>
                <w:tcPr>
                  <w:tcW w:w="797" w:type="dxa"/>
                  <w:tcBorders>
                    <w:tl2br w:val="nil"/>
                    <w:tr2bl w:val="nil"/>
                  </w:tcBorders>
                  <w:noWrap w:val="0"/>
                  <w:vAlign w:val="center"/>
                </w:tcPr>
                <w:p w14:paraId="12E21441">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auto"/>
                      <w:spacing w:val="-10"/>
                      <w:sz w:val="21"/>
                      <w:szCs w:val="21"/>
                      <w:highlight w:val="none"/>
                      <w:lang w:eastAsia="zh-CN"/>
                    </w:rPr>
                  </w:pPr>
                  <w:r>
                    <w:rPr>
                      <w:rFonts w:hint="default" w:ascii="Times New Roman" w:hAnsi="Times New Roman" w:cs="Times New Roman"/>
                      <w:color w:val="auto"/>
                      <w:spacing w:val="-10"/>
                      <w:sz w:val="21"/>
                      <w:szCs w:val="21"/>
                      <w:highlight w:val="none"/>
                    </w:rPr>
                    <w:t>HW0</w:t>
                  </w:r>
                  <w:r>
                    <w:rPr>
                      <w:rFonts w:hint="default" w:ascii="Times New Roman" w:hAnsi="Times New Roman" w:cs="Times New Roman"/>
                      <w:color w:val="auto"/>
                      <w:spacing w:val="-10"/>
                      <w:sz w:val="21"/>
                      <w:szCs w:val="21"/>
                      <w:highlight w:val="none"/>
                      <w:lang w:val="en-US" w:eastAsia="zh-CN"/>
                    </w:rPr>
                    <w:t>8</w:t>
                  </w:r>
                </w:p>
              </w:tc>
              <w:tc>
                <w:tcPr>
                  <w:tcW w:w="1125" w:type="dxa"/>
                  <w:tcBorders>
                    <w:tl2br w:val="nil"/>
                    <w:tr2bl w:val="nil"/>
                  </w:tcBorders>
                  <w:noWrap w:val="0"/>
                  <w:vAlign w:val="center"/>
                </w:tcPr>
                <w:p w14:paraId="3FC9BF94">
                  <w:pPr>
                    <w:pStyle w:val="18"/>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kern w:val="0"/>
                      <w:sz w:val="21"/>
                      <w:szCs w:val="21"/>
                      <w:highlight w:val="none"/>
                      <w:lang w:val="en-US" w:eastAsia="zh-CN" w:bidi="ar-SA"/>
                    </w:rPr>
                    <w:t>900-249-08</w:t>
                  </w:r>
                </w:p>
              </w:tc>
              <w:tc>
                <w:tcPr>
                  <w:tcW w:w="744" w:type="dxa"/>
                  <w:vMerge w:val="continue"/>
                  <w:tcBorders>
                    <w:tl2br w:val="nil"/>
                    <w:tr2bl w:val="nil"/>
                  </w:tcBorders>
                  <w:noWrap w:val="0"/>
                  <w:vAlign w:val="center"/>
                </w:tcPr>
                <w:p w14:paraId="2C75BAEB">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10"/>
                      <w:sz w:val="21"/>
                      <w:szCs w:val="21"/>
                      <w:highlight w:val="none"/>
                    </w:rPr>
                  </w:pPr>
                </w:p>
              </w:tc>
              <w:tc>
                <w:tcPr>
                  <w:tcW w:w="659" w:type="dxa"/>
                  <w:vMerge w:val="continue"/>
                  <w:tcBorders>
                    <w:tl2br w:val="nil"/>
                    <w:tr2bl w:val="nil"/>
                  </w:tcBorders>
                  <w:noWrap w:val="0"/>
                  <w:vAlign w:val="center"/>
                </w:tcPr>
                <w:p w14:paraId="3D9FB890">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10"/>
                      <w:sz w:val="21"/>
                      <w:szCs w:val="21"/>
                      <w:highlight w:val="none"/>
                    </w:rPr>
                  </w:pPr>
                </w:p>
              </w:tc>
              <w:tc>
                <w:tcPr>
                  <w:tcW w:w="2422" w:type="dxa"/>
                  <w:vMerge w:val="continue"/>
                  <w:tcBorders>
                    <w:tl2br w:val="nil"/>
                    <w:tr2bl w:val="nil"/>
                  </w:tcBorders>
                  <w:noWrap w:val="0"/>
                  <w:vAlign w:val="center"/>
                </w:tcPr>
                <w:p w14:paraId="529B49DF">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10"/>
                      <w:sz w:val="21"/>
                      <w:szCs w:val="21"/>
                      <w:highlight w:val="none"/>
                    </w:rPr>
                  </w:pPr>
                </w:p>
              </w:tc>
              <w:tc>
                <w:tcPr>
                  <w:tcW w:w="649" w:type="dxa"/>
                  <w:vMerge w:val="continue"/>
                  <w:tcBorders>
                    <w:tl2br w:val="nil"/>
                    <w:tr2bl w:val="nil"/>
                  </w:tcBorders>
                  <w:noWrap w:val="0"/>
                  <w:vAlign w:val="center"/>
                </w:tcPr>
                <w:p w14:paraId="2D9492B3">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10"/>
                      <w:sz w:val="21"/>
                      <w:szCs w:val="21"/>
                      <w:highlight w:val="none"/>
                    </w:rPr>
                  </w:pPr>
                </w:p>
              </w:tc>
              <w:tc>
                <w:tcPr>
                  <w:tcW w:w="622" w:type="dxa"/>
                  <w:vMerge w:val="continue"/>
                  <w:tcBorders>
                    <w:tl2br w:val="nil"/>
                    <w:tr2bl w:val="nil"/>
                  </w:tcBorders>
                  <w:noWrap w:val="0"/>
                  <w:vAlign w:val="center"/>
                </w:tcPr>
                <w:p w14:paraId="3E336A2B">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10"/>
                      <w:sz w:val="21"/>
                      <w:szCs w:val="21"/>
                      <w:highlight w:val="none"/>
                    </w:rPr>
                  </w:pPr>
                </w:p>
              </w:tc>
            </w:tr>
          </w:tbl>
          <w:p w14:paraId="1B9FFFC9">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cs="Times New Roman"/>
                <w:b w:val="0"/>
                <w:bCs w:val="0"/>
                <w:color w:val="000000"/>
                <w:sz w:val="24"/>
                <w:szCs w:val="24"/>
                <w:lang w:eastAsia="zh-CN"/>
              </w:rPr>
            </w:pPr>
            <w:r>
              <w:rPr>
                <w:rFonts w:hint="default" w:ascii="Times New Roman" w:hAnsi="Times New Roman" w:eastAsia="宋体" w:cs="Times New Roman"/>
                <w:b w:val="0"/>
                <w:bCs w:val="0"/>
                <w:color w:val="000000"/>
                <w:kern w:val="2"/>
                <w:sz w:val="24"/>
                <w:szCs w:val="24"/>
                <w:lang w:val="en-US" w:eastAsia="zh-CN" w:bidi="ar-SA"/>
              </w:rPr>
              <w:t>（2）</w:t>
            </w:r>
            <w:r>
              <w:rPr>
                <w:rFonts w:hint="default" w:ascii="Times New Roman" w:hAnsi="Times New Roman" w:cs="Times New Roman"/>
                <w:b w:val="0"/>
                <w:bCs w:val="0"/>
                <w:color w:val="000000"/>
                <w:sz w:val="24"/>
                <w:szCs w:val="24"/>
                <w:lang w:eastAsia="zh-CN"/>
              </w:rPr>
              <w:t>环境管理要求</w:t>
            </w:r>
          </w:p>
          <w:p w14:paraId="5C6B3CBD">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eastAsia="宋体" w:cs="Times New Roman"/>
                <w:b w:val="0"/>
                <w:bCs w:val="0"/>
                <w:color w:val="000000"/>
                <w:sz w:val="24"/>
                <w:szCs w:val="24"/>
              </w:rPr>
            </w:pPr>
            <w:r>
              <w:rPr>
                <w:rFonts w:hint="default" w:ascii="Times New Roman" w:hAnsi="Times New Roman" w:eastAsia="宋体" w:cs="Times New Roman"/>
                <w:b w:val="0"/>
                <w:bCs w:val="0"/>
                <w:color w:val="000000"/>
                <w:sz w:val="24"/>
                <w:szCs w:val="24"/>
              </w:rPr>
              <w:t>本项目</w:t>
            </w:r>
            <w:r>
              <w:rPr>
                <w:rFonts w:hint="default" w:ascii="Times New Roman" w:hAnsi="Times New Roman" w:cs="Times New Roman"/>
                <w:b w:val="0"/>
                <w:bCs w:val="0"/>
                <w:color w:val="000000"/>
                <w:sz w:val="24"/>
                <w:szCs w:val="24"/>
                <w:lang w:eastAsia="zh-CN"/>
              </w:rPr>
              <w:t>在</w:t>
            </w:r>
            <w:r>
              <w:rPr>
                <w:rFonts w:hint="default" w:ascii="Times New Roman" w:hAnsi="Times New Roman" w:eastAsia="宋体" w:cs="Times New Roman"/>
                <w:b w:val="0"/>
                <w:bCs w:val="0"/>
                <w:color w:val="000000"/>
                <w:sz w:val="24"/>
                <w:szCs w:val="24"/>
              </w:rPr>
              <w:t>厂区</w:t>
            </w:r>
            <w:r>
              <w:rPr>
                <w:rFonts w:hint="default" w:ascii="Times New Roman" w:hAnsi="Times New Roman" w:cs="Times New Roman"/>
                <w:b w:val="0"/>
                <w:bCs w:val="0"/>
                <w:color w:val="000000"/>
                <w:sz w:val="24"/>
                <w:szCs w:val="24"/>
                <w:lang w:eastAsia="zh-CN"/>
              </w:rPr>
              <w:t>南侧新建一座</w:t>
            </w:r>
            <w:r>
              <w:rPr>
                <w:rFonts w:hint="default" w:ascii="Times New Roman" w:hAnsi="Times New Roman" w:eastAsia="宋体" w:cs="Times New Roman"/>
                <w:b w:val="0"/>
                <w:bCs w:val="0"/>
                <w:color w:val="000000"/>
                <w:sz w:val="24"/>
                <w:szCs w:val="24"/>
              </w:rPr>
              <w:t>危废</w:t>
            </w:r>
            <w:r>
              <w:rPr>
                <w:rFonts w:hint="default" w:ascii="Times New Roman" w:hAnsi="Times New Roman" w:cs="Times New Roman"/>
                <w:b w:val="0"/>
                <w:bCs w:val="0"/>
                <w:color w:val="000000"/>
                <w:sz w:val="24"/>
                <w:szCs w:val="24"/>
                <w:lang w:eastAsia="zh-CN"/>
              </w:rPr>
              <w:t>暂存</w:t>
            </w:r>
            <w:r>
              <w:rPr>
                <w:rFonts w:hint="default" w:ascii="Times New Roman" w:hAnsi="Times New Roman" w:eastAsia="宋体" w:cs="Times New Roman"/>
                <w:b w:val="0"/>
                <w:bCs w:val="0"/>
                <w:color w:val="000000"/>
                <w:sz w:val="24"/>
                <w:szCs w:val="24"/>
              </w:rPr>
              <w:t>间（</w:t>
            </w:r>
            <w:r>
              <w:rPr>
                <w:rFonts w:hint="eastAsia" w:cs="Times New Roman"/>
                <w:b w:val="0"/>
                <w:bCs w:val="0"/>
                <w:color w:val="000000"/>
                <w:sz w:val="24"/>
                <w:szCs w:val="24"/>
                <w:lang w:val="en-US" w:eastAsia="zh-CN"/>
              </w:rPr>
              <w:t>6</w:t>
            </w:r>
            <w:r>
              <w:rPr>
                <w:rFonts w:hint="default" w:ascii="Times New Roman" w:hAnsi="Times New Roman" w:eastAsia="TimesNewRomanPSMT" w:cs="Times New Roman"/>
                <w:b w:val="0"/>
                <w:bCs w:val="0"/>
                <w:color w:val="000000"/>
                <w:sz w:val="24"/>
                <w:szCs w:val="24"/>
              </w:rPr>
              <w:t>m</w:t>
            </w:r>
            <w:r>
              <w:rPr>
                <w:rFonts w:hint="default" w:ascii="Times New Roman" w:hAnsi="Times New Roman" w:eastAsia="TimesNewRomanPSMT" w:cs="Times New Roman"/>
                <w:b w:val="0"/>
                <w:bCs w:val="0"/>
                <w:color w:val="000000"/>
                <w:sz w:val="24"/>
                <w:szCs w:val="24"/>
                <w:vertAlign w:val="superscript"/>
              </w:rPr>
              <w:t>2</w:t>
            </w:r>
            <w:r>
              <w:rPr>
                <w:rFonts w:hint="default" w:ascii="Times New Roman" w:hAnsi="Times New Roman" w:eastAsia="宋体" w:cs="Times New Roman"/>
                <w:b w:val="0"/>
                <w:bCs w:val="0"/>
                <w:color w:val="000000"/>
                <w:sz w:val="24"/>
                <w:szCs w:val="24"/>
              </w:rPr>
              <w:t>），危废暂存间应按照《危险废物贮存污染控制标准》(GB18597-2023)要求采取必要的防风、防晒、防雨、防漏、防渗、防腐等措施。危废间地面及裙角采用抗渗混凝土浇筑，防渗层厚度为30cm，危废间设有堵截泄漏的裙脚，面与裙脚采用坚固防渗的材料建造，防渗层为至少1m厚黏土层(渗透系数不大于10</w:t>
            </w:r>
            <w:r>
              <w:rPr>
                <w:rFonts w:hint="default" w:ascii="Times New Roman" w:hAnsi="Times New Roman" w:cs="Times New Roman"/>
                <w:b w:val="0"/>
                <w:bCs w:val="0"/>
                <w:color w:val="000000"/>
                <w:sz w:val="24"/>
                <w:szCs w:val="24"/>
                <w:vertAlign w:val="superscript"/>
                <w:lang w:val="en-US" w:eastAsia="zh-CN"/>
              </w:rPr>
              <w:t>-</w:t>
            </w:r>
            <w:r>
              <w:rPr>
                <w:rFonts w:hint="default" w:ascii="Times New Roman" w:hAnsi="Times New Roman" w:eastAsia="宋体" w:cs="Times New Roman"/>
                <w:b w:val="0"/>
                <w:bCs w:val="0"/>
                <w:color w:val="000000"/>
                <w:sz w:val="24"/>
                <w:szCs w:val="24"/>
                <w:vertAlign w:val="superscript"/>
              </w:rPr>
              <w:t>7</w:t>
            </w:r>
            <w:r>
              <w:rPr>
                <w:rFonts w:hint="default" w:ascii="Times New Roman" w:hAnsi="Times New Roman" w:eastAsia="宋体" w:cs="Times New Roman"/>
                <w:b w:val="0"/>
                <w:bCs w:val="0"/>
                <w:color w:val="000000"/>
                <w:sz w:val="24"/>
                <w:szCs w:val="24"/>
              </w:rPr>
              <w:t>cm/s)，或至少2mm厚高密度聚乙烯膜等人工防渗材料(渗透系数不大于10</w:t>
            </w:r>
            <w:r>
              <w:rPr>
                <w:rFonts w:hint="default" w:ascii="Times New Roman" w:hAnsi="Times New Roman" w:eastAsia="宋体" w:cs="Times New Roman"/>
                <w:b w:val="0"/>
                <w:bCs w:val="0"/>
                <w:color w:val="000000"/>
                <w:sz w:val="24"/>
                <w:szCs w:val="24"/>
                <w:vertAlign w:val="superscript"/>
              </w:rPr>
              <w:t>-1</w:t>
            </w:r>
            <w:r>
              <w:rPr>
                <w:rFonts w:hint="default" w:ascii="Times New Roman" w:hAnsi="Times New Roman" w:cs="Times New Roman"/>
                <w:b w:val="0"/>
                <w:bCs w:val="0"/>
                <w:color w:val="000000"/>
                <w:sz w:val="24"/>
                <w:szCs w:val="24"/>
                <w:vertAlign w:val="superscript"/>
                <w:lang w:val="en-US" w:eastAsia="zh-CN"/>
              </w:rPr>
              <w:t>0</w:t>
            </w:r>
            <w:r>
              <w:rPr>
                <w:rFonts w:hint="default" w:ascii="Times New Roman" w:hAnsi="Times New Roman" w:eastAsia="宋体" w:cs="Times New Roman"/>
                <w:b w:val="0"/>
                <w:bCs w:val="0"/>
                <w:color w:val="000000"/>
                <w:sz w:val="24"/>
                <w:szCs w:val="24"/>
              </w:rPr>
              <w:t>cm/s)，或其他防渗性能等效的材料。</w:t>
            </w:r>
          </w:p>
          <w:p w14:paraId="376AD2CA">
            <w:pPr>
              <w:keepNext w:val="0"/>
              <w:keepLines w:val="0"/>
              <w:pageBreakBefore w:val="0"/>
              <w:widowControl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default" w:ascii="Times New Roman" w:hAnsi="Times New Roman" w:cs="Times New Roman"/>
                <w:b w:val="0"/>
                <w:bCs/>
                <w:color w:val="auto"/>
                <w:szCs w:val="21"/>
              </w:rPr>
            </w:pPr>
            <w:r>
              <w:rPr>
                <w:rFonts w:hint="default" w:ascii="Times New Roman" w:hAnsi="Times New Roman" w:cs="Times New Roman"/>
                <w:b w:val="0"/>
                <w:bCs/>
                <w:color w:val="auto"/>
                <w:szCs w:val="21"/>
              </w:rPr>
              <w:t>②危险废物容器和包装物材质、内衬应与盛装的危险废物相容。其容器和包装物应满足相应的防渗、防漏、防腐和强度等要求。硬质容器和包装物及其支护结构堆叠码放时不应有明显变形，无破损泄漏。使用容器盛装液态危险废物时，容器内部应留有适当的空间，以适应因温度变化等可能引发的收缩和膨胀，防止其导致容器渗漏或永久变形。容器和包装物外表面应保持清洁。</w:t>
            </w:r>
          </w:p>
          <w:p w14:paraId="392154E9">
            <w:pPr>
              <w:keepNext w:val="0"/>
              <w:keepLines w:val="0"/>
              <w:pageBreakBefore w:val="0"/>
              <w:widowControl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default" w:ascii="Times New Roman" w:hAnsi="Times New Roman" w:cs="Times New Roman"/>
                <w:b w:val="0"/>
                <w:bCs/>
                <w:color w:val="auto"/>
                <w:szCs w:val="21"/>
              </w:rPr>
            </w:pPr>
            <w:r>
              <w:rPr>
                <w:rFonts w:hint="default" w:ascii="Times New Roman" w:hAnsi="Times New Roman" w:cs="Times New Roman"/>
                <w:b w:val="0"/>
                <w:bCs/>
                <w:color w:val="auto"/>
                <w:szCs w:val="21"/>
              </w:rPr>
              <w:t>③盛装危险废物的容器要带盖。设有液体收集装置。</w:t>
            </w:r>
          </w:p>
          <w:p w14:paraId="2A234CD7">
            <w:pPr>
              <w:keepNext w:val="0"/>
              <w:keepLines w:val="0"/>
              <w:pageBreakBefore w:val="0"/>
              <w:widowControl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default" w:ascii="Times New Roman" w:hAnsi="Times New Roman" w:cs="Times New Roman"/>
                <w:b w:val="0"/>
                <w:bCs/>
                <w:color w:val="auto"/>
                <w:szCs w:val="21"/>
              </w:rPr>
            </w:pPr>
            <w:r>
              <w:rPr>
                <w:rFonts w:hint="default" w:ascii="Times New Roman" w:hAnsi="Times New Roman" w:cs="Times New Roman"/>
                <w:b w:val="0"/>
                <w:bCs/>
                <w:color w:val="auto"/>
                <w:szCs w:val="21"/>
              </w:rPr>
              <w:t>④应定期检查危险废物的贮存状况，及时清理贮存设施地面，更换破损泄漏的危险废物贮存容器和包装物，保证堆存危险废物的防雨、防风、防扬尘等设施功能完好。</w:t>
            </w:r>
          </w:p>
          <w:p w14:paraId="2C046BFC">
            <w:pPr>
              <w:keepNext w:val="0"/>
              <w:keepLines w:val="0"/>
              <w:pageBreakBefore w:val="0"/>
              <w:widowControl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default" w:ascii="Times New Roman" w:hAnsi="Times New Roman" w:cs="Times New Roman"/>
                <w:b w:val="0"/>
                <w:bCs/>
                <w:color w:val="auto"/>
                <w:szCs w:val="21"/>
              </w:rPr>
            </w:pPr>
            <w:r>
              <w:rPr>
                <w:rFonts w:hint="default" w:ascii="Times New Roman" w:hAnsi="Times New Roman" w:cs="Times New Roman"/>
                <w:b w:val="0"/>
                <w:bCs/>
                <w:color w:val="auto"/>
                <w:szCs w:val="21"/>
              </w:rPr>
              <w:t>⑤危废暂存间设置危险废物标识，由专人进行管理。同时企业必须做好危险废物记录，记录上要注明危险废物的名称、来源、数量、特性和包装容器的类别、入库日期、出库日期及接收单位名称等</w:t>
            </w:r>
            <w:r>
              <w:rPr>
                <w:rFonts w:hint="default" w:ascii="Times New Roman" w:hAnsi="Times New Roman" w:cs="Times New Roman"/>
                <w:b w:val="0"/>
                <w:bCs/>
                <w:color w:val="auto"/>
                <w:szCs w:val="21"/>
                <w:lang w:eastAsia="zh-CN"/>
              </w:rPr>
              <w:t>；</w:t>
            </w:r>
            <w:r>
              <w:rPr>
                <w:rFonts w:hint="default" w:ascii="Times New Roman" w:hAnsi="Times New Roman" w:cs="Times New Roman"/>
                <w:b w:val="0"/>
                <w:bCs/>
                <w:color w:val="auto"/>
                <w:szCs w:val="21"/>
              </w:rPr>
              <w:t>根据《河北省固体废物污染环境防治条例》危险废物台账和记录簿的保存时间应当在十年以上。</w:t>
            </w:r>
          </w:p>
          <w:p w14:paraId="16352A92">
            <w:pPr>
              <w:keepNext w:val="0"/>
              <w:keepLines w:val="0"/>
              <w:pageBreakBefore w:val="0"/>
              <w:widowControl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default" w:ascii="Times New Roman" w:hAnsi="Times New Roman" w:cs="Times New Roman"/>
                <w:b w:val="0"/>
                <w:bCs/>
                <w:color w:val="auto"/>
                <w:szCs w:val="21"/>
              </w:rPr>
            </w:pPr>
            <w:r>
              <w:rPr>
                <w:rFonts w:hint="default" w:ascii="Times New Roman" w:hAnsi="Times New Roman" w:cs="Times New Roman"/>
                <w:b w:val="0"/>
                <w:bCs/>
                <w:color w:val="auto"/>
                <w:szCs w:val="21"/>
              </w:rPr>
              <w:t>⑥应及时清运贮存的危险废物，实时贮存量不应超过3吨。</w:t>
            </w:r>
          </w:p>
          <w:p w14:paraId="2EA44555">
            <w:pPr>
              <w:keepNext w:val="0"/>
              <w:keepLines w:val="0"/>
              <w:pageBreakBefore w:val="0"/>
              <w:widowControl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val="0"/>
                <w:bCs/>
                <w:color w:val="auto"/>
                <w:szCs w:val="21"/>
              </w:rPr>
              <w:t>⑦建立贮存设施环境管理制度、管理人员岗位职责制度、设施运行操作制度、</w:t>
            </w:r>
            <w:r>
              <w:rPr>
                <w:rFonts w:hint="default" w:ascii="Times New Roman" w:hAnsi="Times New Roman" w:cs="Times New Roman"/>
                <w:color w:val="auto"/>
                <w:sz w:val="24"/>
                <w:szCs w:val="24"/>
                <w:highlight w:val="none"/>
                <w:lang w:val="en-US" w:eastAsia="zh-CN"/>
              </w:rPr>
              <w:t>按照《危险废物贮存污染控制标准》（GB18597-2023）相关规定要求，危废间及危险废物储存容器上需要张贴标签，标签要求参照危险废物识别标志设置技术规范（HJ1276-2022）。</w:t>
            </w:r>
          </w:p>
          <w:p w14:paraId="2910A54E">
            <w:pPr>
              <w:keepNext w:val="0"/>
              <w:keepLines w:val="0"/>
              <w:pageBreakBefore w:val="0"/>
              <w:widowControl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default" w:ascii="Times New Roman" w:hAnsi="Times New Roman" w:cs="Times New Roman"/>
                <w:b w:val="0"/>
                <w:bCs/>
                <w:color w:val="auto"/>
                <w:szCs w:val="21"/>
                <w:lang w:val="en-US" w:eastAsia="zh-CN"/>
              </w:rPr>
            </w:pPr>
            <w:r>
              <w:rPr>
                <w:rFonts w:hint="default" w:ascii="Times New Roman" w:hAnsi="Times New Roman" w:cs="Times New Roman"/>
                <w:b w:val="0"/>
                <w:bCs/>
                <w:color w:val="auto"/>
                <w:szCs w:val="21"/>
                <w:lang w:val="en-US" w:eastAsia="zh-CN"/>
              </w:rPr>
              <w:t>⑧编制突发环境事件应急预案，定期开展必要的培训和环境应急演练，并做好培训、演练记录。</w:t>
            </w:r>
          </w:p>
          <w:p w14:paraId="792B2BA5">
            <w:pPr>
              <w:keepNext w:val="0"/>
              <w:keepLines w:val="0"/>
              <w:pageBreakBefore w:val="0"/>
              <w:widowControl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default" w:ascii="Times New Roman" w:hAnsi="Times New Roman" w:cs="Times New Roman"/>
                <w:b w:val="0"/>
                <w:bCs/>
                <w:color w:val="auto"/>
                <w:szCs w:val="21"/>
                <w:lang w:val="en-US" w:eastAsia="zh-CN"/>
              </w:rPr>
            </w:pPr>
            <w:r>
              <w:rPr>
                <w:rFonts w:hint="default" w:ascii="Times New Roman" w:hAnsi="Times New Roman" w:cs="Times New Roman"/>
                <w:b w:val="0"/>
                <w:bCs/>
                <w:color w:val="auto"/>
                <w:szCs w:val="21"/>
                <w:lang w:val="en-US" w:eastAsia="zh-CN"/>
              </w:rPr>
              <w:t>⑨危险废物内部转运作业应采用专用的工具，内部转运填写《危险废物厂内转运记录表》；危险废物内部转运结束后，应对转运路线进行检查和清理，确保无危险废物遗失在转运路线上。</w:t>
            </w:r>
          </w:p>
          <w:p w14:paraId="70F527C0">
            <w:pPr>
              <w:keepNext w:val="0"/>
              <w:keepLines w:val="0"/>
              <w:pageBreakBefore w:val="0"/>
              <w:widowControl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default" w:ascii="Times New Roman" w:hAnsi="Times New Roman" w:cs="Times New Roman"/>
                <w:b w:val="0"/>
                <w:bCs/>
                <w:color w:val="auto"/>
                <w:szCs w:val="21"/>
                <w:lang w:val="en-US" w:eastAsia="zh-CN"/>
              </w:rPr>
            </w:pPr>
            <w:r>
              <w:rPr>
                <w:rFonts w:hint="default" w:ascii="Times New Roman" w:hAnsi="Times New Roman" w:cs="Times New Roman"/>
                <w:b w:val="0"/>
                <w:bCs/>
                <w:color w:val="auto"/>
                <w:szCs w:val="21"/>
                <w:lang w:val="en-US" w:eastAsia="zh-CN"/>
              </w:rPr>
              <w:t>⑩危险废物转移运输车辆应有资质，转移过程有电子联单。</w:t>
            </w:r>
          </w:p>
          <w:p w14:paraId="5789FCD1">
            <w:pPr>
              <w:keepNext w:val="0"/>
              <w:keepLines w:val="0"/>
              <w:pageBreakBefore w:val="0"/>
              <w:widowControl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default" w:ascii="Times New Roman" w:hAnsi="Times New Roman" w:cs="Times New Roman"/>
                <w:b w:val="0"/>
                <w:bCs/>
                <w:color w:val="auto"/>
                <w:szCs w:val="21"/>
                <w:lang w:val="en-US" w:eastAsia="zh-CN"/>
              </w:rPr>
            </w:pPr>
            <w:r>
              <w:rPr>
                <w:rFonts w:hint="default" w:ascii="Times New Roman" w:hAnsi="Times New Roman" w:eastAsia="微软雅黑" w:cs="Times New Roman"/>
                <w:b w:val="0"/>
                <w:bCs/>
                <w:color w:val="auto"/>
                <w:szCs w:val="21"/>
                <w:lang w:val="en-US" w:eastAsia="zh-CN"/>
              </w:rPr>
              <w:t>⑪</w:t>
            </w:r>
            <w:r>
              <w:rPr>
                <w:rFonts w:hint="default" w:ascii="Times New Roman" w:hAnsi="Times New Roman" w:cs="Times New Roman"/>
                <w:b w:val="0"/>
                <w:bCs/>
                <w:color w:val="auto"/>
                <w:szCs w:val="21"/>
                <w:lang w:val="en-US" w:eastAsia="zh-CN"/>
              </w:rPr>
              <w:t>根据《危险废物识别标志设置技术规范》(HJ1276-2022)设置危险废物识别标志。</w:t>
            </w:r>
          </w:p>
          <w:p w14:paraId="14216A04">
            <w:pPr>
              <w:adjustRightInd w:val="0"/>
              <w:snapToGrid w:val="0"/>
              <w:jc w:val="center"/>
              <w:rPr>
                <w:rFonts w:hint="eastAsia" w:cs="宋体"/>
                <w:b/>
                <w:bCs/>
                <w:color w:val="auto"/>
                <w:szCs w:val="21"/>
                <w:lang w:val="zh-CN"/>
              </w:rPr>
            </w:pPr>
            <w:r>
              <w:rPr>
                <w:rFonts w:hint="eastAsia" w:cs="宋体"/>
                <w:b/>
                <w:bCs/>
                <w:color w:val="auto"/>
                <w:szCs w:val="21"/>
              </w:rPr>
              <w:t>表4-</w:t>
            </w:r>
            <w:r>
              <w:rPr>
                <w:rFonts w:hint="eastAsia" w:cs="宋体"/>
                <w:b/>
                <w:bCs/>
                <w:color w:val="auto"/>
                <w:szCs w:val="21"/>
                <w:lang w:val="en-US" w:eastAsia="zh-CN"/>
              </w:rPr>
              <w:t>16</w:t>
            </w:r>
            <w:r>
              <w:rPr>
                <w:rFonts w:hint="eastAsia" w:cs="宋体"/>
                <w:b/>
                <w:bCs/>
                <w:color w:val="auto"/>
                <w:szCs w:val="21"/>
                <w:lang w:val="zh-CN"/>
              </w:rPr>
              <w:t xml:space="preserve"> 危废规范化表</w:t>
            </w:r>
          </w:p>
          <w:tbl>
            <w:tblPr>
              <w:tblStyle w:val="25"/>
              <w:tblW w:w="7959"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586"/>
              <w:gridCol w:w="5373"/>
            </w:tblGrid>
            <w:tr w14:paraId="66A689F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586" w:type="dxa"/>
                  <w:noWrap w:val="0"/>
                  <w:vAlign w:val="center"/>
                </w:tcPr>
                <w:p w14:paraId="1B9F557D">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color w:val="auto"/>
                      <w:sz w:val="18"/>
                      <w:szCs w:val="18"/>
                    </w:rPr>
                  </w:pPr>
                  <w:r>
                    <w:rPr>
                      <w:rFonts w:hint="default" w:ascii="Times New Roman" w:hAnsi="Times New Roman" w:cs="Times New Roman"/>
                      <w:color w:val="auto"/>
                      <w:sz w:val="18"/>
                      <w:szCs w:val="18"/>
                    </w:rPr>
                    <w:drawing>
                      <wp:inline distT="0" distB="0" distL="114300" distR="114300">
                        <wp:extent cx="1369695" cy="1376045"/>
                        <wp:effectExtent l="0" t="0" r="1905" b="14605"/>
                        <wp:docPr id="3" name="图片 3" descr="07ba03162180447876524d3fb0bf06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07ba03162180447876524d3fb0bf06d"/>
                                <pic:cNvPicPr>
                                  <a:picLocks noChangeAspect="1"/>
                                </pic:cNvPicPr>
                              </pic:nvPicPr>
                              <pic:blipFill>
                                <a:blip r:embed="rId30"/>
                                <a:stretch>
                                  <a:fillRect/>
                                </a:stretch>
                              </pic:blipFill>
                              <pic:spPr>
                                <a:xfrm>
                                  <a:off x="0" y="0"/>
                                  <a:ext cx="1369695" cy="1376045"/>
                                </a:xfrm>
                                <a:prstGeom prst="rect">
                                  <a:avLst/>
                                </a:prstGeom>
                                <a:noFill/>
                                <a:ln>
                                  <a:noFill/>
                                </a:ln>
                              </pic:spPr>
                            </pic:pic>
                          </a:graphicData>
                        </a:graphic>
                      </wp:inline>
                    </w:drawing>
                  </w:r>
                </w:p>
              </w:tc>
              <w:tc>
                <w:tcPr>
                  <w:tcW w:w="5373" w:type="dxa"/>
                  <w:noWrap w:val="0"/>
                  <w:vAlign w:val="top"/>
                </w:tcPr>
                <w:p w14:paraId="5F84B482">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rPr>
                      <w:rFonts w:hint="default" w:ascii="Times New Roman" w:hAnsi="Times New Roman" w:cs="Times New Roman"/>
                      <w:color w:val="auto"/>
                      <w:spacing w:val="-10"/>
                      <w:sz w:val="21"/>
                      <w:szCs w:val="21"/>
                      <w:highlight w:val="none"/>
                      <w:lang w:val="en-US" w:eastAsia="zh-CN"/>
                    </w:rPr>
                  </w:pPr>
                  <w:r>
                    <w:rPr>
                      <w:rFonts w:hint="default" w:ascii="Times New Roman" w:hAnsi="Times New Roman" w:cs="Times New Roman"/>
                      <w:color w:val="auto"/>
                      <w:spacing w:val="-10"/>
                      <w:sz w:val="21"/>
                      <w:szCs w:val="21"/>
                      <w:highlight w:val="none"/>
                      <w:lang w:val="en-US" w:eastAsia="zh-CN"/>
                    </w:rPr>
                    <w:t>危险废物标签：</w:t>
                  </w:r>
                </w:p>
                <w:p w14:paraId="734806F5">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rPr>
                      <w:rFonts w:hint="default" w:ascii="Times New Roman" w:hAnsi="Times New Roman" w:cs="Times New Roman"/>
                      <w:color w:val="auto"/>
                      <w:spacing w:val="-10"/>
                      <w:sz w:val="21"/>
                      <w:szCs w:val="21"/>
                      <w:highlight w:val="none"/>
                      <w:lang w:val="en-US" w:eastAsia="zh-CN"/>
                    </w:rPr>
                  </w:pPr>
                  <w:r>
                    <w:rPr>
                      <w:rFonts w:hint="default" w:ascii="Times New Roman" w:hAnsi="Times New Roman" w:cs="Times New Roman"/>
                      <w:color w:val="auto"/>
                      <w:spacing w:val="-10"/>
                      <w:sz w:val="21"/>
                      <w:szCs w:val="21"/>
                      <w:highlight w:val="none"/>
                      <w:lang w:val="en-US" w:eastAsia="zh-CN"/>
                    </w:rPr>
                    <w:t>说明：1、背景色应采用醒目的橘黄色，标签边框和字体颜色为黑色；</w:t>
                  </w:r>
                </w:p>
                <w:p w14:paraId="3A32D35F">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rPr>
                      <w:rFonts w:hint="default" w:ascii="Times New Roman" w:hAnsi="Times New Roman" w:cs="Times New Roman"/>
                      <w:color w:val="auto"/>
                      <w:spacing w:val="-10"/>
                      <w:sz w:val="21"/>
                      <w:szCs w:val="21"/>
                      <w:highlight w:val="none"/>
                      <w:lang w:val="en-US" w:eastAsia="zh-CN"/>
                    </w:rPr>
                  </w:pPr>
                  <w:r>
                    <w:rPr>
                      <w:rFonts w:hint="default" w:ascii="Times New Roman" w:hAnsi="Times New Roman" w:cs="Times New Roman"/>
                      <w:color w:val="auto"/>
                      <w:spacing w:val="-10"/>
                      <w:sz w:val="21"/>
                      <w:szCs w:val="21"/>
                      <w:highlight w:val="none"/>
                      <w:lang w:val="en-US" w:eastAsia="zh-CN"/>
                    </w:rPr>
                    <w:t>2、危险废物标签字体宜采用黑体字，其中“危险废物”字样应加粗放大；</w:t>
                  </w:r>
                </w:p>
                <w:p w14:paraId="163B31E8">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rPr>
                      <w:rFonts w:hint="default" w:ascii="Times New Roman" w:hAnsi="Times New Roman" w:cs="Times New Roman"/>
                      <w:color w:val="auto"/>
                      <w:spacing w:val="-10"/>
                      <w:sz w:val="21"/>
                      <w:szCs w:val="21"/>
                      <w:highlight w:val="none"/>
                      <w:lang w:val="en-US" w:eastAsia="zh-CN"/>
                    </w:rPr>
                  </w:pPr>
                  <w:r>
                    <w:rPr>
                      <w:rFonts w:hint="default" w:ascii="Times New Roman" w:hAnsi="Times New Roman" w:cs="Times New Roman"/>
                      <w:color w:val="auto"/>
                      <w:spacing w:val="-10"/>
                      <w:sz w:val="21"/>
                      <w:szCs w:val="21"/>
                      <w:highlight w:val="none"/>
                      <w:lang w:val="en-US" w:eastAsia="zh-CN"/>
                    </w:rPr>
                    <w:t>3、危险废物标签印刷的油墨应均匀，图案和文字应清晰、完整。危险废物标签的文字边缘宜加黑色边框，边框宽度不小于1mm，边框外宜留不小于3mm的空白。</w:t>
                  </w:r>
                </w:p>
              </w:tc>
            </w:tr>
            <w:tr w14:paraId="6123A48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586" w:type="dxa"/>
                  <w:noWrap w:val="0"/>
                  <w:vAlign w:val="center"/>
                </w:tcPr>
                <w:p w14:paraId="148B0D9E">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color w:val="auto"/>
                      <w:sz w:val="18"/>
                      <w:szCs w:val="18"/>
                    </w:rPr>
                  </w:pPr>
                  <w:r>
                    <w:rPr>
                      <w:rFonts w:hint="default" w:ascii="Times New Roman" w:hAnsi="Times New Roman" w:cs="Times New Roman"/>
                      <w:color w:val="auto"/>
                      <w:sz w:val="18"/>
                      <w:szCs w:val="18"/>
                    </w:rPr>
                    <w:drawing>
                      <wp:inline distT="0" distB="0" distL="114300" distR="114300">
                        <wp:extent cx="1233805" cy="1702435"/>
                        <wp:effectExtent l="0" t="0" r="4445" b="1206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31"/>
                                <a:stretch>
                                  <a:fillRect/>
                                </a:stretch>
                              </pic:blipFill>
                              <pic:spPr>
                                <a:xfrm>
                                  <a:off x="0" y="0"/>
                                  <a:ext cx="1233805" cy="1702435"/>
                                </a:xfrm>
                                <a:prstGeom prst="rect">
                                  <a:avLst/>
                                </a:prstGeom>
                                <a:noFill/>
                                <a:ln>
                                  <a:noFill/>
                                </a:ln>
                              </pic:spPr>
                            </pic:pic>
                          </a:graphicData>
                        </a:graphic>
                      </wp:inline>
                    </w:drawing>
                  </w:r>
                </w:p>
              </w:tc>
              <w:tc>
                <w:tcPr>
                  <w:tcW w:w="5373" w:type="dxa"/>
                  <w:noWrap w:val="0"/>
                  <w:vAlign w:val="center"/>
                </w:tcPr>
                <w:p w14:paraId="2945AC1F">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rPr>
                      <w:rFonts w:hint="default" w:ascii="Times New Roman" w:hAnsi="Times New Roman" w:cs="Times New Roman"/>
                      <w:color w:val="auto"/>
                      <w:spacing w:val="-10"/>
                      <w:sz w:val="21"/>
                      <w:szCs w:val="21"/>
                      <w:highlight w:val="none"/>
                      <w:lang w:val="en-US" w:eastAsia="zh-CN"/>
                    </w:rPr>
                  </w:pPr>
                  <w:r>
                    <w:rPr>
                      <w:rFonts w:hint="default" w:ascii="Times New Roman" w:hAnsi="Times New Roman" w:cs="Times New Roman"/>
                      <w:color w:val="auto"/>
                      <w:spacing w:val="-10"/>
                      <w:sz w:val="21"/>
                      <w:szCs w:val="21"/>
                      <w:highlight w:val="none"/>
                      <w:lang w:val="en-US" w:eastAsia="zh-CN"/>
                    </w:rPr>
                    <w:t>危险废物贮存设施标志：</w:t>
                  </w:r>
                </w:p>
                <w:p w14:paraId="770701A3">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rPr>
                      <w:rFonts w:hint="default" w:ascii="Times New Roman" w:hAnsi="Times New Roman" w:cs="Times New Roman"/>
                      <w:color w:val="auto"/>
                      <w:spacing w:val="-10"/>
                      <w:sz w:val="21"/>
                      <w:szCs w:val="21"/>
                      <w:highlight w:val="none"/>
                      <w:lang w:val="en-US" w:eastAsia="zh-CN"/>
                    </w:rPr>
                  </w:pPr>
                  <w:r>
                    <w:rPr>
                      <w:rFonts w:hint="default" w:ascii="Times New Roman" w:hAnsi="Times New Roman" w:cs="Times New Roman"/>
                      <w:color w:val="auto"/>
                      <w:spacing w:val="-10"/>
                      <w:sz w:val="21"/>
                      <w:szCs w:val="21"/>
                      <w:highlight w:val="none"/>
                      <w:lang w:val="en-US" w:eastAsia="zh-CN"/>
                    </w:rPr>
                    <w:t>说明：1、背景颜色为黄色，字体和边框颜色为黑色；</w:t>
                  </w:r>
                </w:p>
                <w:p w14:paraId="185B12A3">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rPr>
                      <w:rFonts w:hint="default" w:ascii="Times New Roman" w:hAnsi="Times New Roman" w:cs="Times New Roman"/>
                      <w:color w:val="auto"/>
                      <w:spacing w:val="-10"/>
                      <w:sz w:val="21"/>
                      <w:szCs w:val="21"/>
                      <w:highlight w:val="none"/>
                      <w:lang w:val="en-US" w:eastAsia="zh-CN"/>
                    </w:rPr>
                  </w:pPr>
                  <w:r>
                    <w:rPr>
                      <w:rFonts w:hint="default" w:ascii="Times New Roman" w:hAnsi="Times New Roman" w:cs="Times New Roman"/>
                      <w:color w:val="auto"/>
                      <w:spacing w:val="-10"/>
                      <w:sz w:val="21"/>
                      <w:szCs w:val="21"/>
                      <w:highlight w:val="none"/>
                      <w:lang w:val="en-US" w:eastAsia="zh-CN"/>
                    </w:rPr>
                    <w:t>2、危险废物设施标志字体应采用黑体字，其中危险废物设施类型的字样应加粗放大并居中显示；</w:t>
                  </w:r>
                </w:p>
                <w:p w14:paraId="53B53E9A">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rPr>
                      <w:rFonts w:hint="default" w:ascii="Times New Roman" w:hAnsi="Times New Roman" w:cs="Times New Roman"/>
                      <w:color w:val="auto"/>
                      <w:spacing w:val="-10"/>
                      <w:sz w:val="21"/>
                      <w:szCs w:val="21"/>
                      <w:highlight w:val="none"/>
                      <w:lang w:val="en-US" w:eastAsia="zh-CN"/>
                    </w:rPr>
                  </w:pPr>
                  <w:r>
                    <w:rPr>
                      <w:rFonts w:hint="default" w:ascii="Times New Roman" w:hAnsi="Times New Roman" w:cs="Times New Roman"/>
                      <w:color w:val="auto"/>
                      <w:spacing w:val="-10"/>
                      <w:sz w:val="21"/>
                      <w:szCs w:val="21"/>
                      <w:highlight w:val="none"/>
                      <w:lang w:val="en-US" w:eastAsia="zh-CN"/>
                    </w:rPr>
                    <w:t>3、的图形和文字应清晰、完整，保证在足够的观察距离条件下也不影响阅读。三角形警告性图形与其他信息间宜加黑色分界线区分，分界线的宽度宜不小于3mm；</w:t>
                  </w:r>
                </w:p>
                <w:p w14:paraId="7AD4AC56">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rPr>
                      <w:rFonts w:hint="default" w:ascii="Times New Roman" w:hAnsi="Times New Roman" w:cs="Times New Roman"/>
                      <w:color w:val="auto"/>
                      <w:spacing w:val="-10"/>
                      <w:sz w:val="21"/>
                      <w:szCs w:val="21"/>
                      <w:highlight w:val="none"/>
                      <w:lang w:val="en-US" w:eastAsia="zh-CN"/>
                    </w:rPr>
                  </w:pPr>
                  <w:r>
                    <w:rPr>
                      <w:rFonts w:hint="default" w:ascii="Times New Roman" w:hAnsi="Times New Roman" w:cs="Times New Roman"/>
                      <w:color w:val="auto"/>
                      <w:spacing w:val="-10"/>
                      <w:sz w:val="21"/>
                      <w:szCs w:val="21"/>
                      <w:highlight w:val="none"/>
                      <w:lang w:val="en-US" w:eastAsia="zh-CN"/>
                    </w:rPr>
                    <w:t>4、危险废物贮存、利用、处置设施标志可采用横版或竖版的形式</w:t>
                  </w:r>
                </w:p>
              </w:tc>
            </w:tr>
            <w:tr w14:paraId="7CB382C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586" w:type="dxa"/>
                  <w:noWrap w:val="0"/>
                  <w:vAlign w:val="center"/>
                </w:tcPr>
                <w:p w14:paraId="48DA28FA">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color w:val="auto"/>
                      <w:sz w:val="18"/>
                      <w:szCs w:val="18"/>
                    </w:rPr>
                  </w:pPr>
                  <w:r>
                    <w:rPr>
                      <w:rFonts w:hint="default" w:ascii="Times New Roman" w:hAnsi="Times New Roman" w:cs="Times New Roman"/>
                      <w:color w:val="auto"/>
                      <w:sz w:val="18"/>
                      <w:szCs w:val="18"/>
                    </w:rPr>
                    <w:drawing>
                      <wp:inline distT="0" distB="0" distL="114300" distR="114300">
                        <wp:extent cx="1430655" cy="1198245"/>
                        <wp:effectExtent l="0" t="0" r="17145" b="1905"/>
                        <wp:docPr id="5" name="图片 5" descr="危废分区贮存标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危废分区贮存标志"/>
                                <pic:cNvPicPr>
                                  <a:picLocks noChangeAspect="1"/>
                                </pic:cNvPicPr>
                              </pic:nvPicPr>
                              <pic:blipFill>
                                <a:blip r:embed="rId32"/>
                                <a:stretch>
                                  <a:fillRect/>
                                </a:stretch>
                              </pic:blipFill>
                              <pic:spPr>
                                <a:xfrm>
                                  <a:off x="0" y="0"/>
                                  <a:ext cx="1430655" cy="1198245"/>
                                </a:xfrm>
                                <a:prstGeom prst="rect">
                                  <a:avLst/>
                                </a:prstGeom>
                                <a:noFill/>
                                <a:ln>
                                  <a:noFill/>
                                </a:ln>
                              </pic:spPr>
                            </pic:pic>
                          </a:graphicData>
                        </a:graphic>
                      </wp:inline>
                    </w:drawing>
                  </w:r>
                </w:p>
              </w:tc>
              <w:tc>
                <w:tcPr>
                  <w:tcW w:w="5373" w:type="dxa"/>
                  <w:noWrap w:val="0"/>
                  <w:vAlign w:val="top"/>
                </w:tcPr>
                <w:p w14:paraId="08995897">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rPr>
                      <w:rFonts w:hint="default" w:ascii="Times New Roman" w:hAnsi="Times New Roman" w:cs="Times New Roman"/>
                      <w:color w:val="auto"/>
                      <w:spacing w:val="-10"/>
                      <w:sz w:val="21"/>
                      <w:szCs w:val="21"/>
                      <w:highlight w:val="none"/>
                      <w:lang w:val="en-US" w:eastAsia="zh-CN"/>
                    </w:rPr>
                  </w:pPr>
                  <w:r>
                    <w:rPr>
                      <w:rFonts w:hint="default" w:ascii="Times New Roman" w:hAnsi="Times New Roman" w:cs="Times New Roman"/>
                      <w:color w:val="auto"/>
                      <w:spacing w:val="-10"/>
                      <w:sz w:val="21"/>
                      <w:szCs w:val="21"/>
                      <w:highlight w:val="none"/>
                      <w:lang w:val="en-US" w:eastAsia="zh-CN"/>
                    </w:rPr>
                    <w:t>危险废物贮存分区标志：</w:t>
                  </w:r>
                </w:p>
                <w:p w14:paraId="73833355">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rPr>
                      <w:rFonts w:hint="default" w:ascii="Times New Roman" w:hAnsi="Times New Roman" w:cs="Times New Roman"/>
                      <w:color w:val="auto"/>
                      <w:spacing w:val="-10"/>
                      <w:sz w:val="21"/>
                      <w:szCs w:val="21"/>
                      <w:highlight w:val="none"/>
                      <w:lang w:val="en-US" w:eastAsia="zh-CN"/>
                    </w:rPr>
                  </w:pPr>
                  <w:r>
                    <w:rPr>
                      <w:rFonts w:hint="default" w:ascii="Times New Roman" w:hAnsi="Times New Roman" w:cs="Times New Roman"/>
                      <w:color w:val="auto"/>
                      <w:spacing w:val="-10"/>
                      <w:sz w:val="21"/>
                      <w:szCs w:val="21"/>
                      <w:highlight w:val="none"/>
                      <w:lang w:val="en-US" w:eastAsia="zh-CN"/>
                    </w:rPr>
                    <w:t>说明：1、危险废物分区标志背景色应采用黄色，废物种类信息应采用醒目的橘黄色，字体颜色为黑色；</w:t>
                  </w:r>
                </w:p>
                <w:p w14:paraId="103D5251">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rPr>
                      <w:rFonts w:hint="default" w:ascii="Times New Roman" w:hAnsi="Times New Roman" w:cs="Times New Roman"/>
                      <w:color w:val="auto"/>
                      <w:spacing w:val="-10"/>
                      <w:sz w:val="21"/>
                      <w:szCs w:val="21"/>
                      <w:highlight w:val="none"/>
                      <w:lang w:val="en-US" w:eastAsia="zh-CN"/>
                    </w:rPr>
                  </w:pPr>
                  <w:r>
                    <w:rPr>
                      <w:rFonts w:hint="default" w:ascii="Times New Roman" w:hAnsi="Times New Roman" w:cs="Times New Roman"/>
                      <w:color w:val="auto"/>
                      <w:spacing w:val="-10"/>
                      <w:sz w:val="21"/>
                      <w:szCs w:val="21"/>
                      <w:highlight w:val="none"/>
                      <w:lang w:val="en-US" w:eastAsia="zh-CN"/>
                    </w:rPr>
                    <w:t>2、危险废物分区标志的字体宜采用黑体字，其中“危险废物贮存分区标志”字样应加粗放大并居中显示；</w:t>
                  </w:r>
                </w:p>
                <w:p w14:paraId="0203FAE5">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rPr>
                      <w:rFonts w:hint="default" w:ascii="Times New Roman" w:hAnsi="Times New Roman" w:cs="Times New Roman"/>
                      <w:color w:val="auto"/>
                      <w:spacing w:val="-10"/>
                      <w:sz w:val="21"/>
                      <w:szCs w:val="21"/>
                      <w:highlight w:val="none"/>
                      <w:lang w:val="en-US" w:eastAsia="zh-CN"/>
                    </w:rPr>
                  </w:pPr>
                  <w:r>
                    <w:rPr>
                      <w:rFonts w:hint="default" w:ascii="Times New Roman" w:hAnsi="Times New Roman" w:cs="Times New Roman"/>
                      <w:color w:val="auto"/>
                      <w:spacing w:val="-10"/>
                      <w:sz w:val="21"/>
                      <w:szCs w:val="21"/>
                      <w:highlight w:val="none"/>
                      <w:lang w:val="en-US" w:eastAsia="zh-CN"/>
                    </w:rPr>
                    <w:t>3、危险废物贮存分区标志的衬底宜采用坚固耐用的材料，并具有耐用性和防水性。废物贮存种类信息等可采用印刷纸张、不粘胶材质或塑料卡片等，以便固定在衬底上。</w:t>
                  </w:r>
                </w:p>
              </w:tc>
            </w:tr>
          </w:tbl>
          <w:p w14:paraId="529F0189">
            <w:pPr>
              <w:keepNext w:val="0"/>
              <w:keepLines w:val="0"/>
              <w:pageBreakBefore w:val="0"/>
              <w:widowControl w:val="0"/>
              <w:kinsoku/>
              <w:wordWrap/>
              <w:overflowPunct/>
              <w:topLinePunct w:val="0"/>
              <w:autoSpaceDE/>
              <w:autoSpaceDN/>
              <w:bidi w:val="0"/>
              <w:adjustRightInd/>
              <w:snapToGrid/>
              <w:spacing w:line="500" w:lineRule="exact"/>
              <w:ind w:firstLine="482" w:firstLineChars="200"/>
              <w:textAlignment w:val="auto"/>
              <w:rPr>
                <w:rFonts w:hint="default" w:ascii="Times New Roman" w:hAnsi="Times New Roman" w:cs="Times New Roman"/>
                <w:b/>
                <w:bCs/>
                <w:lang w:val="en-US" w:eastAsia="zh-CN"/>
              </w:rPr>
            </w:pPr>
            <w:r>
              <w:rPr>
                <w:rFonts w:hint="default" w:ascii="Times New Roman" w:hAnsi="Times New Roman" w:cs="Times New Roman"/>
                <w:b/>
                <w:bCs/>
                <w:lang w:val="en-US" w:eastAsia="zh-CN"/>
              </w:rPr>
              <w:t>5、地下水、土壤影响分析</w:t>
            </w:r>
          </w:p>
          <w:p w14:paraId="2ADA69DE">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（1）地下水环境影响分析</w:t>
            </w:r>
          </w:p>
          <w:p w14:paraId="029486D5">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项目正常情况下，不涉及地下水污染源和污染途径，不会对地下水产生影响。</w:t>
            </w:r>
          </w:p>
          <w:p w14:paraId="193D8E8C">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（2）土壤环境影响分析</w:t>
            </w:r>
          </w:p>
          <w:p w14:paraId="7B901A67">
            <w:pPr>
              <w:keepNext w:val="0"/>
              <w:keepLines w:val="0"/>
              <w:pageBreakBefore w:val="0"/>
              <w:widowControl w:val="0"/>
              <w:kinsoku/>
              <w:wordWrap/>
              <w:overflowPunct/>
              <w:topLinePunct w:val="0"/>
              <w:autoSpaceDE/>
              <w:autoSpaceDN/>
              <w:bidi w:val="0"/>
              <w:spacing w:line="500" w:lineRule="exact"/>
              <w:ind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①土壤污染源、污染物类型和污染途径</w:t>
            </w:r>
          </w:p>
          <w:p w14:paraId="01071FFD">
            <w:pPr>
              <w:keepNext w:val="0"/>
              <w:keepLines w:val="0"/>
              <w:pageBreakBefore w:val="0"/>
              <w:widowControl w:val="0"/>
              <w:kinsoku/>
              <w:wordWrap/>
              <w:overflowPunct/>
              <w:topLinePunct w:val="0"/>
              <w:autoSpaceDE/>
              <w:autoSpaceDN/>
              <w:bidi w:val="0"/>
              <w:spacing w:line="500" w:lineRule="exact"/>
              <w:ind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本项目营运期废气污染物主要为颗粒物，废水主要为</w:t>
            </w:r>
            <w:r>
              <w:rPr>
                <w:rFonts w:hint="eastAsia" w:cs="Times New Roman"/>
                <w:sz w:val="24"/>
                <w:szCs w:val="24"/>
                <w:lang w:val="en-US" w:eastAsia="zh-CN"/>
              </w:rPr>
              <w:t>配煤压滤废水</w:t>
            </w:r>
            <w:r>
              <w:rPr>
                <w:rFonts w:hint="default" w:ascii="Times New Roman" w:hAnsi="Times New Roman" w:cs="Times New Roman"/>
                <w:sz w:val="24"/>
                <w:szCs w:val="24"/>
                <w:lang w:val="en-US" w:eastAsia="zh-CN"/>
              </w:rPr>
              <w:t>、车辆冲洗废水、生活污水、食堂废水等，不外排。</w:t>
            </w:r>
          </w:p>
          <w:p w14:paraId="58BDD313">
            <w:pPr>
              <w:keepNext w:val="0"/>
              <w:keepLines w:val="0"/>
              <w:pageBreakBefore w:val="0"/>
              <w:widowControl w:val="0"/>
              <w:kinsoku/>
              <w:wordWrap/>
              <w:overflowPunct/>
              <w:topLinePunct w:val="0"/>
              <w:autoSpaceDE/>
              <w:autoSpaceDN/>
              <w:bidi w:val="0"/>
              <w:spacing w:line="500" w:lineRule="exact"/>
              <w:ind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本项目建成后对地下水、土壤的污染源主要为设备维护保养过程产生润滑油、废润滑油的储存，可能因泄漏导致垂直入渗污染地下水、土壤。为了保护地下水及土壤资源，确保区域地下水源的水质不受污染。本项目按照</w:t>
            </w:r>
            <w:r>
              <w:rPr>
                <w:rFonts w:hint="default" w:ascii="Times New Roman" w:hAnsi="Times New Roman" w:eastAsia="宋体" w:cs="Times New Roman"/>
                <w:sz w:val="24"/>
                <w:szCs w:val="24"/>
                <w:lang w:val="en-US" w:eastAsia="zh-CN"/>
              </w:rPr>
              <w:t>“源头控制、分区防治、污染监控、应急响应”</w:t>
            </w:r>
            <w:r>
              <w:rPr>
                <w:rFonts w:hint="default" w:ascii="Times New Roman" w:hAnsi="Times New Roman" w:cs="Times New Roman"/>
                <w:sz w:val="24"/>
                <w:szCs w:val="24"/>
                <w:lang w:val="en-US" w:eastAsia="zh-CN"/>
              </w:rPr>
              <w:t>相结合的原则，采用源头控制措施、分区防治措施。尽可能从源头上减少污染物的产生，防止环境污染，严格按照国家相关规范要求，对工艺、管道、设备、构建物采取相应措施，以防止和降低污染物的跑、冒、滴、漏，做好防渗措施，避免由于泄漏造成物料下渗污染地下水。为防止项目建设对地下水和土壤环境造成影响，本项目拟采取以下防渗措施。</w:t>
            </w:r>
          </w:p>
          <w:p w14:paraId="3CC3E3AA">
            <w:pPr>
              <w:keepNext w:val="0"/>
              <w:keepLines w:val="0"/>
              <w:pageBreakBefore w:val="0"/>
              <w:widowControl w:val="0"/>
              <w:kinsoku/>
              <w:wordWrap/>
              <w:overflowPunct/>
              <w:topLinePunct w:val="0"/>
              <w:autoSpaceDE/>
              <w:autoSpaceDN/>
              <w:bidi w:val="0"/>
              <w:spacing w:line="500" w:lineRule="exact"/>
              <w:ind w:firstLine="480" w:firstLineChars="200"/>
              <w:textAlignment w:val="auto"/>
              <w:rPr>
                <w:rFonts w:hint="default" w:ascii="Times New Roman" w:hAnsi="Times New Roman" w:eastAsia="宋体" w:cs="Times New Roman"/>
                <w:sz w:val="24"/>
                <w:szCs w:val="24"/>
                <w:lang w:val="zh-CN" w:eastAsia="zh-CN"/>
              </w:rPr>
            </w:pPr>
            <w:r>
              <w:rPr>
                <w:rFonts w:hint="default" w:ascii="Times New Roman" w:hAnsi="Times New Roman" w:eastAsia="宋体" w:cs="Times New Roman"/>
                <w:sz w:val="24"/>
                <w:szCs w:val="24"/>
                <w:lang w:val="en-US" w:eastAsia="zh-CN"/>
              </w:rPr>
              <w:t>①重点防渗区：危废暂存间应按照《危险废物贮存污染控制标准》(GB18597-2023)要求采取必要的防风、防晒、防雨、防漏、防渗、防腐等措施。危废间地面及裙角采用抗渗混凝土浇筑，防渗层厚度为30cm，危废间设有堵截泄漏的裙脚，面与裙脚采用坚固防渗的材料建造，防渗层为至少1m厚黏土层(渗透系数不大于10</w:t>
            </w:r>
            <w:r>
              <w:rPr>
                <w:rFonts w:hint="default" w:ascii="Times New Roman" w:hAnsi="Times New Roman" w:eastAsia="宋体" w:cs="Times New Roman"/>
                <w:sz w:val="24"/>
                <w:szCs w:val="24"/>
                <w:vertAlign w:val="superscript"/>
                <w:lang w:val="en-US" w:eastAsia="zh-CN"/>
              </w:rPr>
              <w:t>-7</w:t>
            </w:r>
            <w:r>
              <w:rPr>
                <w:rFonts w:hint="default" w:ascii="Times New Roman" w:hAnsi="Times New Roman" w:eastAsia="宋体" w:cs="Times New Roman"/>
                <w:sz w:val="24"/>
                <w:szCs w:val="24"/>
                <w:lang w:val="en-US" w:eastAsia="zh-CN"/>
              </w:rPr>
              <w:t>cm/s)，或至少2mm厚高密度聚乙烯膜等人工防渗材料(渗透系数不大于10</w:t>
            </w:r>
            <w:r>
              <w:rPr>
                <w:rFonts w:hint="default" w:ascii="Times New Roman" w:hAnsi="Times New Roman" w:eastAsia="宋体" w:cs="Times New Roman"/>
                <w:sz w:val="24"/>
                <w:szCs w:val="24"/>
                <w:vertAlign w:val="superscript"/>
                <w:lang w:val="en-US" w:eastAsia="zh-CN"/>
              </w:rPr>
              <w:t>-10</w:t>
            </w:r>
            <w:r>
              <w:rPr>
                <w:rFonts w:hint="default" w:ascii="Times New Roman" w:hAnsi="Times New Roman" w:eastAsia="宋体" w:cs="Times New Roman"/>
                <w:sz w:val="24"/>
                <w:szCs w:val="24"/>
                <w:lang w:val="en-US" w:eastAsia="zh-CN"/>
              </w:rPr>
              <w:t>cm/s)，或其他防渗性能等效的材料。</w:t>
            </w:r>
          </w:p>
          <w:p w14:paraId="04D05423">
            <w:pPr>
              <w:keepNext w:val="0"/>
              <w:keepLines w:val="0"/>
              <w:pageBreakBefore w:val="0"/>
              <w:widowControl w:val="0"/>
              <w:kinsoku/>
              <w:wordWrap/>
              <w:overflowPunct/>
              <w:topLinePunct w:val="0"/>
              <w:autoSpaceDE/>
              <w:autoSpaceDN/>
              <w:bidi w:val="0"/>
              <w:adjustRightInd/>
              <w:snapToGrid/>
              <w:spacing w:line="500" w:lineRule="exact"/>
              <w:ind w:firstLine="480" w:firstLineChars="200"/>
              <w:jc w:val="left"/>
              <w:textAlignment w:val="auto"/>
              <w:outlineLvl w:val="9"/>
              <w:rPr>
                <w:rFonts w:hint="default" w:ascii="Times New Roman" w:hAnsi="Times New Roman" w:eastAsia="宋体" w:cs="Times New Roman"/>
                <w:color w:val="auto"/>
                <w:sz w:val="24"/>
                <w:szCs w:val="24"/>
                <w:highlight w:val="none"/>
                <w:lang w:eastAsia="zh-CN"/>
              </w:rPr>
            </w:pPr>
            <w:r>
              <w:rPr>
                <w:rFonts w:hint="default" w:ascii="Times New Roman" w:hAnsi="Times New Roman" w:eastAsia="宋体" w:cs="Times New Roman"/>
                <w:color w:val="auto"/>
                <w:sz w:val="24"/>
                <w:szCs w:val="24"/>
                <w:highlight w:val="none"/>
                <w:lang w:eastAsia="zh-CN"/>
              </w:rPr>
              <w:t>②一般防渗区：</w:t>
            </w:r>
            <w:r>
              <w:rPr>
                <w:rFonts w:hint="default" w:ascii="Times New Roman" w:hAnsi="Times New Roman" w:cs="Times New Roman"/>
                <w:color w:val="auto"/>
                <w:sz w:val="24"/>
                <w:szCs w:val="24"/>
                <w:highlight w:val="none"/>
                <w:lang w:eastAsia="zh-CN"/>
              </w:rPr>
              <w:t>厂房及库房采用水泥硬化处理</w:t>
            </w:r>
            <w:r>
              <w:rPr>
                <w:rFonts w:hint="default" w:ascii="Times New Roman" w:hAnsi="Times New Roman" w:eastAsia="宋体" w:cs="Times New Roman"/>
                <w:color w:val="auto"/>
                <w:sz w:val="24"/>
                <w:szCs w:val="24"/>
                <w:highlight w:val="none"/>
                <w:lang w:eastAsia="zh-CN"/>
              </w:rPr>
              <w:t>，需满足等效黏土防渗层Mb≥1.5m，K≤1×10</w:t>
            </w:r>
            <w:r>
              <w:rPr>
                <w:rFonts w:hint="default" w:ascii="Times New Roman" w:hAnsi="Times New Roman" w:eastAsia="宋体" w:cs="Times New Roman"/>
                <w:color w:val="auto"/>
                <w:sz w:val="24"/>
                <w:szCs w:val="24"/>
                <w:highlight w:val="none"/>
                <w:vertAlign w:val="superscript"/>
                <w:lang w:eastAsia="zh-CN"/>
              </w:rPr>
              <w:t>-7</w:t>
            </w:r>
            <w:r>
              <w:rPr>
                <w:rFonts w:hint="default" w:ascii="Times New Roman" w:hAnsi="Times New Roman" w:eastAsia="宋体" w:cs="Times New Roman"/>
                <w:color w:val="auto"/>
                <w:sz w:val="24"/>
                <w:szCs w:val="24"/>
                <w:highlight w:val="none"/>
                <w:lang w:eastAsia="zh-CN"/>
              </w:rPr>
              <w:t>cm/s。</w:t>
            </w:r>
            <w:r>
              <w:rPr>
                <w:rFonts w:hint="eastAsia" w:cs="Times New Roman"/>
                <w:sz w:val="24"/>
                <w:szCs w:val="24"/>
                <w:lang w:val="en-US" w:eastAsia="zh-CN"/>
              </w:rPr>
              <w:t>排水沟、</w:t>
            </w:r>
            <w:r>
              <w:rPr>
                <w:rFonts w:hint="default" w:ascii="Times New Roman" w:hAnsi="Times New Roman" w:eastAsia="宋体" w:cs="Times New Roman"/>
                <w:sz w:val="24"/>
                <w:szCs w:val="24"/>
                <w:lang w:val="en-US" w:eastAsia="zh-CN"/>
              </w:rPr>
              <w:t>初期雨水管道，初期雨水沉淀池、清水池等池体</w:t>
            </w:r>
            <w:r>
              <w:rPr>
                <w:rFonts w:hint="default" w:ascii="Times New Roman" w:hAnsi="Times New Roman" w:eastAsia="宋体" w:cs="Times New Roman"/>
                <w:sz w:val="24"/>
                <w:szCs w:val="24"/>
                <w:lang w:val="zh-CN" w:eastAsia="zh-CN"/>
              </w:rPr>
              <w:t>采用防水混凝土结构并结合防水砂浆构建建筑主体，防渗层渗透系数小于</w:t>
            </w:r>
            <w:r>
              <w:rPr>
                <w:rFonts w:hint="default" w:ascii="Times New Roman" w:hAnsi="Times New Roman" w:eastAsia="宋体" w:cs="Times New Roman"/>
                <w:sz w:val="24"/>
                <w:szCs w:val="24"/>
                <w:lang w:val="en-US" w:eastAsia="zh-CN"/>
              </w:rPr>
              <w:t>10</w:t>
            </w:r>
            <w:r>
              <w:rPr>
                <w:rFonts w:hint="default" w:ascii="Times New Roman" w:hAnsi="Times New Roman" w:eastAsia="宋体" w:cs="Times New Roman"/>
                <w:sz w:val="24"/>
                <w:szCs w:val="24"/>
                <w:vertAlign w:val="superscript"/>
                <w:lang w:val="en-US" w:eastAsia="zh-CN"/>
              </w:rPr>
              <w:t>-7</w:t>
            </w:r>
            <w:r>
              <w:rPr>
                <w:rFonts w:hint="default" w:ascii="Times New Roman" w:hAnsi="Times New Roman" w:eastAsia="宋体" w:cs="Times New Roman"/>
                <w:sz w:val="24"/>
                <w:szCs w:val="24"/>
                <w:lang w:val="en-US" w:eastAsia="zh-CN"/>
              </w:rPr>
              <w:t>cm/s。</w:t>
            </w:r>
          </w:p>
          <w:p w14:paraId="482B8A52">
            <w:pPr>
              <w:keepNext w:val="0"/>
              <w:keepLines w:val="0"/>
              <w:pageBreakBefore w:val="0"/>
              <w:widowControl w:val="0"/>
              <w:kinsoku/>
              <w:wordWrap/>
              <w:overflowPunct/>
              <w:topLinePunct w:val="0"/>
              <w:autoSpaceDE/>
              <w:autoSpaceDN/>
              <w:bidi w:val="0"/>
              <w:adjustRightInd w:val="0"/>
              <w:snapToGrid w:val="0"/>
              <w:spacing w:line="500" w:lineRule="exact"/>
              <w:ind w:left="0" w:leftChars="0" w:firstLine="480" w:firstLineChars="200"/>
              <w:jc w:val="left"/>
              <w:textAlignment w:val="auto"/>
              <w:rPr>
                <w:rFonts w:hint="default" w:ascii="Times New Roman" w:hAnsi="Times New Roman"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eastAsia="zh-CN"/>
              </w:rPr>
              <w:t>③简单防渗区：除重点防渗区和一般防渗区之外的其他区域地面硬化即可。</w:t>
            </w:r>
          </w:p>
          <w:p w14:paraId="0C5932F5">
            <w:pPr>
              <w:keepNext w:val="0"/>
              <w:keepLines w:val="0"/>
              <w:pageBreakBefore w:val="0"/>
              <w:widowControl w:val="0"/>
              <w:kinsoku/>
              <w:wordWrap/>
              <w:overflowPunct/>
              <w:topLinePunct w:val="0"/>
              <w:autoSpaceDE/>
              <w:autoSpaceDN/>
              <w:bidi w:val="0"/>
              <w:adjustRightInd w:val="0"/>
              <w:snapToGrid w:val="0"/>
              <w:spacing w:line="500" w:lineRule="exact"/>
              <w:ind w:left="0" w:leftChars="0" w:firstLine="480" w:firstLineChars="200"/>
              <w:textAlignment w:val="auto"/>
              <w:rPr>
                <w:rFonts w:hint="default" w:ascii="Times New Roman" w:hAnsi="Times New Roman" w:cs="Times New Roman"/>
                <w:color w:val="auto"/>
                <w:szCs w:val="21"/>
              </w:rPr>
            </w:pPr>
            <w:r>
              <w:rPr>
                <w:rFonts w:hint="default" w:ascii="Times New Roman" w:hAnsi="Times New Roman" w:eastAsia="宋体" w:cs="Times New Roman"/>
                <w:color w:val="auto"/>
                <w:sz w:val="24"/>
                <w:szCs w:val="24"/>
                <w:highlight w:val="none"/>
                <w:lang w:eastAsia="zh-CN"/>
              </w:rPr>
              <w:t>采取上述措施后，项目的建设不会对土壤环境及地下水环境影响</w:t>
            </w:r>
            <w:r>
              <w:rPr>
                <w:rFonts w:hint="default" w:ascii="Times New Roman" w:hAnsi="Times New Roman"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lang w:eastAsia="zh-CN"/>
              </w:rPr>
              <w:t>项目无对地下水及土壤的影响途径，项目的建设不会对土壤环境及地下水环境产生影响。</w:t>
            </w:r>
          </w:p>
          <w:p w14:paraId="3F960921">
            <w:pPr>
              <w:keepNext w:val="0"/>
              <w:keepLines w:val="0"/>
              <w:pageBreakBefore w:val="0"/>
              <w:widowControl w:val="0"/>
              <w:kinsoku/>
              <w:wordWrap/>
              <w:overflowPunct/>
              <w:topLinePunct w:val="0"/>
              <w:autoSpaceDE/>
              <w:autoSpaceDN/>
              <w:bidi w:val="0"/>
              <w:adjustRightInd/>
              <w:snapToGrid/>
              <w:spacing w:line="500" w:lineRule="exact"/>
              <w:ind w:firstLine="482" w:firstLineChars="200"/>
              <w:textAlignment w:val="auto"/>
              <w:rPr>
                <w:rFonts w:hint="default" w:ascii="Times New Roman" w:hAnsi="Times New Roman" w:cs="Times New Roman"/>
                <w:b/>
                <w:bCs/>
              </w:rPr>
            </w:pPr>
            <w:r>
              <w:rPr>
                <w:rFonts w:hint="default" w:ascii="Times New Roman" w:hAnsi="Times New Roman" w:cs="Times New Roman"/>
                <w:b/>
                <w:bCs/>
                <w:lang w:val="en-US" w:eastAsia="zh-CN"/>
              </w:rPr>
              <w:t>6</w:t>
            </w:r>
            <w:r>
              <w:rPr>
                <w:rFonts w:hint="default" w:ascii="Times New Roman" w:hAnsi="Times New Roman" w:cs="Times New Roman"/>
                <w:b/>
                <w:bCs/>
              </w:rPr>
              <w:t>、生态</w:t>
            </w:r>
          </w:p>
          <w:p w14:paraId="62081D74">
            <w:pPr>
              <w:keepNext w:val="0"/>
              <w:keepLines w:val="0"/>
              <w:pageBreakBefore w:val="0"/>
              <w:widowControl w:val="0"/>
              <w:kinsoku/>
              <w:wordWrap/>
              <w:overflowPunct/>
              <w:topLinePunct w:val="0"/>
              <w:autoSpaceDE/>
              <w:autoSpaceDN/>
              <w:bidi w:val="0"/>
              <w:adjustRightInd w:val="0"/>
              <w:snapToGrid w:val="0"/>
              <w:spacing w:line="500" w:lineRule="exact"/>
              <w:ind w:firstLine="480" w:firstLineChars="200"/>
              <w:textAlignment w:val="auto"/>
              <w:rPr>
                <w:rFonts w:hint="default" w:ascii="Times New Roman" w:hAnsi="Times New Roman" w:cs="Times New Roman"/>
                <w:b/>
                <w:kern w:val="0"/>
                <w:sz w:val="28"/>
                <w:szCs w:val="28"/>
                <w:highlight w:val="none"/>
                <w:vertAlign w:val="baseline"/>
                <w:lang w:val="en-US" w:eastAsia="zh-CN"/>
              </w:rPr>
            </w:pPr>
            <w:r>
              <w:rPr>
                <w:rFonts w:hint="default" w:ascii="Times New Roman" w:hAnsi="Times New Roman" w:cs="Times New Roman"/>
                <w:b w:val="0"/>
                <w:bCs/>
                <w:color w:val="auto"/>
                <w:sz w:val="24"/>
                <w:szCs w:val="24"/>
              </w:rPr>
              <w:t>项目利用园区空地进行建设，不涉及产业园区外新增占地，用地范围内无生态环境保护目标，项目实施后通过绿化，能够使生态环境得到一定恢复和补偿。</w:t>
            </w:r>
          </w:p>
          <w:p w14:paraId="6A7C1162">
            <w:pPr>
              <w:keepNext w:val="0"/>
              <w:keepLines w:val="0"/>
              <w:pageBreakBefore w:val="0"/>
              <w:widowControl w:val="0"/>
              <w:kinsoku/>
              <w:wordWrap/>
              <w:overflowPunct/>
              <w:topLinePunct w:val="0"/>
              <w:autoSpaceDE/>
              <w:autoSpaceDN/>
              <w:bidi w:val="0"/>
              <w:adjustRightInd/>
              <w:snapToGrid/>
              <w:spacing w:line="500" w:lineRule="exact"/>
              <w:ind w:firstLine="482" w:firstLineChars="200"/>
              <w:textAlignment w:val="auto"/>
              <w:rPr>
                <w:rFonts w:hint="default" w:ascii="Times New Roman" w:hAnsi="Times New Roman" w:cs="Times New Roman"/>
                <w:b/>
                <w:bCs/>
                <w:sz w:val="24"/>
                <w:szCs w:val="32"/>
                <w:lang w:val="en-US" w:eastAsia="zh-CN"/>
              </w:rPr>
            </w:pPr>
            <w:r>
              <w:rPr>
                <w:rFonts w:hint="default" w:ascii="Times New Roman" w:hAnsi="Times New Roman" w:cs="Times New Roman"/>
                <w:b/>
                <w:bCs/>
                <w:sz w:val="24"/>
                <w:szCs w:val="32"/>
                <w:lang w:val="en-US" w:eastAsia="zh-CN"/>
              </w:rPr>
              <w:t>7、环境风险</w:t>
            </w:r>
          </w:p>
          <w:p w14:paraId="6DF25AD1">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default" w:ascii="Times New Roman" w:hAnsi="Times New Roman" w:cs="Times New Roman"/>
                <w:lang w:val="en-US" w:eastAsia="zh-CN"/>
              </w:rPr>
            </w:pPr>
            <w:r>
              <w:rPr>
                <w:rFonts w:hint="default" w:ascii="Times New Roman" w:hAnsi="Times New Roman" w:cs="Times New Roman"/>
                <w:sz w:val="24"/>
                <w:szCs w:val="32"/>
                <w:lang w:val="en-US" w:eastAsia="zh-CN"/>
              </w:rPr>
              <w:t>本项目涉及到的风险物质主要为润滑油、废润滑油、废油桶。</w:t>
            </w:r>
          </w:p>
          <w:p w14:paraId="7A1956C4">
            <w:pPr>
              <w:keepNext w:val="0"/>
              <w:keepLines w:val="0"/>
              <w:pageBreakBefore w:val="0"/>
              <w:widowControl w:val="0"/>
              <w:tabs>
                <w:tab w:val="left" w:pos="3616"/>
              </w:tabs>
              <w:kinsoku/>
              <w:wordWrap/>
              <w:overflowPunct/>
              <w:topLinePunct w:val="0"/>
              <w:autoSpaceDE/>
              <w:autoSpaceDN/>
              <w:bidi w:val="0"/>
              <w:adjustRightInd/>
              <w:snapToGrid/>
              <w:spacing w:line="480" w:lineRule="exact"/>
              <w:jc w:val="center"/>
              <w:textAlignment w:val="auto"/>
              <w:rPr>
                <w:rFonts w:hint="default"/>
                <w:b/>
                <w:bCs/>
                <w:sz w:val="24"/>
                <w:szCs w:val="32"/>
                <w:lang w:val="en-US" w:eastAsia="zh-CN"/>
              </w:rPr>
            </w:pPr>
            <w:r>
              <w:rPr>
                <w:rFonts w:hint="eastAsia"/>
                <w:b/>
                <w:bCs/>
                <w:sz w:val="24"/>
                <w:szCs w:val="32"/>
                <w:lang w:val="en-US" w:eastAsia="zh-CN"/>
              </w:rPr>
              <w:t>表4-17 风险物质一览表</w:t>
            </w:r>
          </w:p>
          <w:tbl>
            <w:tblPr>
              <w:tblStyle w:val="26"/>
              <w:tblW w:w="4998" w:type="pct"/>
              <w:tblInd w:w="1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70"/>
              <w:gridCol w:w="2025"/>
              <w:gridCol w:w="1920"/>
              <w:gridCol w:w="1696"/>
              <w:gridCol w:w="1697"/>
            </w:tblGrid>
            <w:tr w14:paraId="38A30E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30" w:type="pct"/>
                  <w:tcBorders>
                    <w:tl2br w:val="nil"/>
                    <w:tr2bl w:val="nil"/>
                  </w:tcBorders>
                  <w:noWrap w:val="0"/>
                  <w:vAlign w:val="center"/>
                </w:tcPr>
                <w:p w14:paraId="6CA6196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sz w:val="21"/>
                      <w:szCs w:val="21"/>
                      <w:highlight w:val="none"/>
                      <w:lang w:val="en-US" w:eastAsia="zh-CN"/>
                    </w:rPr>
                  </w:pPr>
                  <w:r>
                    <w:rPr>
                      <w:rFonts w:hint="eastAsia"/>
                      <w:sz w:val="21"/>
                      <w:szCs w:val="21"/>
                      <w:highlight w:val="none"/>
                      <w:lang w:val="en-US" w:eastAsia="zh-CN"/>
                    </w:rPr>
                    <w:t>序号</w:t>
                  </w:r>
                </w:p>
              </w:tc>
              <w:tc>
                <w:tcPr>
                  <w:tcW w:w="1233" w:type="pct"/>
                  <w:tcBorders>
                    <w:tl2br w:val="nil"/>
                    <w:tr2bl w:val="nil"/>
                  </w:tcBorders>
                  <w:noWrap w:val="0"/>
                  <w:vAlign w:val="center"/>
                </w:tcPr>
                <w:p w14:paraId="28ECEB6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sz w:val="21"/>
                      <w:szCs w:val="21"/>
                      <w:highlight w:val="none"/>
                      <w:lang w:val="en-US" w:eastAsia="zh-CN"/>
                    </w:rPr>
                  </w:pPr>
                  <w:r>
                    <w:rPr>
                      <w:rFonts w:hint="eastAsia"/>
                      <w:sz w:val="21"/>
                      <w:szCs w:val="21"/>
                      <w:highlight w:val="none"/>
                      <w:lang w:val="en-US" w:eastAsia="zh-CN"/>
                    </w:rPr>
                    <w:t>危险物质名称</w:t>
                  </w:r>
                </w:p>
              </w:tc>
              <w:tc>
                <w:tcPr>
                  <w:tcW w:w="1169" w:type="pct"/>
                  <w:tcBorders>
                    <w:tl2br w:val="nil"/>
                    <w:tr2bl w:val="nil"/>
                  </w:tcBorders>
                  <w:noWrap w:val="0"/>
                  <w:vAlign w:val="center"/>
                </w:tcPr>
                <w:p w14:paraId="7669BF1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sz w:val="21"/>
                      <w:szCs w:val="21"/>
                      <w:highlight w:val="none"/>
                      <w:lang w:val="en-US" w:eastAsia="zh-CN"/>
                    </w:rPr>
                  </w:pPr>
                  <w:r>
                    <w:rPr>
                      <w:rFonts w:hint="eastAsia"/>
                      <w:sz w:val="21"/>
                      <w:szCs w:val="21"/>
                      <w:highlight w:val="none"/>
                      <w:lang w:val="en-US" w:eastAsia="zh-CN"/>
                    </w:rPr>
                    <w:t>最大储量q</w:t>
                  </w:r>
                  <w:r>
                    <w:rPr>
                      <w:rFonts w:hint="eastAsia"/>
                      <w:sz w:val="21"/>
                      <w:szCs w:val="21"/>
                      <w:highlight w:val="none"/>
                      <w:vertAlign w:val="subscript"/>
                      <w:lang w:val="en-US" w:eastAsia="zh-CN"/>
                    </w:rPr>
                    <w:t>n</w:t>
                  </w:r>
                  <w:r>
                    <w:rPr>
                      <w:rFonts w:hint="eastAsia"/>
                      <w:sz w:val="21"/>
                      <w:szCs w:val="21"/>
                      <w:highlight w:val="none"/>
                      <w:lang w:val="en-US" w:eastAsia="zh-CN"/>
                    </w:rPr>
                    <w:t>/t</w:t>
                  </w:r>
                </w:p>
              </w:tc>
              <w:tc>
                <w:tcPr>
                  <w:tcW w:w="1033" w:type="pct"/>
                  <w:tcBorders>
                    <w:tl2br w:val="nil"/>
                    <w:tr2bl w:val="nil"/>
                  </w:tcBorders>
                  <w:noWrap w:val="0"/>
                  <w:vAlign w:val="center"/>
                </w:tcPr>
                <w:p w14:paraId="04F1D8A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sz w:val="21"/>
                      <w:szCs w:val="21"/>
                      <w:highlight w:val="none"/>
                      <w:lang w:val="en-US" w:eastAsia="zh-CN"/>
                    </w:rPr>
                  </w:pPr>
                  <w:r>
                    <w:rPr>
                      <w:rFonts w:hint="eastAsia"/>
                      <w:sz w:val="21"/>
                      <w:szCs w:val="21"/>
                      <w:highlight w:val="none"/>
                      <w:lang w:val="en-US" w:eastAsia="zh-CN"/>
                    </w:rPr>
                    <w:t>临界量Q</w:t>
                  </w:r>
                  <w:r>
                    <w:rPr>
                      <w:rFonts w:hint="eastAsia"/>
                      <w:sz w:val="21"/>
                      <w:szCs w:val="21"/>
                      <w:highlight w:val="none"/>
                      <w:vertAlign w:val="subscript"/>
                      <w:lang w:val="en-US" w:eastAsia="zh-CN"/>
                    </w:rPr>
                    <w:t>n</w:t>
                  </w:r>
                  <w:r>
                    <w:rPr>
                      <w:rFonts w:hint="eastAsia"/>
                      <w:sz w:val="21"/>
                      <w:szCs w:val="21"/>
                      <w:highlight w:val="none"/>
                      <w:lang w:val="en-US" w:eastAsia="zh-CN"/>
                    </w:rPr>
                    <w:t>/t</w:t>
                  </w:r>
                </w:p>
              </w:tc>
              <w:tc>
                <w:tcPr>
                  <w:tcW w:w="1033" w:type="pct"/>
                  <w:tcBorders>
                    <w:tl2br w:val="nil"/>
                    <w:tr2bl w:val="nil"/>
                  </w:tcBorders>
                  <w:noWrap w:val="0"/>
                  <w:vAlign w:val="center"/>
                </w:tcPr>
                <w:p w14:paraId="36C0A20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sz w:val="21"/>
                      <w:szCs w:val="21"/>
                      <w:highlight w:val="none"/>
                      <w:vertAlign w:val="subscript"/>
                      <w:lang w:val="en-US" w:eastAsia="zh-CN"/>
                    </w:rPr>
                  </w:pPr>
                  <w:r>
                    <w:rPr>
                      <w:rFonts w:hint="eastAsia"/>
                      <w:sz w:val="21"/>
                      <w:szCs w:val="21"/>
                      <w:highlight w:val="none"/>
                      <w:vertAlign w:val="baseline"/>
                      <w:lang w:val="en-US" w:eastAsia="zh-CN"/>
                    </w:rPr>
                    <w:t>q</w:t>
                  </w:r>
                  <w:r>
                    <w:rPr>
                      <w:rFonts w:hint="eastAsia"/>
                      <w:sz w:val="21"/>
                      <w:szCs w:val="21"/>
                      <w:highlight w:val="none"/>
                      <w:vertAlign w:val="subscript"/>
                      <w:lang w:val="en-US" w:eastAsia="zh-CN"/>
                    </w:rPr>
                    <w:t>n</w:t>
                  </w:r>
                  <w:r>
                    <w:rPr>
                      <w:rFonts w:hint="eastAsia"/>
                      <w:sz w:val="21"/>
                      <w:szCs w:val="21"/>
                      <w:highlight w:val="none"/>
                      <w:vertAlign w:val="baseline"/>
                      <w:lang w:val="en-US" w:eastAsia="zh-CN"/>
                    </w:rPr>
                    <w:t>/Q</w:t>
                  </w:r>
                  <w:r>
                    <w:rPr>
                      <w:rFonts w:hint="eastAsia"/>
                      <w:sz w:val="21"/>
                      <w:szCs w:val="21"/>
                      <w:highlight w:val="none"/>
                      <w:vertAlign w:val="subscript"/>
                      <w:lang w:val="en-US" w:eastAsia="zh-CN"/>
                    </w:rPr>
                    <w:t>n</w:t>
                  </w:r>
                </w:p>
              </w:tc>
            </w:tr>
            <w:tr w14:paraId="04D27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30" w:type="pct"/>
                  <w:tcBorders>
                    <w:tl2br w:val="nil"/>
                    <w:tr2bl w:val="nil"/>
                  </w:tcBorders>
                  <w:noWrap w:val="0"/>
                  <w:vAlign w:val="center"/>
                </w:tcPr>
                <w:p w14:paraId="36FF891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sz w:val="21"/>
                      <w:szCs w:val="21"/>
                      <w:highlight w:val="none"/>
                      <w:lang w:val="en-US" w:eastAsia="zh-CN"/>
                    </w:rPr>
                  </w:pPr>
                  <w:r>
                    <w:rPr>
                      <w:rFonts w:hint="eastAsia"/>
                      <w:sz w:val="21"/>
                      <w:szCs w:val="21"/>
                      <w:highlight w:val="none"/>
                      <w:lang w:val="en-US" w:eastAsia="zh-CN"/>
                    </w:rPr>
                    <w:t>1</w:t>
                  </w:r>
                </w:p>
              </w:tc>
              <w:tc>
                <w:tcPr>
                  <w:tcW w:w="1233" w:type="pct"/>
                  <w:tcBorders>
                    <w:tl2br w:val="nil"/>
                    <w:tr2bl w:val="nil"/>
                  </w:tcBorders>
                  <w:noWrap w:val="0"/>
                  <w:vAlign w:val="center"/>
                </w:tcPr>
                <w:p w14:paraId="79238B9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
                      <w:sz w:val="21"/>
                      <w:szCs w:val="24"/>
                      <w:highlight w:val="none"/>
                      <w:lang w:val="en-US" w:eastAsia="zh-CN" w:bidi="ar-SA"/>
                    </w:rPr>
                  </w:pPr>
                  <w:r>
                    <w:rPr>
                      <w:rFonts w:hint="eastAsia"/>
                      <w:sz w:val="21"/>
                      <w:szCs w:val="24"/>
                      <w:highlight w:val="none"/>
                      <w:lang w:val="en-US" w:eastAsia="zh-CN"/>
                    </w:rPr>
                    <w:t>润滑油</w:t>
                  </w:r>
                </w:p>
              </w:tc>
              <w:tc>
                <w:tcPr>
                  <w:tcW w:w="1169" w:type="pct"/>
                  <w:tcBorders>
                    <w:tl2br w:val="nil"/>
                    <w:tr2bl w:val="nil"/>
                  </w:tcBorders>
                  <w:noWrap w:val="0"/>
                  <w:vAlign w:val="center"/>
                </w:tcPr>
                <w:p w14:paraId="106D4C9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
                      <w:sz w:val="21"/>
                      <w:szCs w:val="24"/>
                      <w:highlight w:val="none"/>
                      <w:lang w:val="en-US" w:eastAsia="zh-CN" w:bidi="ar-SA"/>
                    </w:rPr>
                  </w:pPr>
                  <w:r>
                    <w:rPr>
                      <w:rFonts w:hint="eastAsia" w:cs="Times New Roman"/>
                      <w:kern w:val="2"/>
                      <w:sz w:val="21"/>
                      <w:szCs w:val="24"/>
                      <w:highlight w:val="none"/>
                      <w:lang w:val="en-US" w:eastAsia="zh-CN" w:bidi="ar-SA"/>
                    </w:rPr>
                    <w:t>1</w:t>
                  </w:r>
                </w:p>
              </w:tc>
              <w:tc>
                <w:tcPr>
                  <w:tcW w:w="1033" w:type="pct"/>
                  <w:tcBorders>
                    <w:tl2br w:val="nil"/>
                    <w:tr2bl w:val="nil"/>
                  </w:tcBorders>
                  <w:noWrap w:val="0"/>
                  <w:vAlign w:val="center"/>
                </w:tcPr>
                <w:p w14:paraId="198BFEB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kern w:val="2"/>
                      <w:sz w:val="21"/>
                      <w:szCs w:val="21"/>
                      <w:highlight w:val="none"/>
                      <w:lang w:val="en-US" w:eastAsia="zh-CN" w:bidi="ar-SA"/>
                    </w:rPr>
                  </w:pPr>
                  <w:r>
                    <w:rPr>
                      <w:rFonts w:hint="eastAsia"/>
                      <w:kern w:val="2"/>
                      <w:sz w:val="21"/>
                      <w:szCs w:val="21"/>
                      <w:highlight w:val="none"/>
                      <w:lang w:val="en-US" w:eastAsia="zh-CN" w:bidi="ar-SA"/>
                    </w:rPr>
                    <w:t>2500</w:t>
                  </w:r>
                </w:p>
              </w:tc>
              <w:tc>
                <w:tcPr>
                  <w:tcW w:w="1033" w:type="pct"/>
                  <w:tcBorders>
                    <w:tl2br w:val="nil"/>
                    <w:tr2bl w:val="nil"/>
                  </w:tcBorders>
                  <w:noWrap w:val="0"/>
                  <w:vAlign w:val="center"/>
                </w:tcPr>
                <w:p w14:paraId="163EA20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sz w:val="21"/>
                      <w:szCs w:val="21"/>
                      <w:highlight w:val="none"/>
                      <w:lang w:val="en-US" w:eastAsia="zh-CN"/>
                    </w:rPr>
                  </w:pPr>
                  <w:r>
                    <w:rPr>
                      <w:rFonts w:hint="default"/>
                      <w:sz w:val="21"/>
                      <w:szCs w:val="21"/>
                      <w:highlight w:val="none"/>
                      <w:lang w:val="en-US" w:eastAsia="zh-CN"/>
                    </w:rPr>
                    <w:t>0.0004</w:t>
                  </w:r>
                </w:p>
              </w:tc>
            </w:tr>
            <w:tr w14:paraId="1625CD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30" w:type="pct"/>
                  <w:tcBorders>
                    <w:tl2br w:val="nil"/>
                    <w:tr2bl w:val="nil"/>
                  </w:tcBorders>
                  <w:noWrap w:val="0"/>
                  <w:vAlign w:val="center"/>
                </w:tcPr>
                <w:p w14:paraId="2896999F">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sz w:val="21"/>
                      <w:szCs w:val="21"/>
                      <w:highlight w:val="none"/>
                      <w:lang w:val="en-US" w:eastAsia="zh-CN"/>
                    </w:rPr>
                  </w:pPr>
                  <w:r>
                    <w:rPr>
                      <w:rFonts w:hint="eastAsia"/>
                      <w:sz w:val="21"/>
                      <w:szCs w:val="21"/>
                      <w:highlight w:val="none"/>
                      <w:lang w:val="en-US" w:eastAsia="zh-CN"/>
                    </w:rPr>
                    <w:t>2</w:t>
                  </w:r>
                </w:p>
              </w:tc>
              <w:tc>
                <w:tcPr>
                  <w:tcW w:w="1233" w:type="pct"/>
                  <w:tcBorders>
                    <w:tl2br w:val="nil"/>
                    <w:tr2bl w:val="nil"/>
                  </w:tcBorders>
                  <w:noWrap w:val="0"/>
                  <w:vAlign w:val="center"/>
                </w:tcPr>
                <w:p w14:paraId="2133DD5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sz w:val="21"/>
                      <w:szCs w:val="24"/>
                      <w:highlight w:val="none"/>
                      <w:lang w:val="en-US" w:eastAsia="zh-CN"/>
                    </w:rPr>
                  </w:pPr>
                  <w:r>
                    <w:rPr>
                      <w:rFonts w:hint="eastAsia"/>
                      <w:sz w:val="21"/>
                      <w:szCs w:val="24"/>
                      <w:highlight w:val="none"/>
                      <w:lang w:val="en-US" w:eastAsia="zh-CN"/>
                    </w:rPr>
                    <w:t>废润滑油</w:t>
                  </w:r>
                </w:p>
              </w:tc>
              <w:tc>
                <w:tcPr>
                  <w:tcW w:w="1169" w:type="pct"/>
                  <w:tcBorders>
                    <w:tl2br w:val="nil"/>
                    <w:tr2bl w:val="nil"/>
                  </w:tcBorders>
                  <w:noWrap w:val="0"/>
                  <w:vAlign w:val="center"/>
                </w:tcPr>
                <w:p w14:paraId="40B8483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kern w:val="2"/>
                      <w:sz w:val="21"/>
                      <w:szCs w:val="24"/>
                      <w:highlight w:val="none"/>
                      <w:lang w:val="en-US" w:eastAsia="zh-CN" w:bidi="ar-SA"/>
                    </w:rPr>
                  </w:pPr>
                  <w:r>
                    <w:rPr>
                      <w:rFonts w:hint="eastAsia" w:cs="Times New Roman"/>
                      <w:kern w:val="2"/>
                      <w:sz w:val="21"/>
                      <w:szCs w:val="24"/>
                      <w:highlight w:val="none"/>
                      <w:lang w:val="en-US" w:eastAsia="zh-CN" w:bidi="ar-SA"/>
                    </w:rPr>
                    <w:t>0.25</w:t>
                  </w:r>
                </w:p>
              </w:tc>
              <w:tc>
                <w:tcPr>
                  <w:tcW w:w="1033" w:type="pct"/>
                  <w:tcBorders>
                    <w:tl2br w:val="nil"/>
                    <w:tr2bl w:val="nil"/>
                  </w:tcBorders>
                  <w:noWrap w:val="0"/>
                  <w:vAlign w:val="center"/>
                </w:tcPr>
                <w:p w14:paraId="306E110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kern w:val="2"/>
                      <w:sz w:val="21"/>
                      <w:szCs w:val="21"/>
                      <w:highlight w:val="none"/>
                      <w:lang w:val="en-US" w:eastAsia="zh-CN" w:bidi="ar-SA"/>
                    </w:rPr>
                  </w:pPr>
                  <w:r>
                    <w:rPr>
                      <w:rFonts w:hint="eastAsia"/>
                      <w:kern w:val="2"/>
                      <w:sz w:val="21"/>
                      <w:szCs w:val="21"/>
                      <w:highlight w:val="none"/>
                      <w:lang w:val="en-US" w:eastAsia="zh-CN" w:bidi="ar-SA"/>
                    </w:rPr>
                    <w:t>100</w:t>
                  </w:r>
                </w:p>
              </w:tc>
              <w:tc>
                <w:tcPr>
                  <w:tcW w:w="1033" w:type="pct"/>
                  <w:tcBorders>
                    <w:tl2br w:val="nil"/>
                    <w:tr2bl w:val="nil"/>
                  </w:tcBorders>
                  <w:noWrap w:val="0"/>
                  <w:vAlign w:val="center"/>
                </w:tcPr>
                <w:p w14:paraId="55B1EB1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sz w:val="21"/>
                      <w:szCs w:val="21"/>
                      <w:highlight w:val="none"/>
                      <w:lang w:val="en-US" w:eastAsia="zh-CN"/>
                    </w:rPr>
                  </w:pPr>
                  <w:r>
                    <w:rPr>
                      <w:rFonts w:hint="default"/>
                      <w:sz w:val="21"/>
                      <w:szCs w:val="21"/>
                      <w:highlight w:val="none"/>
                      <w:lang w:val="en-US" w:eastAsia="zh-CN"/>
                    </w:rPr>
                    <w:t>0.00</w:t>
                  </w:r>
                  <w:r>
                    <w:rPr>
                      <w:rFonts w:hint="eastAsia"/>
                      <w:sz w:val="21"/>
                      <w:szCs w:val="21"/>
                      <w:highlight w:val="none"/>
                      <w:lang w:val="en-US" w:eastAsia="zh-CN"/>
                    </w:rPr>
                    <w:t>25</w:t>
                  </w:r>
                </w:p>
              </w:tc>
            </w:tr>
            <w:tr w14:paraId="0BCFE9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trPr>
              <w:tc>
                <w:tcPr>
                  <w:tcW w:w="530" w:type="pct"/>
                  <w:tcBorders>
                    <w:tl2br w:val="nil"/>
                    <w:tr2bl w:val="nil"/>
                  </w:tcBorders>
                  <w:noWrap w:val="0"/>
                  <w:vAlign w:val="center"/>
                </w:tcPr>
                <w:p w14:paraId="595D782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sz w:val="21"/>
                      <w:szCs w:val="21"/>
                      <w:highlight w:val="none"/>
                      <w:lang w:val="en-US" w:eastAsia="zh-CN"/>
                    </w:rPr>
                  </w:pPr>
                  <w:r>
                    <w:rPr>
                      <w:rFonts w:hint="eastAsia"/>
                      <w:sz w:val="21"/>
                      <w:szCs w:val="21"/>
                      <w:highlight w:val="none"/>
                      <w:lang w:val="en-US" w:eastAsia="zh-CN"/>
                    </w:rPr>
                    <w:t>3</w:t>
                  </w:r>
                </w:p>
              </w:tc>
              <w:tc>
                <w:tcPr>
                  <w:tcW w:w="1233" w:type="pct"/>
                  <w:tcBorders>
                    <w:tl2br w:val="nil"/>
                    <w:tr2bl w:val="nil"/>
                  </w:tcBorders>
                  <w:noWrap w:val="0"/>
                  <w:vAlign w:val="center"/>
                </w:tcPr>
                <w:p w14:paraId="3421957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sz w:val="21"/>
                      <w:szCs w:val="24"/>
                      <w:highlight w:val="none"/>
                      <w:lang w:val="en-US" w:eastAsia="zh-CN"/>
                    </w:rPr>
                  </w:pPr>
                  <w:r>
                    <w:rPr>
                      <w:rFonts w:hint="eastAsia"/>
                      <w:sz w:val="21"/>
                      <w:szCs w:val="24"/>
                      <w:highlight w:val="none"/>
                      <w:lang w:val="en-US" w:eastAsia="zh-CN"/>
                    </w:rPr>
                    <w:t>废油桶</w:t>
                  </w:r>
                </w:p>
              </w:tc>
              <w:tc>
                <w:tcPr>
                  <w:tcW w:w="1169" w:type="pct"/>
                  <w:tcBorders>
                    <w:tl2br w:val="nil"/>
                    <w:tr2bl w:val="nil"/>
                  </w:tcBorders>
                  <w:noWrap w:val="0"/>
                  <w:vAlign w:val="center"/>
                </w:tcPr>
                <w:p w14:paraId="729E5DA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sz w:val="21"/>
                      <w:szCs w:val="24"/>
                      <w:highlight w:val="none"/>
                      <w:lang w:val="en-US" w:eastAsia="zh-CN"/>
                    </w:rPr>
                  </w:pPr>
                  <w:r>
                    <w:rPr>
                      <w:rFonts w:hint="eastAsia"/>
                      <w:sz w:val="21"/>
                      <w:szCs w:val="24"/>
                      <w:highlight w:val="none"/>
                      <w:lang w:val="en-US" w:eastAsia="zh-CN"/>
                    </w:rPr>
                    <w:t>0.1</w:t>
                  </w:r>
                </w:p>
              </w:tc>
              <w:tc>
                <w:tcPr>
                  <w:tcW w:w="1033" w:type="pct"/>
                  <w:tcBorders>
                    <w:tl2br w:val="nil"/>
                    <w:tr2bl w:val="nil"/>
                  </w:tcBorders>
                  <w:noWrap w:val="0"/>
                  <w:vAlign w:val="center"/>
                </w:tcPr>
                <w:p w14:paraId="1A18516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sz w:val="21"/>
                      <w:szCs w:val="21"/>
                      <w:highlight w:val="none"/>
                      <w:lang w:val="en-US" w:eastAsia="zh-CN"/>
                    </w:rPr>
                  </w:pPr>
                  <w:r>
                    <w:rPr>
                      <w:rFonts w:hint="eastAsia"/>
                      <w:sz w:val="21"/>
                      <w:szCs w:val="21"/>
                      <w:highlight w:val="none"/>
                      <w:lang w:val="en-US" w:eastAsia="zh-CN"/>
                    </w:rPr>
                    <w:t>50</w:t>
                  </w:r>
                </w:p>
              </w:tc>
              <w:tc>
                <w:tcPr>
                  <w:tcW w:w="1033" w:type="pct"/>
                  <w:tcBorders>
                    <w:tl2br w:val="nil"/>
                    <w:tr2bl w:val="nil"/>
                  </w:tcBorders>
                  <w:noWrap w:val="0"/>
                  <w:vAlign w:val="center"/>
                </w:tcPr>
                <w:p w14:paraId="478D487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sz w:val="21"/>
                      <w:szCs w:val="21"/>
                      <w:highlight w:val="none"/>
                      <w:lang w:val="en-US" w:eastAsia="zh-CN"/>
                    </w:rPr>
                  </w:pPr>
                  <w:r>
                    <w:rPr>
                      <w:rFonts w:hint="default"/>
                      <w:sz w:val="21"/>
                      <w:szCs w:val="21"/>
                      <w:highlight w:val="none"/>
                      <w:lang w:val="en-US" w:eastAsia="zh-CN"/>
                    </w:rPr>
                    <w:t>0.002</w:t>
                  </w:r>
                </w:p>
              </w:tc>
            </w:tr>
            <w:tr w14:paraId="718D44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30" w:type="pct"/>
                  <w:tcBorders>
                    <w:tl2br w:val="nil"/>
                    <w:tr2bl w:val="nil"/>
                  </w:tcBorders>
                  <w:noWrap w:val="0"/>
                  <w:vAlign w:val="center"/>
                </w:tcPr>
                <w:p w14:paraId="66FE3BEF">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sz w:val="21"/>
                      <w:szCs w:val="21"/>
                      <w:highlight w:val="none"/>
                      <w:lang w:val="en-US" w:eastAsia="zh-CN"/>
                    </w:rPr>
                  </w:pPr>
                  <w:r>
                    <w:rPr>
                      <w:rFonts w:hint="eastAsia"/>
                      <w:sz w:val="21"/>
                      <w:szCs w:val="21"/>
                      <w:highlight w:val="none"/>
                      <w:lang w:val="en-US" w:eastAsia="zh-CN"/>
                    </w:rPr>
                    <w:t>5</w:t>
                  </w:r>
                </w:p>
              </w:tc>
              <w:tc>
                <w:tcPr>
                  <w:tcW w:w="1233" w:type="pct"/>
                  <w:tcBorders>
                    <w:tl2br w:val="nil"/>
                    <w:tr2bl w:val="nil"/>
                  </w:tcBorders>
                  <w:noWrap w:val="0"/>
                  <w:vAlign w:val="center"/>
                </w:tcPr>
                <w:p w14:paraId="4E9FE7C6">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sz w:val="21"/>
                      <w:szCs w:val="24"/>
                      <w:highlight w:val="none"/>
                      <w:lang w:val="en-US" w:eastAsia="zh-CN"/>
                    </w:rPr>
                  </w:pPr>
                  <w:r>
                    <w:rPr>
                      <w:rFonts w:hint="eastAsia"/>
                      <w:sz w:val="21"/>
                      <w:szCs w:val="24"/>
                      <w:highlight w:val="none"/>
                      <w:lang w:val="en-US" w:eastAsia="zh-CN"/>
                    </w:rPr>
                    <w:t>合计</w:t>
                  </w:r>
                </w:p>
              </w:tc>
              <w:tc>
                <w:tcPr>
                  <w:tcW w:w="1169" w:type="pct"/>
                  <w:tcBorders>
                    <w:tl2br w:val="nil"/>
                    <w:tr2bl w:val="nil"/>
                  </w:tcBorders>
                  <w:noWrap w:val="0"/>
                  <w:vAlign w:val="center"/>
                </w:tcPr>
                <w:p w14:paraId="75977CA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sz w:val="21"/>
                      <w:szCs w:val="24"/>
                      <w:highlight w:val="none"/>
                      <w:lang w:val="en-US" w:eastAsia="zh-CN"/>
                    </w:rPr>
                  </w:pPr>
                  <w:r>
                    <w:rPr>
                      <w:rFonts w:hint="eastAsia"/>
                      <w:sz w:val="21"/>
                      <w:szCs w:val="24"/>
                      <w:highlight w:val="none"/>
                      <w:lang w:val="en-US" w:eastAsia="zh-CN"/>
                    </w:rPr>
                    <w:t>/</w:t>
                  </w:r>
                </w:p>
              </w:tc>
              <w:tc>
                <w:tcPr>
                  <w:tcW w:w="1033" w:type="pct"/>
                  <w:tcBorders>
                    <w:tl2br w:val="nil"/>
                    <w:tr2bl w:val="nil"/>
                  </w:tcBorders>
                  <w:noWrap w:val="0"/>
                  <w:vAlign w:val="center"/>
                </w:tcPr>
                <w:p w14:paraId="045420AF">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sz w:val="21"/>
                      <w:szCs w:val="21"/>
                      <w:highlight w:val="none"/>
                      <w:lang w:val="en-US" w:eastAsia="zh-CN"/>
                    </w:rPr>
                  </w:pPr>
                  <w:r>
                    <w:rPr>
                      <w:rFonts w:hint="eastAsia"/>
                      <w:sz w:val="21"/>
                      <w:szCs w:val="24"/>
                      <w:highlight w:val="none"/>
                      <w:lang w:val="en-US" w:eastAsia="zh-CN"/>
                    </w:rPr>
                    <w:t>/</w:t>
                  </w:r>
                </w:p>
              </w:tc>
              <w:tc>
                <w:tcPr>
                  <w:tcW w:w="1033" w:type="pct"/>
                  <w:tcBorders>
                    <w:tl2br w:val="nil"/>
                    <w:tr2bl w:val="nil"/>
                  </w:tcBorders>
                  <w:noWrap w:val="0"/>
                  <w:vAlign w:val="center"/>
                </w:tcPr>
                <w:p w14:paraId="6302DCA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sz w:val="21"/>
                      <w:szCs w:val="21"/>
                      <w:highlight w:val="none"/>
                      <w:lang w:val="en-US" w:eastAsia="zh-CN"/>
                    </w:rPr>
                  </w:pPr>
                  <w:r>
                    <w:rPr>
                      <w:rFonts w:hint="default"/>
                      <w:sz w:val="21"/>
                      <w:szCs w:val="21"/>
                      <w:highlight w:val="none"/>
                      <w:lang w:val="en-US" w:eastAsia="zh-CN"/>
                    </w:rPr>
                    <w:t>0.00</w:t>
                  </w:r>
                  <w:r>
                    <w:rPr>
                      <w:rFonts w:hint="eastAsia"/>
                      <w:sz w:val="21"/>
                      <w:szCs w:val="21"/>
                      <w:highlight w:val="none"/>
                      <w:lang w:val="en-US" w:eastAsia="zh-CN"/>
                    </w:rPr>
                    <w:t>49</w:t>
                  </w:r>
                </w:p>
              </w:tc>
            </w:tr>
          </w:tbl>
          <w:p w14:paraId="5A1D6124">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sz w:val="24"/>
                <w:szCs w:val="24"/>
              </w:rPr>
            </w:pPr>
            <w:r>
              <w:rPr>
                <w:rFonts w:hint="eastAsia"/>
                <w:sz w:val="24"/>
                <w:szCs w:val="24"/>
                <w:lang w:val="en-US" w:eastAsia="zh-CN"/>
              </w:rPr>
              <w:t>由上表可知，项目建成后，Q=</w:t>
            </w:r>
            <w:r>
              <w:rPr>
                <w:rFonts w:hint="eastAsia" w:cs="Times New Roman"/>
                <w:sz w:val="24"/>
                <w:szCs w:val="24"/>
                <w:lang w:val="en-US" w:eastAsia="zh-CN"/>
              </w:rPr>
              <w:t>0.0049</w:t>
            </w:r>
            <w:r>
              <w:rPr>
                <w:rFonts w:hint="default" w:ascii="Times New Roman" w:hAnsi="Times New Roman" w:cs="Times New Roman"/>
                <w:sz w:val="24"/>
                <w:szCs w:val="24"/>
                <w:lang w:val="en-US" w:eastAsia="zh-CN"/>
              </w:rPr>
              <w:t>＜1</w:t>
            </w:r>
            <w:r>
              <w:rPr>
                <w:rFonts w:hint="eastAsia"/>
                <w:sz w:val="24"/>
                <w:szCs w:val="24"/>
                <w:lang w:val="en-US" w:eastAsia="zh-CN"/>
              </w:rPr>
              <w:t>，无需进行风险专项评价，仅需进行风险防范措施简单分析。以下为针对本项目风险物质制定的风险防措范施：</w:t>
            </w:r>
          </w:p>
          <w:p w14:paraId="583AB371">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default" w:ascii="Times New Roman" w:hAnsi="Times New Roman" w:eastAsia="宋体" w:cs="Times New Roman"/>
                <w:sz w:val="24"/>
                <w:szCs w:val="32"/>
                <w:lang w:val="en-US" w:eastAsia="zh-CN"/>
              </w:rPr>
            </w:pPr>
            <w:r>
              <w:rPr>
                <w:rFonts w:hint="eastAsia"/>
                <w:sz w:val="24"/>
                <w:szCs w:val="32"/>
                <w:lang w:val="en-US" w:eastAsia="zh-CN"/>
              </w:rPr>
              <w:t>危废暂存间按要求做好防渗处理，废润滑油用带盖容器收集，废油桶原盖盖紧，均暂存于危废暂存间内，定期委托有资质的单位处理，危废间专人管理，并制定严格的危废管理制度，对危废间进行日常检查，发现问题及时处理，危废间配备干粉灭火器，发生</w:t>
            </w:r>
            <w:r>
              <w:rPr>
                <w:rFonts w:hint="eastAsia"/>
                <w:sz w:val="24"/>
                <w:szCs w:val="32"/>
                <w:lang w:eastAsia="zh-CN"/>
              </w:rPr>
              <w:t>较严重环境污染事故的可能性很小，影响可</w:t>
            </w:r>
            <w:r>
              <w:rPr>
                <w:rFonts w:hint="eastAsia" w:ascii="Times New Roman" w:hAnsi="Times New Roman" w:eastAsia="宋体" w:cs="Times New Roman"/>
                <w:sz w:val="24"/>
                <w:szCs w:val="32"/>
                <w:lang w:val="en-US" w:eastAsia="zh-CN"/>
              </w:rPr>
              <w:t>以控制在室内。</w:t>
            </w:r>
          </w:p>
          <w:p w14:paraId="13A155F5">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Times New Roman" w:hAnsi="Times New Roman" w:eastAsia="宋体" w:cs="Times New Roman"/>
                <w:sz w:val="24"/>
                <w:szCs w:val="32"/>
                <w:lang w:val="en-US" w:eastAsia="zh-CN"/>
              </w:rPr>
            </w:pPr>
            <w:r>
              <w:rPr>
                <w:rFonts w:hint="eastAsia" w:ascii="Times New Roman" w:hAnsi="Times New Roman" w:eastAsia="宋体" w:cs="Times New Roman"/>
                <w:sz w:val="24"/>
                <w:szCs w:val="32"/>
                <w:lang w:val="en-US" w:eastAsia="zh-CN"/>
              </w:rPr>
              <w:t>采取上述措施后，发生环境危害的风险很小。</w:t>
            </w:r>
          </w:p>
          <w:p w14:paraId="6E2FC207">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default" w:ascii="Times New Roman" w:hAnsi="Times New Roman" w:eastAsia="宋体" w:cs="Times New Roman"/>
                <w:sz w:val="24"/>
                <w:szCs w:val="32"/>
                <w:lang w:val="en-US" w:eastAsia="zh-CN"/>
              </w:rPr>
            </w:pPr>
            <w:r>
              <w:rPr>
                <w:rFonts w:hint="default" w:ascii="Times New Roman" w:hAnsi="Times New Roman" w:eastAsia="宋体" w:cs="Times New Roman"/>
                <w:sz w:val="24"/>
                <w:szCs w:val="32"/>
                <w:lang w:val="en-US" w:eastAsia="zh-CN"/>
              </w:rPr>
              <w:t>应急预案要求：</w:t>
            </w:r>
          </w:p>
          <w:p w14:paraId="79E5AD48">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default" w:ascii="Times New Roman" w:hAnsi="Times New Roman" w:cs="Times New Roman"/>
                <w:b/>
                <w:kern w:val="0"/>
                <w:sz w:val="28"/>
                <w:szCs w:val="28"/>
                <w:highlight w:val="none"/>
                <w:vertAlign w:val="baseline"/>
                <w:lang w:val="en-US" w:eastAsia="zh-CN"/>
              </w:rPr>
            </w:pPr>
            <w:r>
              <w:rPr>
                <w:rFonts w:hint="default" w:ascii="Times New Roman" w:hAnsi="Times New Roman" w:eastAsia="宋体" w:cs="Times New Roman"/>
                <w:sz w:val="24"/>
                <w:szCs w:val="32"/>
                <w:lang w:val="en-US" w:eastAsia="zh-CN"/>
              </w:rPr>
              <w:t>运营期一旦发生意外事故，建设单位应根据风险程度采取如下措施：设立事故警戒线，</w:t>
            </w:r>
            <w:r>
              <w:rPr>
                <w:rFonts w:hint="default" w:ascii="Times New Roman" w:hAnsi="Times New Roman" w:cs="Times New Roman"/>
                <w:sz w:val="24"/>
                <w:szCs w:val="32"/>
              </w:rPr>
              <w:t>并按《环境保护行政主管部门突发环境事件信息报告办法（实行）》（环发</w:t>
            </w:r>
            <w:r>
              <w:rPr>
                <w:rFonts w:hint="default" w:ascii="Times New Roman" w:hAnsi="Times New Roman" w:eastAsia="宋体" w:cs="Times New Roman"/>
                <w:sz w:val="24"/>
                <w:szCs w:val="32"/>
              </w:rPr>
              <w:t>〔</w:t>
            </w:r>
            <w:r>
              <w:rPr>
                <w:rFonts w:hint="default" w:ascii="Times New Roman" w:hAnsi="Times New Roman" w:cs="Times New Roman"/>
                <w:sz w:val="24"/>
                <w:szCs w:val="32"/>
              </w:rPr>
              <w:t>2006</w:t>
            </w:r>
            <w:r>
              <w:rPr>
                <w:rFonts w:hint="default" w:ascii="Times New Roman" w:hAnsi="Times New Roman" w:eastAsia="宋体" w:cs="Times New Roman"/>
                <w:sz w:val="24"/>
                <w:szCs w:val="32"/>
              </w:rPr>
              <w:t>〕</w:t>
            </w:r>
            <w:r>
              <w:rPr>
                <w:rFonts w:hint="default" w:ascii="Times New Roman" w:hAnsi="Times New Roman" w:cs="Times New Roman"/>
                <w:sz w:val="24"/>
                <w:szCs w:val="32"/>
              </w:rPr>
              <w:t>50号）要求进行报告；若造成事故的危险废物具有剧毒性、易燃性、爆炸性或高传染性，应立即疏散人群，并请求环境保护、消防、医疗、公安等相关部门支援；清理过程中的所有废物均应按</w:t>
            </w:r>
            <w:r>
              <w:rPr>
                <w:rFonts w:hint="default" w:ascii="Times New Roman" w:hAnsi="Times New Roman" w:cs="Times New Roman"/>
                <w:sz w:val="24"/>
                <w:szCs w:val="32"/>
                <w:lang w:val="en-US" w:eastAsia="zh-CN"/>
              </w:rPr>
              <w:t>照</w:t>
            </w:r>
            <w:r>
              <w:rPr>
                <w:rFonts w:hint="default" w:ascii="Times New Roman" w:hAnsi="Times New Roman" w:cs="Times New Roman"/>
                <w:sz w:val="24"/>
                <w:szCs w:val="32"/>
              </w:rPr>
              <w:t>危险废物进行管理和处置；进入现场清理和包装危险废物的人员应</w:t>
            </w:r>
            <w:r>
              <w:rPr>
                <w:rFonts w:hint="default" w:ascii="Times New Roman" w:hAnsi="Times New Roman" w:cs="Times New Roman"/>
                <w:sz w:val="24"/>
                <w:szCs w:val="32"/>
                <w:lang w:val="en-US" w:eastAsia="zh-CN"/>
              </w:rPr>
              <w:t>受到</w:t>
            </w:r>
            <w:r>
              <w:rPr>
                <w:rFonts w:hint="default" w:ascii="Times New Roman" w:hAnsi="Times New Roman" w:cs="Times New Roman"/>
                <w:sz w:val="24"/>
                <w:szCs w:val="32"/>
              </w:rPr>
              <w:t>专业培训，穿着防护服，并佩戴相应的防护用具。</w:t>
            </w:r>
          </w:p>
          <w:p w14:paraId="6658A800">
            <w:pPr>
              <w:keepNext w:val="0"/>
              <w:keepLines w:val="0"/>
              <w:pageBreakBefore w:val="0"/>
              <w:widowControl w:val="0"/>
              <w:kinsoku/>
              <w:wordWrap/>
              <w:overflowPunct/>
              <w:topLinePunct w:val="0"/>
              <w:autoSpaceDE/>
              <w:autoSpaceDN/>
              <w:bidi w:val="0"/>
              <w:adjustRightInd w:val="0"/>
              <w:snapToGrid w:val="0"/>
              <w:spacing w:line="500" w:lineRule="exact"/>
              <w:ind w:left="480" w:leftChars="200"/>
              <w:textAlignment w:val="auto"/>
              <w:rPr>
                <w:rFonts w:hint="default" w:ascii="Times New Roman" w:hAnsi="Times New Roman" w:cs="Times New Roman"/>
                <w:b/>
                <w:bCs/>
                <w:color w:val="auto"/>
                <w:sz w:val="24"/>
              </w:rPr>
            </w:pPr>
            <w:r>
              <w:rPr>
                <w:rFonts w:hint="default" w:ascii="Times New Roman" w:hAnsi="Times New Roman" w:cs="Times New Roman"/>
                <w:b/>
                <w:bCs/>
                <w:color w:val="auto"/>
                <w:sz w:val="24"/>
              </w:rPr>
              <w:t>8、电磁辐射</w:t>
            </w:r>
          </w:p>
          <w:p w14:paraId="68DE8DF4">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Times New Roman" w:hAnsi="Times New Roman" w:cs="Times New Roman"/>
                <w:sz w:val="24"/>
                <w:szCs w:val="32"/>
                <w:lang w:val="en-US" w:eastAsia="zh-CN"/>
              </w:rPr>
            </w:pPr>
            <w:r>
              <w:rPr>
                <w:rFonts w:hint="default" w:ascii="Times New Roman" w:hAnsi="Times New Roman" w:cs="Times New Roman"/>
                <w:sz w:val="24"/>
                <w:szCs w:val="32"/>
                <w:lang w:val="en-US" w:eastAsia="zh-CN"/>
              </w:rPr>
              <w:t>本项目不涉及电磁辐射源，即不会对项目所在区环境产生相应的电磁辐射影响。</w:t>
            </w:r>
          </w:p>
        </w:tc>
      </w:tr>
    </w:tbl>
    <w:p w14:paraId="4F068DC2">
      <w:pPr>
        <w:adjustRightInd w:val="0"/>
        <w:snapToGrid w:val="0"/>
        <w:spacing w:line="360" w:lineRule="auto"/>
        <w:rPr>
          <w:rFonts w:hint="eastAsia" w:ascii="宋体" w:cs="宋体"/>
          <w:b/>
          <w:kern w:val="0"/>
          <w:sz w:val="28"/>
          <w:szCs w:val="28"/>
          <w:highlight w:val="none"/>
        </w:rPr>
        <w:sectPr>
          <w:pgSz w:w="11905" w:h="16838"/>
          <w:pgMar w:top="1701" w:right="1531" w:bottom="2126" w:left="1531" w:header="851" w:footer="850" w:gutter="0"/>
          <w:pgBorders>
            <w:top w:val="none" w:sz="0" w:space="0"/>
            <w:left w:val="none" w:sz="0" w:space="0"/>
            <w:bottom w:val="none" w:sz="0" w:space="0"/>
            <w:right w:val="none" w:sz="0" w:space="0"/>
          </w:pgBorders>
          <w:pgNumType w:fmt="decimal"/>
          <w:cols w:space="720" w:num="1"/>
          <w:rtlGutter w:val="0"/>
          <w:docGrid w:linePitch="312" w:charSpace="0"/>
        </w:sectPr>
      </w:pPr>
    </w:p>
    <w:p w14:paraId="16A07BC3">
      <w:pPr>
        <w:pStyle w:val="22"/>
        <w:jc w:val="center"/>
        <w:outlineLvl w:val="0"/>
        <w:rPr>
          <w:rFonts w:ascii="黑体" w:hAnsi="黑体" w:eastAsia="黑体"/>
          <w:snapToGrid w:val="0"/>
          <w:sz w:val="30"/>
          <w:szCs w:val="30"/>
          <w:highlight w:val="none"/>
        </w:rPr>
      </w:pPr>
      <w:bookmarkStart w:id="8" w:name="_Toc13996"/>
      <w:r>
        <w:rPr>
          <w:rFonts w:hint="eastAsia" w:ascii="黑体" w:hAnsi="黑体" w:eastAsia="黑体"/>
          <w:snapToGrid w:val="0"/>
          <w:sz w:val="30"/>
          <w:szCs w:val="30"/>
          <w:highlight w:val="none"/>
        </w:rPr>
        <w:t>五、</w:t>
      </w:r>
      <w:bookmarkStart w:id="9" w:name="_Hlk54167917"/>
      <w:r>
        <w:rPr>
          <w:rFonts w:hint="eastAsia" w:ascii="黑体" w:hAnsi="黑体" w:eastAsia="黑体"/>
          <w:snapToGrid w:val="0"/>
          <w:sz w:val="30"/>
          <w:szCs w:val="30"/>
          <w:highlight w:val="none"/>
        </w:rPr>
        <w:t>环境保护措施监督检查清单</w:t>
      </w:r>
      <w:bookmarkEnd w:id="8"/>
      <w:bookmarkEnd w:id="9"/>
    </w:p>
    <w:tbl>
      <w:tblPr>
        <w:tblStyle w:val="25"/>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695"/>
        <w:gridCol w:w="1603"/>
        <w:gridCol w:w="1639"/>
        <w:gridCol w:w="2019"/>
        <w:gridCol w:w="1844"/>
      </w:tblGrid>
      <w:tr w14:paraId="6E375DF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695" w:type="dxa"/>
            <w:tcBorders>
              <w:tl2br w:val="single" w:color="auto" w:sz="4" w:space="0"/>
            </w:tcBorders>
            <w:noWrap w:val="0"/>
            <w:vAlign w:val="top"/>
          </w:tcPr>
          <w:p w14:paraId="454481D6">
            <w:pPr>
              <w:keepNext w:val="0"/>
              <w:keepLines w:val="0"/>
              <w:pageBreakBefore w:val="0"/>
              <w:widowControl w:val="0"/>
              <w:kinsoku/>
              <w:wordWrap/>
              <w:topLinePunct w:val="0"/>
              <w:bidi w:val="0"/>
              <w:adjustRightInd w:val="0"/>
              <w:snapToGrid w:val="0"/>
              <w:spacing w:line="240" w:lineRule="auto"/>
              <w:ind w:firstLine="840"/>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内容</w:t>
            </w:r>
          </w:p>
          <w:p w14:paraId="27A04DCB">
            <w:pPr>
              <w:keepNext w:val="0"/>
              <w:keepLines w:val="0"/>
              <w:pageBreakBefore w:val="0"/>
              <w:widowControl w:val="0"/>
              <w:kinsoku/>
              <w:wordWrap/>
              <w:topLinePunct w:val="0"/>
              <w:bidi w:val="0"/>
              <w:adjustRightInd w:val="0"/>
              <w:snapToGrid w:val="0"/>
              <w:spacing w:line="240" w:lineRule="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要素</w:t>
            </w:r>
          </w:p>
        </w:tc>
        <w:tc>
          <w:tcPr>
            <w:tcW w:w="1603" w:type="dxa"/>
            <w:noWrap w:val="0"/>
            <w:vAlign w:val="center"/>
          </w:tcPr>
          <w:p w14:paraId="1CA839A3">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排放口(编号、名称)/污染源</w:t>
            </w:r>
          </w:p>
        </w:tc>
        <w:tc>
          <w:tcPr>
            <w:tcW w:w="1639" w:type="dxa"/>
            <w:noWrap w:val="0"/>
            <w:vAlign w:val="center"/>
          </w:tcPr>
          <w:p w14:paraId="1C4DC73A">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污染物项目</w:t>
            </w:r>
          </w:p>
        </w:tc>
        <w:tc>
          <w:tcPr>
            <w:tcW w:w="2019" w:type="dxa"/>
            <w:noWrap w:val="0"/>
            <w:vAlign w:val="center"/>
          </w:tcPr>
          <w:p w14:paraId="1908D998">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环境保护措施</w:t>
            </w:r>
          </w:p>
        </w:tc>
        <w:tc>
          <w:tcPr>
            <w:tcW w:w="1844" w:type="dxa"/>
            <w:noWrap w:val="0"/>
            <w:vAlign w:val="center"/>
          </w:tcPr>
          <w:p w14:paraId="61CEF5E5">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执行标准</w:t>
            </w:r>
          </w:p>
        </w:tc>
      </w:tr>
      <w:tr w14:paraId="267EC5A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695" w:type="dxa"/>
            <w:vMerge w:val="restart"/>
            <w:noWrap w:val="0"/>
            <w:vAlign w:val="center"/>
          </w:tcPr>
          <w:p w14:paraId="0A626967">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eastAsia="宋体" w:cs="Times New Roman"/>
                <w:sz w:val="21"/>
                <w:szCs w:val="21"/>
                <w:highlight w:val="none"/>
                <w:lang w:eastAsia="zh-CN"/>
              </w:rPr>
            </w:pPr>
            <w:r>
              <w:rPr>
                <w:rFonts w:hint="default" w:ascii="Times New Roman" w:hAnsi="Times New Roman" w:cs="Times New Roman"/>
                <w:sz w:val="21"/>
                <w:szCs w:val="21"/>
                <w:highlight w:val="none"/>
                <w:lang w:eastAsia="zh-CN"/>
              </w:rPr>
              <w:t>大气环境</w:t>
            </w:r>
          </w:p>
        </w:tc>
        <w:tc>
          <w:tcPr>
            <w:tcW w:w="1603" w:type="dxa"/>
            <w:noWrap w:val="0"/>
            <w:vAlign w:val="center"/>
          </w:tcPr>
          <w:p w14:paraId="7B2046C5">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上料、筛分、</w:t>
            </w:r>
            <w:r>
              <w:rPr>
                <w:rFonts w:hint="eastAsia" w:cs="Times New Roman"/>
                <w:sz w:val="21"/>
                <w:szCs w:val="21"/>
                <w:highlight w:val="none"/>
                <w:lang w:val="en-US" w:eastAsia="zh-CN"/>
              </w:rPr>
              <w:t>固定</w:t>
            </w:r>
            <w:r>
              <w:rPr>
                <w:rFonts w:hint="default" w:ascii="Times New Roman" w:hAnsi="Times New Roman" w:cs="Times New Roman"/>
                <w:sz w:val="21"/>
                <w:szCs w:val="21"/>
                <w:highlight w:val="none"/>
                <w:lang w:val="en-US" w:eastAsia="zh-CN"/>
              </w:rPr>
              <w:t>破碎工序DA001</w:t>
            </w:r>
          </w:p>
        </w:tc>
        <w:tc>
          <w:tcPr>
            <w:tcW w:w="1639" w:type="dxa"/>
            <w:noWrap w:val="0"/>
            <w:vAlign w:val="center"/>
          </w:tcPr>
          <w:p w14:paraId="0E9E6453">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颗粒物</w:t>
            </w:r>
          </w:p>
        </w:tc>
        <w:tc>
          <w:tcPr>
            <w:tcW w:w="2019" w:type="dxa"/>
            <w:noWrap w:val="0"/>
            <w:vAlign w:val="center"/>
          </w:tcPr>
          <w:p w14:paraId="68C23C82">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集气罩+1套脉冲式布袋除尘器（风量75000m</w:t>
            </w:r>
            <w:r>
              <w:rPr>
                <w:rFonts w:hint="default" w:ascii="Times New Roman" w:hAnsi="Times New Roman" w:cs="Times New Roman"/>
                <w:sz w:val="21"/>
                <w:szCs w:val="21"/>
                <w:highlight w:val="none"/>
                <w:vertAlign w:val="superscript"/>
                <w:lang w:val="en-US" w:eastAsia="zh-CN"/>
              </w:rPr>
              <w:t>3</w:t>
            </w:r>
            <w:r>
              <w:rPr>
                <w:rFonts w:hint="default" w:ascii="Times New Roman" w:hAnsi="Times New Roman" w:cs="Times New Roman"/>
                <w:sz w:val="21"/>
                <w:szCs w:val="21"/>
                <w:highlight w:val="none"/>
                <w:lang w:val="en-US" w:eastAsia="zh-CN"/>
              </w:rPr>
              <w:t>/h）+1根2</w:t>
            </w:r>
            <w:r>
              <w:rPr>
                <w:rFonts w:hint="eastAsia" w:cs="Times New Roman"/>
                <w:sz w:val="21"/>
                <w:szCs w:val="21"/>
                <w:highlight w:val="none"/>
                <w:lang w:val="en-US" w:eastAsia="zh-CN"/>
              </w:rPr>
              <w:t>5</w:t>
            </w:r>
            <w:r>
              <w:rPr>
                <w:rFonts w:hint="default" w:ascii="Times New Roman" w:hAnsi="Times New Roman" w:cs="Times New Roman"/>
                <w:sz w:val="21"/>
                <w:szCs w:val="21"/>
                <w:highlight w:val="none"/>
                <w:lang w:val="en-US" w:eastAsia="zh-CN"/>
              </w:rPr>
              <w:t>米高排气筒排放</w:t>
            </w:r>
          </w:p>
        </w:tc>
        <w:tc>
          <w:tcPr>
            <w:tcW w:w="1844" w:type="dxa"/>
            <w:vMerge w:val="restart"/>
            <w:noWrap w:val="0"/>
            <w:vAlign w:val="center"/>
          </w:tcPr>
          <w:p w14:paraId="6EDBD314">
            <w:pPr>
              <w:keepNext w:val="0"/>
              <w:keepLines w:val="0"/>
              <w:pageBreakBefore w:val="0"/>
              <w:widowControl w:val="0"/>
              <w:kinsoku/>
              <w:wordWrap/>
              <w:topLinePunct w:val="0"/>
              <w:bidi w:val="0"/>
              <w:spacing w:line="240" w:lineRule="auto"/>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cs="Times New Roman"/>
                <w:sz w:val="21"/>
                <w:szCs w:val="21"/>
              </w:rPr>
              <w:t>《炼焦化学工业大气污染物超低排放标准》(DB13/2863-2018)表1大气污染物排放限值</w:t>
            </w:r>
            <w:r>
              <w:rPr>
                <w:rFonts w:hint="default" w:ascii="Times New Roman" w:hAnsi="Times New Roman" w:eastAsia="宋体" w:cs="Times New Roman"/>
                <w:b w:val="0"/>
                <w:bCs w:val="0"/>
                <w:color w:val="000000"/>
                <w:kern w:val="0"/>
                <w:sz w:val="21"/>
                <w:szCs w:val="21"/>
                <w:highlight w:val="none"/>
                <w:lang w:val="en-US" w:eastAsia="zh-CN" w:bidi="ar"/>
              </w:rPr>
              <w:t>1</w:t>
            </w:r>
            <w:r>
              <w:rPr>
                <w:rFonts w:hint="eastAsia" w:ascii="Times New Roman" w:hAnsi="Times New Roman" w:eastAsia="宋体" w:cs="Times New Roman"/>
                <w:b w:val="0"/>
                <w:bCs w:val="0"/>
                <w:color w:val="000000"/>
                <w:kern w:val="0"/>
                <w:sz w:val="21"/>
                <w:szCs w:val="21"/>
                <w:highlight w:val="none"/>
                <w:lang w:val="en-US" w:eastAsia="zh-CN" w:bidi="ar"/>
              </w:rPr>
              <w:t>0</w:t>
            </w:r>
            <w:r>
              <w:rPr>
                <w:rFonts w:hint="default" w:ascii="Times New Roman" w:hAnsi="Times New Roman" w:eastAsia="宋体" w:cs="Times New Roman"/>
                <w:b w:val="0"/>
                <w:bCs w:val="0"/>
                <w:color w:val="000000"/>
                <w:kern w:val="0"/>
                <w:sz w:val="21"/>
                <w:szCs w:val="21"/>
                <w:highlight w:val="none"/>
                <w:lang w:val="en-US" w:eastAsia="zh-CN" w:bidi="ar"/>
              </w:rPr>
              <w:t>mg/m</w:t>
            </w:r>
            <w:r>
              <w:rPr>
                <w:rFonts w:hint="eastAsia"/>
                <w:bCs/>
                <w:color w:val="auto"/>
                <w:sz w:val="21"/>
                <w:szCs w:val="21"/>
                <w:highlight w:val="none"/>
                <w:vertAlign w:val="superscript"/>
                <w:lang w:val="en-US" w:eastAsia="zh-CN"/>
              </w:rPr>
              <w:t>3</w:t>
            </w:r>
          </w:p>
        </w:tc>
      </w:tr>
      <w:tr w14:paraId="314C9DD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695" w:type="dxa"/>
            <w:vMerge w:val="continue"/>
            <w:noWrap w:val="0"/>
            <w:vAlign w:val="center"/>
          </w:tcPr>
          <w:p w14:paraId="21C5BFC5">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rPr>
            </w:pPr>
          </w:p>
        </w:tc>
        <w:tc>
          <w:tcPr>
            <w:tcW w:w="1603" w:type="dxa"/>
            <w:noWrap w:val="0"/>
            <w:vAlign w:val="center"/>
          </w:tcPr>
          <w:p w14:paraId="7D5D2963">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移动破碎DA002</w:t>
            </w:r>
          </w:p>
        </w:tc>
        <w:tc>
          <w:tcPr>
            <w:tcW w:w="1639" w:type="dxa"/>
            <w:noWrap w:val="0"/>
            <w:vAlign w:val="center"/>
          </w:tcPr>
          <w:p w14:paraId="33255EBA">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颗粒物</w:t>
            </w:r>
          </w:p>
        </w:tc>
        <w:tc>
          <w:tcPr>
            <w:tcW w:w="2019" w:type="dxa"/>
            <w:noWrap w:val="0"/>
            <w:vAlign w:val="center"/>
          </w:tcPr>
          <w:p w14:paraId="32F1FB99">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集气罩+1套脉冲式布袋除尘器（风量</w:t>
            </w:r>
            <w:r>
              <w:rPr>
                <w:rFonts w:hint="eastAsia" w:cs="Times New Roman"/>
                <w:sz w:val="21"/>
                <w:szCs w:val="21"/>
                <w:highlight w:val="none"/>
                <w:lang w:val="en-US" w:eastAsia="zh-CN"/>
              </w:rPr>
              <w:t>5</w:t>
            </w:r>
            <w:r>
              <w:rPr>
                <w:rFonts w:hint="default" w:ascii="Times New Roman" w:hAnsi="Times New Roman" w:cs="Times New Roman"/>
                <w:sz w:val="21"/>
                <w:szCs w:val="21"/>
                <w:highlight w:val="none"/>
                <w:lang w:val="en-US" w:eastAsia="zh-CN"/>
              </w:rPr>
              <w:t>5000m</w:t>
            </w:r>
            <w:r>
              <w:rPr>
                <w:rFonts w:hint="default" w:ascii="Times New Roman" w:hAnsi="Times New Roman" w:cs="Times New Roman"/>
                <w:sz w:val="21"/>
                <w:szCs w:val="21"/>
                <w:highlight w:val="none"/>
                <w:vertAlign w:val="superscript"/>
                <w:lang w:val="en-US" w:eastAsia="zh-CN"/>
              </w:rPr>
              <w:t>3</w:t>
            </w:r>
            <w:r>
              <w:rPr>
                <w:rFonts w:hint="default" w:ascii="Times New Roman" w:hAnsi="Times New Roman" w:cs="Times New Roman"/>
                <w:sz w:val="21"/>
                <w:szCs w:val="21"/>
                <w:highlight w:val="none"/>
                <w:lang w:val="en-US" w:eastAsia="zh-CN"/>
              </w:rPr>
              <w:t>/h）+1根26米高排气筒排放</w:t>
            </w:r>
          </w:p>
        </w:tc>
        <w:tc>
          <w:tcPr>
            <w:tcW w:w="1844" w:type="dxa"/>
            <w:vMerge w:val="continue"/>
            <w:noWrap w:val="0"/>
            <w:vAlign w:val="center"/>
          </w:tcPr>
          <w:p w14:paraId="0EDCAD31">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rPr>
            </w:pPr>
          </w:p>
        </w:tc>
      </w:tr>
      <w:tr w14:paraId="5DC4B72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689" w:hRule="atLeast"/>
          <w:jc w:val="center"/>
        </w:trPr>
        <w:tc>
          <w:tcPr>
            <w:tcW w:w="1695" w:type="dxa"/>
            <w:vMerge w:val="continue"/>
            <w:noWrap w:val="0"/>
            <w:vAlign w:val="center"/>
          </w:tcPr>
          <w:p w14:paraId="336408F8">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rPr>
            </w:pPr>
          </w:p>
        </w:tc>
        <w:tc>
          <w:tcPr>
            <w:tcW w:w="1603" w:type="dxa"/>
            <w:noWrap w:val="0"/>
            <w:vAlign w:val="center"/>
          </w:tcPr>
          <w:p w14:paraId="37F7C29E">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食堂烟道</w:t>
            </w:r>
          </w:p>
        </w:tc>
        <w:tc>
          <w:tcPr>
            <w:tcW w:w="1639" w:type="dxa"/>
            <w:noWrap w:val="0"/>
            <w:vAlign w:val="center"/>
          </w:tcPr>
          <w:p w14:paraId="1A34D00E">
            <w:pPr>
              <w:keepNext w:val="0"/>
              <w:keepLines w:val="0"/>
              <w:pageBreakBefore w:val="0"/>
              <w:widowControl w:val="0"/>
              <w:kinsoku/>
              <w:wordWrap/>
              <w:topLinePunct w:val="0"/>
              <w:bidi w:val="0"/>
              <w:adjustRightInd w:val="0"/>
              <w:snapToGrid w:val="0"/>
              <w:spacing w:line="240" w:lineRule="auto"/>
              <w:jc w:val="center"/>
              <w:rPr>
                <w:rFonts w:hint="eastAsia"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油烟</w:t>
            </w:r>
          </w:p>
        </w:tc>
        <w:tc>
          <w:tcPr>
            <w:tcW w:w="2019" w:type="dxa"/>
            <w:noWrap w:val="0"/>
            <w:vAlign w:val="center"/>
          </w:tcPr>
          <w:p w14:paraId="615D8A99">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color w:val="000000"/>
                <w:sz w:val="21"/>
                <w:szCs w:val="21"/>
              </w:rPr>
              <w:t>油烟净化器</w:t>
            </w:r>
            <w:r>
              <w:rPr>
                <w:rFonts w:hint="default" w:ascii="Times New Roman" w:hAnsi="Times New Roman" w:cs="Times New Roman"/>
                <w:sz w:val="21"/>
                <w:szCs w:val="21"/>
                <w:highlight w:val="none"/>
                <w:lang w:val="en-US" w:eastAsia="zh-CN"/>
              </w:rPr>
              <w:t>（风量</w:t>
            </w:r>
            <w:r>
              <w:rPr>
                <w:rFonts w:hint="eastAsia" w:cs="Times New Roman"/>
                <w:sz w:val="21"/>
                <w:szCs w:val="21"/>
                <w:highlight w:val="none"/>
                <w:lang w:val="en-US" w:eastAsia="zh-CN"/>
              </w:rPr>
              <w:t>4</w:t>
            </w:r>
            <w:r>
              <w:rPr>
                <w:rFonts w:hint="default" w:ascii="Times New Roman" w:hAnsi="Times New Roman" w:cs="Times New Roman"/>
                <w:sz w:val="21"/>
                <w:szCs w:val="21"/>
                <w:highlight w:val="none"/>
                <w:lang w:val="en-US" w:eastAsia="zh-CN"/>
              </w:rPr>
              <w:t>000m</w:t>
            </w:r>
            <w:r>
              <w:rPr>
                <w:rFonts w:hint="default" w:ascii="Times New Roman" w:hAnsi="Times New Roman" w:cs="Times New Roman"/>
                <w:sz w:val="21"/>
                <w:szCs w:val="21"/>
                <w:highlight w:val="none"/>
                <w:vertAlign w:val="superscript"/>
                <w:lang w:val="en-US" w:eastAsia="zh-CN"/>
              </w:rPr>
              <w:t>3</w:t>
            </w:r>
            <w:r>
              <w:rPr>
                <w:rFonts w:hint="default" w:ascii="Times New Roman" w:hAnsi="Times New Roman" w:cs="Times New Roman"/>
                <w:sz w:val="21"/>
                <w:szCs w:val="21"/>
                <w:highlight w:val="none"/>
                <w:lang w:val="en-US" w:eastAsia="zh-CN"/>
              </w:rPr>
              <w:t>/h）</w:t>
            </w:r>
          </w:p>
        </w:tc>
        <w:tc>
          <w:tcPr>
            <w:tcW w:w="1844" w:type="dxa"/>
            <w:noWrap w:val="0"/>
            <w:vAlign w:val="center"/>
          </w:tcPr>
          <w:p w14:paraId="41D349C2">
            <w:pPr>
              <w:keepNext w:val="0"/>
              <w:keepLines w:val="0"/>
              <w:pageBreakBefore w:val="0"/>
              <w:widowControl w:val="0"/>
              <w:kinsoku/>
              <w:wordWrap/>
              <w:topLinePunct w:val="0"/>
              <w:bidi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《餐饮业大气污染物排放标准》（DB13/5808-2023）/《唐山市餐饮油烟污染治理专项方案》（唐气领办〔2021〕58号）</w:t>
            </w:r>
            <w:r>
              <w:rPr>
                <w:rFonts w:hint="eastAsia" w:ascii="Times New Roman" w:hAnsi="Times New Roman" w:eastAsia="宋体" w:cs="Times New Roman"/>
                <w:sz w:val="21"/>
                <w:szCs w:val="21"/>
                <w:lang w:eastAsia="zh-CN"/>
              </w:rPr>
              <w:t>限值为</w:t>
            </w:r>
            <w:r>
              <w:rPr>
                <w:rFonts w:hint="eastAsia" w:ascii="Times New Roman" w:hAnsi="Times New Roman" w:eastAsia="宋体" w:cs="Times New Roman"/>
                <w:sz w:val="21"/>
                <w:szCs w:val="21"/>
              </w:rPr>
              <w:t>1.0mg/m</w:t>
            </w:r>
            <w:r>
              <w:rPr>
                <w:rFonts w:hint="eastAsia" w:ascii="Times New Roman" w:hAnsi="Times New Roman" w:eastAsia="宋体" w:cs="Times New Roman"/>
                <w:sz w:val="21"/>
                <w:szCs w:val="21"/>
                <w:vertAlign w:val="superscript"/>
              </w:rPr>
              <w:t>3</w:t>
            </w:r>
          </w:p>
        </w:tc>
      </w:tr>
      <w:tr w14:paraId="71C5159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695" w:type="dxa"/>
            <w:vMerge w:val="continue"/>
            <w:noWrap w:val="0"/>
            <w:vAlign w:val="center"/>
          </w:tcPr>
          <w:p w14:paraId="5731FA9C">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rPr>
            </w:pPr>
          </w:p>
        </w:tc>
        <w:tc>
          <w:tcPr>
            <w:tcW w:w="1603" w:type="dxa"/>
            <w:noWrap w:val="0"/>
            <w:vAlign w:val="center"/>
          </w:tcPr>
          <w:p w14:paraId="5F84D370">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厂界无组织</w:t>
            </w:r>
          </w:p>
        </w:tc>
        <w:tc>
          <w:tcPr>
            <w:tcW w:w="1639" w:type="dxa"/>
            <w:noWrap w:val="0"/>
            <w:vAlign w:val="center"/>
          </w:tcPr>
          <w:p w14:paraId="17DC1ACD">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cs="Times New Roman"/>
                <w:color w:val="auto"/>
                <w:sz w:val="21"/>
                <w:szCs w:val="21"/>
                <w:highlight w:val="none"/>
                <w:lang w:val="en-US" w:eastAsia="zh-CN"/>
              </w:rPr>
              <w:t>颗粒物</w:t>
            </w:r>
          </w:p>
        </w:tc>
        <w:tc>
          <w:tcPr>
            <w:tcW w:w="2019" w:type="dxa"/>
            <w:noWrap w:val="0"/>
            <w:vAlign w:val="center"/>
          </w:tcPr>
          <w:p w14:paraId="3FA532EE">
            <w:pPr>
              <w:keepNext w:val="0"/>
              <w:keepLines w:val="0"/>
              <w:pageBreakBefore w:val="0"/>
              <w:widowControl w:val="0"/>
              <w:kinsoku/>
              <w:wordWrap/>
              <w:topLinePunct w:val="0"/>
              <w:bidi w:val="0"/>
              <w:adjustRightInd w:val="0"/>
              <w:snapToGrid w:val="0"/>
              <w:spacing w:line="240" w:lineRule="auto"/>
              <w:jc w:val="center"/>
              <w:rPr>
                <w:rFonts w:hint="eastAsia" w:ascii="Times New Roman" w:hAnsi="Times New Roman" w:eastAsia="宋体" w:cs="Times New Roman"/>
                <w:color w:val="auto"/>
                <w:sz w:val="21"/>
                <w:szCs w:val="21"/>
                <w:highlight w:val="none"/>
                <w:lang w:val="en-US" w:eastAsia="zh-CN"/>
              </w:rPr>
            </w:pPr>
            <w:r>
              <w:rPr>
                <w:rFonts w:hint="default" w:ascii="Times New Roman" w:hAnsi="Times New Roman" w:cs="Times New Roman"/>
                <w:color w:val="auto"/>
                <w:sz w:val="21"/>
                <w:szCs w:val="21"/>
                <w:highlight w:val="none"/>
                <w:lang w:val="en-US" w:eastAsia="zh-CN"/>
              </w:rPr>
              <w:t>封闭厂房，仓库设置喷淋抑尘装置</w:t>
            </w:r>
            <w:r>
              <w:rPr>
                <w:rFonts w:hint="eastAsia"/>
                <w:color w:val="auto"/>
                <w:sz w:val="21"/>
                <w:szCs w:val="21"/>
                <w:lang w:eastAsia="zh-CN"/>
              </w:rPr>
              <w:t>，</w:t>
            </w:r>
            <w:r>
              <w:rPr>
                <w:rFonts w:hint="eastAsia" w:ascii="Times New Roman" w:hAnsi="Times New Roman" w:eastAsia="宋体" w:cs="Times New Roman"/>
                <w:color w:val="auto"/>
                <w:sz w:val="21"/>
                <w:szCs w:val="21"/>
                <w:highlight w:val="none"/>
                <w:lang w:val="en-US" w:eastAsia="zh-CN"/>
              </w:rPr>
              <w:t>设置封闭自动感应门</w:t>
            </w:r>
          </w:p>
        </w:tc>
        <w:tc>
          <w:tcPr>
            <w:tcW w:w="1844" w:type="dxa"/>
            <w:noWrap w:val="0"/>
            <w:vAlign w:val="center"/>
          </w:tcPr>
          <w:p w14:paraId="44ADE97F">
            <w:pPr>
              <w:keepNext w:val="0"/>
              <w:keepLines w:val="0"/>
              <w:pageBreakBefore w:val="0"/>
              <w:widowControl w:val="0"/>
              <w:kinsoku/>
              <w:wordWrap/>
              <w:topLinePunct w:val="0"/>
              <w:bidi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《炼焦化学工业大气污染物超低排放标准》</w:t>
            </w:r>
            <w:r>
              <w:rPr>
                <w:rFonts w:hint="eastAsia" w:ascii="Times New Roman" w:hAnsi="Times New Roman" w:cs="Times New Roman"/>
                <w:sz w:val="21"/>
                <w:szCs w:val="21"/>
                <w:highlight w:val="none"/>
                <w:lang w:val="en-US" w:eastAsia="zh-CN"/>
              </w:rPr>
              <w:t>(DB13/2863-2018)表2企业边界大气污染物排放限值</w:t>
            </w:r>
            <w:r>
              <w:rPr>
                <w:rFonts w:hint="default" w:ascii="Times New Roman" w:hAnsi="Times New Roman" w:eastAsia="宋体" w:cs="Times New Roman"/>
                <w:sz w:val="21"/>
                <w:szCs w:val="21"/>
                <w:lang w:val="en-US" w:eastAsia="zh-CN"/>
              </w:rPr>
              <w:t>1.0mg/m</w:t>
            </w:r>
            <w:r>
              <w:rPr>
                <w:rFonts w:hint="eastAsia" w:ascii="Times New Roman" w:hAnsi="Times New Roman" w:eastAsia="宋体" w:cs="Times New Roman"/>
                <w:sz w:val="21"/>
                <w:szCs w:val="21"/>
                <w:vertAlign w:val="superscript"/>
                <w:lang w:val="en-US" w:eastAsia="zh-CN"/>
              </w:rPr>
              <w:t>3</w:t>
            </w:r>
          </w:p>
        </w:tc>
      </w:tr>
      <w:tr w14:paraId="55E27A1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695" w:type="dxa"/>
            <w:vMerge w:val="restart"/>
            <w:noWrap w:val="0"/>
            <w:vAlign w:val="center"/>
          </w:tcPr>
          <w:p w14:paraId="37FD37E9">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地表水环境</w:t>
            </w:r>
          </w:p>
        </w:tc>
        <w:tc>
          <w:tcPr>
            <w:tcW w:w="1603" w:type="dxa"/>
            <w:noWrap w:val="0"/>
            <w:vAlign w:val="center"/>
          </w:tcPr>
          <w:p w14:paraId="23B86ADE">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eastAsia="宋体" w:cs="Times New Roman"/>
                <w:sz w:val="21"/>
                <w:szCs w:val="21"/>
                <w:highlight w:val="none"/>
                <w:lang w:eastAsia="zh-CN"/>
              </w:rPr>
            </w:pPr>
            <w:r>
              <w:rPr>
                <w:rFonts w:hint="eastAsia" w:cs="Times New Roman"/>
                <w:sz w:val="21"/>
                <w:szCs w:val="21"/>
                <w:highlight w:val="none"/>
                <w:lang w:eastAsia="zh-CN"/>
              </w:rPr>
              <w:t>配煤压滤废水</w:t>
            </w:r>
          </w:p>
        </w:tc>
        <w:tc>
          <w:tcPr>
            <w:tcW w:w="1639" w:type="dxa"/>
            <w:noWrap w:val="0"/>
            <w:vAlign w:val="center"/>
          </w:tcPr>
          <w:p w14:paraId="71671625">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 w:val="21"/>
                <w:szCs w:val="21"/>
                <w:highlight w:val="none"/>
                <w:lang w:val="en-US" w:eastAsia="zh-CN"/>
              </w:rPr>
              <w:t>SS等</w:t>
            </w:r>
          </w:p>
        </w:tc>
        <w:tc>
          <w:tcPr>
            <w:tcW w:w="2019" w:type="dxa"/>
            <w:noWrap w:val="0"/>
            <w:vAlign w:val="center"/>
          </w:tcPr>
          <w:p w14:paraId="256A82A0">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cs="Times New Roman"/>
                <w:sz w:val="21"/>
                <w:szCs w:val="21"/>
                <w:highlight w:val="none"/>
                <w:lang w:eastAsia="zh-CN"/>
              </w:rPr>
              <w:t>流入清水池</w:t>
            </w:r>
            <w:r>
              <w:rPr>
                <w:rFonts w:hint="default" w:ascii="Times New Roman" w:hAnsi="Times New Roman" w:cs="Times New Roman"/>
                <w:sz w:val="21"/>
                <w:szCs w:val="21"/>
                <w:highlight w:val="none"/>
                <w:lang w:eastAsia="zh-CN"/>
              </w:rPr>
              <w:t>沉淀后回用于生产</w:t>
            </w:r>
          </w:p>
        </w:tc>
        <w:tc>
          <w:tcPr>
            <w:tcW w:w="1844" w:type="dxa"/>
            <w:noWrap w:val="0"/>
            <w:vAlign w:val="center"/>
          </w:tcPr>
          <w:p w14:paraId="51358DD2">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cs="Times New Roman"/>
                <w:sz w:val="21"/>
                <w:szCs w:val="21"/>
                <w:highlight w:val="none"/>
                <w:lang w:eastAsia="zh-CN"/>
              </w:rPr>
              <w:t>—</w:t>
            </w:r>
          </w:p>
        </w:tc>
      </w:tr>
      <w:tr w14:paraId="16BB3A8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695" w:type="dxa"/>
            <w:vMerge w:val="continue"/>
            <w:noWrap w:val="0"/>
            <w:vAlign w:val="center"/>
          </w:tcPr>
          <w:p w14:paraId="0B27FC62">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rPr>
            </w:pPr>
          </w:p>
        </w:tc>
        <w:tc>
          <w:tcPr>
            <w:tcW w:w="1603" w:type="dxa"/>
            <w:noWrap w:val="0"/>
            <w:vAlign w:val="center"/>
          </w:tcPr>
          <w:p w14:paraId="65B40712">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cs="Times New Roman"/>
                <w:sz w:val="21"/>
                <w:szCs w:val="21"/>
                <w:highlight w:val="none"/>
                <w:lang w:eastAsia="zh-CN"/>
              </w:rPr>
              <w:t>车辆冲洗废水</w:t>
            </w:r>
          </w:p>
        </w:tc>
        <w:tc>
          <w:tcPr>
            <w:tcW w:w="1639" w:type="dxa"/>
            <w:noWrap w:val="0"/>
            <w:vAlign w:val="center"/>
          </w:tcPr>
          <w:p w14:paraId="794B5D06">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 w:val="21"/>
                <w:szCs w:val="21"/>
                <w:highlight w:val="none"/>
                <w:lang w:val="en-US" w:eastAsia="zh-CN"/>
              </w:rPr>
              <w:t>SS等</w:t>
            </w:r>
          </w:p>
        </w:tc>
        <w:tc>
          <w:tcPr>
            <w:tcW w:w="2019" w:type="dxa"/>
            <w:noWrap w:val="0"/>
            <w:vAlign w:val="center"/>
          </w:tcPr>
          <w:p w14:paraId="4D6C2150">
            <w:pPr>
              <w:keepNext w:val="0"/>
              <w:keepLines w:val="0"/>
              <w:pageBreakBefore w:val="0"/>
              <w:widowControl w:val="0"/>
              <w:kinsoku/>
              <w:wordWrap/>
              <w:topLinePunct w:val="0"/>
              <w:bidi w:val="0"/>
              <w:adjustRightInd w:val="0"/>
              <w:snapToGrid w:val="0"/>
              <w:spacing w:line="240" w:lineRule="auto"/>
              <w:jc w:val="center"/>
              <w:rPr>
                <w:rFonts w:hint="eastAsia" w:ascii="Times New Roman" w:hAnsi="Times New Roman" w:eastAsia="宋体" w:cs="Times New Roman"/>
                <w:kern w:val="2"/>
                <w:sz w:val="21"/>
                <w:szCs w:val="21"/>
                <w:highlight w:val="none"/>
                <w:lang w:val="en-US" w:eastAsia="zh-CN" w:bidi="ar-SA"/>
              </w:rPr>
            </w:pPr>
            <w:r>
              <w:rPr>
                <w:rFonts w:hint="default" w:ascii="Times New Roman" w:hAnsi="Times New Roman" w:cs="Times New Roman"/>
                <w:sz w:val="21"/>
                <w:szCs w:val="21"/>
                <w:highlight w:val="none"/>
                <w:lang w:eastAsia="zh-CN"/>
              </w:rPr>
              <w:t>经沉淀池沉淀后回用于</w:t>
            </w:r>
            <w:r>
              <w:rPr>
                <w:rFonts w:hint="eastAsia"/>
                <w:sz w:val="21"/>
                <w:szCs w:val="21"/>
                <w:lang w:eastAsia="zh-CN"/>
              </w:rPr>
              <w:t>车辆清洗</w:t>
            </w:r>
          </w:p>
        </w:tc>
        <w:tc>
          <w:tcPr>
            <w:tcW w:w="1844" w:type="dxa"/>
            <w:noWrap w:val="0"/>
            <w:vAlign w:val="center"/>
          </w:tcPr>
          <w:p w14:paraId="30B8E8EF">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cs="Times New Roman"/>
                <w:sz w:val="21"/>
                <w:szCs w:val="21"/>
                <w:highlight w:val="none"/>
                <w:lang w:eastAsia="zh-CN"/>
              </w:rPr>
              <w:t>—</w:t>
            </w:r>
          </w:p>
        </w:tc>
      </w:tr>
      <w:tr w14:paraId="15FD600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695" w:type="dxa"/>
            <w:vMerge w:val="continue"/>
            <w:noWrap w:val="0"/>
            <w:vAlign w:val="center"/>
          </w:tcPr>
          <w:p w14:paraId="3112DAE6">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rPr>
            </w:pPr>
          </w:p>
        </w:tc>
        <w:tc>
          <w:tcPr>
            <w:tcW w:w="1603" w:type="dxa"/>
            <w:noWrap w:val="0"/>
            <w:vAlign w:val="center"/>
          </w:tcPr>
          <w:p w14:paraId="5BE1E8C5">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生活污水、食堂废水</w:t>
            </w:r>
          </w:p>
        </w:tc>
        <w:tc>
          <w:tcPr>
            <w:tcW w:w="1639" w:type="dxa"/>
            <w:noWrap w:val="0"/>
            <w:vAlign w:val="center"/>
          </w:tcPr>
          <w:p w14:paraId="177B2E95">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pH、COD、BOD</w:t>
            </w:r>
            <w:r>
              <w:rPr>
                <w:rFonts w:hint="default" w:ascii="Times New Roman" w:hAnsi="Times New Roman" w:cs="Times New Roman"/>
                <w:sz w:val="21"/>
                <w:szCs w:val="21"/>
                <w:highlight w:val="none"/>
                <w:vertAlign w:val="subscript"/>
                <w:lang w:val="en-US" w:eastAsia="zh-CN"/>
              </w:rPr>
              <w:t>5</w:t>
            </w:r>
            <w:r>
              <w:rPr>
                <w:rFonts w:hint="default" w:ascii="Times New Roman" w:hAnsi="Times New Roman" w:cs="Times New Roman"/>
                <w:sz w:val="21"/>
                <w:szCs w:val="21"/>
                <w:highlight w:val="none"/>
                <w:lang w:val="en-US" w:eastAsia="zh-CN"/>
              </w:rPr>
              <w:t>、SS、氨氮、动植物油</w:t>
            </w:r>
          </w:p>
        </w:tc>
        <w:tc>
          <w:tcPr>
            <w:tcW w:w="2019" w:type="dxa"/>
            <w:noWrap w:val="0"/>
            <w:vAlign w:val="center"/>
          </w:tcPr>
          <w:p w14:paraId="631C6205">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排入</w:t>
            </w:r>
            <w:r>
              <w:rPr>
                <w:rFonts w:hint="default" w:ascii="Times New Roman" w:hAnsi="Times New Roman" w:cs="Times New Roman"/>
                <w:sz w:val="21"/>
                <w:szCs w:val="21"/>
              </w:rPr>
              <w:t>市政污水管网</w:t>
            </w:r>
          </w:p>
        </w:tc>
        <w:tc>
          <w:tcPr>
            <w:tcW w:w="1844" w:type="dxa"/>
            <w:noWrap w:val="0"/>
            <w:vAlign w:val="center"/>
          </w:tcPr>
          <w:p w14:paraId="73597E4B">
            <w:pPr>
              <w:keepNext w:val="0"/>
              <w:keepLines w:val="0"/>
              <w:pageBreakBefore w:val="0"/>
              <w:widowControl w:val="0"/>
              <w:kinsoku/>
              <w:wordWrap/>
              <w:topLinePunct w:val="0"/>
              <w:bidi w:val="0"/>
              <w:adjustRightInd w:val="0"/>
              <w:snapToGrid w:val="0"/>
              <w:spacing w:line="240" w:lineRule="auto"/>
              <w:jc w:val="center"/>
              <w:rPr>
                <w:rFonts w:hint="eastAsia" w:ascii="Times New Roman" w:hAnsi="Times New Roman" w:eastAsia="宋体" w:cs="Times New Roman"/>
                <w:sz w:val="21"/>
                <w:szCs w:val="21"/>
                <w:highlight w:val="none"/>
                <w:lang w:eastAsia="zh-CN"/>
              </w:rPr>
            </w:pPr>
            <w:r>
              <w:rPr>
                <w:rFonts w:hint="default" w:ascii="Times New Roman" w:hAnsi="Times New Roman" w:eastAsia="宋体" w:cs="Times New Roman"/>
                <w:b w:val="0"/>
                <w:bCs w:val="0"/>
                <w:kern w:val="0"/>
                <w:sz w:val="21"/>
                <w:szCs w:val="21"/>
                <w:highlight w:val="none"/>
                <w:lang w:val="en-US" w:eastAsia="zh-CN"/>
              </w:rPr>
              <w:t>《污水综合排放标准》（GB8978-1996）表4中第二类污染物最高允许排放浓度的三级标准，</w:t>
            </w:r>
            <w:r>
              <w:rPr>
                <w:rFonts w:hint="default" w:ascii="Times New Roman" w:hAnsi="Times New Roman" w:cs="Times New Roman"/>
                <w:sz w:val="21"/>
                <w:szCs w:val="21"/>
              </w:rPr>
              <w:t>NH</w:t>
            </w:r>
            <w:r>
              <w:rPr>
                <w:rFonts w:hint="default" w:ascii="Times New Roman" w:hAnsi="Times New Roman" w:cs="Times New Roman"/>
                <w:sz w:val="21"/>
                <w:szCs w:val="21"/>
                <w:vertAlign w:val="subscript"/>
              </w:rPr>
              <w:t>3</w:t>
            </w:r>
            <w:r>
              <w:rPr>
                <w:rFonts w:hint="default" w:ascii="Times New Roman" w:hAnsi="Times New Roman" w:cs="Times New Roman"/>
                <w:sz w:val="21"/>
                <w:szCs w:val="21"/>
              </w:rPr>
              <w:t>-N满足《污水排入城镇下水道水质标准》（GB/T31962-2015）</w:t>
            </w:r>
            <w:r>
              <w:rPr>
                <w:rFonts w:hint="eastAsia" w:ascii="Times New Roman" w:hAnsi="Times New Roman" w:cs="Times New Roman"/>
                <w:sz w:val="21"/>
                <w:szCs w:val="21"/>
                <w:lang w:eastAsia="zh-CN"/>
              </w:rPr>
              <w:t>标准</w:t>
            </w:r>
          </w:p>
        </w:tc>
      </w:tr>
      <w:tr w14:paraId="2E7F5BA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695" w:type="dxa"/>
            <w:noWrap w:val="0"/>
            <w:vAlign w:val="center"/>
          </w:tcPr>
          <w:p w14:paraId="4287453D">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声环境</w:t>
            </w:r>
          </w:p>
        </w:tc>
        <w:tc>
          <w:tcPr>
            <w:tcW w:w="1603" w:type="dxa"/>
            <w:noWrap w:val="0"/>
            <w:vAlign w:val="center"/>
          </w:tcPr>
          <w:p w14:paraId="67CF7B09">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 w:val="21"/>
                <w:szCs w:val="21"/>
                <w:lang w:val="en-US" w:eastAsia="zh-CN"/>
              </w:rPr>
              <w:t>生产设备</w:t>
            </w:r>
          </w:p>
        </w:tc>
        <w:tc>
          <w:tcPr>
            <w:tcW w:w="1639" w:type="dxa"/>
            <w:noWrap w:val="0"/>
            <w:vAlign w:val="center"/>
          </w:tcPr>
          <w:p w14:paraId="6ABB71B3">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cs="Times New Roman"/>
                <w:b w:val="0"/>
                <w:bCs w:val="0"/>
                <w:color w:val="auto"/>
                <w:sz w:val="21"/>
                <w:szCs w:val="21"/>
              </w:rPr>
              <w:t>连续等效A声级</w:t>
            </w:r>
          </w:p>
        </w:tc>
        <w:tc>
          <w:tcPr>
            <w:tcW w:w="2019" w:type="dxa"/>
            <w:noWrap w:val="0"/>
            <w:vAlign w:val="center"/>
          </w:tcPr>
          <w:p w14:paraId="56BCB836">
            <w:pPr>
              <w:keepNext w:val="0"/>
              <w:keepLines w:val="0"/>
              <w:pageBreakBefore w:val="0"/>
              <w:widowControl w:val="0"/>
              <w:kinsoku/>
              <w:wordWrap/>
              <w:topLinePunct w:val="0"/>
              <w:bidi w:val="0"/>
              <w:adjustRightInd w:val="0"/>
              <w:snapToGrid w:val="0"/>
              <w:spacing w:line="240" w:lineRule="auto"/>
              <w:jc w:val="both"/>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 w:val="21"/>
                <w:szCs w:val="21"/>
                <w:highlight w:val="none"/>
                <w:lang w:val="en-US" w:eastAsia="zh-CN"/>
              </w:rPr>
              <w:t>低噪声设备、基础减振、厂房隔音等措施</w:t>
            </w:r>
          </w:p>
        </w:tc>
        <w:tc>
          <w:tcPr>
            <w:tcW w:w="1844" w:type="dxa"/>
            <w:noWrap w:val="0"/>
            <w:vAlign w:val="center"/>
          </w:tcPr>
          <w:p w14:paraId="6B63F0CF">
            <w:pPr>
              <w:keepNext w:val="0"/>
              <w:keepLines w:val="0"/>
              <w:pageBreakBefore w:val="0"/>
              <w:widowControl w:val="0"/>
              <w:kinsoku/>
              <w:wordWrap/>
              <w:topLinePunct w:val="0"/>
              <w:bidi w:val="0"/>
              <w:adjustRightInd w:val="0"/>
              <w:snapToGrid w:val="0"/>
              <w:spacing w:line="240" w:lineRule="auto"/>
              <w:jc w:val="both"/>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b w:val="0"/>
                <w:bCs/>
                <w:color w:val="auto"/>
                <w:sz w:val="21"/>
                <w:szCs w:val="21"/>
                <w:highlight w:val="none"/>
              </w:rPr>
              <w:t>《工业企业厂界环境噪声排放标准》（GB12348-2008）</w:t>
            </w:r>
            <w:r>
              <w:rPr>
                <w:rFonts w:hint="default" w:ascii="Times New Roman" w:hAnsi="Times New Roman" w:cs="Times New Roman"/>
                <w:b w:val="0"/>
                <w:bCs/>
                <w:color w:val="auto"/>
                <w:sz w:val="21"/>
                <w:szCs w:val="21"/>
                <w:highlight w:val="none"/>
                <w:lang w:val="en-US" w:eastAsia="zh-CN"/>
              </w:rPr>
              <w:t>3类</w:t>
            </w:r>
            <w:r>
              <w:rPr>
                <w:rFonts w:hint="default" w:ascii="Times New Roman" w:hAnsi="Times New Roman" w:cs="Times New Roman"/>
                <w:b w:val="0"/>
                <w:bCs/>
                <w:color w:val="auto"/>
                <w:sz w:val="21"/>
                <w:szCs w:val="21"/>
                <w:highlight w:val="none"/>
              </w:rPr>
              <w:t>标准</w:t>
            </w:r>
          </w:p>
        </w:tc>
      </w:tr>
      <w:tr w14:paraId="538A4C6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695" w:type="dxa"/>
            <w:noWrap w:val="0"/>
            <w:vAlign w:val="center"/>
          </w:tcPr>
          <w:p w14:paraId="7DF08DC5">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电磁辐射</w:t>
            </w:r>
          </w:p>
        </w:tc>
        <w:tc>
          <w:tcPr>
            <w:tcW w:w="1603" w:type="dxa"/>
            <w:noWrap w:val="0"/>
            <w:vAlign w:val="center"/>
          </w:tcPr>
          <w:p w14:paraId="2827BA68">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cs="Times New Roman"/>
                <w:sz w:val="21"/>
                <w:szCs w:val="21"/>
                <w:highlight w:val="none"/>
                <w:lang w:eastAsia="zh-CN"/>
              </w:rPr>
              <w:t>—</w:t>
            </w:r>
          </w:p>
        </w:tc>
        <w:tc>
          <w:tcPr>
            <w:tcW w:w="1639" w:type="dxa"/>
            <w:noWrap w:val="0"/>
            <w:vAlign w:val="center"/>
          </w:tcPr>
          <w:p w14:paraId="67E18E34">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cs="Times New Roman"/>
                <w:sz w:val="21"/>
                <w:szCs w:val="21"/>
                <w:highlight w:val="none"/>
                <w:lang w:eastAsia="zh-CN"/>
              </w:rPr>
              <w:t>—</w:t>
            </w:r>
          </w:p>
        </w:tc>
        <w:tc>
          <w:tcPr>
            <w:tcW w:w="2019" w:type="dxa"/>
            <w:noWrap w:val="0"/>
            <w:vAlign w:val="center"/>
          </w:tcPr>
          <w:p w14:paraId="5394798F">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cs="Times New Roman"/>
                <w:sz w:val="21"/>
                <w:szCs w:val="21"/>
                <w:highlight w:val="none"/>
                <w:lang w:eastAsia="zh-CN"/>
              </w:rPr>
              <w:t>—</w:t>
            </w:r>
          </w:p>
        </w:tc>
        <w:tc>
          <w:tcPr>
            <w:tcW w:w="1844" w:type="dxa"/>
            <w:noWrap w:val="0"/>
            <w:vAlign w:val="center"/>
          </w:tcPr>
          <w:p w14:paraId="330C642B">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cs="Times New Roman"/>
                <w:sz w:val="21"/>
                <w:szCs w:val="21"/>
                <w:highlight w:val="none"/>
                <w:lang w:eastAsia="zh-CN"/>
              </w:rPr>
              <w:t>—</w:t>
            </w:r>
          </w:p>
        </w:tc>
      </w:tr>
      <w:tr w14:paraId="5CA8551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76" w:hRule="atLeast"/>
          <w:jc w:val="center"/>
        </w:trPr>
        <w:tc>
          <w:tcPr>
            <w:tcW w:w="1695" w:type="dxa"/>
            <w:noWrap w:val="0"/>
            <w:vAlign w:val="center"/>
          </w:tcPr>
          <w:p w14:paraId="042CC67B">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固体废物</w:t>
            </w:r>
          </w:p>
        </w:tc>
        <w:tc>
          <w:tcPr>
            <w:tcW w:w="7105" w:type="dxa"/>
            <w:gridSpan w:val="4"/>
            <w:noWrap w:val="0"/>
            <w:vAlign w:val="center"/>
          </w:tcPr>
          <w:p w14:paraId="5B290AD9">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一般固废：</w:t>
            </w:r>
          </w:p>
          <w:p w14:paraId="3B3AE5E0">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eastAsia="宋体" w:cs="Times New Roman"/>
                <w:sz w:val="21"/>
                <w:szCs w:val="21"/>
                <w:lang w:val="en-US" w:eastAsia="zh-CN"/>
              </w:rPr>
            </w:pPr>
            <w:r>
              <w:rPr>
                <w:rFonts w:hint="eastAsia"/>
                <w:sz w:val="21"/>
                <w:szCs w:val="21"/>
                <w:lang w:val="en-US" w:eastAsia="zh-CN"/>
              </w:rPr>
              <w:t>压缩机压滤产生的劣质煤、废滤布、除尘器废布袋收集后外售；</w:t>
            </w:r>
            <w:r>
              <w:rPr>
                <w:rFonts w:hint="eastAsia"/>
                <w:sz w:val="21"/>
                <w:szCs w:val="21"/>
                <w:lang w:eastAsia="zh-CN"/>
              </w:rPr>
              <w:t>雨水沉淀池及排水沟污</w:t>
            </w:r>
            <w:r>
              <w:rPr>
                <w:rFonts w:hint="eastAsia"/>
                <w:color w:val="auto"/>
                <w:sz w:val="21"/>
                <w:szCs w:val="21"/>
                <w:lang w:eastAsia="zh-CN"/>
              </w:rPr>
              <w:t>泥</w:t>
            </w:r>
            <w:r>
              <w:rPr>
                <w:rFonts w:hint="eastAsia"/>
                <w:color w:val="auto"/>
                <w:sz w:val="21"/>
                <w:szCs w:val="21"/>
                <w:lang w:val="en-US" w:eastAsia="zh-CN"/>
              </w:rPr>
              <w:t>、</w:t>
            </w:r>
            <w:r>
              <w:rPr>
                <w:rFonts w:hint="eastAsia" w:ascii="Times New Roman" w:hAnsi="Times New Roman" w:cs="Times New Roman"/>
                <w:color w:val="auto"/>
                <w:sz w:val="21"/>
                <w:szCs w:val="21"/>
                <w:lang w:val="en-US" w:eastAsia="zh-CN"/>
              </w:rPr>
              <w:t>洗车平台沉淀池污泥、</w:t>
            </w:r>
            <w:r>
              <w:rPr>
                <w:rFonts w:hint="eastAsia"/>
                <w:sz w:val="21"/>
                <w:szCs w:val="21"/>
                <w:lang w:val="en-US" w:eastAsia="zh-CN"/>
              </w:rPr>
              <w:t>除尘灰</w:t>
            </w:r>
            <w:r>
              <w:rPr>
                <w:rFonts w:hint="eastAsia"/>
                <w:sz w:val="21"/>
                <w:szCs w:val="21"/>
                <w:highlight w:val="none"/>
                <w:lang w:val="en-US" w:eastAsia="zh-CN"/>
              </w:rPr>
              <w:t>收</w:t>
            </w:r>
            <w:r>
              <w:rPr>
                <w:rFonts w:hint="eastAsia"/>
                <w:sz w:val="21"/>
                <w:szCs w:val="21"/>
                <w:lang w:val="en-US" w:eastAsia="zh-CN"/>
              </w:rPr>
              <w:t>集后回用于生产。生活垃圾</w:t>
            </w:r>
            <w:r>
              <w:rPr>
                <w:rFonts w:hint="eastAsia" w:ascii="Times New Roman" w:hAnsi="Times New Roman" w:eastAsia="宋体" w:cs="Times New Roman"/>
                <w:sz w:val="21"/>
                <w:szCs w:val="21"/>
                <w:lang w:val="en-US" w:eastAsia="zh-CN"/>
              </w:rPr>
              <w:t>袋装化，集中收集由当地环卫部门统一处理。食堂餐厨垃圾、废油脂，收集后由有餐饮垃圾资质单位处理。</w:t>
            </w:r>
          </w:p>
          <w:p w14:paraId="1770562C">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危险废物：</w:t>
            </w:r>
          </w:p>
          <w:p w14:paraId="4571432A">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废润滑油、废油桶暂存于危废暂存间，定期委托有资质单位处置。</w:t>
            </w:r>
          </w:p>
        </w:tc>
      </w:tr>
      <w:tr w14:paraId="1AF010D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76" w:hRule="atLeast"/>
          <w:jc w:val="center"/>
        </w:trPr>
        <w:tc>
          <w:tcPr>
            <w:tcW w:w="1695" w:type="dxa"/>
            <w:noWrap w:val="0"/>
            <w:vAlign w:val="center"/>
          </w:tcPr>
          <w:p w14:paraId="440C4150">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土壤及地下水</w:t>
            </w:r>
          </w:p>
          <w:p w14:paraId="39CFC744">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污染防治措施</w:t>
            </w:r>
          </w:p>
        </w:tc>
        <w:tc>
          <w:tcPr>
            <w:tcW w:w="7105" w:type="dxa"/>
            <w:gridSpan w:val="4"/>
            <w:noWrap w:val="0"/>
            <w:vAlign w:val="center"/>
          </w:tcPr>
          <w:p w14:paraId="55FDD488">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eastAsia="宋体" w:cs="Times New Roman"/>
                <w:sz w:val="21"/>
                <w:szCs w:val="21"/>
                <w:lang w:val="zh-CN" w:eastAsia="zh-CN"/>
              </w:rPr>
            </w:pPr>
            <w:r>
              <w:rPr>
                <w:rFonts w:hint="default" w:ascii="Times New Roman" w:hAnsi="Times New Roman" w:eastAsia="宋体" w:cs="Times New Roman"/>
                <w:sz w:val="21"/>
                <w:szCs w:val="21"/>
                <w:lang w:val="en-US" w:eastAsia="zh-CN"/>
              </w:rPr>
              <w:t>①重点防渗区：危废暂存间应按照《危险废物贮存污染控制标准》(GB18597-2023)要求采取必要的防风、防晒、防雨、防漏、防渗、防腐等措施。危废间地面及裙角采用抗渗混凝土浇筑，防渗层厚度为30cm，危废间设有堵截泄漏的裙脚，面与裙脚采用坚固防渗的材料建造，防渗层为至少1m厚黏土层(渗透系数不大于10</w:t>
            </w:r>
            <w:r>
              <w:rPr>
                <w:rFonts w:hint="default" w:ascii="Times New Roman" w:hAnsi="Times New Roman" w:eastAsia="宋体" w:cs="Times New Roman"/>
                <w:sz w:val="21"/>
                <w:szCs w:val="21"/>
                <w:vertAlign w:val="superscript"/>
                <w:lang w:val="en-US" w:eastAsia="zh-CN"/>
              </w:rPr>
              <w:t>-7</w:t>
            </w:r>
            <w:r>
              <w:rPr>
                <w:rFonts w:hint="default" w:ascii="Times New Roman" w:hAnsi="Times New Roman" w:eastAsia="宋体" w:cs="Times New Roman"/>
                <w:sz w:val="21"/>
                <w:szCs w:val="21"/>
                <w:lang w:val="en-US" w:eastAsia="zh-CN"/>
              </w:rPr>
              <w:t>cm/s)，或至少2mm厚高密度聚乙烯膜等人工防渗材料(渗透系数不大于10</w:t>
            </w:r>
            <w:r>
              <w:rPr>
                <w:rFonts w:hint="default" w:ascii="Times New Roman" w:hAnsi="Times New Roman" w:eastAsia="宋体" w:cs="Times New Roman"/>
                <w:sz w:val="21"/>
                <w:szCs w:val="21"/>
                <w:vertAlign w:val="superscript"/>
                <w:lang w:val="en-US" w:eastAsia="zh-CN"/>
              </w:rPr>
              <w:t>-10</w:t>
            </w:r>
            <w:r>
              <w:rPr>
                <w:rFonts w:hint="default" w:ascii="Times New Roman" w:hAnsi="Times New Roman" w:eastAsia="宋体" w:cs="Times New Roman"/>
                <w:sz w:val="21"/>
                <w:szCs w:val="21"/>
                <w:lang w:val="en-US" w:eastAsia="zh-CN"/>
              </w:rPr>
              <w:t>cm/s)，或其他防渗性能等效的材料。</w:t>
            </w:r>
          </w:p>
          <w:p w14:paraId="28E44834">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②一般防渗区：厂房及库房采用水泥硬化处理，需满足等效黏土防渗层Mb≥1.5m，K≤1×10</w:t>
            </w:r>
            <w:r>
              <w:rPr>
                <w:rFonts w:hint="default" w:ascii="Times New Roman" w:hAnsi="Times New Roman" w:eastAsia="宋体" w:cs="Times New Roman"/>
                <w:sz w:val="21"/>
                <w:szCs w:val="21"/>
                <w:vertAlign w:val="superscript"/>
                <w:lang w:val="en-US" w:eastAsia="zh-CN"/>
              </w:rPr>
              <w:t>-7</w:t>
            </w:r>
            <w:r>
              <w:rPr>
                <w:rFonts w:hint="default" w:ascii="Times New Roman" w:hAnsi="Times New Roman" w:eastAsia="宋体" w:cs="Times New Roman"/>
                <w:sz w:val="21"/>
                <w:szCs w:val="21"/>
                <w:lang w:val="en-US" w:eastAsia="zh-CN"/>
              </w:rPr>
              <w:t>cm/s。</w:t>
            </w:r>
            <w:r>
              <w:rPr>
                <w:rFonts w:hint="eastAsia" w:cs="Times New Roman"/>
                <w:sz w:val="21"/>
                <w:szCs w:val="21"/>
                <w:lang w:val="en-US" w:eastAsia="zh-CN"/>
              </w:rPr>
              <w:t>排水沟、</w:t>
            </w:r>
            <w:r>
              <w:rPr>
                <w:rFonts w:hint="default" w:ascii="Times New Roman" w:hAnsi="Times New Roman" w:eastAsia="宋体" w:cs="Times New Roman"/>
                <w:sz w:val="21"/>
                <w:szCs w:val="21"/>
                <w:lang w:val="en-US" w:eastAsia="zh-CN"/>
              </w:rPr>
              <w:t>初期雨水管道，初期雨水沉淀池、清水池等池体</w:t>
            </w:r>
            <w:r>
              <w:rPr>
                <w:rFonts w:hint="default" w:ascii="Times New Roman" w:hAnsi="Times New Roman" w:eastAsia="宋体" w:cs="Times New Roman"/>
                <w:sz w:val="21"/>
                <w:szCs w:val="21"/>
                <w:lang w:val="zh-CN" w:eastAsia="zh-CN"/>
              </w:rPr>
              <w:t>采用防水混凝土结构并结合防水砂浆构建建筑主体，防渗层渗透系数小于</w:t>
            </w:r>
            <w:r>
              <w:rPr>
                <w:rFonts w:hint="default" w:ascii="Times New Roman" w:hAnsi="Times New Roman" w:eastAsia="宋体" w:cs="Times New Roman"/>
                <w:sz w:val="21"/>
                <w:szCs w:val="21"/>
                <w:lang w:val="en-US" w:eastAsia="zh-CN"/>
              </w:rPr>
              <w:t>10</w:t>
            </w:r>
            <w:r>
              <w:rPr>
                <w:rFonts w:hint="default" w:ascii="Times New Roman" w:hAnsi="Times New Roman" w:eastAsia="宋体" w:cs="Times New Roman"/>
                <w:sz w:val="21"/>
                <w:szCs w:val="21"/>
                <w:vertAlign w:val="superscript"/>
                <w:lang w:val="en-US" w:eastAsia="zh-CN"/>
              </w:rPr>
              <w:t>-7</w:t>
            </w:r>
            <w:r>
              <w:rPr>
                <w:rFonts w:hint="default" w:ascii="Times New Roman" w:hAnsi="Times New Roman" w:eastAsia="宋体" w:cs="Times New Roman"/>
                <w:sz w:val="21"/>
                <w:szCs w:val="21"/>
                <w:lang w:val="en-US" w:eastAsia="zh-CN"/>
              </w:rPr>
              <w:t>cm/s。</w:t>
            </w:r>
          </w:p>
          <w:p w14:paraId="154789F8">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③简单防渗区：除重点防渗区和一般防渗区之外的其他区域地面硬化即可。</w:t>
            </w:r>
          </w:p>
          <w:p w14:paraId="1BD44808">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采取上述措施后，项目的建设不会对土壤环境及地下水环境影响。项目无对地下水及土壤的影响途径，项目的建设不会对土壤环境及地下水环境产生影响。</w:t>
            </w:r>
          </w:p>
        </w:tc>
      </w:tr>
      <w:tr w14:paraId="122470E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76" w:hRule="atLeast"/>
          <w:jc w:val="center"/>
        </w:trPr>
        <w:tc>
          <w:tcPr>
            <w:tcW w:w="1695" w:type="dxa"/>
            <w:noWrap w:val="0"/>
            <w:vAlign w:val="center"/>
          </w:tcPr>
          <w:p w14:paraId="2B79415C">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生态保护措施</w:t>
            </w:r>
          </w:p>
        </w:tc>
        <w:tc>
          <w:tcPr>
            <w:tcW w:w="7105" w:type="dxa"/>
            <w:gridSpan w:val="4"/>
            <w:noWrap w:val="0"/>
            <w:vAlign w:val="center"/>
          </w:tcPr>
          <w:p w14:paraId="4B55D241">
            <w:pPr>
              <w:keepNext w:val="0"/>
              <w:keepLines w:val="0"/>
              <w:pageBreakBefore w:val="0"/>
              <w:widowControl w:val="0"/>
              <w:kinsoku/>
              <w:wordWrap/>
              <w:overflowPunct/>
              <w:topLinePunct w:val="0"/>
              <w:autoSpaceDE/>
              <w:autoSpaceDN/>
              <w:bidi w:val="0"/>
              <w:adjustRightInd w:val="0"/>
              <w:snapToGrid w:val="0"/>
              <w:spacing w:line="500" w:lineRule="exact"/>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lang w:val="en-US" w:eastAsia="zh-CN"/>
              </w:rPr>
              <w:t>地面硬化，合理绿化</w:t>
            </w:r>
          </w:p>
        </w:tc>
      </w:tr>
      <w:tr w14:paraId="16C58B7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76" w:hRule="atLeast"/>
          <w:jc w:val="center"/>
        </w:trPr>
        <w:tc>
          <w:tcPr>
            <w:tcW w:w="1695" w:type="dxa"/>
            <w:noWrap w:val="0"/>
            <w:vAlign w:val="center"/>
          </w:tcPr>
          <w:p w14:paraId="7587B4FE">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pacing w:val="-8"/>
                <w:sz w:val="21"/>
                <w:szCs w:val="21"/>
                <w:highlight w:val="none"/>
              </w:rPr>
            </w:pPr>
            <w:r>
              <w:rPr>
                <w:rFonts w:hint="default" w:ascii="Times New Roman" w:hAnsi="Times New Roman" w:cs="Times New Roman"/>
                <w:spacing w:val="-8"/>
                <w:sz w:val="21"/>
                <w:szCs w:val="21"/>
                <w:highlight w:val="none"/>
              </w:rPr>
              <w:t>环境风险</w:t>
            </w:r>
          </w:p>
          <w:p w14:paraId="011E07F0">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spacing w:val="-8"/>
                <w:sz w:val="21"/>
                <w:szCs w:val="21"/>
                <w:highlight w:val="none"/>
              </w:rPr>
            </w:pPr>
            <w:r>
              <w:rPr>
                <w:rFonts w:hint="default" w:ascii="Times New Roman" w:hAnsi="Times New Roman" w:cs="Times New Roman"/>
                <w:spacing w:val="-8"/>
                <w:sz w:val="21"/>
                <w:szCs w:val="21"/>
                <w:highlight w:val="none"/>
              </w:rPr>
              <w:t>防范措施</w:t>
            </w:r>
          </w:p>
        </w:tc>
        <w:tc>
          <w:tcPr>
            <w:tcW w:w="7105" w:type="dxa"/>
            <w:gridSpan w:val="4"/>
            <w:noWrap w:val="0"/>
            <w:vAlign w:val="center"/>
          </w:tcPr>
          <w:p w14:paraId="26FCBED7">
            <w:pPr>
              <w:keepNext w:val="0"/>
              <w:keepLines w:val="0"/>
              <w:pageBreakBefore w:val="0"/>
              <w:widowControl w:val="0"/>
              <w:tabs>
                <w:tab w:val="left" w:pos="0"/>
                <w:tab w:val="left" w:pos="1020"/>
              </w:tabs>
              <w:kinsoku/>
              <w:wordWrap/>
              <w:overflowPunct/>
              <w:topLinePunct w:val="0"/>
              <w:autoSpaceDE/>
              <w:autoSpaceDN/>
              <w:bidi w:val="0"/>
              <w:snapToGrid w:val="0"/>
              <w:spacing w:line="500" w:lineRule="exact"/>
              <w:ind w:firstLine="420" w:firstLineChars="200"/>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①设计中严格执行国家、行业有关劳动安全卫生的法规和标准规范。</w:t>
            </w:r>
          </w:p>
          <w:p w14:paraId="43C16407">
            <w:pPr>
              <w:keepNext w:val="0"/>
              <w:keepLines w:val="0"/>
              <w:pageBreakBefore w:val="0"/>
              <w:widowControl w:val="0"/>
              <w:tabs>
                <w:tab w:val="left" w:pos="0"/>
                <w:tab w:val="left" w:pos="1020"/>
              </w:tabs>
              <w:kinsoku/>
              <w:wordWrap/>
              <w:overflowPunct/>
              <w:topLinePunct w:val="0"/>
              <w:autoSpaceDE/>
              <w:autoSpaceDN/>
              <w:bidi w:val="0"/>
              <w:snapToGrid w:val="0"/>
              <w:spacing w:line="500" w:lineRule="exact"/>
              <w:ind w:firstLine="420" w:firstLineChars="200"/>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②厂房内设备布置严格执行国家有关防火防爆的规范、规定，按区域分类有关规范，在厂房内划分专门的存储区，存储区内安装的电器设备应按照相应的区域等级采用防爆级，所有的电气设备均应接地。远离火种、热源，工作场所严禁吸烟。</w:t>
            </w:r>
          </w:p>
          <w:p w14:paraId="362CECC1">
            <w:pPr>
              <w:keepNext w:val="0"/>
              <w:keepLines w:val="0"/>
              <w:pageBreakBefore w:val="0"/>
              <w:widowControl w:val="0"/>
              <w:tabs>
                <w:tab w:val="left" w:pos="0"/>
                <w:tab w:val="left" w:pos="1020"/>
              </w:tabs>
              <w:kinsoku/>
              <w:wordWrap/>
              <w:overflowPunct/>
              <w:topLinePunct w:val="0"/>
              <w:autoSpaceDE/>
              <w:autoSpaceDN/>
              <w:bidi w:val="0"/>
              <w:snapToGrid w:val="0"/>
              <w:spacing w:line="500" w:lineRule="exact"/>
              <w:ind w:firstLine="420" w:firstLineChars="200"/>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③配备相应品种和数量的消防器材及泄漏应急处理设备。厂区制定风险应急措施，一旦发生泄漏时，及时采取措施。</w:t>
            </w:r>
          </w:p>
          <w:p w14:paraId="66D8AB21">
            <w:pPr>
              <w:keepNext w:val="0"/>
              <w:keepLines w:val="0"/>
              <w:pageBreakBefore w:val="0"/>
              <w:widowControl w:val="0"/>
              <w:tabs>
                <w:tab w:val="left" w:pos="0"/>
                <w:tab w:val="left" w:pos="1020"/>
              </w:tabs>
              <w:kinsoku/>
              <w:wordWrap/>
              <w:overflowPunct/>
              <w:topLinePunct w:val="0"/>
              <w:autoSpaceDE/>
              <w:autoSpaceDN/>
              <w:bidi w:val="0"/>
              <w:snapToGrid w:val="0"/>
              <w:spacing w:line="500" w:lineRule="exact"/>
              <w:ind w:firstLine="420" w:firstLineChars="200"/>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④项目营运期间要加强管理，制定相应的规章制度。营运期严格杜绝油类的跑、冒、滴、漏现象的发生，同时要防火、防爆、防雷击，注意安全，杜绝一切不安全因素造成的对周围环境的影响。</w:t>
            </w:r>
          </w:p>
          <w:p w14:paraId="7E28AD65">
            <w:pPr>
              <w:keepNext w:val="0"/>
              <w:keepLines w:val="0"/>
              <w:pageBreakBefore w:val="0"/>
              <w:widowControl w:val="0"/>
              <w:kinsoku/>
              <w:wordWrap/>
              <w:overflowPunct/>
              <w:topLinePunct w:val="0"/>
              <w:autoSpaceDE/>
              <w:autoSpaceDN/>
              <w:bidi w:val="0"/>
              <w:adjustRightInd w:val="0"/>
              <w:snapToGrid w:val="0"/>
              <w:spacing w:line="500" w:lineRule="exact"/>
              <w:ind w:firstLine="420" w:firstLineChars="200"/>
              <w:jc w:val="left"/>
              <w:textAlignment w:val="auto"/>
              <w:rPr>
                <w:rFonts w:hint="default" w:ascii="Times New Roman" w:hAnsi="Times New Roman" w:cs="Times New Roman"/>
                <w:sz w:val="21"/>
                <w:szCs w:val="21"/>
                <w:highlight w:val="none"/>
              </w:rPr>
            </w:pPr>
            <w:r>
              <w:rPr>
                <w:rFonts w:hint="default" w:ascii="Times New Roman" w:hAnsi="Times New Roman" w:cs="Times New Roman"/>
                <w:color w:val="auto"/>
                <w:sz w:val="21"/>
                <w:szCs w:val="21"/>
              </w:rPr>
              <w:t>⑤</w:t>
            </w:r>
            <w:r>
              <w:rPr>
                <w:rFonts w:hint="default" w:ascii="Times New Roman" w:hAnsi="Times New Roman" w:cs="Times New Roman"/>
                <w:color w:val="auto"/>
                <w:sz w:val="21"/>
                <w:szCs w:val="21"/>
                <w:lang w:eastAsia="zh-CN"/>
              </w:rPr>
              <w:t>制定</w:t>
            </w:r>
            <w:r>
              <w:rPr>
                <w:rFonts w:hint="default" w:ascii="Times New Roman" w:hAnsi="Times New Roman" w:cs="Times New Roman"/>
                <w:color w:val="auto"/>
                <w:sz w:val="21"/>
                <w:szCs w:val="21"/>
                <w:highlight w:val="none"/>
                <w:shd w:val="clear" w:color="auto" w:fill="auto"/>
                <w:lang w:bidi="ar"/>
              </w:rPr>
              <w:t>环境风险应急预案。</w:t>
            </w:r>
          </w:p>
        </w:tc>
      </w:tr>
      <w:tr w14:paraId="0F3D884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695" w:type="dxa"/>
            <w:noWrap w:val="0"/>
            <w:vAlign w:val="center"/>
          </w:tcPr>
          <w:p w14:paraId="2E62CED5">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color w:val="auto"/>
                <w:spacing w:val="-8"/>
                <w:sz w:val="21"/>
                <w:szCs w:val="21"/>
                <w:highlight w:val="none"/>
              </w:rPr>
            </w:pPr>
            <w:r>
              <w:rPr>
                <w:rFonts w:hint="default" w:ascii="Times New Roman" w:hAnsi="Times New Roman" w:cs="Times New Roman"/>
                <w:color w:val="auto"/>
                <w:spacing w:val="-8"/>
                <w:sz w:val="21"/>
                <w:szCs w:val="21"/>
                <w:highlight w:val="none"/>
              </w:rPr>
              <w:t>其他环境</w:t>
            </w:r>
          </w:p>
          <w:p w14:paraId="653CDDFC">
            <w:pPr>
              <w:keepNext w:val="0"/>
              <w:keepLines w:val="0"/>
              <w:pageBreakBefore w:val="0"/>
              <w:widowControl w:val="0"/>
              <w:kinsoku/>
              <w:wordWrap/>
              <w:topLinePunct w:val="0"/>
              <w:bidi w:val="0"/>
              <w:adjustRightInd w:val="0"/>
              <w:snapToGrid w:val="0"/>
              <w:spacing w:line="240" w:lineRule="auto"/>
              <w:jc w:val="center"/>
              <w:rPr>
                <w:rFonts w:hint="default" w:ascii="Times New Roman" w:hAnsi="Times New Roman" w:cs="Times New Roman"/>
                <w:color w:val="auto"/>
                <w:spacing w:val="-8"/>
                <w:sz w:val="21"/>
                <w:szCs w:val="21"/>
                <w:highlight w:val="none"/>
              </w:rPr>
            </w:pPr>
            <w:r>
              <w:rPr>
                <w:rFonts w:hint="default" w:ascii="Times New Roman" w:hAnsi="Times New Roman" w:cs="Times New Roman"/>
                <w:color w:val="auto"/>
                <w:spacing w:val="-8"/>
                <w:sz w:val="21"/>
                <w:szCs w:val="21"/>
                <w:highlight w:val="none"/>
              </w:rPr>
              <w:t>管理要求</w:t>
            </w:r>
          </w:p>
        </w:tc>
        <w:tc>
          <w:tcPr>
            <w:tcW w:w="7105" w:type="dxa"/>
            <w:gridSpan w:val="4"/>
            <w:noWrap w:val="0"/>
            <w:vAlign w:val="center"/>
          </w:tcPr>
          <w:p w14:paraId="1A59DDE4">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1</w:t>
            </w:r>
            <w:r>
              <w:rPr>
                <w:rFonts w:hint="default" w:ascii="Times New Roman" w:hAnsi="Times New Roman" w:cs="Times New Roman"/>
                <w:color w:val="auto"/>
                <w:sz w:val="21"/>
                <w:szCs w:val="21"/>
              </w:rPr>
              <w:t>、环境管理</w:t>
            </w:r>
          </w:p>
          <w:p w14:paraId="041E7DF3">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eastAsia="zh-CN"/>
              </w:rPr>
              <w:t>（</w:t>
            </w:r>
            <w:r>
              <w:rPr>
                <w:rFonts w:hint="default" w:ascii="Times New Roman" w:hAnsi="Times New Roman" w:cs="Times New Roman"/>
                <w:color w:val="auto"/>
                <w:sz w:val="21"/>
                <w:szCs w:val="21"/>
                <w:lang w:val="en-US" w:eastAsia="zh-CN"/>
              </w:rPr>
              <w:t>1</w:t>
            </w:r>
            <w:r>
              <w:rPr>
                <w:rFonts w:hint="default" w:ascii="Times New Roman" w:hAnsi="Times New Roman" w:cs="Times New Roman"/>
                <w:color w:val="auto"/>
                <w:sz w:val="21"/>
                <w:szCs w:val="21"/>
                <w:lang w:eastAsia="zh-CN"/>
              </w:rPr>
              <w:t>）</w:t>
            </w:r>
            <w:r>
              <w:rPr>
                <w:rFonts w:hint="default" w:ascii="Times New Roman" w:hAnsi="Times New Roman" w:cs="Times New Roman"/>
                <w:color w:val="auto"/>
                <w:sz w:val="21"/>
                <w:szCs w:val="21"/>
                <w:lang w:val="en-US" w:eastAsia="zh-CN"/>
              </w:rPr>
              <w:t>设立环保管理机构，定期检查企业环保设施的运行，及时进行维修，确保环保设施的正常运行。</w:t>
            </w:r>
          </w:p>
          <w:p w14:paraId="6EA94394">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（2）建立污染控制管理档案，做好日常生产台账记录。</w:t>
            </w:r>
          </w:p>
          <w:p w14:paraId="23FCB634">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（3）排污口规范化管理并立标建档。</w:t>
            </w:r>
          </w:p>
          <w:p w14:paraId="0F7D0709">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（4）及时进行企业信息公开，按照监测计划定期开展自行监测。</w:t>
            </w:r>
          </w:p>
          <w:p w14:paraId="168D1E22">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2、排污口规范化</w:t>
            </w:r>
          </w:p>
          <w:p w14:paraId="08B7DA9B">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（1）排污口设置</w:t>
            </w:r>
          </w:p>
          <w:p w14:paraId="35CB787C">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废气：本项目</w:t>
            </w:r>
            <w:r>
              <w:rPr>
                <w:rFonts w:hint="eastAsia" w:cs="Times New Roman"/>
                <w:color w:val="auto"/>
                <w:sz w:val="21"/>
                <w:szCs w:val="21"/>
                <w:lang w:val="en-US" w:eastAsia="zh-CN"/>
              </w:rPr>
              <w:t>2</w:t>
            </w:r>
            <w:r>
              <w:rPr>
                <w:rFonts w:hint="default" w:ascii="Times New Roman" w:hAnsi="Times New Roman" w:cs="Times New Roman"/>
                <w:color w:val="auto"/>
                <w:sz w:val="21"/>
                <w:szCs w:val="21"/>
                <w:lang w:val="en-US" w:eastAsia="zh-CN"/>
              </w:rPr>
              <w:t>个废气排放口。</w:t>
            </w:r>
          </w:p>
          <w:p w14:paraId="67CDDB0E">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eastAsia="宋体"/>
                <w:color w:val="auto"/>
                <w:sz w:val="21"/>
                <w:szCs w:val="21"/>
                <w:lang w:eastAsia="zh-CN"/>
              </w:rPr>
            </w:pPr>
            <w:r>
              <w:rPr>
                <w:rFonts w:hint="eastAsia"/>
                <w:color w:val="auto"/>
                <w:sz w:val="21"/>
                <w:szCs w:val="21"/>
                <w:lang w:eastAsia="zh-CN"/>
              </w:rPr>
              <w:t>废水：</w:t>
            </w:r>
            <w:r>
              <w:rPr>
                <w:rFonts w:hint="default" w:ascii="Times New Roman" w:hAnsi="Times New Roman" w:cs="Times New Roman"/>
                <w:color w:val="auto"/>
                <w:sz w:val="21"/>
                <w:szCs w:val="21"/>
                <w:lang w:val="en-US" w:eastAsia="zh-CN"/>
              </w:rPr>
              <w:t>本项目</w:t>
            </w:r>
            <w:r>
              <w:rPr>
                <w:rFonts w:hint="eastAsia" w:cs="Times New Roman"/>
                <w:color w:val="auto"/>
                <w:sz w:val="21"/>
                <w:szCs w:val="21"/>
                <w:lang w:val="en-US" w:eastAsia="zh-CN"/>
              </w:rPr>
              <w:t>1</w:t>
            </w:r>
            <w:r>
              <w:rPr>
                <w:rFonts w:hint="default" w:ascii="Times New Roman" w:hAnsi="Times New Roman" w:cs="Times New Roman"/>
                <w:color w:val="auto"/>
                <w:sz w:val="21"/>
                <w:szCs w:val="21"/>
                <w:lang w:val="en-US" w:eastAsia="zh-CN"/>
              </w:rPr>
              <w:t>个废</w:t>
            </w:r>
            <w:r>
              <w:rPr>
                <w:rFonts w:hint="eastAsia" w:ascii="Times New Roman" w:hAnsi="Times New Roman" w:cs="Times New Roman"/>
                <w:color w:val="auto"/>
                <w:sz w:val="21"/>
                <w:szCs w:val="21"/>
                <w:lang w:val="en-US" w:eastAsia="zh-CN"/>
              </w:rPr>
              <w:t>水</w:t>
            </w:r>
            <w:r>
              <w:rPr>
                <w:rFonts w:hint="default" w:ascii="Times New Roman" w:hAnsi="Times New Roman" w:cs="Times New Roman"/>
                <w:color w:val="auto"/>
                <w:sz w:val="21"/>
                <w:szCs w:val="21"/>
                <w:lang w:val="en-US" w:eastAsia="zh-CN"/>
              </w:rPr>
              <w:t>排放口。</w:t>
            </w:r>
          </w:p>
          <w:p w14:paraId="6501FD6B">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噪声：须按《工业企业厂界环境噪声排放标准》（GB12348-2008）的规定，设置环境噪声监测点，并在该处附近醒目处设置环境图形标志牌。</w:t>
            </w:r>
          </w:p>
          <w:p w14:paraId="0602A7D8">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固废：固体废物贮存场所应按《环境保护图形标志-排污口（源）》（GB15562.1-1995）规定，设置统一制作的环境保护图形标志牌。</w:t>
            </w:r>
          </w:p>
          <w:p w14:paraId="48AAE769">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Chars="200"/>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（2）排污口管理原则</w:t>
            </w:r>
          </w:p>
          <w:p w14:paraId="397C65E4">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①向环境排放污染物的排污口必须规范化。</w:t>
            </w:r>
          </w:p>
          <w:p w14:paraId="436F071D">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②排污口应便于采样与计量监测，便于日常监督检查。</w:t>
            </w:r>
          </w:p>
          <w:p w14:paraId="2092FFC3">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420" w:firstLineChars="200"/>
              <w:textAlignment w:val="auto"/>
              <w:rPr>
                <w:rFonts w:hint="default" w:ascii="Times New Roman" w:hAnsi="Times New Roman" w:cs="Times New Roman"/>
                <w:color w:val="auto"/>
                <w:sz w:val="21"/>
                <w:szCs w:val="21"/>
                <w:lang w:val="en-US" w:eastAsia="zh-CN"/>
              </w:rPr>
            </w:pPr>
            <w:r>
              <w:rPr>
                <w:rFonts w:hint="default" w:ascii="Times New Roman" w:hAnsi="Times New Roman" w:eastAsia="宋体" w:cs="Times New Roman"/>
                <w:color w:val="auto"/>
                <w:kern w:val="2"/>
                <w:sz w:val="21"/>
                <w:szCs w:val="21"/>
                <w:lang w:val="en-US" w:eastAsia="zh-CN" w:bidi="ar-SA"/>
              </w:rPr>
              <w:t>（</w:t>
            </w:r>
            <w:r>
              <w:rPr>
                <w:rFonts w:hint="default" w:ascii="Times New Roman" w:hAnsi="Times New Roman" w:cs="Times New Roman"/>
                <w:color w:val="auto"/>
                <w:kern w:val="2"/>
                <w:sz w:val="21"/>
                <w:szCs w:val="21"/>
                <w:lang w:val="en-US" w:eastAsia="zh-CN" w:bidi="ar-SA"/>
              </w:rPr>
              <w:t>3</w:t>
            </w:r>
            <w:r>
              <w:rPr>
                <w:rFonts w:hint="default" w:ascii="Times New Roman" w:hAnsi="Times New Roman" w:eastAsia="宋体" w:cs="Times New Roman"/>
                <w:color w:val="auto"/>
                <w:kern w:val="2"/>
                <w:sz w:val="21"/>
                <w:szCs w:val="21"/>
                <w:lang w:val="en-US" w:eastAsia="zh-CN" w:bidi="ar-SA"/>
              </w:rPr>
              <w:t>）</w:t>
            </w:r>
            <w:r>
              <w:rPr>
                <w:rFonts w:hint="default" w:ascii="Times New Roman" w:hAnsi="Times New Roman" w:cs="Times New Roman"/>
                <w:color w:val="auto"/>
                <w:sz w:val="21"/>
                <w:szCs w:val="21"/>
                <w:lang w:val="en-US" w:eastAsia="zh-CN"/>
              </w:rPr>
              <w:t>排污口立标和建档</w:t>
            </w:r>
          </w:p>
          <w:p w14:paraId="70387DBE">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①排污口立标管理</w:t>
            </w:r>
          </w:p>
          <w:p w14:paraId="00DD6919">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废气排放口应按《环境图形标志-排污口（源）》（GB15562.1-1995）规定，设置统一制作的环境图形保护标志牌，污染物排放口设置提示性环境保护图形标志牌。</w:t>
            </w:r>
          </w:p>
          <w:p w14:paraId="2B07B202">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②排污口建档管理</w:t>
            </w:r>
          </w:p>
          <w:p w14:paraId="029F292B">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使用国家环保局统一印制的《中华人民共和国规范化排污口标志登记证》，并按要求填写有关内容，项目建成后，应将主要污染物种类、数量、浓度、排放去向、立标情况及设施运行情况记录于档案。</w:t>
            </w:r>
          </w:p>
          <w:p w14:paraId="0E32A9B9">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环境保护图形符号见下表。</w:t>
            </w:r>
          </w:p>
          <w:p w14:paraId="7558308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1"/>
                <w:szCs w:val="21"/>
                <w:lang w:val="en-US" w:eastAsia="zh-CN"/>
              </w:rPr>
            </w:pPr>
            <w:r>
              <w:rPr>
                <w:rFonts w:hint="default" w:ascii="Times New Roman" w:hAnsi="Times New Roman" w:cs="Times New Roman"/>
                <w:b/>
                <w:bCs/>
                <w:color w:val="auto"/>
                <w:sz w:val="21"/>
                <w:szCs w:val="21"/>
                <w:lang w:val="en-US" w:eastAsia="zh-CN"/>
              </w:rPr>
              <w:t>表5-1 环境保护图形符号一览表</w:t>
            </w:r>
          </w:p>
          <w:tbl>
            <w:tblPr>
              <w:tblStyle w:val="26"/>
              <w:tblW w:w="4995" w:type="pct"/>
              <w:tblInd w:w="1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76"/>
              <w:gridCol w:w="1913"/>
              <w:gridCol w:w="3284"/>
            </w:tblGrid>
            <w:tr w14:paraId="7D81A7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2" w:hRule="atLeast"/>
              </w:trPr>
              <w:tc>
                <w:tcPr>
                  <w:tcW w:w="1219" w:type="pct"/>
                  <w:tcBorders>
                    <w:tl2br w:val="nil"/>
                    <w:tr2bl w:val="nil"/>
                  </w:tcBorders>
                  <w:noWrap w:val="0"/>
                  <w:vAlign w:val="center"/>
                </w:tcPr>
                <w:p w14:paraId="2687AE5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类型</w:t>
                  </w:r>
                </w:p>
              </w:tc>
              <w:tc>
                <w:tcPr>
                  <w:tcW w:w="1391" w:type="pct"/>
                  <w:tcBorders>
                    <w:tl2br w:val="nil"/>
                    <w:tr2bl w:val="nil"/>
                  </w:tcBorders>
                  <w:noWrap w:val="0"/>
                  <w:vAlign w:val="center"/>
                </w:tcPr>
                <w:p w14:paraId="3CE2504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排污口</w:t>
                  </w:r>
                </w:p>
              </w:tc>
              <w:tc>
                <w:tcPr>
                  <w:tcW w:w="2389" w:type="pct"/>
                  <w:tcBorders>
                    <w:tl2br w:val="nil"/>
                    <w:tr2bl w:val="nil"/>
                  </w:tcBorders>
                  <w:noWrap w:val="0"/>
                  <w:vAlign w:val="center"/>
                </w:tcPr>
                <w:p w14:paraId="7EBDC933">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环保图形标志</w:t>
                  </w:r>
                </w:p>
              </w:tc>
            </w:tr>
            <w:tr w14:paraId="397492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19" w:type="pct"/>
                  <w:tcBorders>
                    <w:tl2br w:val="nil"/>
                    <w:tr2bl w:val="nil"/>
                  </w:tcBorders>
                  <w:noWrap w:val="0"/>
                  <w:vAlign w:val="center"/>
                </w:tcPr>
                <w:p w14:paraId="1A76381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rPr>
                    <w:t>废气</w:t>
                  </w:r>
                </w:p>
              </w:tc>
              <w:tc>
                <w:tcPr>
                  <w:tcW w:w="1391" w:type="pct"/>
                  <w:tcBorders>
                    <w:tl2br w:val="nil"/>
                    <w:tr2bl w:val="nil"/>
                  </w:tcBorders>
                  <w:noWrap w:val="0"/>
                  <w:vAlign w:val="center"/>
                </w:tcPr>
                <w:p w14:paraId="1AEE16A8">
                  <w:pPr>
                    <w:pStyle w:val="5"/>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rPr>
                    <w:t>排气筒</w:t>
                  </w:r>
                </w:p>
              </w:tc>
              <w:tc>
                <w:tcPr>
                  <w:tcW w:w="2389" w:type="pct"/>
                  <w:tcBorders>
                    <w:tl2br w:val="nil"/>
                    <w:tr2bl w:val="nil"/>
                  </w:tcBorders>
                  <w:noWrap w:val="0"/>
                  <w:vAlign w:val="top"/>
                </w:tcPr>
                <w:p w14:paraId="2B4ECAC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snapToGrid w:val="0"/>
                      <w:color w:val="auto"/>
                      <w:kern w:val="0"/>
                      <w:sz w:val="21"/>
                      <w:szCs w:val="21"/>
                      <w:highlight w:val="none"/>
                    </w:rPr>
                    <w:drawing>
                      <wp:inline distT="0" distB="0" distL="114300" distR="114300">
                        <wp:extent cx="1877060" cy="1410335"/>
                        <wp:effectExtent l="0" t="0" r="8890" b="18415"/>
                        <wp:docPr id="6" name="图片 13" descr="1705915676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3" descr="1705915676457"/>
                                <pic:cNvPicPr>
                                  <a:picLocks noChangeAspect="1"/>
                                </pic:cNvPicPr>
                              </pic:nvPicPr>
                              <pic:blipFill>
                                <a:blip r:embed="rId33"/>
                                <a:stretch>
                                  <a:fillRect/>
                                </a:stretch>
                              </pic:blipFill>
                              <pic:spPr>
                                <a:xfrm>
                                  <a:off x="0" y="0"/>
                                  <a:ext cx="1877060" cy="1410335"/>
                                </a:xfrm>
                                <a:prstGeom prst="rect">
                                  <a:avLst/>
                                </a:prstGeom>
                                <a:noFill/>
                                <a:ln>
                                  <a:noFill/>
                                </a:ln>
                              </pic:spPr>
                            </pic:pic>
                          </a:graphicData>
                        </a:graphic>
                      </wp:inline>
                    </w:drawing>
                  </w:r>
                </w:p>
              </w:tc>
            </w:tr>
            <w:tr w14:paraId="08FC74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19" w:type="pct"/>
                  <w:tcBorders>
                    <w:tl2br w:val="nil"/>
                    <w:tr2bl w:val="nil"/>
                  </w:tcBorders>
                  <w:noWrap w:val="0"/>
                  <w:vAlign w:val="center"/>
                </w:tcPr>
                <w:p w14:paraId="40863E3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cs="Times New Roman"/>
                      <w:color w:val="auto"/>
                      <w:sz w:val="21"/>
                      <w:szCs w:val="21"/>
                    </w:rPr>
                    <w:t>废气</w:t>
                  </w:r>
                </w:p>
              </w:tc>
              <w:tc>
                <w:tcPr>
                  <w:tcW w:w="1391" w:type="pct"/>
                  <w:tcBorders>
                    <w:tl2br w:val="nil"/>
                    <w:tr2bl w:val="nil"/>
                  </w:tcBorders>
                  <w:noWrap w:val="0"/>
                  <w:vAlign w:val="center"/>
                </w:tcPr>
                <w:p w14:paraId="4BED8F83">
                  <w:pPr>
                    <w:pStyle w:val="5"/>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cs="Times New Roman"/>
                      <w:color w:val="auto"/>
                      <w:sz w:val="21"/>
                      <w:szCs w:val="21"/>
                    </w:rPr>
                    <w:t>食堂烟道</w:t>
                  </w:r>
                </w:p>
              </w:tc>
              <w:tc>
                <w:tcPr>
                  <w:tcW w:w="2389" w:type="pct"/>
                  <w:tcBorders>
                    <w:tl2br w:val="nil"/>
                    <w:tr2bl w:val="nil"/>
                  </w:tcBorders>
                  <w:noWrap w:val="0"/>
                  <w:vAlign w:val="top"/>
                </w:tcPr>
                <w:p w14:paraId="3A65B87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cs="Times New Roman"/>
                      <w:snapToGrid w:val="0"/>
                      <w:color w:val="auto"/>
                      <w:kern w:val="0"/>
                      <w:sz w:val="21"/>
                      <w:szCs w:val="21"/>
                      <w:highlight w:val="none"/>
                    </w:rPr>
                    <w:drawing>
                      <wp:inline distT="0" distB="0" distL="114300" distR="114300">
                        <wp:extent cx="1877060" cy="1410335"/>
                        <wp:effectExtent l="0" t="0" r="8890" b="18415"/>
                        <wp:docPr id="7" name="图片 13" descr="1705915676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3" descr="1705915676457"/>
                                <pic:cNvPicPr>
                                  <a:picLocks noChangeAspect="1"/>
                                </pic:cNvPicPr>
                              </pic:nvPicPr>
                              <pic:blipFill>
                                <a:blip r:embed="rId33"/>
                                <a:stretch>
                                  <a:fillRect/>
                                </a:stretch>
                              </pic:blipFill>
                              <pic:spPr>
                                <a:xfrm>
                                  <a:off x="0" y="0"/>
                                  <a:ext cx="1877060" cy="1410335"/>
                                </a:xfrm>
                                <a:prstGeom prst="rect">
                                  <a:avLst/>
                                </a:prstGeom>
                                <a:noFill/>
                                <a:ln>
                                  <a:noFill/>
                                </a:ln>
                              </pic:spPr>
                            </pic:pic>
                          </a:graphicData>
                        </a:graphic>
                      </wp:inline>
                    </w:drawing>
                  </w:r>
                </w:p>
              </w:tc>
            </w:tr>
            <w:tr w14:paraId="70D3D2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19" w:type="pct"/>
                  <w:tcBorders>
                    <w:tl2br w:val="nil"/>
                    <w:tr2bl w:val="nil"/>
                  </w:tcBorders>
                  <w:noWrap w:val="0"/>
                  <w:vAlign w:val="center"/>
                </w:tcPr>
                <w:p w14:paraId="790506F1">
                  <w:pPr>
                    <w:pStyle w:val="5"/>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噪声</w:t>
                  </w:r>
                </w:p>
              </w:tc>
              <w:tc>
                <w:tcPr>
                  <w:tcW w:w="1391" w:type="pct"/>
                  <w:tcBorders>
                    <w:tl2br w:val="nil"/>
                    <w:tr2bl w:val="nil"/>
                  </w:tcBorders>
                  <w:noWrap w:val="0"/>
                  <w:vAlign w:val="center"/>
                </w:tcPr>
                <w:p w14:paraId="565EAFA7">
                  <w:pPr>
                    <w:pStyle w:val="5"/>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rPr>
                    <w:t>各类</w:t>
                  </w:r>
                  <w:r>
                    <w:rPr>
                      <w:rFonts w:hint="default" w:ascii="Times New Roman" w:hAnsi="Times New Roman" w:cs="Times New Roman"/>
                      <w:color w:val="auto"/>
                      <w:sz w:val="21"/>
                      <w:szCs w:val="21"/>
                      <w:lang w:val="en-US" w:eastAsia="zh-CN"/>
                    </w:rPr>
                    <w:t>设备</w:t>
                  </w:r>
                  <w:r>
                    <w:rPr>
                      <w:rFonts w:hint="default" w:ascii="Times New Roman" w:hAnsi="Times New Roman" w:cs="Times New Roman"/>
                      <w:color w:val="auto"/>
                      <w:sz w:val="21"/>
                      <w:szCs w:val="21"/>
                    </w:rPr>
                    <w:t>、</w:t>
                  </w:r>
                  <w:r>
                    <w:rPr>
                      <w:rFonts w:hint="default" w:ascii="Times New Roman" w:hAnsi="Times New Roman" w:cs="Times New Roman"/>
                      <w:color w:val="auto"/>
                      <w:sz w:val="21"/>
                      <w:szCs w:val="21"/>
                      <w:lang w:val="en-US" w:eastAsia="zh-CN"/>
                    </w:rPr>
                    <w:t>风机</w:t>
                  </w:r>
                  <w:r>
                    <w:rPr>
                      <w:rFonts w:hint="default" w:ascii="Times New Roman" w:hAnsi="Times New Roman" w:cs="Times New Roman"/>
                      <w:color w:val="auto"/>
                      <w:sz w:val="21"/>
                      <w:szCs w:val="21"/>
                    </w:rPr>
                    <w:t>等噪声源</w:t>
                  </w:r>
                </w:p>
              </w:tc>
              <w:tc>
                <w:tcPr>
                  <w:tcW w:w="2389" w:type="pct"/>
                  <w:tcBorders>
                    <w:tl2br w:val="nil"/>
                    <w:tr2bl w:val="nil"/>
                  </w:tcBorders>
                  <w:noWrap w:val="0"/>
                  <w:vAlign w:val="top"/>
                </w:tcPr>
                <w:p w14:paraId="2AD3D03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 w:val="21"/>
                      <w:szCs w:val="21"/>
                    </w:rPr>
                  </w:pPr>
                  <w:r>
                    <w:rPr>
                      <w:rFonts w:hint="default" w:ascii="Times New Roman" w:hAnsi="Times New Roman" w:cs="Times New Roman"/>
                      <w:snapToGrid w:val="0"/>
                      <w:color w:val="auto"/>
                      <w:kern w:val="0"/>
                      <w:sz w:val="21"/>
                      <w:szCs w:val="21"/>
                      <w:highlight w:val="none"/>
                    </w:rPr>
                    <w:drawing>
                      <wp:inline distT="0" distB="0" distL="114300" distR="114300">
                        <wp:extent cx="1875790" cy="1399540"/>
                        <wp:effectExtent l="0" t="0" r="10160" b="10160"/>
                        <wp:docPr id="8" name="图片 14" descr="1705915652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4" descr="1705915652757"/>
                                <pic:cNvPicPr>
                                  <a:picLocks noChangeAspect="1"/>
                                </pic:cNvPicPr>
                              </pic:nvPicPr>
                              <pic:blipFill>
                                <a:blip r:embed="rId34"/>
                                <a:stretch>
                                  <a:fillRect/>
                                </a:stretch>
                              </pic:blipFill>
                              <pic:spPr>
                                <a:xfrm>
                                  <a:off x="0" y="0"/>
                                  <a:ext cx="1875790" cy="1399540"/>
                                </a:xfrm>
                                <a:prstGeom prst="rect">
                                  <a:avLst/>
                                </a:prstGeom>
                                <a:noFill/>
                                <a:ln>
                                  <a:noFill/>
                                </a:ln>
                              </pic:spPr>
                            </pic:pic>
                          </a:graphicData>
                        </a:graphic>
                      </wp:inline>
                    </w:drawing>
                  </w:r>
                </w:p>
              </w:tc>
            </w:tr>
            <w:tr w14:paraId="5E28E3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19" w:type="pct"/>
                  <w:tcBorders>
                    <w:tl2br w:val="nil"/>
                    <w:tr2bl w:val="nil"/>
                  </w:tcBorders>
                  <w:noWrap w:val="0"/>
                  <w:vAlign w:val="center"/>
                </w:tcPr>
                <w:p w14:paraId="72A4EDFC">
                  <w:pPr>
                    <w:pStyle w:val="5"/>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废水</w:t>
                  </w:r>
                </w:p>
              </w:tc>
              <w:tc>
                <w:tcPr>
                  <w:tcW w:w="1391" w:type="pct"/>
                  <w:tcBorders>
                    <w:tl2br w:val="nil"/>
                    <w:tr2bl w:val="nil"/>
                  </w:tcBorders>
                  <w:noWrap w:val="0"/>
                  <w:vAlign w:val="center"/>
                </w:tcPr>
                <w:p w14:paraId="379A4A80">
                  <w:pPr>
                    <w:pStyle w:val="5"/>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eastAsia="zh-CN"/>
                    </w:rPr>
                    <w:t>生活污水</w:t>
                  </w:r>
                </w:p>
              </w:tc>
              <w:tc>
                <w:tcPr>
                  <w:tcW w:w="2389" w:type="pct"/>
                  <w:tcBorders>
                    <w:tl2br w:val="nil"/>
                    <w:tr2bl w:val="nil"/>
                  </w:tcBorders>
                  <w:noWrap w:val="0"/>
                  <w:vAlign w:val="top"/>
                </w:tcPr>
                <w:p w14:paraId="480707D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cs="Times New Roman"/>
                      <w:snapToGrid w:val="0"/>
                      <w:color w:val="auto"/>
                      <w:kern w:val="0"/>
                      <w:sz w:val="21"/>
                      <w:szCs w:val="21"/>
                      <w:highlight w:val="none"/>
                    </w:rPr>
                    <w:drawing>
                      <wp:inline distT="0" distB="0" distL="114300" distR="114300">
                        <wp:extent cx="1875790" cy="1394460"/>
                        <wp:effectExtent l="0" t="0" r="10160" b="15240"/>
                        <wp:docPr id="9" name="图片 15" descr="1705915621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5" descr="1705915621890"/>
                                <pic:cNvPicPr>
                                  <a:picLocks noChangeAspect="1"/>
                                </pic:cNvPicPr>
                              </pic:nvPicPr>
                              <pic:blipFill>
                                <a:blip r:embed="rId35"/>
                                <a:stretch>
                                  <a:fillRect/>
                                </a:stretch>
                              </pic:blipFill>
                              <pic:spPr>
                                <a:xfrm>
                                  <a:off x="0" y="0"/>
                                  <a:ext cx="1875790" cy="1394460"/>
                                </a:xfrm>
                                <a:prstGeom prst="rect">
                                  <a:avLst/>
                                </a:prstGeom>
                                <a:noFill/>
                                <a:ln>
                                  <a:noFill/>
                                </a:ln>
                              </pic:spPr>
                            </pic:pic>
                          </a:graphicData>
                        </a:graphic>
                      </wp:inline>
                    </w:drawing>
                  </w:r>
                </w:p>
              </w:tc>
            </w:tr>
            <w:tr w14:paraId="30D994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19" w:type="pct"/>
                  <w:vMerge w:val="restart"/>
                  <w:tcBorders>
                    <w:tl2br w:val="nil"/>
                    <w:tr2bl w:val="nil"/>
                  </w:tcBorders>
                  <w:noWrap w:val="0"/>
                  <w:vAlign w:val="center"/>
                </w:tcPr>
                <w:p w14:paraId="786FE2B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rPr>
                    <w:t>固</w:t>
                  </w:r>
                  <w:r>
                    <w:rPr>
                      <w:rFonts w:hint="default" w:ascii="Times New Roman" w:hAnsi="Times New Roman" w:cs="Times New Roman"/>
                      <w:color w:val="auto"/>
                      <w:sz w:val="21"/>
                      <w:szCs w:val="21"/>
                      <w:lang w:val="en-US" w:eastAsia="zh-CN"/>
                    </w:rPr>
                    <w:t>废</w:t>
                  </w:r>
                </w:p>
              </w:tc>
              <w:tc>
                <w:tcPr>
                  <w:tcW w:w="1391" w:type="pct"/>
                  <w:tcBorders>
                    <w:tl2br w:val="nil"/>
                    <w:tr2bl w:val="nil"/>
                  </w:tcBorders>
                  <w:noWrap w:val="0"/>
                  <w:vAlign w:val="center"/>
                </w:tcPr>
                <w:p w14:paraId="4A5C5DB6">
                  <w:pPr>
                    <w:pStyle w:val="5"/>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color w:val="auto"/>
                      <w:sz w:val="21"/>
                      <w:szCs w:val="21"/>
                    </w:rPr>
                  </w:pPr>
                  <w:r>
                    <w:rPr>
                      <w:rFonts w:hint="default" w:ascii="Times New Roman" w:hAnsi="Times New Roman" w:cs="Times New Roman"/>
                      <w:color w:val="auto"/>
                      <w:sz w:val="21"/>
                      <w:szCs w:val="21"/>
                    </w:rPr>
                    <w:t>一般固废</w:t>
                  </w:r>
                  <w:r>
                    <w:rPr>
                      <w:rFonts w:hint="eastAsia" w:cs="Times New Roman"/>
                      <w:color w:val="auto"/>
                      <w:sz w:val="21"/>
                      <w:szCs w:val="21"/>
                      <w:lang w:eastAsia="zh-CN"/>
                    </w:rPr>
                    <w:t>储存区</w:t>
                  </w:r>
                </w:p>
              </w:tc>
              <w:tc>
                <w:tcPr>
                  <w:tcW w:w="2389" w:type="pct"/>
                  <w:tcBorders>
                    <w:tl2br w:val="nil"/>
                    <w:tr2bl w:val="nil"/>
                  </w:tcBorders>
                  <w:noWrap w:val="0"/>
                  <w:vAlign w:val="top"/>
                </w:tcPr>
                <w:p w14:paraId="0470653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 w:val="21"/>
                      <w:szCs w:val="21"/>
                    </w:rPr>
                  </w:pPr>
                  <w:r>
                    <w:rPr>
                      <w:rFonts w:hint="default" w:ascii="Times New Roman" w:hAnsi="Times New Roman" w:cs="Times New Roman"/>
                      <w:snapToGrid w:val="0"/>
                      <w:color w:val="auto"/>
                      <w:kern w:val="0"/>
                      <w:sz w:val="21"/>
                      <w:szCs w:val="21"/>
                      <w:highlight w:val="none"/>
                    </w:rPr>
                    <w:drawing>
                      <wp:inline distT="0" distB="0" distL="114300" distR="114300">
                        <wp:extent cx="1875790" cy="1409700"/>
                        <wp:effectExtent l="0" t="0" r="10160" b="0"/>
                        <wp:docPr id="10" name="图片 16" descr="1705915581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6" descr="1705915581921"/>
                                <pic:cNvPicPr>
                                  <a:picLocks noChangeAspect="1"/>
                                </pic:cNvPicPr>
                              </pic:nvPicPr>
                              <pic:blipFill>
                                <a:blip r:embed="rId36"/>
                                <a:stretch>
                                  <a:fillRect/>
                                </a:stretch>
                              </pic:blipFill>
                              <pic:spPr>
                                <a:xfrm>
                                  <a:off x="0" y="0"/>
                                  <a:ext cx="1875790" cy="1409700"/>
                                </a:xfrm>
                                <a:prstGeom prst="rect">
                                  <a:avLst/>
                                </a:prstGeom>
                                <a:noFill/>
                                <a:ln>
                                  <a:noFill/>
                                </a:ln>
                              </pic:spPr>
                            </pic:pic>
                          </a:graphicData>
                        </a:graphic>
                      </wp:inline>
                    </w:drawing>
                  </w:r>
                </w:p>
              </w:tc>
            </w:tr>
            <w:tr w14:paraId="380170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19" w:type="pct"/>
                  <w:vMerge w:val="continue"/>
                  <w:tcBorders>
                    <w:tl2br w:val="nil"/>
                    <w:tr2bl w:val="nil"/>
                  </w:tcBorders>
                  <w:noWrap w:val="0"/>
                  <w:vAlign w:val="center"/>
                </w:tcPr>
                <w:p w14:paraId="44CF1DE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 w:val="21"/>
                      <w:szCs w:val="21"/>
                    </w:rPr>
                  </w:pPr>
                </w:p>
              </w:tc>
              <w:tc>
                <w:tcPr>
                  <w:tcW w:w="1391" w:type="pct"/>
                  <w:tcBorders>
                    <w:tl2br w:val="nil"/>
                    <w:tr2bl w:val="nil"/>
                  </w:tcBorders>
                  <w:noWrap w:val="0"/>
                  <w:vAlign w:val="center"/>
                </w:tcPr>
                <w:p w14:paraId="224F3023">
                  <w:pPr>
                    <w:pStyle w:val="5"/>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危废间</w:t>
                  </w:r>
                </w:p>
              </w:tc>
              <w:tc>
                <w:tcPr>
                  <w:tcW w:w="2389" w:type="pct"/>
                  <w:tcBorders>
                    <w:tl2br w:val="nil"/>
                    <w:tr2bl w:val="nil"/>
                  </w:tcBorders>
                  <w:noWrap w:val="0"/>
                  <w:vAlign w:val="top"/>
                </w:tcPr>
                <w:p w14:paraId="0C550C8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drawing>
                      <wp:inline distT="0" distB="0" distL="114300" distR="114300">
                        <wp:extent cx="1294130" cy="821055"/>
                        <wp:effectExtent l="0" t="0" r="1270" b="17145"/>
                        <wp:docPr id="11" name="图片 4" descr="危险废物贮存设施标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descr="危险废物贮存设施标志"/>
                                <pic:cNvPicPr>
                                  <a:picLocks noChangeAspect="1"/>
                                </pic:cNvPicPr>
                              </pic:nvPicPr>
                              <pic:blipFill>
                                <a:blip r:embed="rId37"/>
                                <a:stretch>
                                  <a:fillRect/>
                                </a:stretch>
                              </pic:blipFill>
                              <pic:spPr>
                                <a:xfrm>
                                  <a:off x="0" y="0"/>
                                  <a:ext cx="1294130" cy="821055"/>
                                </a:xfrm>
                                <a:prstGeom prst="rect">
                                  <a:avLst/>
                                </a:prstGeom>
                                <a:noFill/>
                                <a:ln>
                                  <a:noFill/>
                                </a:ln>
                              </pic:spPr>
                            </pic:pic>
                          </a:graphicData>
                        </a:graphic>
                      </wp:inline>
                    </w:drawing>
                  </w:r>
                </w:p>
              </w:tc>
            </w:tr>
          </w:tbl>
          <w:p w14:paraId="1CDFE703">
            <w:pPr>
              <w:pStyle w:val="70"/>
              <w:keepNext w:val="0"/>
              <w:keepLines w:val="0"/>
              <w:pageBreakBefore w:val="0"/>
              <w:widowControl w:val="0"/>
              <w:kinsoku/>
              <w:wordWrap/>
              <w:overflowPunct/>
              <w:topLinePunct w:val="0"/>
              <w:autoSpaceDE w:val="0"/>
              <w:autoSpaceDN w:val="0"/>
              <w:bidi w:val="0"/>
              <w:snapToGrid/>
              <w:spacing w:line="500" w:lineRule="exact"/>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w:t>
            </w:r>
            <w:r>
              <w:rPr>
                <w:rFonts w:hint="default" w:ascii="Times New Roman" w:hAnsi="Times New Roman" w:cs="Times New Roman"/>
                <w:color w:val="auto"/>
                <w:sz w:val="21"/>
                <w:szCs w:val="21"/>
                <w:highlight w:val="none"/>
                <w:lang w:val="en-US" w:eastAsia="zh-CN"/>
              </w:rPr>
              <w:t>4</w:t>
            </w:r>
            <w:r>
              <w:rPr>
                <w:rFonts w:hint="default" w:ascii="Times New Roman" w:hAnsi="Times New Roman" w:eastAsia="宋体" w:cs="Times New Roman"/>
                <w:color w:val="auto"/>
                <w:sz w:val="21"/>
                <w:szCs w:val="21"/>
                <w:highlight w:val="none"/>
              </w:rPr>
              <w:t>）建设单位公开信息内容</w:t>
            </w:r>
          </w:p>
          <w:p w14:paraId="4962324B">
            <w:pPr>
              <w:pStyle w:val="73"/>
              <w:keepNext w:val="0"/>
              <w:keepLines w:val="0"/>
              <w:pageBreakBefore w:val="0"/>
              <w:widowControl w:val="0"/>
              <w:kinsoku/>
              <w:wordWrap/>
              <w:overflowPunct/>
              <w:topLinePunct w:val="0"/>
              <w:autoSpaceDE w:val="0"/>
              <w:autoSpaceDN w:val="0"/>
              <w:bidi w:val="0"/>
              <w:snapToGrid/>
              <w:spacing w:line="500" w:lineRule="exact"/>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表</w:t>
            </w:r>
            <w:r>
              <w:rPr>
                <w:rFonts w:hint="default" w:ascii="Times New Roman" w:hAnsi="Times New Roman" w:eastAsia="宋体" w:cs="Times New Roman"/>
                <w:color w:val="auto"/>
                <w:sz w:val="21"/>
                <w:szCs w:val="21"/>
                <w:highlight w:val="none"/>
                <w:lang w:val="en-US" w:eastAsia="zh-CN"/>
              </w:rPr>
              <w:t>5-2</w:t>
            </w:r>
            <w:r>
              <w:rPr>
                <w:rFonts w:hint="default" w:ascii="Times New Roman" w:hAnsi="Times New Roman" w:eastAsia="宋体" w:cs="Times New Roman"/>
                <w:color w:val="auto"/>
                <w:sz w:val="21"/>
                <w:szCs w:val="21"/>
                <w:highlight w:val="none"/>
              </w:rPr>
              <w:t xml:space="preserve"> 建设单位公开信息内容一览表</w:t>
            </w:r>
          </w:p>
          <w:tbl>
            <w:tblPr>
              <w:tblStyle w:val="25"/>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6" w:space="0"/>
              </w:tblBorders>
              <w:tblLayout w:type="fixed"/>
              <w:tblCellMar>
                <w:top w:w="0" w:type="dxa"/>
                <w:left w:w="51" w:type="dxa"/>
                <w:bottom w:w="0" w:type="dxa"/>
                <w:right w:w="51" w:type="dxa"/>
              </w:tblCellMar>
            </w:tblPr>
            <w:tblGrid>
              <w:gridCol w:w="811"/>
              <w:gridCol w:w="1033"/>
              <w:gridCol w:w="5029"/>
            </w:tblGrid>
            <w:tr w14:paraId="02E91370">
              <w:tblPrEx>
                <w:tblBorders>
                  <w:top w:val="single" w:color="auto" w:sz="4" w:space="0"/>
                  <w:left w:val="single" w:color="auto" w:sz="4" w:space="0"/>
                  <w:bottom w:val="single" w:color="auto" w:sz="4" w:space="0"/>
                  <w:right w:val="single" w:color="auto" w:sz="4" w:space="0"/>
                  <w:insideH w:val="single" w:color="auto" w:sz="4" w:space="0"/>
                  <w:insideV w:val="single" w:color="auto" w:sz="6" w:space="0"/>
                </w:tblBorders>
              </w:tblPrEx>
              <w:trPr>
                <w:trHeight w:val="340" w:hRule="atLeast"/>
                <w:jc w:val="center"/>
              </w:trPr>
              <w:tc>
                <w:tcPr>
                  <w:tcW w:w="590" w:type="pct"/>
                  <w:tcBorders>
                    <w:tl2br w:val="nil"/>
                    <w:tr2bl w:val="nil"/>
                  </w:tcBorders>
                  <w:noWrap w:val="0"/>
                  <w:vAlign w:val="center"/>
                </w:tcPr>
                <w:p w14:paraId="79F68BC2">
                  <w:pPr>
                    <w:pStyle w:val="64"/>
                    <w:keepNext w:val="0"/>
                    <w:keepLines w:val="0"/>
                    <w:pageBreakBefore w:val="0"/>
                    <w:widowControl w:val="0"/>
                    <w:kinsoku/>
                    <w:wordWrap/>
                    <w:overflowPunct w:val="0"/>
                    <w:topLinePunct w:val="0"/>
                    <w:autoSpaceDE/>
                    <w:autoSpaceDN/>
                    <w:bidi w:val="0"/>
                    <w:adjustRightInd w:val="0"/>
                    <w:snapToGrid w:val="0"/>
                    <w:spacing w:before="0" w:after="0" w:line="240" w:lineRule="auto"/>
                    <w:ind w:left="0" w:leftChars="0" w:firstLine="0" w:firstLineChars="0"/>
                    <w:jc w:val="center"/>
                    <w:textAlignment w:val="baseline"/>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序号</w:t>
                  </w:r>
                </w:p>
              </w:tc>
              <w:tc>
                <w:tcPr>
                  <w:tcW w:w="750" w:type="pct"/>
                  <w:tcBorders>
                    <w:tl2br w:val="nil"/>
                    <w:tr2bl w:val="nil"/>
                  </w:tcBorders>
                  <w:noWrap w:val="0"/>
                  <w:vAlign w:val="center"/>
                </w:tcPr>
                <w:p w14:paraId="64D6812F">
                  <w:pPr>
                    <w:pStyle w:val="64"/>
                    <w:keepNext w:val="0"/>
                    <w:keepLines w:val="0"/>
                    <w:pageBreakBefore w:val="0"/>
                    <w:widowControl w:val="0"/>
                    <w:kinsoku/>
                    <w:wordWrap/>
                    <w:overflowPunct w:val="0"/>
                    <w:topLinePunct w:val="0"/>
                    <w:autoSpaceDE/>
                    <w:autoSpaceDN/>
                    <w:bidi w:val="0"/>
                    <w:adjustRightInd w:val="0"/>
                    <w:snapToGrid w:val="0"/>
                    <w:spacing w:before="0" w:after="0" w:line="240" w:lineRule="auto"/>
                    <w:ind w:left="0" w:leftChars="0" w:firstLine="0" w:firstLineChars="0"/>
                    <w:jc w:val="center"/>
                    <w:textAlignment w:val="baseline"/>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公开信息</w:t>
                  </w:r>
                </w:p>
              </w:tc>
              <w:tc>
                <w:tcPr>
                  <w:tcW w:w="3658" w:type="pct"/>
                  <w:tcBorders>
                    <w:tl2br w:val="nil"/>
                    <w:tr2bl w:val="nil"/>
                  </w:tcBorders>
                  <w:noWrap w:val="0"/>
                  <w:vAlign w:val="center"/>
                </w:tcPr>
                <w:p w14:paraId="03BDF737">
                  <w:pPr>
                    <w:pStyle w:val="64"/>
                    <w:keepNext w:val="0"/>
                    <w:keepLines w:val="0"/>
                    <w:pageBreakBefore w:val="0"/>
                    <w:widowControl w:val="0"/>
                    <w:kinsoku/>
                    <w:wordWrap/>
                    <w:overflowPunct w:val="0"/>
                    <w:topLinePunct w:val="0"/>
                    <w:autoSpaceDE/>
                    <w:autoSpaceDN/>
                    <w:bidi w:val="0"/>
                    <w:adjustRightInd w:val="0"/>
                    <w:snapToGrid w:val="0"/>
                    <w:spacing w:before="0" w:after="0" w:line="240" w:lineRule="auto"/>
                    <w:jc w:val="center"/>
                    <w:textAlignment w:val="baseline"/>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内容</w:t>
                  </w:r>
                </w:p>
              </w:tc>
            </w:tr>
            <w:tr w14:paraId="587605CD">
              <w:tblPrEx>
                <w:tblBorders>
                  <w:top w:val="single" w:color="auto" w:sz="4" w:space="0"/>
                  <w:left w:val="single" w:color="auto" w:sz="4" w:space="0"/>
                  <w:bottom w:val="single" w:color="auto" w:sz="4" w:space="0"/>
                  <w:right w:val="single" w:color="auto" w:sz="4" w:space="0"/>
                  <w:insideH w:val="single" w:color="auto" w:sz="4" w:space="0"/>
                  <w:insideV w:val="single" w:color="auto" w:sz="6" w:space="0"/>
                </w:tblBorders>
                <w:tblCellMar>
                  <w:top w:w="0" w:type="dxa"/>
                  <w:left w:w="51" w:type="dxa"/>
                  <w:bottom w:w="0" w:type="dxa"/>
                  <w:right w:w="51" w:type="dxa"/>
                </w:tblCellMar>
              </w:tblPrEx>
              <w:trPr>
                <w:trHeight w:val="340" w:hRule="atLeast"/>
                <w:jc w:val="center"/>
              </w:trPr>
              <w:tc>
                <w:tcPr>
                  <w:tcW w:w="590" w:type="pct"/>
                  <w:tcBorders>
                    <w:tl2br w:val="nil"/>
                    <w:tr2bl w:val="nil"/>
                  </w:tcBorders>
                  <w:noWrap w:val="0"/>
                  <w:vAlign w:val="center"/>
                </w:tcPr>
                <w:p w14:paraId="0FF6EA97">
                  <w:pPr>
                    <w:pStyle w:val="64"/>
                    <w:keepNext w:val="0"/>
                    <w:keepLines w:val="0"/>
                    <w:pageBreakBefore w:val="0"/>
                    <w:widowControl w:val="0"/>
                    <w:kinsoku/>
                    <w:wordWrap/>
                    <w:overflowPunct w:val="0"/>
                    <w:topLinePunct w:val="0"/>
                    <w:autoSpaceDE/>
                    <w:autoSpaceDN/>
                    <w:bidi w:val="0"/>
                    <w:adjustRightInd w:val="0"/>
                    <w:snapToGrid w:val="0"/>
                    <w:spacing w:before="0" w:after="0" w:line="240" w:lineRule="auto"/>
                    <w:ind w:left="0" w:leftChars="0" w:firstLine="0" w:firstLineChars="0"/>
                    <w:jc w:val="center"/>
                    <w:textAlignment w:val="baseline"/>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1</w:t>
                  </w:r>
                </w:p>
              </w:tc>
              <w:tc>
                <w:tcPr>
                  <w:tcW w:w="750" w:type="pct"/>
                  <w:tcBorders>
                    <w:tl2br w:val="nil"/>
                    <w:tr2bl w:val="nil"/>
                  </w:tcBorders>
                  <w:noWrap w:val="0"/>
                  <w:vAlign w:val="center"/>
                </w:tcPr>
                <w:p w14:paraId="74561B6F">
                  <w:pPr>
                    <w:pStyle w:val="64"/>
                    <w:keepNext w:val="0"/>
                    <w:keepLines w:val="0"/>
                    <w:pageBreakBefore w:val="0"/>
                    <w:widowControl w:val="0"/>
                    <w:kinsoku/>
                    <w:wordWrap/>
                    <w:overflowPunct w:val="0"/>
                    <w:topLinePunct w:val="0"/>
                    <w:autoSpaceDE/>
                    <w:autoSpaceDN/>
                    <w:bidi w:val="0"/>
                    <w:adjustRightInd w:val="0"/>
                    <w:snapToGrid w:val="0"/>
                    <w:spacing w:before="0" w:after="0" w:line="240" w:lineRule="auto"/>
                    <w:ind w:left="0" w:leftChars="0" w:firstLine="0" w:firstLineChars="0"/>
                    <w:jc w:val="center"/>
                    <w:textAlignment w:val="baseline"/>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基础信息</w:t>
                  </w:r>
                </w:p>
              </w:tc>
              <w:tc>
                <w:tcPr>
                  <w:tcW w:w="3658" w:type="pct"/>
                  <w:tcBorders>
                    <w:tl2br w:val="nil"/>
                    <w:tr2bl w:val="nil"/>
                  </w:tcBorders>
                  <w:noWrap w:val="0"/>
                  <w:vAlign w:val="center"/>
                </w:tcPr>
                <w:p w14:paraId="7276D067">
                  <w:pPr>
                    <w:pStyle w:val="64"/>
                    <w:keepNext w:val="0"/>
                    <w:keepLines w:val="0"/>
                    <w:pageBreakBefore w:val="0"/>
                    <w:widowControl w:val="0"/>
                    <w:kinsoku/>
                    <w:wordWrap/>
                    <w:overflowPunct w:val="0"/>
                    <w:topLinePunct w:val="0"/>
                    <w:autoSpaceDE/>
                    <w:autoSpaceDN/>
                    <w:bidi w:val="0"/>
                    <w:adjustRightInd w:val="0"/>
                    <w:snapToGrid w:val="0"/>
                    <w:spacing w:before="0" w:after="0" w:line="240" w:lineRule="auto"/>
                    <w:ind w:left="0" w:leftChars="0" w:firstLine="0" w:firstLineChars="0"/>
                    <w:jc w:val="center"/>
                    <w:textAlignment w:val="baseline"/>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单位名称、组织机构代码、法定代表人、生产地址、联系方式，以及生产经营和管理服务的主要内容、产品及规模</w:t>
                  </w:r>
                </w:p>
              </w:tc>
            </w:tr>
            <w:tr w14:paraId="2D1C2ACB">
              <w:tblPrEx>
                <w:tblBorders>
                  <w:top w:val="single" w:color="auto" w:sz="4" w:space="0"/>
                  <w:left w:val="single" w:color="auto" w:sz="4" w:space="0"/>
                  <w:bottom w:val="single" w:color="auto" w:sz="4" w:space="0"/>
                  <w:right w:val="single" w:color="auto" w:sz="4" w:space="0"/>
                  <w:insideH w:val="single" w:color="auto" w:sz="4" w:space="0"/>
                  <w:insideV w:val="single" w:color="auto" w:sz="6" w:space="0"/>
                </w:tblBorders>
                <w:tblCellMar>
                  <w:top w:w="0" w:type="dxa"/>
                  <w:left w:w="51" w:type="dxa"/>
                  <w:bottom w:w="0" w:type="dxa"/>
                  <w:right w:w="51" w:type="dxa"/>
                </w:tblCellMar>
              </w:tblPrEx>
              <w:trPr>
                <w:trHeight w:val="340" w:hRule="atLeast"/>
                <w:jc w:val="center"/>
              </w:trPr>
              <w:tc>
                <w:tcPr>
                  <w:tcW w:w="590" w:type="pct"/>
                  <w:tcBorders>
                    <w:tl2br w:val="nil"/>
                    <w:tr2bl w:val="nil"/>
                  </w:tcBorders>
                  <w:noWrap w:val="0"/>
                  <w:vAlign w:val="center"/>
                </w:tcPr>
                <w:p w14:paraId="629ED7DB">
                  <w:pPr>
                    <w:pStyle w:val="64"/>
                    <w:keepNext w:val="0"/>
                    <w:keepLines w:val="0"/>
                    <w:pageBreakBefore w:val="0"/>
                    <w:widowControl w:val="0"/>
                    <w:kinsoku/>
                    <w:wordWrap/>
                    <w:overflowPunct w:val="0"/>
                    <w:topLinePunct w:val="0"/>
                    <w:autoSpaceDE/>
                    <w:autoSpaceDN/>
                    <w:bidi w:val="0"/>
                    <w:adjustRightInd w:val="0"/>
                    <w:snapToGrid w:val="0"/>
                    <w:spacing w:before="0" w:after="0" w:line="240" w:lineRule="auto"/>
                    <w:ind w:left="0" w:leftChars="0" w:firstLine="0" w:firstLineChars="0"/>
                    <w:jc w:val="center"/>
                    <w:textAlignment w:val="baseline"/>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2</w:t>
                  </w:r>
                </w:p>
              </w:tc>
              <w:tc>
                <w:tcPr>
                  <w:tcW w:w="750" w:type="pct"/>
                  <w:tcBorders>
                    <w:tl2br w:val="nil"/>
                    <w:tr2bl w:val="nil"/>
                  </w:tcBorders>
                  <w:noWrap w:val="0"/>
                  <w:vAlign w:val="center"/>
                </w:tcPr>
                <w:p w14:paraId="4B0C96DD">
                  <w:pPr>
                    <w:pStyle w:val="64"/>
                    <w:keepNext w:val="0"/>
                    <w:keepLines w:val="0"/>
                    <w:pageBreakBefore w:val="0"/>
                    <w:widowControl w:val="0"/>
                    <w:kinsoku/>
                    <w:wordWrap/>
                    <w:overflowPunct w:val="0"/>
                    <w:topLinePunct w:val="0"/>
                    <w:autoSpaceDE/>
                    <w:autoSpaceDN/>
                    <w:bidi w:val="0"/>
                    <w:adjustRightInd w:val="0"/>
                    <w:snapToGrid w:val="0"/>
                    <w:spacing w:before="0" w:after="0" w:line="240" w:lineRule="auto"/>
                    <w:ind w:left="0" w:leftChars="0" w:firstLine="0" w:firstLineChars="0"/>
                    <w:jc w:val="center"/>
                    <w:textAlignment w:val="baseline"/>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排污信息</w:t>
                  </w:r>
                </w:p>
              </w:tc>
              <w:tc>
                <w:tcPr>
                  <w:tcW w:w="3658" w:type="pct"/>
                  <w:tcBorders>
                    <w:tl2br w:val="nil"/>
                    <w:tr2bl w:val="nil"/>
                  </w:tcBorders>
                  <w:noWrap w:val="0"/>
                  <w:vAlign w:val="center"/>
                </w:tcPr>
                <w:p w14:paraId="04DDF0E4">
                  <w:pPr>
                    <w:pStyle w:val="64"/>
                    <w:keepNext w:val="0"/>
                    <w:keepLines w:val="0"/>
                    <w:pageBreakBefore w:val="0"/>
                    <w:widowControl w:val="0"/>
                    <w:kinsoku/>
                    <w:wordWrap/>
                    <w:overflowPunct w:val="0"/>
                    <w:topLinePunct w:val="0"/>
                    <w:autoSpaceDE/>
                    <w:autoSpaceDN/>
                    <w:bidi w:val="0"/>
                    <w:adjustRightInd w:val="0"/>
                    <w:snapToGrid w:val="0"/>
                    <w:spacing w:before="0" w:after="0" w:line="240" w:lineRule="auto"/>
                    <w:jc w:val="center"/>
                    <w:textAlignment w:val="baseline"/>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主要污染物及特征污染物的名称、排放方式、排放口数量和分布情况、排放浓度和总量、超标情况，以及执行的污染物排放标准、核定的排放总量</w:t>
                  </w:r>
                </w:p>
              </w:tc>
            </w:tr>
            <w:tr w14:paraId="00C09871">
              <w:tblPrEx>
                <w:tblBorders>
                  <w:top w:val="single" w:color="auto" w:sz="4" w:space="0"/>
                  <w:left w:val="single" w:color="auto" w:sz="4" w:space="0"/>
                  <w:bottom w:val="single" w:color="auto" w:sz="4" w:space="0"/>
                  <w:right w:val="single" w:color="auto" w:sz="4" w:space="0"/>
                  <w:insideH w:val="single" w:color="auto" w:sz="4" w:space="0"/>
                  <w:insideV w:val="single" w:color="auto" w:sz="6" w:space="0"/>
                </w:tblBorders>
                <w:tblCellMar>
                  <w:top w:w="0" w:type="dxa"/>
                  <w:left w:w="51" w:type="dxa"/>
                  <w:bottom w:w="0" w:type="dxa"/>
                  <w:right w:w="51" w:type="dxa"/>
                </w:tblCellMar>
              </w:tblPrEx>
              <w:trPr>
                <w:trHeight w:val="340" w:hRule="atLeast"/>
                <w:jc w:val="center"/>
              </w:trPr>
              <w:tc>
                <w:tcPr>
                  <w:tcW w:w="590" w:type="pct"/>
                  <w:tcBorders>
                    <w:tl2br w:val="nil"/>
                    <w:tr2bl w:val="nil"/>
                  </w:tcBorders>
                  <w:noWrap w:val="0"/>
                  <w:vAlign w:val="center"/>
                </w:tcPr>
                <w:p w14:paraId="7813BD76">
                  <w:pPr>
                    <w:pStyle w:val="64"/>
                    <w:keepNext w:val="0"/>
                    <w:keepLines w:val="0"/>
                    <w:pageBreakBefore w:val="0"/>
                    <w:widowControl w:val="0"/>
                    <w:kinsoku/>
                    <w:wordWrap/>
                    <w:overflowPunct w:val="0"/>
                    <w:topLinePunct w:val="0"/>
                    <w:autoSpaceDE/>
                    <w:autoSpaceDN/>
                    <w:bidi w:val="0"/>
                    <w:adjustRightInd w:val="0"/>
                    <w:snapToGrid w:val="0"/>
                    <w:spacing w:before="0" w:after="0" w:line="240" w:lineRule="auto"/>
                    <w:ind w:left="0" w:leftChars="0" w:firstLine="0" w:firstLineChars="0"/>
                    <w:jc w:val="center"/>
                    <w:textAlignment w:val="baseline"/>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3</w:t>
                  </w:r>
                </w:p>
              </w:tc>
              <w:tc>
                <w:tcPr>
                  <w:tcW w:w="750" w:type="pct"/>
                  <w:tcBorders>
                    <w:tl2br w:val="nil"/>
                    <w:tr2bl w:val="nil"/>
                  </w:tcBorders>
                  <w:noWrap w:val="0"/>
                  <w:vAlign w:val="center"/>
                </w:tcPr>
                <w:p w14:paraId="14B8CFF1">
                  <w:pPr>
                    <w:pStyle w:val="64"/>
                    <w:keepNext w:val="0"/>
                    <w:keepLines w:val="0"/>
                    <w:pageBreakBefore w:val="0"/>
                    <w:widowControl w:val="0"/>
                    <w:kinsoku/>
                    <w:wordWrap/>
                    <w:overflowPunct w:val="0"/>
                    <w:topLinePunct w:val="0"/>
                    <w:autoSpaceDE/>
                    <w:autoSpaceDN/>
                    <w:bidi w:val="0"/>
                    <w:adjustRightInd w:val="0"/>
                    <w:snapToGrid w:val="0"/>
                    <w:spacing w:before="0" w:after="0" w:line="240" w:lineRule="auto"/>
                    <w:ind w:left="0" w:leftChars="0" w:firstLine="0" w:firstLineChars="0"/>
                    <w:jc w:val="center"/>
                    <w:textAlignment w:val="baseline"/>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污染防治设施</w:t>
                  </w:r>
                </w:p>
              </w:tc>
              <w:tc>
                <w:tcPr>
                  <w:tcW w:w="3658" w:type="pct"/>
                  <w:tcBorders>
                    <w:tl2br w:val="nil"/>
                    <w:tr2bl w:val="nil"/>
                  </w:tcBorders>
                  <w:noWrap w:val="0"/>
                  <w:vAlign w:val="center"/>
                </w:tcPr>
                <w:p w14:paraId="39AC2438">
                  <w:pPr>
                    <w:pStyle w:val="64"/>
                    <w:keepNext w:val="0"/>
                    <w:keepLines w:val="0"/>
                    <w:pageBreakBefore w:val="0"/>
                    <w:widowControl w:val="0"/>
                    <w:kinsoku/>
                    <w:wordWrap/>
                    <w:overflowPunct w:val="0"/>
                    <w:topLinePunct w:val="0"/>
                    <w:autoSpaceDE/>
                    <w:autoSpaceDN/>
                    <w:bidi w:val="0"/>
                    <w:adjustRightInd w:val="0"/>
                    <w:snapToGrid w:val="0"/>
                    <w:spacing w:before="0" w:after="0" w:line="240" w:lineRule="auto"/>
                    <w:jc w:val="center"/>
                    <w:textAlignment w:val="baseline"/>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污染防治设施的建设和运行情况</w:t>
                  </w:r>
                </w:p>
              </w:tc>
            </w:tr>
            <w:tr w14:paraId="516531CC">
              <w:tblPrEx>
                <w:tblBorders>
                  <w:top w:val="single" w:color="auto" w:sz="4" w:space="0"/>
                  <w:left w:val="single" w:color="auto" w:sz="4" w:space="0"/>
                  <w:bottom w:val="single" w:color="auto" w:sz="4" w:space="0"/>
                  <w:right w:val="single" w:color="auto" w:sz="4" w:space="0"/>
                  <w:insideH w:val="single" w:color="auto" w:sz="4" w:space="0"/>
                  <w:insideV w:val="single" w:color="auto" w:sz="6" w:space="0"/>
                </w:tblBorders>
                <w:tblCellMar>
                  <w:top w:w="0" w:type="dxa"/>
                  <w:left w:w="51" w:type="dxa"/>
                  <w:bottom w:w="0" w:type="dxa"/>
                  <w:right w:w="51" w:type="dxa"/>
                </w:tblCellMar>
              </w:tblPrEx>
              <w:trPr>
                <w:trHeight w:val="340" w:hRule="atLeast"/>
                <w:jc w:val="center"/>
              </w:trPr>
              <w:tc>
                <w:tcPr>
                  <w:tcW w:w="590" w:type="pct"/>
                  <w:tcBorders>
                    <w:tl2br w:val="nil"/>
                    <w:tr2bl w:val="nil"/>
                  </w:tcBorders>
                  <w:noWrap w:val="0"/>
                  <w:vAlign w:val="center"/>
                </w:tcPr>
                <w:p w14:paraId="5475CFDD">
                  <w:pPr>
                    <w:pStyle w:val="64"/>
                    <w:keepNext w:val="0"/>
                    <w:keepLines w:val="0"/>
                    <w:pageBreakBefore w:val="0"/>
                    <w:widowControl w:val="0"/>
                    <w:kinsoku/>
                    <w:wordWrap/>
                    <w:overflowPunct w:val="0"/>
                    <w:topLinePunct w:val="0"/>
                    <w:autoSpaceDE/>
                    <w:autoSpaceDN/>
                    <w:bidi w:val="0"/>
                    <w:adjustRightInd w:val="0"/>
                    <w:snapToGrid w:val="0"/>
                    <w:spacing w:before="0" w:after="0" w:line="240" w:lineRule="auto"/>
                    <w:ind w:left="0" w:leftChars="0" w:firstLine="0" w:firstLineChars="0"/>
                    <w:jc w:val="center"/>
                    <w:textAlignment w:val="baseline"/>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4</w:t>
                  </w:r>
                </w:p>
              </w:tc>
              <w:tc>
                <w:tcPr>
                  <w:tcW w:w="750" w:type="pct"/>
                  <w:tcBorders>
                    <w:tl2br w:val="nil"/>
                    <w:tr2bl w:val="nil"/>
                  </w:tcBorders>
                  <w:noWrap w:val="0"/>
                  <w:vAlign w:val="center"/>
                </w:tcPr>
                <w:p w14:paraId="4425C229">
                  <w:pPr>
                    <w:pStyle w:val="64"/>
                    <w:keepNext w:val="0"/>
                    <w:keepLines w:val="0"/>
                    <w:pageBreakBefore w:val="0"/>
                    <w:widowControl w:val="0"/>
                    <w:kinsoku/>
                    <w:wordWrap/>
                    <w:overflowPunct w:val="0"/>
                    <w:topLinePunct w:val="0"/>
                    <w:autoSpaceDE/>
                    <w:autoSpaceDN/>
                    <w:bidi w:val="0"/>
                    <w:adjustRightInd w:val="0"/>
                    <w:snapToGrid w:val="0"/>
                    <w:spacing w:before="0" w:after="0" w:line="240" w:lineRule="auto"/>
                    <w:ind w:left="0" w:leftChars="0" w:firstLine="0" w:firstLineChars="0"/>
                    <w:jc w:val="center"/>
                    <w:textAlignment w:val="baseline"/>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环保手续</w:t>
                  </w:r>
                </w:p>
              </w:tc>
              <w:tc>
                <w:tcPr>
                  <w:tcW w:w="3658" w:type="pct"/>
                  <w:tcBorders>
                    <w:tl2br w:val="nil"/>
                    <w:tr2bl w:val="nil"/>
                  </w:tcBorders>
                  <w:noWrap w:val="0"/>
                  <w:vAlign w:val="center"/>
                </w:tcPr>
                <w:p w14:paraId="03B17406">
                  <w:pPr>
                    <w:pStyle w:val="64"/>
                    <w:keepNext w:val="0"/>
                    <w:keepLines w:val="0"/>
                    <w:pageBreakBefore w:val="0"/>
                    <w:widowControl w:val="0"/>
                    <w:kinsoku/>
                    <w:wordWrap/>
                    <w:overflowPunct w:val="0"/>
                    <w:topLinePunct w:val="0"/>
                    <w:autoSpaceDE/>
                    <w:autoSpaceDN/>
                    <w:bidi w:val="0"/>
                    <w:adjustRightInd w:val="0"/>
                    <w:snapToGrid w:val="0"/>
                    <w:spacing w:before="0" w:after="0" w:line="240" w:lineRule="auto"/>
                    <w:jc w:val="center"/>
                    <w:textAlignment w:val="baseline"/>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建设项目环境影响评价及其他环境保护行政许可情况</w:t>
                  </w:r>
                </w:p>
              </w:tc>
            </w:tr>
          </w:tbl>
          <w:p w14:paraId="642D6156">
            <w:pPr>
              <w:keepNext w:val="0"/>
              <w:keepLines w:val="0"/>
              <w:pageBreakBefore w:val="0"/>
              <w:widowControl/>
              <w:kinsoku/>
              <w:wordWrap/>
              <w:overflowPunct/>
              <w:topLinePunct w:val="0"/>
              <w:autoSpaceDE/>
              <w:autoSpaceDN/>
              <w:bidi w:val="0"/>
              <w:spacing w:line="500" w:lineRule="exact"/>
              <w:ind w:firstLine="420" w:firstLineChars="200"/>
              <w:jc w:val="left"/>
              <w:textAlignment w:val="auto"/>
              <w:rPr>
                <w:rFonts w:hint="eastAsia"/>
                <w:color w:val="auto"/>
                <w:sz w:val="21"/>
                <w:szCs w:val="21"/>
                <w:lang w:val="en-US" w:eastAsia="zh-CN"/>
              </w:rPr>
            </w:pPr>
            <w:r>
              <w:rPr>
                <w:rFonts w:hint="eastAsia"/>
                <w:color w:val="auto"/>
                <w:sz w:val="21"/>
                <w:szCs w:val="21"/>
                <w:lang w:val="en-US" w:eastAsia="zh-CN"/>
              </w:rPr>
              <w:t>（5）车辆运输要求</w:t>
            </w:r>
          </w:p>
          <w:p w14:paraId="28E89687">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物料公路运输全部使用达到国五及以上排放标准重型载货车辆(含燃气)或新能源车辆</w:t>
            </w:r>
            <w:r>
              <w:rPr>
                <w:rFonts w:hint="eastAsia" w:ascii="Times New Roman" w:hAnsi="Times New Roman" w:eastAsia="宋体"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厂内运输车辆全部达到国五及以上排放标准(含燃气)或使用新能源车辆</w:t>
            </w:r>
            <w:r>
              <w:rPr>
                <w:rFonts w:hint="eastAsia" w:ascii="Times New Roman" w:hAnsi="Times New Roman" w:eastAsia="宋体"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厂内非道路移动机械达到国三及以上排放标准，其中3吨及以下叉车全部采用纯电能源。鼓励使用纯电动等新能源机械。</w:t>
            </w:r>
          </w:p>
          <w:p w14:paraId="5FE635A0">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20" w:firstLineChars="200"/>
              <w:textAlignment w:val="auto"/>
              <w:rPr>
                <w:color w:val="auto"/>
                <w:sz w:val="21"/>
                <w:szCs w:val="21"/>
              </w:rPr>
            </w:pPr>
            <w:r>
              <w:rPr>
                <w:rFonts w:hint="default" w:ascii="Times New Roman" w:hAnsi="Times New Roman" w:eastAsia="宋体" w:cs="Times New Roman"/>
                <w:color w:val="auto"/>
                <w:sz w:val="21"/>
                <w:szCs w:val="21"/>
                <w:lang w:val="en-US" w:eastAsia="zh-CN"/>
              </w:rPr>
              <w:t>（6）</w:t>
            </w:r>
            <w:r>
              <w:rPr>
                <w:rFonts w:hint="eastAsia" w:ascii="Times New Roman" w:hAnsi="Times New Roman" w:eastAsia="宋体" w:cs="Times New Roman"/>
                <w:color w:val="auto"/>
                <w:sz w:val="21"/>
                <w:szCs w:val="21"/>
                <w:lang w:val="en-US" w:eastAsia="zh-CN"/>
              </w:rPr>
              <w:t>排污许可管理要求企业应当在启动生产设施或者发生实际排污之前申请取得排污许可证，根据《固定污染源排污许可分类管理名录》（2019年版），</w:t>
            </w:r>
            <w:r>
              <w:rPr>
                <w:rFonts w:hint="default" w:ascii="Times New Roman" w:hAnsi="Times New Roman" w:eastAsia="宋体" w:cs="Times New Roman"/>
                <w:color w:val="auto"/>
                <w:sz w:val="21"/>
                <w:szCs w:val="21"/>
                <w:lang w:val="en-US" w:eastAsia="zh-CN"/>
              </w:rPr>
              <w:t>本项目属于</w:t>
            </w:r>
            <w:r>
              <w:rPr>
                <w:rFonts w:hint="eastAsia" w:ascii="Times New Roman" w:hAnsi="Times New Roman" w:eastAsia="宋体" w:cs="Times New Roman"/>
                <w:color w:val="auto"/>
                <w:sz w:val="21"/>
                <w:szCs w:val="21"/>
                <w:lang w:val="en-US" w:eastAsia="zh-CN"/>
              </w:rPr>
              <w:t>“二、煤炭开采和洗选业06</w:t>
            </w:r>
            <w:r>
              <w:rPr>
                <w:rFonts w:hint="eastAsia" w:ascii="Times New Roman" w:hAnsi="Times New Roman" w:eastAsia="宋体" w:cs="Times New Roman"/>
                <w:color w:val="auto"/>
                <w:sz w:val="21"/>
                <w:szCs w:val="21"/>
                <w:lang w:val="en-US" w:eastAsia="zh-CN"/>
              </w:rPr>
              <w:t>—069</w:t>
            </w:r>
            <w:r>
              <w:rPr>
                <w:rFonts w:hint="eastAsia" w:ascii="Times New Roman" w:hAnsi="Times New Roman" w:eastAsia="宋体" w:cs="Times New Roman"/>
                <w:color w:val="auto"/>
                <w:sz w:val="21"/>
                <w:szCs w:val="21"/>
                <w:lang w:val="en-US" w:eastAsia="zh-CN"/>
              </w:rPr>
              <w:t xml:space="preserve">、烟煤和无烟煤开采洗选 </w:t>
            </w:r>
            <w:r>
              <w:rPr>
                <w:rFonts w:hint="default" w:ascii="Times New Roman" w:hAnsi="Times New Roman" w:eastAsia="宋体" w:cs="Times New Roman"/>
                <w:color w:val="auto"/>
                <w:sz w:val="21"/>
                <w:szCs w:val="21"/>
                <w:lang w:val="en-US" w:eastAsia="zh-CN"/>
              </w:rPr>
              <w:t>061</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lang w:val="zh-CN" w:eastAsia="zh-CN"/>
              </w:rPr>
              <w:t>实行</w:t>
            </w:r>
            <w:r>
              <w:rPr>
                <w:rFonts w:hint="eastAsia" w:ascii="Times New Roman" w:hAnsi="Times New Roman" w:eastAsia="宋体" w:cs="Times New Roman"/>
                <w:color w:val="auto"/>
                <w:kern w:val="0"/>
                <w:sz w:val="21"/>
                <w:szCs w:val="21"/>
                <w:highlight w:val="none"/>
                <w:lang w:val="zh-CN"/>
              </w:rPr>
              <w:t>登记管理，应在本项目启动生产设施或排污之前进行排污登记</w:t>
            </w:r>
            <w:r>
              <w:rPr>
                <w:rFonts w:hint="eastAsia" w:ascii="Times New Roman" w:hAnsi="Times New Roman" w:eastAsia="宋体" w:cs="Times New Roman"/>
                <w:color w:val="auto"/>
                <w:sz w:val="21"/>
                <w:szCs w:val="21"/>
                <w:lang w:val="en-US" w:eastAsia="zh-CN"/>
              </w:rPr>
              <w:t>。</w:t>
            </w:r>
          </w:p>
          <w:p w14:paraId="73110A04">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firstLine="420" w:firstLineChars="200"/>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7）建设单位应当按照《建设项目竣工环境保护验收暂行办法》（国环规环评〔2017〕4号）、《建设项目竣工环境保护验收技术指南污染影响类》（生态环境部办公厅2018年5月16日印发）及河北省环境保护厅《建设项目环境影响评价文件审批及建设单位自主开展环境保护设施验收工作指引（试行）》（冀环办字函〔2017〕727号）规定的程序和标准，组织对配套建设的环境保护设施进行验收，编制验收报告，公开相关信息，接受社会监督，确保建设项目需要配套建设的环境保护设施与主体 工程同时投产或者使用，并对验收内容、结论和所公开信息的真实性、准确性和完整性负责。</w:t>
            </w:r>
          </w:p>
          <w:p w14:paraId="7FF4FA06">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default" w:ascii="Times New Roman" w:hAnsi="Times New Roman" w:eastAsia="宋体" w:cs="Times New Roman"/>
                <w:color w:val="auto"/>
                <w:sz w:val="21"/>
                <w:szCs w:val="21"/>
                <w:lang w:eastAsia="zh-CN"/>
              </w:rPr>
            </w:pPr>
          </w:p>
          <w:p w14:paraId="648BB12D">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default" w:ascii="Times New Roman" w:hAnsi="Times New Roman" w:eastAsia="宋体" w:cs="Times New Roman"/>
                <w:color w:val="auto"/>
                <w:sz w:val="21"/>
                <w:szCs w:val="21"/>
                <w:lang w:eastAsia="zh-CN"/>
              </w:rPr>
            </w:pPr>
          </w:p>
          <w:p w14:paraId="59CE12DD">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default" w:ascii="Times New Roman" w:hAnsi="Times New Roman" w:eastAsia="宋体" w:cs="Times New Roman"/>
                <w:color w:val="auto"/>
                <w:sz w:val="21"/>
                <w:szCs w:val="21"/>
                <w:lang w:eastAsia="zh-CN"/>
              </w:rPr>
            </w:pPr>
          </w:p>
          <w:p w14:paraId="5BA17D24">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default" w:ascii="Times New Roman" w:hAnsi="Times New Roman" w:eastAsia="宋体" w:cs="Times New Roman"/>
                <w:color w:val="auto"/>
                <w:sz w:val="21"/>
                <w:szCs w:val="21"/>
                <w:lang w:eastAsia="zh-CN"/>
              </w:rPr>
            </w:pPr>
          </w:p>
          <w:p w14:paraId="6A392FA9">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default" w:ascii="Times New Roman" w:hAnsi="Times New Roman" w:eastAsia="宋体" w:cs="Times New Roman"/>
                <w:color w:val="auto"/>
                <w:sz w:val="21"/>
                <w:szCs w:val="21"/>
                <w:lang w:eastAsia="zh-CN"/>
              </w:rPr>
            </w:pPr>
          </w:p>
          <w:p w14:paraId="20A604A8">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default" w:ascii="Times New Roman" w:hAnsi="Times New Roman" w:eastAsia="宋体" w:cs="Times New Roman"/>
                <w:color w:val="auto"/>
                <w:sz w:val="21"/>
                <w:szCs w:val="21"/>
                <w:lang w:eastAsia="zh-CN"/>
              </w:rPr>
            </w:pPr>
          </w:p>
          <w:p w14:paraId="654FBB7A">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default" w:ascii="Times New Roman" w:hAnsi="Times New Roman" w:eastAsia="宋体" w:cs="Times New Roman"/>
                <w:color w:val="auto"/>
                <w:sz w:val="21"/>
                <w:szCs w:val="21"/>
                <w:lang w:eastAsia="zh-CN"/>
              </w:rPr>
            </w:pPr>
          </w:p>
          <w:p w14:paraId="4B680CFB">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default" w:ascii="Times New Roman" w:hAnsi="Times New Roman" w:eastAsia="宋体" w:cs="Times New Roman"/>
                <w:color w:val="auto"/>
                <w:sz w:val="21"/>
                <w:szCs w:val="21"/>
                <w:lang w:eastAsia="zh-CN"/>
              </w:rPr>
            </w:pPr>
          </w:p>
          <w:p w14:paraId="340F0DD3">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default" w:ascii="Times New Roman" w:hAnsi="Times New Roman" w:eastAsia="宋体" w:cs="Times New Roman"/>
                <w:color w:val="auto"/>
                <w:sz w:val="21"/>
                <w:szCs w:val="21"/>
                <w:lang w:eastAsia="zh-CN"/>
              </w:rPr>
            </w:pPr>
          </w:p>
          <w:p w14:paraId="09B024AD">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default" w:ascii="Times New Roman" w:hAnsi="Times New Roman" w:eastAsia="宋体" w:cs="Times New Roman"/>
                <w:color w:val="auto"/>
                <w:sz w:val="21"/>
                <w:szCs w:val="21"/>
                <w:lang w:eastAsia="zh-CN"/>
              </w:rPr>
            </w:pPr>
          </w:p>
          <w:p w14:paraId="08B36B1B">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default" w:ascii="Times New Roman" w:hAnsi="Times New Roman" w:eastAsia="宋体" w:cs="Times New Roman"/>
                <w:color w:val="auto"/>
                <w:sz w:val="21"/>
                <w:szCs w:val="21"/>
                <w:lang w:eastAsia="zh-CN"/>
              </w:rPr>
            </w:pPr>
          </w:p>
          <w:p w14:paraId="20D4D847">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default" w:ascii="Times New Roman" w:hAnsi="Times New Roman" w:eastAsia="宋体" w:cs="Times New Roman"/>
                <w:color w:val="auto"/>
                <w:sz w:val="21"/>
                <w:szCs w:val="21"/>
                <w:lang w:eastAsia="zh-CN"/>
              </w:rPr>
            </w:pPr>
          </w:p>
          <w:p w14:paraId="48DFBEEC">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default" w:ascii="Times New Roman" w:hAnsi="Times New Roman" w:eastAsia="宋体" w:cs="Times New Roman"/>
                <w:color w:val="auto"/>
                <w:sz w:val="21"/>
                <w:szCs w:val="21"/>
                <w:lang w:eastAsia="zh-CN"/>
              </w:rPr>
            </w:pPr>
          </w:p>
          <w:p w14:paraId="1E1268DD">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default" w:ascii="Times New Roman" w:hAnsi="Times New Roman" w:eastAsia="宋体" w:cs="Times New Roman"/>
                <w:color w:val="auto"/>
                <w:sz w:val="21"/>
                <w:szCs w:val="21"/>
                <w:lang w:eastAsia="zh-CN"/>
              </w:rPr>
            </w:pPr>
          </w:p>
          <w:p w14:paraId="384A8154">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default" w:ascii="Times New Roman" w:hAnsi="Times New Roman" w:eastAsia="宋体" w:cs="Times New Roman"/>
                <w:color w:val="auto"/>
                <w:sz w:val="21"/>
                <w:szCs w:val="21"/>
                <w:lang w:eastAsia="zh-CN"/>
              </w:rPr>
            </w:pPr>
          </w:p>
          <w:p w14:paraId="0E61C7DC">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default" w:ascii="Times New Roman" w:hAnsi="Times New Roman" w:eastAsia="宋体" w:cs="Times New Roman"/>
                <w:color w:val="auto"/>
                <w:sz w:val="21"/>
                <w:szCs w:val="21"/>
                <w:lang w:eastAsia="zh-CN"/>
              </w:rPr>
            </w:pPr>
          </w:p>
        </w:tc>
      </w:tr>
    </w:tbl>
    <w:p w14:paraId="34A8597C">
      <w:pPr>
        <w:pStyle w:val="22"/>
        <w:jc w:val="center"/>
        <w:outlineLvl w:val="0"/>
        <w:rPr>
          <w:rFonts w:ascii="黑体" w:hAnsi="黑体" w:eastAsia="黑体"/>
          <w:snapToGrid w:val="0"/>
          <w:color w:val="auto"/>
          <w:sz w:val="30"/>
          <w:szCs w:val="30"/>
          <w:highlight w:val="none"/>
        </w:rPr>
      </w:pPr>
      <w:r>
        <w:rPr>
          <w:snapToGrid w:val="0"/>
          <w:color w:val="auto"/>
          <w:highlight w:val="none"/>
        </w:rPr>
        <w:br w:type="page"/>
      </w:r>
      <w:bookmarkStart w:id="10" w:name="_Toc3371"/>
      <w:r>
        <w:rPr>
          <w:rFonts w:hint="eastAsia" w:ascii="黑体" w:hAnsi="黑体" w:eastAsia="黑体"/>
          <w:snapToGrid w:val="0"/>
          <w:color w:val="auto"/>
          <w:sz w:val="30"/>
          <w:szCs w:val="30"/>
          <w:highlight w:val="none"/>
        </w:rPr>
        <w:t>六、结论</w:t>
      </w:r>
      <w:bookmarkEnd w:id="10"/>
    </w:p>
    <w:tbl>
      <w:tblPr>
        <w:tblStyle w:val="25"/>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865"/>
      </w:tblGrid>
      <w:tr w14:paraId="686120C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1991" w:hRule="atLeast"/>
          <w:jc w:val="center"/>
        </w:trPr>
        <w:tc>
          <w:tcPr>
            <w:tcW w:w="8865" w:type="dxa"/>
            <w:noWrap w:val="0"/>
            <w:vAlign w:val="top"/>
          </w:tcPr>
          <w:p w14:paraId="002AC661">
            <w:pPr>
              <w:pStyle w:val="70"/>
              <w:keepNext w:val="0"/>
              <w:keepLines w:val="0"/>
              <w:pageBreakBefore w:val="0"/>
              <w:widowControl w:val="0"/>
              <w:kinsoku/>
              <w:wordWrap/>
              <w:overflowPunct/>
              <w:topLinePunct w:val="0"/>
              <w:autoSpaceDE w:val="0"/>
              <w:autoSpaceDN w:val="0"/>
              <w:bidi w:val="0"/>
              <w:adjustRightInd/>
              <w:snapToGrid/>
              <w:spacing w:line="500" w:lineRule="exact"/>
              <w:jc w:val="left"/>
              <w:textAlignment w:val="auto"/>
              <w:rPr>
                <w:color w:val="auto"/>
              </w:rPr>
            </w:pPr>
            <w:r>
              <w:rPr>
                <w:rFonts w:hint="default" w:ascii="Times New Roman" w:hAnsi="Times New Roman" w:eastAsia="宋体" w:cs="Times New Roman"/>
                <w:color w:val="auto"/>
                <w:sz w:val="24"/>
                <w:szCs w:val="24"/>
              </w:rPr>
              <w:t>综上所述，</w:t>
            </w:r>
            <w:r>
              <w:rPr>
                <w:rFonts w:hint="eastAsia" w:cs="Times New Roman"/>
                <w:color w:val="auto"/>
                <w:sz w:val="24"/>
                <w:szCs w:val="24"/>
                <w:lang w:eastAsia="zh-CN"/>
              </w:rPr>
              <w:t>唐山曹妃甸区粤蒙盛物流有限公司</w:t>
            </w:r>
            <w:r>
              <w:rPr>
                <w:rFonts w:hint="default" w:ascii="Times New Roman" w:hAnsi="Times New Roman" w:eastAsia="宋体" w:cs="Times New Roman"/>
                <w:color w:val="auto"/>
                <w:sz w:val="24"/>
                <w:szCs w:val="24"/>
              </w:rPr>
              <w:t>投资</w:t>
            </w:r>
            <w:r>
              <w:rPr>
                <w:rFonts w:hint="eastAsia" w:cs="Times New Roman"/>
                <w:color w:val="auto"/>
                <w:sz w:val="24"/>
                <w:szCs w:val="24"/>
                <w:highlight w:val="none"/>
                <w:lang w:val="en-US" w:eastAsia="zh-CN"/>
              </w:rPr>
              <w:t>117108万元</w:t>
            </w:r>
            <w:r>
              <w:rPr>
                <w:rFonts w:hint="default" w:ascii="Times New Roman" w:hAnsi="Times New Roman" w:eastAsia="宋体" w:cs="Times New Roman"/>
                <w:color w:val="auto"/>
                <w:sz w:val="24"/>
                <w:szCs w:val="24"/>
              </w:rPr>
              <w:t>建设</w:t>
            </w:r>
            <w:r>
              <w:rPr>
                <w:rFonts w:hint="default" w:ascii="Times New Roman" w:hAnsi="Times New Roman" w:eastAsia="宋体" w:cs="Times New Roman"/>
                <w:color w:val="auto"/>
                <w:sz w:val="24"/>
                <w:szCs w:val="24"/>
                <w:lang w:eastAsia="zh-CN"/>
              </w:rPr>
              <w:t>的</w:t>
            </w:r>
            <w:r>
              <w:rPr>
                <w:rFonts w:hint="eastAsia" w:cs="Times New Roman"/>
                <w:color w:val="auto"/>
                <w:sz w:val="24"/>
                <w:szCs w:val="24"/>
                <w:lang w:val="en-US" w:eastAsia="zh-CN"/>
              </w:rPr>
              <w:t>粤蒙盛现代物流项目</w:t>
            </w:r>
            <w:r>
              <w:rPr>
                <w:rFonts w:hint="default" w:ascii="Times New Roman" w:hAnsi="Times New Roman" w:eastAsia="宋体" w:cs="Times New Roman"/>
                <w:color w:val="auto"/>
                <w:sz w:val="24"/>
                <w:szCs w:val="24"/>
              </w:rPr>
              <w:t>，符合国家产业政策且选址合理，采取污染防治措施后，污染物可达标排放</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只要切实落实工程环保方案，从环境保护角度分析，项目建设可行。</w:t>
            </w:r>
          </w:p>
        </w:tc>
      </w:tr>
    </w:tbl>
    <w:p w14:paraId="2B5D43EE">
      <w:pPr>
        <w:rPr>
          <w:rFonts w:ascii="宋体"/>
          <w:highlight w:val="none"/>
        </w:rPr>
        <w:sectPr>
          <w:pgSz w:w="11905" w:h="16838"/>
          <w:pgMar w:top="1701" w:right="1531" w:bottom="2126" w:left="1531" w:header="851" w:footer="850" w:gutter="0"/>
          <w:pgBorders>
            <w:top w:val="none" w:sz="0" w:space="0"/>
            <w:left w:val="none" w:sz="0" w:space="0"/>
            <w:bottom w:val="none" w:sz="0" w:space="0"/>
            <w:right w:val="none" w:sz="0" w:space="0"/>
          </w:pgBorders>
          <w:pgNumType w:fmt="decimal"/>
          <w:cols w:space="720" w:num="1"/>
          <w:rtlGutter w:val="0"/>
          <w:docGrid w:linePitch="312" w:charSpace="0"/>
        </w:sectPr>
      </w:pPr>
    </w:p>
    <w:p w14:paraId="067A2053">
      <w:pPr>
        <w:pStyle w:val="22"/>
        <w:keepNext w:val="0"/>
        <w:keepLines w:val="0"/>
        <w:pageBreakBefore w:val="0"/>
        <w:widowControl/>
        <w:kinsoku/>
        <w:wordWrap/>
        <w:overflowPunct/>
        <w:topLinePunct w:val="0"/>
        <w:autoSpaceDE/>
        <w:autoSpaceDN/>
        <w:bidi w:val="0"/>
        <w:adjustRightInd w:val="0"/>
        <w:snapToGrid w:val="0"/>
        <w:spacing w:before="0" w:beforeAutospacing="0" w:after="0" w:afterAutospacing="0" w:line="500" w:lineRule="exact"/>
        <w:textAlignment w:val="auto"/>
        <w:outlineLvl w:val="0"/>
        <w:rPr>
          <w:rFonts w:ascii="黑体" w:hAnsi="黑体" w:eastAsia="黑体"/>
          <w:snapToGrid w:val="0"/>
          <w:sz w:val="32"/>
          <w:szCs w:val="32"/>
          <w:highlight w:val="none"/>
        </w:rPr>
      </w:pPr>
      <w:bookmarkStart w:id="11" w:name="_Toc19141"/>
      <w:r>
        <w:rPr>
          <w:rFonts w:hint="eastAsia" w:ascii="黑体" w:hAnsi="黑体" w:eastAsia="黑体"/>
          <w:snapToGrid w:val="0"/>
          <w:sz w:val="32"/>
          <w:szCs w:val="32"/>
          <w:highlight w:val="none"/>
        </w:rPr>
        <w:t>附表</w:t>
      </w:r>
      <w:bookmarkEnd w:id="11"/>
    </w:p>
    <w:p w14:paraId="355085EC">
      <w:pPr>
        <w:pStyle w:val="22"/>
        <w:keepNext w:val="0"/>
        <w:keepLines w:val="0"/>
        <w:pageBreakBefore w:val="0"/>
        <w:widowControl/>
        <w:kinsoku/>
        <w:wordWrap/>
        <w:overflowPunct/>
        <w:topLinePunct w:val="0"/>
        <w:autoSpaceDE/>
        <w:autoSpaceDN/>
        <w:bidi w:val="0"/>
        <w:adjustRightInd w:val="0"/>
        <w:snapToGrid w:val="0"/>
        <w:spacing w:before="0" w:beforeAutospacing="0" w:after="0" w:afterAutospacing="0" w:line="500" w:lineRule="exact"/>
        <w:jc w:val="center"/>
        <w:textAlignment w:val="auto"/>
        <w:outlineLvl w:val="0"/>
        <w:rPr>
          <w:rFonts w:hint="eastAsia" w:ascii="方正小标宋_GBK" w:hAnsi="黑体" w:eastAsia="方正小标宋_GBK"/>
          <w:snapToGrid w:val="0"/>
          <w:sz w:val="38"/>
          <w:szCs w:val="38"/>
          <w:highlight w:val="none"/>
        </w:rPr>
      </w:pPr>
      <w:bookmarkStart w:id="12" w:name="_Toc23970"/>
      <w:r>
        <w:rPr>
          <w:rFonts w:hint="eastAsia" w:ascii="方正小标宋_GBK" w:hAnsi="黑体" w:eastAsia="方正小标宋_GBK"/>
          <w:snapToGrid w:val="0"/>
          <w:sz w:val="38"/>
          <w:szCs w:val="38"/>
          <w:highlight w:val="none"/>
        </w:rPr>
        <w:t>建设项目污染物排放</w:t>
      </w:r>
      <w:r>
        <w:rPr>
          <w:rFonts w:hint="eastAsia" w:ascii="方正小标宋_GBK" w:hAnsi="黑体" w:eastAsia="方正小标宋_GBK"/>
          <w:snapToGrid w:val="0"/>
          <w:sz w:val="38"/>
          <w:szCs w:val="38"/>
          <w:highlight w:val="none"/>
          <w:lang w:eastAsia="zh-CN"/>
        </w:rPr>
        <w:t>量</w:t>
      </w:r>
      <w:r>
        <w:rPr>
          <w:rFonts w:hint="eastAsia" w:ascii="方正小标宋_GBK" w:hAnsi="黑体" w:eastAsia="方正小标宋_GBK"/>
          <w:snapToGrid w:val="0"/>
          <w:sz w:val="38"/>
          <w:szCs w:val="38"/>
          <w:highlight w:val="none"/>
        </w:rPr>
        <w:t>汇总表</w:t>
      </w:r>
      <w:bookmarkEnd w:id="12"/>
    </w:p>
    <w:tbl>
      <w:tblPr>
        <w:tblStyle w:val="25"/>
        <w:tblW w:w="13788" w:type="dxa"/>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588"/>
        <w:gridCol w:w="1417"/>
        <w:gridCol w:w="1701"/>
        <w:gridCol w:w="1276"/>
        <w:gridCol w:w="1701"/>
        <w:gridCol w:w="1559"/>
        <w:gridCol w:w="1761"/>
        <w:gridCol w:w="1792"/>
        <w:gridCol w:w="993"/>
      </w:tblGrid>
      <w:tr w14:paraId="18AE222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94" w:hRule="atLeast"/>
        </w:trPr>
        <w:tc>
          <w:tcPr>
            <w:tcW w:w="1588" w:type="dxa"/>
            <w:tcBorders>
              <w:tl2br w:val="single" w:color="auto" w:sz="4" w:space="0"/>
            </w:tcBorders>
            <w:noWrap w:val="0"/>
            <w:tcMar>
              <w:left w:w="28" w:type="dxa"/>
              <w:right w:w="28" w:type="dxa"/>
            </w:tcMar>
            <w:vAlign w:val="center"/>
          </w:tcPr>
          <w:p w14:paraId="5BAA179E">
            <w:pPr>
              <w:pStyle w:val="46"/>
              <w:keepNext w:val="0"/>
              <w:keepLines w:val="0"/>
              <w:pageBreakBefore w:val="0"/>
              <w:widowControl w:val="0"/>
              <w:kinsoku/>
              <w:wordWrap/>
              <w:overflowPunct/>
              <w:topLinePunct w:val="0"/>
              <w:bidi w:val="0"/>
              <w:spacing w:beforeLines="0" w:afterLines="0" w:line="240" w:lineRule="auto"/>
              <w:jc w:val="right"/>
              <w:textAlignment w:val="auto"/>
              <w:rPr>
                <w:rFonts w:hint="eastAsia" w:ascii="黑体" w:hAnsi="黑体" w:eastAsia="黑体" w:cs="宋体"/>
                <w:snapToGrid w:val="0"/>
                <w:color w:val="000000"/>
                <w:spacing w:val="-6"/>
                <w:kern w:val="21"/>
                <w:sz w:val="21"/>
                <w:szCs w:val="21"/>
                <w:highlight w:val="none"/>
              </w:rPr>
            </w:pPr>
            <w:r>
              <w:rPr>
                <w:rFonts w:hint="eastAsia" w:ascii="黑体" w:hAnsi="黑体" w:eastAsia="黑体" w:cs="宋体"/>
                <w:snapToGrid w:val="0"/>
                <w:color w:val="000000"/>
                <w:spacing w:val="-6"/>
                <w:kern w:val="21"/>
                <w:sz w:val="21"/>
                <w:szCs w:val="21"/>
                <w:highlight w:val="none"/>
              </w:rPr>
              <w:t>项目</w:t>
            </w:r>
          </w:p>
          <w:p w14:paraId="7707115B">
            <w:pPr>
              <w:pStyle w:val="46"/>
              <w:keepNext w:val="0"/>
              <w:keepLines w:val="0"/>
              <w:pageBreakBefore w:val="0"/>
              <w:widowControl w:val="0"/>
              <w:kinsoku/>
              <w:wordWrap/>
              <w:overflowPunct/>
              <w:topLinePunct w:val="0"/>
              <w:bidi w:val="0"/>
              <w:spacing w:beforeLines="0" w:afterLines="0" w:line="240" w:lineRule="auto"/>
              <w:jc w:val="left"/>
              <w:textAlignment w:val="auto"/>
              <w:rPr>
                <w:rFonts w:hint="eastAsia" w:ascii="黑体" w:hAnsi="黑体" w:eastAsia="黑体" w:cs="宋体"/>
                <w:snapToGrid w:val="0"/>
                <w:color w:val="000000"/>
                <w:spacing w:val="-6"/>
                <w:kern w:val="21"/>
                <w:sz w:val="21"/>
                <w:szCs w:val="21"/>
                <w:highlight w:val="none"/>
              </w:rPr>
            </w:pPr>
            <w:r>
              <w:rPr>
                <w:rFonts w:hint="eastAsia" w:ascii="黑体" w:hAnsi="黑体" w:eastAsia="黑体" w:cs="宋体"/>
                <w:snapToGrid w:val="0"/>
                <w:color w:val="000000"/>
                <w:spacing w:val="-6"/>
                <w:kern w:val="21"/>
                <w:sz w:val="21"/>
                <w:szCs w:val="21"/>
                <w:highlight w:val="none"/>
              </w:rPr>
              <w:t>分类</w:t>
            </w:r>
          </w:p>
        </w:tc>
        <w:tc>
          <w:tcPr>
            <w:tcW w:w="1417" w:type="dxa"/>
            <w:noWrap w:val="0"/>
            <w:tcMar>
              <w:left w:w="28" w:type="dxa"/>
              <w:right w:w="28" w:type="dxa"/>
            </w:tcMar>
            <w:vAlign w:val="center"/>
          </w:tcPr>
          <w:p w14:paraId="24726582">
            <w:pPr>
              <w:pStyle w:val="46"/>
              <w:keepNext w:val="0"/>
              <w:keepLines w:val="0"/>
              <w:pageBreakBefore w:val="0"/>
              <w:widowControl w:val="0"/>
              <w:kinsoku/>
              <w:wordWrap/>
              <w:overflowPunct/>
              <w:topLinePunct w:val="0"/>
              <w:bidi w:val="0"/>
              <w:spacing w:beforeLines="0" w:afterLines="0" w:line="240" w:lineRule="auto"/>
              <w:textAlignment w:val="auto"/>
              <w:rPr>
                <w:rFonts w:hint="eastAsia" w:ascii="黑体" w:hAnsi="黑体" w:eastAsia="黑体" w:cs="宋体"/>
                <w:snapToGrid w:val="0"/>
                <w:color w:val="000000"/>
                <w:spacing w:val="-6"/>
                <w:kern w:val="21"/>
                <w:sz w:val="21"/>
                <w:szCs w:val="21"/>
                <w:highlight w:val="none"/>
              </w:rPr>
            </w:pPr>
            <w:r>
              <w:rPr>
                <w:rFonts w:hint="eastAsia" w:ascii="黑体" w:hAnsi="黑体" w:eastAsia="黑体" w:cs="宋体"/>
                <w:snapToGrid w:val="0"/>
                <w:color w:val="000000"/>
                <w:spacing w:val="-6"/>
                <w:kern w:val="21"/>
                <w:sz w:val="21"/>
                <w:szCs w:val="21"/>
                <w:highlight w:val="none"/>
              </w:rPr>
              <w:t>污染物名称</w:t>
            </w:r>
          </w:p>
        </w:tc>
        <w:tc>
          <w:tcPr>
            <w:tcW w:w="1701" w:type="dxa"/>
            <w:noWrap w:val="0"/>
            <w:tcMar>
              <w:left w:w="28" w:type="dxa"/>
              <w:right w:w="28" w:type="dxa"/>
            </w:tcMar>
            <w:vAlign w:val="center"/>
          </w:tcPr>
          <w:p w14:paraId="1822C441">
            <w:pPr>
              <w:pStyle w:val="46"/>
              <w:keepNext w:val="0"/>
              <w:keepLines w:val="0"/>
              <w:pageBreakBefore w:val="0"/>
              <w:widowControl w:val="0"/>
              <w:kinsoku/>
              <w:wordWrap/>
              <w:overflowPunct/>
              <w:topLinePunct w:val="0"/>
              <w:bidi w:val="0"/>
              <w:spacing w:beforeLines="0" w:afterLines="0" w:line="240" w:lineRule="auto"/>
              <w:textAlignment w:val="auto"/>
              <w:rPr>
                <w:rFonts w:hint="eastAsia" w:ascii="黑体" w:hAnsi="黑体" w:eastAsia="黑体"/>
                <w:snapToGrid w:val="0"/>
                <w:color w:val="000000"/>
                <w:spacing w:val="-6"/>
                <w:kern w:val="21"/>
                <w:sz w:val="21"/>
                <w:szCs w:val="21"/>
                <w:highlight w:val="none"/>
              </w:rPr>
            </w:pPr>
            <w:r>
              <w:rPr>
                <w:rFonts w:ascii="黑体" w:hAnsi="黑体" w:eastAsia="黑体"/>
                <w:snapToGrid w:val="0"/>
                <w:color w:val="000000"/>
                <w:spacing w:val="-6"/>
                <w:kern w:val="21"/>
                <w:sz w:val="21"/>
                <w:szCs w:val="21"/>
                <w:highlight w:val="none"/>
              </w:rPr>
              <w:t>现有工程</w:t>
            </w:r>
          </w:p>
          <w:p w14:paraId="0DD4D517">
            <w:pPr>
              <w:pStyle w:val="46"/>
              <w:keepNext w:val="0"/>
              <w:keepLines w:val="0"/>
              <w:pageBreakBefore w:val="0"/>
              <w:widowControl w:val="0"/>
              <w:kinsoku/>
              <w:wordWrap/>
              <w:overflowPunct/>
              <w:topLinePunct w:val="0"/>
              <w:bidi w:val="0"/>
              <w:spacing w:beforeLines="0" w:afterLines="0" w:line="240" w:lineRule="auto"/>
              <w:textAlignment w:val="auto"/>
              <w:rPr>
                <w:rFonts w:ascii="黑体" w:hAnsi="黑体" w:eastAsia="黑体"/>
                <w:snapToGrid w:val="0"/>
                <w:color w:val="000000"/>
                <w:spacing w:val="-6"/>
                <w:kern w:val="21"/>
                <w:sz w:val="21"/>
                <w:szCs w:val="21"/>
                <w:highlight w:val="none"/>
              </w:rPr>
            </w:pPr>
            <w:r>
              <w:rPr>
                <w:rFonts w:ascii="黑体" w:hAnsi="黑体" w:eastAsia="黑体"/>
                <w:snapToGrid w:val="0"/>
                <w:color w:val="000000"/>
                <w:spacing w:val="-6"/>
                <w:kern w:val="21"/>
                <w:sz w:val="21"/>
                <w:szCs w:val="21"/>
                <w:highlight w:val="none"/>
              </w:rPr>
              <w:t>排放量（固</w:t>
            </w:r>
            <w:r>
              <w:rPr>
                <w:rFonts w:hint="eastAsia" w:ascii="黑体" w:hAnsi="黑体" w:eastAsia="黑体"/>
                <w:snapToGrid w:val="0"/>
                <w:color w:val="000000"/>
                <w:spacing w:val="-6"/>
                <w:kern w:val="21"/>
                <w:sz w:val="21"/>
                <w:szCs w:val="21"/>
                <w:highlight w:val="none"/>
              </w:rPr>
              <w:t>体</w:t>
            </w:r>
            <w:r>
              <w:rPr>
                <w:rFonts w:ascii="黑体" w:hAnsi="黑体" w:eastAsia="黑体"/>
                <w:snapToGrid w:val="0"/>
                <w:color w:val="000000"/>
                <w:spacing w:val="-6"/>
                <w:kern w:val="21"/>
                <w:sz w:val="21"/>
                <w:szCs w:val="21"/>
                <w:highlight w:val="none"/>
              </w:rPr>
              <w:t>废</w:t>
            </w:r>
            <w:r>
              <w:rPr>
                <w:rFonts w:hint="eastAsia" w:ascii="黑体" w:hAnsi="黑体" w:eastAsia="黑体"/>
                <w:snapToGrid w:val="0"/>
                <w:color w:val="000000"/>
                <w:spacing w:val="-6"/>
                <w:kern w:val="21"/>
                <w:sz w:val="21"/>
                <w:szCs w:val="21"/>
                <w:highlight w:val="none"/>
              </w:rPr>
              <w:t>物</w:t>
            </w:r>
            <w:r>
              <w:rPr>
                <w:rFonts w:ascii="黑体" w:hAnsi="黑体" w:eastAsia="黑体"/>
                <w:snapToGrid w:val="0"/>
                <w:color w:val="000000"/>
                <w:spacing w:val="-6"/>
                <w:kern w:val="21"/>
                <w:sz w:val="21"/>
                <w:szCs w:val="21"/>
                <w:highlight w:val="none"/>
              </w:rPr>
              <w:t>产生量）</w:t>
            </w:r>
            <w:r>
              <w:rPr>
                <w:rFonts w:ascii="黑体" w:hAnsi="黑体" w:eastAsia="黑体"/>
                <w:snapToGrid w:val="0"/>
                <w:color w:val="000000"/>
                <w:spacing w:val="-6"/>
                <w:kern w:val="21"/>
                <w:sz w:val="21"/>
                <w:szCs w:val="21"/>
                <w:highlight w:val="none"/>
              </w:rPr>
              <w:fldChar w:fldCharType="begin"/>
            </w:r>
            <w:r>
              <w:rPr>
                <w:rFonts w:ascii="黑体" w:hAnsi="黑体" w:eastAsia="黑体"/>
                <w:snapToGrid w:val="0"/>
                <w:color w:val="000000"/>
                <w:spacing w:val="-6"/>
                <w:kern w:val="21"/>
                <w:sz w:val="21"/>
                <w:szCs w:val="21"/>
                <w:highlight w:val="none"/>
              </w:rPr>
              <w:instrText xml:space="preserve"> = 1 \* GB3 \* MERGEFORMAT </w:instrText>
            </w:r>
            <w:r>
              <w:rPr>
                <w:rFonts w:ascii="黑体" w:hAnsi="黑体" w:eastAsia="黑体"/>
                <w:snapToGrid w:val="0"/>
                <w:color w:val="000000"/>
                <w:spacing w:val="-6"/>
                <w:kern w:val="21"/>
                <w:sz w:val="21"/>
                <w:szCs w:val="21"/>
                <w:highlight w:val="none"/>
              </w:rPr>
              <w:fldChar w:fldCharType="separate"/>
            </w:r>
            <w:r>
              <w:rPr>
                <w:rFonts w:hint="eastAsia" w:ascii="黑体" w:hAnsi="黑体" w:eastAsia="黑体" w:cs="宋体"/>
                <w:kern w:val="2"/>
                <w:sz w:val="21"/>
                <w:szCs w:val="21"/>
                <w:highlight w:val="none"/>
              </w:rPr>
              <w:t>①</w:t>
            </w:r>
            <w:r>
              <w:rPr>
                <w:rFonts w:ascii="黑体" w:hAnsi="黑体" w:eastAsia="黑体"/>
                <w:snapToGrid w:val="0"/>
                <w:color w:val="000000"/>
                <w:spacing w:val="-6"/>
                <w:kern w:val="21"/>
                <w:sz w:val="21"/>
                <w:szCs w:val="21"/>
                <w:highlight w:val="none"/>
              </w:rPr>
              <w:fldChar w:fldCharType="end"/>
            </w:r>
          </w:p>
        </w:tc>
        <w:tc>
          <w:tcPr>
            <w:tcW w:w="1276" w:type="dxa"/>
            <w:noWrap w:val="0"/>
            <w:tcMar>
              <w:left w:w="28" w:type="dxa"/>
              <w:right w:w="28" w:type="dxa"/>
            </w:tcMar>
            <w:vAlign w:val="center"/>
          </w:tcPr>
          <w:p w14:paraId="047860E3">
            <w:pPr>
              <w:pStyle w:val="46"/>
              <w:keepNext w:val="0"/>
              <w:keepLines w:val="0"/>
              <w:pageBreakBefore w:val="0"/>
              <w:widowControl w:val="0"/>
              <w:kinsoku/>
              <w:wordWrap/>
              <w:overflowPunct/>
              <w:topLinePunct w:val="0"/>
              <w:bidi w:val="0"/>
              <w:spacing w:beforeLines="0" w:afterLines="0" w:line="240" w:lineRule="auto"/>
              <w:textAlignment w:val="auto"/>
              <w:rPr>
                <w:rFonts w:ascii="黑体" w:hAnsi="黑体" w:eastAsia="黑体"/>
                <w:snapToGrid w:val="0"/>
                <w:color w:val="000000"/>
                <w:spacing w:val="-6"/>
                <w:kern w:val="21"/>
                <w:sz w:val="21"/>
                <w:szCs w:val="21"/>
                <w:highlight w:val="none"/>
              </w:rPr>
            </w:pPr>
            <w:r>
              <w:rPr>
                <w:rFonts w:ascii="黑体" w:hAnsi="黑体" w:eastAsia="黑体"/>
                <w:snapToGrid w:val="0"/>
                <w:color w:val="000000"/>
                <w:spacing w:val="-6"/>
                <w:kern w:val="21"/>
                <w:sz w:val="21"/>
                <w:szCs w:val="21"/>
                <w:highlight w:val="none"/>
              </w:rPr>
              <w:t>现有工程</w:t>
            </w:r>
          </w:p>
          <w:p w14:paraId="16DE6222">
            <w:pPr>
              <w:pStyle w:val="46"/>
              <w:keepNext w:val="0"/>
              <w:keepLines w:val="0"/>
              <w:pageBreakBefore w:val="0"/>
              <w:widowControl w:val="0"/>
              <w:kinsoku/>
              <w:wordWrap/>
              <w:overflowPunct/>
              <w:topLinePunct w:val="0"/>
              <w:bidi w:val="0"/>
              <w:spacing w:beforeLines="0" w:afterLines="0" w:line="240" w:lineRule="auto"/>
              <w:textAlignment w:val="auto"/>
              <w:rPr>
                <w:rFonts w:ascii="黑体" w:hAnsi="黑体" w:eastAsia="黑体"/>
                <w:snapToGrid w:val="0"/>
                <w:color w:val="000000"/>
                <w:spacing w:val="-6"/>
                <w:kern w:val="21"/>
                <w:sz w:val="21"/>
                <w:szCs w:val="21"/>
                <w:highlight w:val="none"/>
              </w:rPr>
            </w:pPr>
            <w:r>
              <w:rPr>
                <w:rFonts w:ascii="黑体" w:hAnsi="黑体" w:eastAsia="黑体"/>
                <w:snapToGrid w:val="0"/>
                <w:color w:val="000000"/>
                <w:spacing w:val="-6"/>
                <w:kern w:val="21"/>
                <w:sz w:val="21"/>
                <w:szCs w:val="21"/>
                <w:highlight w:val="none"/>
              </w:rPr>
              <w:t>许可排放量</w:t>
            </w:r>
          </w:p>
          <w:p w14:paraId="6AF81AA5">
            <w:pPr>
              <w:pStyle w:val="46"/>
              <w:keepNext w:val="0"/>
              <w:keepLines w:val="0"/>
              <w:pageBreakBefore w:val="0"/>
              <w:widowControl w:val="0"/>
              <w:kinsoku/>
              <w:wordWrap/>
              <w:overflowPunct/>
              <w:topLinePunct w:val="0"/>
              <w:bidi w:val="0"/>
              <w:spacing w:beforeLines="0" w:afterLines="0" w:line="240" w:lineRule="auto"/>
              <w:textAlignment w:val="auto"/>
              <w:rPr>
                <w:rFonts w:ascii="黑体" w:hAnsi="黑体" w:eastAsia="黑体"/>
                <w:snapToGrid w:val="0"/>
                <w:color w:val="000000"/>
                <w:spacing w:val="-6"/>
                <w:kern w:val="21"/>
                <w:sz w:val="21"/>
                <w:szCs w:val="21"/>
                <w:highlight w:val="none"/>
              </w:rPr>
            </w:pPr>
            <w:r>
              <w:rPr>
                <w:rFonts w:ascii="黑体" w:hAnsi="黑体" w:eastAsia="黑体"/>
                <w:snapToGrid w:val="0"/>
                <w:color w:val="000000"/>
                <w:spacing w:val="-6"/>
                <w:kern w:val="21"/>
                <w:sz w:val="21"/>
                <w:szCs w:val="21"/>
                <w:highlight w:val="none"/>
              </w:rPr>
              <w:fldChar w:fldCharType="begin"/>
            </w:r>
            <w:r>
              <w:rPr>
                <w:rFonts w:ascii="黑体" w:hAnsi="黑体" w:eastAsia="黑体"/>
                <w:snapToGrid w:val="0"/>
                <w:color w:val="000000"/>
                <w:spacing w:val="-6"/>
                <w:kern w:val="21"/>
                <w:sz w:val="21"/>
                <w:szCs w:val="21"/>
                <w:highlight w:val="none"/>
              </w:rPr>
              <w:instrText xml:space="preserve"> = 2 \* GB3 \* MERGEFORMAT </w:instrText>
            </w:r>
            <w:r>
              <w:rPr>
                <w:rFonts w:ascii="黑体" w:hAnsi="黑体" w:eastAsia="黑体"/>
                <w:snapToGrid w:val="0"/>
                <w:color w:val="000000"/>
                <w:spacing w:val="-6"/>
                <w:kern w:val="21"/>
                <w:sz w:val="21"/>
                <w:szCs w:val="21"/>
                <w:highlight w:val="none"/>
              </w:rPr>
              <w:fldChar w:fldCharType="separate"/>
            </w:r>
            <w:r>
              <w:rPr>
                <w:rFonts w:hint="eastAsia" w:ascii="黑体" w:hAnsi="黑体" w:eastAsia="黑体" w:cs="宋体"/>
                <w:snapToGrid w:val="0"/>
                <w:color w:val="000000"/>
                <w:spacing w:val="-6"/>
                <w:kern w:val="21"/>
                <w:sz w:val="21"/>
                <w:szCs w:val="21"/>
                <w:highlight w:val="none"/>
              </w:rPr>
              <w:t>②</w:t>
            </w:r>
            <w:r>
              <w:rPr>
                <w:rFonts w:ascii="黑体" w:hAnsi="黑体" w:eastAsia="黑体"/>
                <w:snapToGrid w:val="0"/>
                <w:color w:val="000000"/>
                <w:spacing w:val="-6"/>
                <w:kern w:val="21"/>
                <w:sz w:val="21"/>
                <w:szCs w:val="21"/>
                <w:highlight w:val="none"/>
              </w:rPr>
              <w:fldChar w:fldCharType="end"/>
            </w:r>
          </w:p>
        </w:tc>
        <w:tc>
          <w:tcPr>
            <w:tcW w:w="1701" w:type="dxa"/>
            <w:noWrap w:val="0"/>
            <w:tcMar>
              <w:left w:w="28" w:type="dxa"/>
              <w:right w:w="28" w:type="dxa"/>
            </w:tcMar>
            <w:vAlign w:val="center"/>
          </w:tcPr>
          <w:p w14:paraId="37A3E3E0">
            <w:pPr>
              <w:pStyle w:val="46"/>
              <w:keepNext w:val="0"/>
              <w:keepLines w:val="0"/>
              <w:pageBreakBefore w:val="0"/>
              <w:widowControl w:val="0"/>
              <w:kinsoku/>
              <w:wordWrap/>
              <w:overflowPunct/>
              <w:topLinePunct w:val="0"/>
              <w:bidi w:val="0"/>
              <w:spacing w:beforeLines="0" w:afterLines="0" w:line="240" w:lineRule="auto"/>
              <w:textAlignment w:val="auto"/>
              <w:rPr>
                <w:rFonts w:hint="eastAsia" w:ascii="黑体" w:hAnsi="黑体" w:eastAsia="黑体"/>
                <w:snapToGrid w:val="0"/>
                <w:color w:val="000000"/>
                <w:spacing w:val="-6"/>
                <w:kern w:val="21"/>
                <w:sz w:val="21"/>
                <w:szCs w:val="21"/>
                <w:highlight w:val="none"/>
              </w:rPr>
            </w:pPr>
            <w:r>
              <w:rPr>
                <w:rFonts w:ascii="黑体" w:hAnsi="黑体" w:eastAsia="黑体"/>
                <w:snapToGrid w:val="0"/>
                <w:color w:val="000000"/>
                <w:spacing w:val="-6"/>
                <w:kern w:val="21"/>
                <w:sz w:val="21"/>
                <w:szCs w:val="21"/>
                <w:highlight w:val="none"/>
              </w:rPr>
              <w:t>在建工程</w:t>
            </w:r>
          </w:p>
          <w:p w14:paraId="33E861E1">
            <w:pPr>
              <w:pStyle w:val="46"/>
              <w:keepNext w:val="0"/>
              <w:keepLines w:val="0"/>
              <w:pageBreakBefore w:val="0"/>
              <w:widowControl w:val="0"/>
              <w:kinsoku/>
              <w:wordWrap/>
              <w:overflowPunct/>
              <w:topLinePunct w:val="0"/>
              <w:bidi w:val="0"/>
              <w:spacing w:beforeLines="0" w:afterLines="0" w:line="240" w:lineRule="auto"/>
              <w:textAlignment w:val="auto"/>
              <w:rPr>
                <w:rFonts w:ascii="黑体" w:hAnsi="黑体" w:eastAsia="黑体"/>
                <w:snapToGrid w:val="0"/>
                <w:color w:val="000000"/>
                <w:spacing w:val="-6"/>
                <w:kern w:val="21"/>
                <w:sz w:val="21"/>
                <w:szCs w:val="21"/>
                <w:highlight w:val="none"/>
              </w:rPr>
            </w:pPr>
            <w:r>
              <w:rPr>
                <w:rFonts w:ascii="黑体" w:hAnsi="黑体" w:eastAsia="黑体"/>
                <w:snapToGrid w:val="0"/>
                <w:color w:val="000000"/>
                <w:spacing w:val="-6"/>
                <w:kern w:val="21"/>
                <w:sz w:val="21"/>
                <w:szCs w:val="21"/>
                <w:highlight w:val="none"/>
              </w:rPr>
              <w:t>排放量（固</w:t>
            </w:r>
            <w:r>
              <w:rPr>
                <w:rFonts w:hint="eastAsia" w:ascii="黑体" w:hAnsi="黑体" w:eastAsia="黑体"/>
                <w:snapToGrid w:val="0"/>
                <w:color w:val="000000"/>
                <w:spacing w:val="-6"/>
                <w:kern w:val="21"/>
                <w:sz w:val="21"/>
                <w:szCs w:val="21"/>
                <w:highlight w:val="none"/>
              </w:rPr>
              <w:t>体</w:t>
            </w:r>
            <w:r>
              <w:rPr>
                <w:rFonts w:ascii="黑体" w:hAnsi="黑体" w:eastAsia="黑体"/>
                <w:snapToGrid w:val="0"/>
                <w:color w:val="000000"/>
                <w:spacing w:val="-6"/>
                <w:kern w:val="21"/>
                <w:sz w:val="21"/>
                <w:szCs w:val="21"/>
                <w:highlight w:val="none"/>
              </w:rPr>
              <w:t>废</w:t>
            </w:r>
            <w:r>
              <w:rPr>
                <w:rFonts w:hint="eastAsia" w:ascii="黑体" w:hAnsi="黑体" w:eastAsia="黑体"/>
                <w:snapToGrid w:val="0"/>
                <w:color w:val="000000"/>
                <w:spacing w:val="-6"/>
                <w:kern w:val="21"/>
                <w:sz w:val="21"/>
                <w:szCs w:val="21"/>
                <w:highlight w:val="none"/>
              </w:rPr>
              <w:t>物</w:t>
            </w:r>
            <w:r>
              <w:rPr>
                <w:rFonts w:ascii="黑体" w:hAnsi="黑体" w:eastAsia="黑体"/>
                <w:snapToGrid w:val="0"/>
                <w:color w:val="000000"/>
                <w:spacing w:val="-6"/>
                <w:kern w:val="21"/>
                <w:sz w:val="21"/>
                <w:szCs w:val="21"/>
                <w:highlight w:val="none"/>
              </w:rPr>
              <w:t>产生量）</w:t>
            </w:r>
            <w:r>
              <w:rPr>
                <w:rFonts w:ascii="黑体" w:hAnsi="黑体" w:eastAsia="黑体"/>
                <w:snapToGrid w:val="0"/>
                <w:color w:val="000000"/>
                <w:spacing w:val="-6"/>
                <w:kern w:val="21"/>
                <w:sz w:val="21"/>
                <w:szCs w:val="21"/>
                <w:highlight w:val="none"/>
              </w:rPr>
              <w:fldChar w:fldCharType="begin"/>
            </w:r>
            <w:r>
              <w:rPr>
                <w:rFonts w:ascii="黑体" w:hAnsi="黑体" w:eastAsia="黑体"/>
                <w:snapToGrid w:val="0"/>
                <w:color w:val="000000"/>
                <w:spacing w:val="-6"/>
                <w:kern w:val="21"/>
                <w:sz w:val="21"/>
                <w:szCs w:val="21"/>
                <w:highlight w:val="none"/>
              </w:rPr>
              <w:instrText xml:space="preserve"> = 3 \* GB3 \* MERGEFORMAT </w:instrText>
            </w:r>
            <w:r>
              <w:rPr>
                <w:rFonts w:ascii="黑体" w:hAnsi="黑体" w:eastAsia="黑体"/>
                <w:snapToGrid w:val="0"/>
                <w:color w:val="000000"/>
                <w:spacing w:val="-6"/>
                <w:kern w:val="21"/>
                <w:sz w:val="21"/>
                <w:szCs w:val="21"/>
                <w:highlight w:val="none"/>
              </w:rPr>
              <w:fldChar w:fldCharType="separate"/>
            </w:r>
            <w:r>
              <w:rPr>
                <w:rFonts w:hint="eastAsia" w:ascii="黑体" w:hAnsi="黑体" w:eastAsia="黑体" w:cs="宋体"/>
                <w:kern w:val="2"/>
                <w:sz w:val="21"/>
                <w:szCs w:val="21"/>
                <w:highlight w:val="none"/>
              </w:rPr>
              <w:t>③</w:t>
            </w:r>
            <w:r>
              <w:rPr>
                <w:rFonts w:ascii="黑体" w:hAnsi="黑体" w:eastAsia="黑体"/>
                <w:snapToGrid w:val="0"/>
                <w:color w:val="000000"/>
                <w:spacing w:val="-6"/>
                <w:kern w:val="21"/>
                <w:sz w:val="21"/>
                <w:szCs w:val="21"/>
                <w:highlight w:val="none"/>
              </w:rPr>
              <w:fldChar w:fldCharType="end"/>
            </w:r>
          </w:p>
        </w:tc>
        <w:tc>
          <w:tcPr>
            <w:tcW w:w="1559" w:type="dxa"/>
            <w:noWrap w:val="0"/>
            <w:tcMar>
              <w:left w:w="28" w:type="dxa"/>
              <w:right w:w="28" w:type="dxa"/>
            </w:tcMar>
            <w:vAlign w:val="center"/>
          </w:tcPr>
          <w:p w14:paraId="751EE9F6">
            <w:pPr>
              <w:pStyle w:val="46"/>
              <w:keepNext w:val="0"/>
              <w:keepLines w:val="0"/>
              <w:pageBreakBefore w:val="0"/>
              <w:widowControl w:val="0"/>
              <w:kinsoku/>
              <w:wordWrap/>
              <w:overflowPunct/>
              <w:topLinePunct w:val="0"/>
              <w:bidi w:val="0"/>
              <w:spacing w:beforeLines="0" w:afterLines="0" w:line="240" w:lineRule="auto"/>
              <w:textAlignment w:val="auto"/>
              <w:rPr>
                <w:rFonts w:hint="eastAsia" w:ascii="黑体" w:hAnsi="黑体" w:eastAsia="黑体"/>
                <w:snapToGrid w:val="0"/>
                <w:color w:val="000000"/>
                <w:spacing w:val="-6"/>
                <w:kern w:val="21"/>
                <w:sz w:val="21"/>
                <w:szCs w:val="21"/>
                <w:highlight w:val="none"/>
              </w:rPr>
            </w:pPr>
            <w:r>
              <w:rPr>
                <w:rFonts w:ascii="黑体" w:hAnsi="黑体" w:eastAsia="黑体"/>
                <w:snapToGrid w:val="0"/>
                <w:color w:val="000000"/>
                <w:spacing w:val="-6"/>
                <w:kern w:val="21"/>
                <w:sz w:val="21"/>
                <w:szCs w:val="21"/>
                <w:highlight w:val="none"/>
              </w:rPr>
              <w:t>本项目</w:t>
            </w:r>
          </w:p>
          <w:p w14:paraId="21DE8184">
            <w:pPr>
              <w:pStyle w:val="46"/>
              <w:keepNext w:val="0"/>
              <w:keepLines w:val="0"/>
              <w:pageBreakBefore w:val="0"/>
              <w:widowControl w:val="0"/>
              <w:kinsoku/>
              <w:wordWrap/>
              <w:overflowPunct/>
              <w:topLinePunct w:val="0"/>
              <w:bidi w:val="0"/>
              <w:spacing w:beforeLines="0" w:afterLines="0" w:line="240" w:lineRule="auto"/>
              <w:textAlignment w:val="auto"/>
              <w:rPr>
                <w:rFonts w:ascii="黑体" w:hAnsi="黑体" w:eastAsia="黑体"/>
                <w:snapToGrid w:val="0"/>
                <w:color w:val="000000"/>
                <w:spacing w:val="-6"/>
                <w:kern w:val="21"/>
                <w:sz w:val="21"/>
                <w:szCs w:val="21"/>
                <w:highlight w:val="none"/>
              </w:rPr>
            </w:pPr>
            <w:r>
              <w:rPr>
                <w:rFonts w:ascii="黑体" w:hAnsi="黑体" w:eastAsia="黑体"/>
                <w:snapToGrid w:val="0"/>
                <w:color w:val="000000"/>
                <w:spacing w:val="-6"/>
                <w:kern w:val="21"/>
                <w:sz w:val="21"/>
                <w:szCs w:val="21"/>
                <w:highlight w:val="none"/>
              </w:rPr>
              <w:t>排放量（固</w:t>
            </w:r>
            <w:r>
              <w:rPr>
                <w:rFonts w:hint="eastAsia" w:ascii="黑体" w:hAnsi="黑体" w:eastAsia="黑体"/>
                <w:snapToGrid w:val="0"/>
                <w:color w:val="000000"/>
                <w:spacing w:val="-6"/>
                <w:kern w:val="21"/>
                <w:sz w:val="21"/>
                <w:szCs w:val="21"/>
                <w:highlight w:val="none"/>
              </w:rPr>
              <w:t>体</w:t>
            </w:r>
            <w:r>
              <w:rPr>
                <w:rFonts w:ascii="黑体" w:hAnsi="黑体" w:eastAsia="黑体"/>
                <w:snapToGrid w:val="0"/>
                <w:color w:val="000000"/>
                <w:spacing w:val="-6"/>
                <w:kern w:val="21"/>
                <w:sz w:val="21"/>
                <w:szCs w:val="21"/>
                <w:highlight w:val="none"/>
              </w:rPr>
              <w:t>废</w:t>
            </w:r>
            <w:r>
              <w:rPr>
                <w:rFonts w:hint="eastAsia" w:ascii="黑体" w:hAnsi="黑体" w:eastAsia="黑体"/>
                <w:snapToGrid w:val="0"/>
                <w:color w:val="000000"/>
                <w:spacing w:val="-6"/>
                <w:kern w:val="21"/>
                <w:sz w:val="21"/>
                <w:szCs w:val="21"/>
                <w:highlight w:val="none"/>
              </w:rPr>
              <w:t>物</w:t>
            </w:r>
            <w:r>
              <w:rPr>
                <w:rFonts w:ascii="黑体" w:hAnsi="黑体" w:eastAsia="黑体"/>
                <w:snapToGrid w:val="0"/>
                <w:color w:val="000000"/>
                <w:spacing w:val="-6"/>
                <w:kern w:val="21"/>
                <w:sz w:val="21"/>
                <w:szCs w:val="21"/>
                <w:highlight w:val="none"/>
              </w:rPr>
              <w:t>产生量）</w:t>
            </w:r>
            <w:r>
              <w:rPr>
                <w:rFonts w:ascii="黑体" w:hAnsi="黑体" w:eastAsia="黑体"/>
                <w:snapToGrid w:val="0"/>
                <w:color w:val="000000"/>
                <w:spacing w:val="-6"/>
                <w:kern w:val="21"/>
                <w:sz w:val="21"/>
                <w:szCs w:val="21"/>
                <w:highlight w:val="none"/>
              </w:rPr>
              <w:fldChar w:fldCharType="begin"/>
            </w:r>
            <w:r>
              <w:rPr>
                <w:rFonts w:ascii="黑体" w:hAnsi="黑体" w:eastAsia="黑体"/>
                <w:snapToGrid w:val="0"/>
                <w:color w:val="000000"/>
                <w:spacing w:val="-6"/>
                <w:kern w:val="21"/>
                <w:sz w:val="21"/>
                <w:szCs w:val="21"/>
                <w:highlight w:val="none"/>
              </w:rPr>
              <w:instrText xml:space="preserve"> = 4 \* GB3 \* MERGEFORMAT </w:instrText>
            </w:r>
            <w:r>
              <w:rPr>
                <w:rFonts w:ascii="黑体" w:hAnsi="黑体" w:eastAsia="黑体"/>
                <w:snapToGrid w:val="0"/>
                <w:color w:val="000000"/>
                <w:spacing w:val="-6"/>
                <w:kern w:val="21"/>
                <w:sz w:val="21"/>
                <w:szCs w:val="21"/>
                <w:highlight w:val="none"/>
              </w:rPr>
              <w:fldChar w:fldCharType="separate"/>
            </w:r>
            <w:r>
              <w:rPr>
                <w:rFonts w:hint="eastAsia" w:ascii="黑体" w:hAnsi="黑体" w:eastAsia="黑体" w:cs="宋体"/>
                <w:kern w:val="2"/>
                <w:sz w:val="21"/>
                <w:szCs w:val="21"/>
                <w:highlight w:val="none"/>
              </w:rPr>
              <w:t>④</w:t>
            </w:r>
            <w:r>
              <w:rPr>
                <w:rFonts w:ascii="黑体" w:hAnsi="黑体" w:eastAsia="黑体"/>
                <w:snapToGrid w:val="0"/>
                <w:color w:val="000000"/>
                <w:spacing w:val="-6"/>
                <w:kern w:val="21"/>
                <w:sz w:val="21"/>
                <w:szCs w:val="21"/>
                <w:highlight w:val="none"/>
              </w:rPr>
              <w:fldChar w:fldCharType="end"/>
            </w:r>
          </w:p>
        </w:tc>
        <w:tc>
          <w:tcPr>
            <w:tcW w:w="1761" w:type="dxa"/>
            <w:noWrap w:val="0"/>
            <w:tcMar>
              <w:left w:w="28" w:type="dxa"/>
              <w:right w:w="28" w:type="dxa"/>
            </w:tcMar>
            <w:vAlign w:val="center"/>
          </w:tcPr>
          <w:p w14:paraId="2285B605">
            <w:pPr>
              <w:pStyle w:val="46"/>
              <w:keepNext w:val="0"/>
              <w:keepLines w:val="0"/>
              <w:pageBreakBefore w:val="0"/>
              <w:widowControl w:val="0"/>
              <w:kinsoku/>
              <w:wordWrap/>
              <w:overflowPunct/>
              <w:topLinePunct w:val="0"/>
              <w:bidi w:val="0"/>
              <w:spacing w:beforeLines="0" w:afterLines="0" w:line="240" w:lineRule="auto"/>
              <w:textAlignment w:val="auto"/>
              <w:rPr>
                <w:rFonts w:hint="eastAsia" w:ascii="黑体" w:hAnsi="黑体" w:eastAsia="黑体"/>
                <w:snapToGrid w:val="0"/>
                <w:color w:val="000000"/>
                <w:spacing w:val="-16"/>
                <w:kern w:val="21"/>
                <w:sz w:val="21"/>
                <w:szCs w:val="21"/>
                <w:highlight w:val="none"/>
              </w:rPr>
            </w:pPr>
            <w:r>
              <w:rPr>
                <w:rFonts w:ascii="黑体" w:hAnsi="黑体" w:eastAsia="黑体"/>
                <w:snapToGrid w:val="0"/>
                <w:color w:val="000000"/>
                <w:spacing w:val="-16"/>
                <w:kern w:val="21"/>
                <w:sz w:val="21"/>
                <w:szCs w:val="21"/>
                <w:highlight w:val="none"/>
              </w:rPr>
              <w:t>以新带老削减量</w:t>
            </w:r>
          </w:p>
          <w:p w14:paraId="6609E6B8">
            <w:pPr>
              <w:pStyle w:val="46"/>
              <w:keepNext w:val="0"/>
              <w:keepLines w:val="0"/>
              <w:pageBreakBefore w:val="0"/>
              <w:widowControl w:val="0"/>
              <w:kinsoku/>
              <w:wordWrap/>
              <w:overflowPunct/>
              <w:topLinePunct w:val="0"/>
              <w:bidi w:val="0"/>
              <w:spacing w:beforeLines="0" w:afterLines="0" w:line="240" w:lineRule="auto"/>
              <w:textAlignment w:val="auto"/>
              <w:rPr>
                <w:rFonts w:ascii="黑体" w:hAnsi="黑体" w:eastAsia="黑体"/>
                <w:snapToGrid w:val="0"/>
                <w:color w:val="000000"/>
                <w:spacing w:val="-16"/>
                <w:kern w:val="21"/>
                <w:sz w:val="21"/>
                <w:szCs w:val="21"/>
                <w:highlight w:val="none"/>
              </w:rPr>
            </w:pPr>
            <w:r>
              <w:rPr>
                <w:rFonts w:ascii="黑体" w:hAnsi="黑体" w:eastAsia="黑体"/>
                <w:snapToGrid w:val="0"/>
                <w:color w:val="000000"/>
                <w:spacing w:val="-16"/>
                <w:kern w:val="21"/>
                <w:sz w:val="21"/>
                <w:szCs w:val="21"/>
                <w:highlight w:val="none"/>
              </w:rPr>
              <w:t>（新建项目不填）</w:t>
            </w:r>
            <w:r>
              <w:rPr>
                <w:rFonts w:ascii="黑体" w:hAnsi="黑体" w:eastAsia="黑体"/>
                <w:snapToGrid w:val="0"/>
                <w:color w:val="000000"/>
                <w:spacing w:val="-16"/>
                <w:kern w:val="21"/>
                <w:sz w:val="21"/>
                <w:szCs w:val="21"/>
                <w:highlight w:val="none"/>
              </w:rPr>
              <w:fldChar w:fldCharType="begin"/>
            </w:r>
            <w:r>
              <w:rPr>
                <w:rFonts w:ascii="黑体" w:hAnsi="黑体" w:eastAsia="黑体"/>
                <w:snapToGrid w:val="0"/>
                <w:color w:val="000000"/>
                <w:spacing w:val="-16"/>
                <w:kern w:val="21"/>
                <w:sz w:val="21"/>
                <w:szCs w:val="21"/>
                <w:highlight w:val="none"/>
              </w:rPr>
              <w:instrText xml:space="preserve"> = 5 \* GB3 \* MERGEFORMAT </w:instrText>
            </w:r>
            <w:r>
              <w:rPr>
                <w:rFonts w:ascii="黑体" w:hAnsi="黑体" w:eastAsia="黑体"/>
                <w:snapToGrid w:val="0"/>
                <w:color w:val="000000"/>
                <w:spacing w:val="-16"/>
                <w:kern w:val="21"/>
                <w:sz w:val="21"/>
                <w:szCs w:val="21"/>
                <w:highlight w:val="none"/>
              </w:rPr>
              <w:fldChar w:fldCharType="separate"/>
            </w:r>
            <w:r>
              <w:rPr>
                <w:rFonts w:hint="eastAsia" w:ascii="黑体" w:hAnsi="黑体" w:eastAsia="黑体" w:cs="宋体"/>
                <w:kern w:val="2"/>
                <w:sz w:val="21"/>
                <w:szCs w:val="21"/>
                <w:highlight w:val="none"/>
              </w:rPr>
              <w:t>⑤</w:t>
            </w:r>
            <w:r>
              <w:rPr>
                <w:rFonts w:ascii="黑体" w:hAnsi="黑体" w:eastAsia="黑体"/>
                <w:snapToGrid w:val="0"/>
                <w:color w:val="000000"/>
                <w:spacing w:val="-16"/>
                <w:kern w:val="21"/>
                <w:sz w:val="21"/>
                <w:szCs w:val="21"/>
                <w:highlight w:val="none"/>
              </w:rPr>
              <w:fldChar w:fldCharType="end"/>
            </w:r>
          </w:p>
        </w:tc>
        <w:tc>
          <w:tcPr>
            <w:tcW w:w="1792" w:type="dxa"/>
            <w:noWrap w:val="0"/>
            <w:tcMar>
              <w:left w:w="28" w:type="dxa"/>
              <w:right w:w="28" w:type="dxa"/>
            </w:tcMar>
            <w:vAlign w:val="center"/>
          </w:tcPr>
          <w:p w14:paraId="412789D1">
            <w:pPr>
              <w:pStyle w:val="46"/>
              <w:keepNext w:val="0"/>
              <w:keepLines w:val="0"/>
              <w:pageBreakBefore w:val="0"/>
              <w:widowControl w:val="0"/>
              <w:kinsoku/>
              <w:wordWrap/>
              <w:overflowPunct/>
              <w:topLinePunct w:val="0"/>
              <w:bidi w:val="0"/>
              <w:spacing w:beforeLines="0" w:afterLines="0" w:line="240" w:lineRule="auto"/>
              <w:textAlignment w:val="auto"/>
              <w:rPr>
                <w:rFonts w:hint="eastAsia" w:ascii="黑体" w:hAnsi="黑体" w:eastAsia="黑体"/>
                <w:snapToGrid w:val="0"/>
                <w:color w:val="000000"/>
                <w:spacing w:val="-16"/>
                <w:kern w:val="21"/>
                <w:sz w:val="21"/>
                <w:szCs w:val="21"/>
                <w:highlight w:val="none"/>
              </w:rPr>
            </w:pPr>
            <w:r>
              <w:rPr>
                <w:rFonts w:ascii="黑体" w:hAnsi="黑体" w:eastAsia="黑体"/>
                <w:snapToGrid w:val="0"/>
                <w:color w:val="000000"/>
                <w:spacing w:val="-16"/>
                <w:kern w:val="21"/>
                <w:sz w:val="21"/>
                <w:szCs w:val="21"/>
                <w:highlight w:val="none"/>
              </w:rPr>
              <w:t>本项目建成后</w:t>
            </w:r>
          </w:p>
          <w:p w14:paraId="3035B6F3">
            <w:pPr>
              <w:pStyle w:val="46"/>
              <w:keepNext w:val="0"/>
              <w:keepLines w:val="0"/>
              <w:pageBreakBefore w:val="0"/>
              <w:widowControl w:val="0"/>
              <w:kinsoku/>
              <w:wordWrap/>
              <w:overflowPunct/>
              <w:topLinePunct w:val="0"/>
              <w:bidi w:val="0"/>
              <w:spacing w:beforeLines="0" w:afterLines="0" w:line="240" w:lineRule="auto"/>
              <w:textAlignment w:val="auto"/>
              <w:rPr>
                <w:rFonts w:ascii="黑体" w:hAnsi="黑体" w:eastAsia="黑体"/>
                <w:snapToGrid w:val="0"/>
                <w:color w:val="000000"/>
                <w:spacing w:val="-16"/>
                <w:kern w:val="21"/>
                <w:sz w:val="21"/>
                <w:szCs w:val="21"/>
                <w:highlight w:val="none"/>
              </w:rPr>
            </w:pPr>
            <w:r>
              <w:rPr>
                <w:rFonts w:hint="eastAsia" w:ascii="黑体" w:hAnsi="黑体" w:eastAsia="黑体"/>
                <w:snapToGrid w:val="0"/>
                <w:color w:val="000000"/>
                <w:spacing w:val="-16"/>
                <w:kern w:val="21"/>
                <w:sz w:val="21"/>
                <w:szCs w:val="21"/>
                <w:highlight w:val="none"/>
              </w:rPr>
              <w:t>全厂</w:t>
            </w:r>
            <w:r>
              <w:rPr>
                <w:rFonts w:ascii="黑体" w:hAnsi="黑体" w:eastAsia="黑体"/>
                <w:snapToGrid w:val="0"/>
                <w:color w:val="000000"/>
                <w:spacing w:val="-16"/>
                <w:kern w:val="21"/>
                <w:sz w:val="21"/>
                <w:szCs w:val="21"/>
                <w:highlight w:val="none"/>
              </w:rPr>
              <w:t>排放量（固</w:t>
            </w:r>
            <w:r>
              <w:rPr>
                <w:rFonts w:hint="eastAsia" w:ascii="黑体" w:hAnsi="黑体" w:eastAsia="黑体"/>
                <w:snapToGrid w:val="0"/>
                <w:color w:val="000000"/>
                <w:spacing w:val="-16"/>
                <w:kern w:val="21"/>
                <w:sz w:val="21"/>
                <w:szCs w:val="21"/>
                <w:highlight w:val="none"/>
              </w:rPr>
              <w:t>体</w:t>
            </w:r>
            <w:r>
              <w:rPr>
                <w:rFonts w:ascii="黑体" w:hAnsi="黑体" w:eastAsia="黑体"/>
                <w:snapToGrid w:val="0"/>
                <w:color w:val="000000"/>
                <w:spacing w:val="-16"/>
                <w:kern w:val="21"/>
                <w:sz w:val="21"/>
                <w:szCs w:val="21"/>
                <w:highlight w:val="none"/>
              </w:rPr>
              <w:t>废</w:t>
            </w:r>
            <w:r>
              <w:rPr>
                <w:rFonts w:hint="eastAsia" w:ascii="黑体" w:hAnsi="黑体" w:eastAsia="黑体"/>
                <w:snapToGrid w:val="0"/>
                <w:color w:val="000000"/>
                <w:spacing w:val="-16"/>
                <w:kern w:val="21"/>
                <w:sz w:val="21"/>
                <w:szCs w:val="21"/>
                <w:highlight w:val="none"/>
              </w:rPr>
              <w:t>物</w:t>
            </w:r>
            <w:r>
              <w:rPr>
                <w:rFonts w:ascii="黑体" w:hAnsi="黑体" w:eastAsia="黑体"/>
                <w:snapToGrid w:val="0"/>
                <w:color w:val="000000"/>
                <w:spacing w:val="-16"/>
                <w:kern w:val="21"/>
                <w:sz w:val="21"/>
                <w:szCs w:val="21"/>
                <w:highlight w:val="none"/>
              </w:rPr>
              <w:t>产生量）</w:t>
            </w:r>
            <w:r>
              <w:rPr>
                <w:rFonts w:ascii="黑体" w:hAnsi="黑体" w:eastAsia="黑体"/>
                <w:snapToGrid w:val="0"/>
                <w:color w:val="000000"/>
                <w:spacing w:val="-16"/>
                <w:kern w:val="21"/>
                <w:sz w:val="21"/>
                <w:szCs w:val="21"/>
                <w:highlight w:val="none"/>
              </w:rPr>
              <w:fldChar w:fldCharType="begin"/>
            </w:r>
            <w:r>
              <w:rPr>
                <w:rFonts w:ascii="黑体" w:hAnsi="黑体" w:eastAsia="黑体"/>
                <w:snapToGrid w:val="0"/>
                <w:color w:val="000000"/>
                <w:spacing w:val="-16"/>
                <w:kern w:val="21"/>
                <w:sz w:val="21"/>
                <w:szCs w:val="21"/>
                <w:highlight w:val="none"/>
              </w:rPr>
              <w:instrText xml:space="preserve"> = 6 \* GB3 \* MERGEFORMAT </w:instrText>
            </w:r>
            <w:r>
              <w:rPr>
                <w:rFonts w:ascii="黑体" w:hAnsi="黑体" w:eastAsia="黑体"/>
                <w:snapToGrid w:val="0"/>
                <w:color w:val="000000"/>
                <w:spacing w:val="-16"/>
                <w:kern w:val="21"/>
                <w:sz w:val="21"/>
                <w:szCs w:val="21"/>
                <w:highlight w:val="none"/>
              </w:rPr>
              <w:fldChar w:fldCharType="separate"/>
            </w:r>
            <w:r>
              <w:rPr>
                <w:rFonts w:hint="eastAsia" w:ascii="黑体" w:hAnsi="黑体" w:eastAsia="黑体" w:cs="宋体"/>
                <w:kern w:val="2"/>
                <w:sz w:val="21"/>
                <w:szCs w:val="21"/>
                <w:highlight w:val="none"/>
              </w:rPr>
              <w:t>⑥</w:t>
            </w:r>
            <w:r>
              <w:rPr>
                <w:rFonts w:ascii="黑体" w:hAnsi="黑体" w:eastAsia="黑体"/>
                <w:snapToGrid w:val="0"/>
                <w:color w:val="000000"/>
                <w:spacing w:val="-16"/>
                <w:kern w:val="21"/>
                <w:sz w:val="21"/>
                <w:szCs w:val="21"/>
                <w:highlight w:val="none"/>
              </w:rPr>
              <w:fldChar w:fldCharType="end"/>
            </w:r>
          </w:p>
        </w:tc>
        <w:tc>
          <w:tcPr>
            <w:tcW w:w="993" w:type="dxa"/>
            <w:noWrap w:val="0"/>
            <w:tcMar>
              <w:left w:w="28" w:type="dxa"/>
              <w:right w:w="28" w:type="dxa"/>
            </w:tcMar>
            <w:vAlign w:val="center"/>
          </w:tcPr>
          <w:p w14:paraId="08B24684">
            <w:pPr>
              <w:pStyle w:val="46"/>
              <w:keepNext w:val="0"/>
              <w:keepLines w:val="0"/>
              <w:pageBreakBefore w:val="0"/>
              <w:widowControl w:val="0"/>
              <w:kinsoku/>
              <w:wordWrap/>
              <w:overflowPunct/>
              <w:topLinePunct w:val="0"/>
              <w:bidi w:val="0"/>
              <w:spacing w:beforeLines="0" w:afterLines="0" w:line="240" w:lineRule="auto"/>
              <w:textAlignment w:val="auto"/>
              <w:rPr>
                <w:rFonts w:ascii="黑体" w:hAnsi="黑体" w:eastAsia="黑体"/>
                <w:snapToGrid w:val="0"/>
                <w:color w:val="000000"/>
                <w:spacing w:val="-6"/>
                <w:kern w:val="21"/>
                <w:sz w:val="21"/>
                <w:szCs w:val="21"/>
                <w:highlight w:val="none"/>
              </w:rPr>
            </w:pPr>
            <w:r>
              <w:rPr>
                <w:rFonts w:ascii="黑体" w:hAnsi="黑体" w:eastAsia="黑体"/>
                <w:snapToGrid w:val="0"/>
                <w:color w:val="000000"/>
                <w:spacing w:val="-6"/>
                <w:kern w:val="21"/>
                <w:sz w:val="21"/>
                <w:szCs w:val="21"/>
                <w:highlight w:val="none"/>
              </w:rPr>
              <w:t>变化量</w:t>
            </w:r>
          </w:p>
          <w:p w14:paraId="487F4E51">
            <w:pPr>
              <w:pStyle w:val="46"/>
              <w:keepNext w:val="0"/>
              <w:keepLines w:val="0"/>
              <w:pageBreakBefore w:val="0"/>
              <w:widowControl w:val="0"/>
              <w:kinsoku/>
              <w:wordWrap/>
              <w:overflowPunct/>
              <w:topLinePunct w:val="0"/>
              <w:bidi w:val="0"/>
              <w:spacing w:beforeLines="0" w:afterLines="0" w:line="240" w:lineRule="auto"/>
              <w:textAlignment w:val="auto"/>
              <w:rPr>
                <w:rFonts w:ascii="黑体" w:hAnsi="黑体" w:eastAsia="黑体"/>
                <w:snapToGrid w:val="0"/>
                <w:color w:val="000000"/>
                <w:spacing w:val="-6"/>
                <w:kern w:val="21"/>
                <w:sz w:val="21"/>
                <w:szCs w:val="21"/>
                <w:highlight w:val="none"/>
              </w:rPr>
            </w:pPr>
            <w:r>
              <w:rPr>
                <w:rFonts w:ascii="黑体" w:hAnsi="黑体" w:eastAsia="黑体"/>
                <w:snapToGrid w:val="0"/>
                <w:color w:val="000000"/>
                <w:spacing w:val="-6"/>
                <w:kern w:val="21"/>
                <w:sz w:val="21"/>
                <w:szCs w:val="21"/>
                <w:highlight w:val="none"/>
              </w:rPr>
              <w:fldChar w:fldCharType="begin"/>
            </w:r>
            <w:r>
              <w:rPr>
                <w:rFonts w:ascii="黑体" w:hAnsi="黑体" w:eastAsia="黑体"/>
                <w:snapToGrid w:val="0"/>
                <w:color w:val="000000"/>
                <w:spacing w:val="-6"/>
                <w:kern w:val="21"/>
                <w:sz w:val="21"/>
                <w:szCs w:val="21"/>
                <w:highlight w:val="none"/>
              </w:rPr>
              <w:instrText xml:space="preserve"> = 7 \* GB3 \* MERGEFORMAT </w:instrText>
            </w:r>
            <w:r>
              <w:rPr>
                <w:rFonts w:ascii="黑体" w:hAnsi="黑体" w:eastAsia="黑体"/>
                <w:snapToGrid w:val="0"/>
                <w:color w:val="000000"/>
                <w:spacing w:val="-6"/>
                <w:kern w:val="21"/>
                <w:sz w:val="21"/>
                <w:szCs w:val="21"/>
                <w:highlight w:val="none"/>
              </w:rPr>
              <w:fldChar w:fldCharType="separate"/>
            </w:r>
            <w:r>
              <w:rPr>
                <w:rFonts w:hint="eastAsia" w:ascii="黑体" w:hAnsi="黑体" w:eastAsia="黑体" w:cs="宋体"/>
                <w:kern w:val="2"/>
                <w:sz w:val="21"/>
                <w:szCs w:val="21"/>
                <w:highlight w:val="none"/>
              </w:rPr>
              <w:t>⑦</w:t>
            </w:r>
            <w:r>
              <w:rPr>
                <w:rFonts w:ascii="黑体" w:hAnsi="黑体" w:eastAsia="黑体"/>
                <w:snapToGrid w:val="0"/>
                <w:color w:val="000000"/>
                <w:spacing w:val="-6"/>
                <w:kern w:val="21"/>
                <w:sz w:val="21"/>
                <w:szCs w:val="21"/>
                <w:highlight w:val="none"/>
              </w:rPr>
              <w:fldChar w:fldCharType="end"/>
            </w:r>
          </w:p>
        </w:tc>
      </w:tr>
      <w:tr w14:paraId="0063ED6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Merge w:val="restart"/>
            <w:noWrap w:val="0"/>
            <w:vAlign w:val="center"/>
          </w:tcPr>
          <w:p w14:paraId="79EECC90">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cs="宋体"/>
                <w:snapToGrid w:val="0"/>
                <w:color w:val="000000"/>
                <w:kern w:val="21"/>
                <w:sz w:val="21"/>
                <w:szCs w:val="21"/>
                <w:highlight w:val="none"/>
              </w:rPr>
            </w:pPr>
            <w:r>
              <w:rPr>
                <w:rFonts w:hint="eastAsia" w:hAnsi="宋体" w:cs="宋体"/>
                <w:snapToGrid w:val="0"/>
                <w:color w:val="000000"/>
                <w:kern w:val="21"/>
                <w:sz w:val="21"/>
                <w:szCs w:val="21"/>
                <w:highlight w:val="none"/>
              </w:rPr>
              <w:t>废气</w:t>
            </w:r>
          </w:p>
        </w:tc>
        <w:tc>
          <w:tcPr>
            <w:tcW w:w="1417" w:type="dxa"/>
            <w:noWrap w:val="0"/>
            <w:vAlign w:val="center"/>
          </w:tcPr>
          <w:p w14:paraId="1B78F604">
            <w:pPr>
              <w:pStyle w:val="46"/>
              <w:keepNext w:val="0"/>
              <w:keepLines w:val="0"/>
              <w:pageBreakBefore w:val="0"/>
              <w:widowControl w:val="0"/>
              <w:kinsoku/>
              <w:wordWrap/>
              <w:overflowPunct/>
              <w:topLinePunct w:val="0"/>
              <w:bidi w:val="0"/>
              <w:spacing w:beforeLines="0" w:afterLines="0" w:line="240" w:lineRule="auto"/>
              <w:textAlignment w:val="auto"/>
              <w:rPr>
                <w:rFonts w:hint="default" w:hAnsi="宋体" w:cs="宋体"/>
                <w:snapToGrid w:val="0"/>
                <w:color w:val="000000"/>
                <w:kern w:val="21"/>
                <w:sz w:val="21"/>
                <w:szCs w:val="21"/>
                <w:highlight w:val="none"/>
                <w:lang w:val="en-US" w:eastAsia="zh-CN"/>
              </w:rPr>
            </w:pPr>
            <w:r>
              <w:rPr>
                <w:rFonts w:hint="default" w:hAnsi="宋体" w:cs="宋体"/>
                <w:snapToGrid w:val="0"/>
                <w:color w:val="000000"/>
                <w:kern w:val="21"/>
                <w:sz w:val="21"/>
                <w:szCs w:val="21"/>
                <w:highlight w:val="none"/>
                <w:lang w:val="en-US" w:eastAsia="zh-CN"/>
              </w:rPr>
              <w:t>颗粒物</w:t>
            </w:r>
          </w:p>
        </w:tc>
        <w:tc>
          <w:tcPr>
            <w:tcW w:w="1701" w:type="dxa"/>
            <w:noWrap w:val="0"/>
            <w:vAlign w:val="center"/>
          </w:tcPr>
          <w:p w14:paraId="235F1203">
            <w:pPr>
              <w:pStyle w:val="46"/>
              <w:keepNext w:val="0"/>
              <w:keepLines w:val="0"/>
              <w:pageBreakBefore w:val="0"/>
              <w:widowControl w:val="0"/>
              <w:kinsoku/>
              <w:wordWrap/>
              <w:overflowPunct/>
              <w:topLinePunct w:val="0"/>
              <w:bidi w:val="0"/>
              <w:spacing w:beforeLines="0" w:afterLines="0" w:line="240" w:lineRule="auto"/>
              <w:textAlignment w:val="auto"/>
              <w:rPr>
                <w:rFonts w:hint="default" w:hAnsi="宋体" w:cs="宋体"/>
                <w:snapToGrid w:val="0"/>
                <w:color w:val="000000"/>
                <w:kern w:val="21"/>
                <w:sz w:val="21"/>
                <w:szCs w:val="21"/>
                <w:highlight w:val="none"/>
                <w:lang w:val="en-US" w:eastAsia="zh-CN"/>
              </w:rPr>
            </w:pPr>
            <w:r>
              <w:rPr>
                <w:rFonts w:hint="eastAsia" w:hAnsi="宋体" w:cs="宋体"/>
                <w:snapToGrid w:val="0"/>
                <w:color w:val="000000"/>
                <w:kern w:val="21"/>
                <w:sz w:val="21"/>
                <w:szCs w:val="21"/>
                <w:highlight w:val="none"/>
                <w:lang w:val="en-US" w:eastAsia="zh-CN"/>
              </w:rPr>
              <w:t>—</w:t>
            </w:r>
          </w:p>
        </w:tc>
        <w:tc>
          <w:tcPr>
            <w:tcW w:w="1276" w:type="dxa"/>
            <w:noWrap w:val="0"/>
            <w:vAlign w:val="center"/>
          </w:tcPr>
          <w:p w14:paraId="19F8CC11">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cs="宋体"/>
                <w:snapToGrid w:val="0"/>
                <w:color w:val="000000"/>
                <w:kern w:val="21"/>
                <w:sz w:val="21"/>
                <w:szCs w:val="21"/>
                <w:highlight w:val="none"/>
                <w:lang w:val="en-US" w:eastAsia="zh-CN"/>
              </w:rPr>
            </w:pPr>
            <w:r>
              <w:rPr>
                <w:rFonts w:hint="eastAsia" w:hAnsi="宋体" w:cs="宋体"/>
                <w:snapToGrid w:val="0"/>
                <w:color w:val="000000"/>
                <w:kern w:val="21"/>
                <w:sz w:val="21"/>
                <w:szCs w:val="21"/>
                <w:highlight w:val="none"/>
                <w:lang w:val="en-US" w:eastAsia="zh-CN"/>
              </w:rPr>
              <w:t>—</w:t>
            </w:r>
          </w:p>
        </w:tc>
        <w:tc>
          <w:tcPr>
            <w:tcW w:w="1701" w:type="dxa"/>
            <w:noWrap w:val="0"/>
            <w:vAlign w:val="center"/>
          </w:tcPr>
          <w:p w14:paraId="5016BD15">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cs="宋体"/>
                <w:snapToGrid w:val="0"/>
                <w:color w:val="000000"/>
                <w:kern w:val="21"/>
                <w:sz w:val="21"/>
                <w:szCs w:val="21"/>
                <w:highlight w:val="none"/>
                <w:lang w:val="en-US" w:eastAsia="zh-CN"/>
              </w:rPr>
            </w:pPr>
            <w:r>
              <w:rPr>
                <w:rFonts w:hint="eastAsia" w:hAnsi="宋体" w:cs="宋体"/>
                <w:snapToGrid w:val="0"/>
                <w:color w:val="000000"/>
                <w:kern w:val="21"/>
                <w:sz w:val="21"/>
                <w:szCs w:val="21"/>
                <w:highlight w:val="none"/>
                <w:lang w:val="en-US" w:eastAsia="zh-CN"/>
              </w:rPr>
              <w:t>—</w:t>
            </w:r>
          </w:p>
        </w:tc>
        <w:tc>
          <w:tcPr>
            <w:tcW w:w="1559" w:type="dxa"/>
            <w:noWrap w:val="0"/>
            <w:vAlign w:val="center"/>
          </w:tcPr>
          <w:p w14:paraId="65C5F717">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val="0"/>
                <w:bCs/>
                <w:color w:val="auto"/>
                <w:kern w:val="0"/>
                <w:sz w:val="21"/>
                <w:szCs w:val="21"/>
                <w:highlight w:val="none"/>
                <w:vertAlign w:val="baseline"/>
                <w:lang w:val="en-US" w:eastAsia="zh-CN"/>
              </w:rPr>
            </w:pPr>
            <w:r>
              <w:rPr>
                <w:rFonts w:hint="eastAsia" w:cs="Times New Roman"/>
                <w:b w:val="0"/>
                <w:bCs/>
                <w:color w:val="auto"/>
                <w:kern w:val="0"/>
                <w:sz w:val="21"/>
                <w:szCs w:val="21"/>
                <w:highlight w:val="none"/>
                <w:vertAlign w:val="baseline"/>
                <w:lang w:val="en-US" w:eastAsia="zh-CN"/>
              </w:rPr>
              <w:t>0.944t/a</w:t>
            </w:r>
          </w:p>
        </w:tc>
        <w:tc>
          <w:tcPr>
            <w:tcW w:w="1761" w:type="dxa"/>
            <w:noWrap w:val="0"/>
            <w:vAlign w:val="center"/>
          </w:tcPr>
          <w:p w14:paraId="5FE46A47">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b w:val="0"/>
                <w:bCs/>
                <w:color w:val="auto"/>
                <w:kern w:val="0"/>
                <w:sz w:val="21"/>
                <w:szCs w:val="21"/>
                <w:highlight w:val="none"/>
                <w:vertAlign w:val="baseline"/>
                <w:lang w:val="en-US" w:eastAsia="zh-CN"/>
              </w:rPr>
            </w:pPr>
            <w:r>
              <w:rPr>
                <w:rFonts w:hint="eastAsia" w:cs="Times New Roman"/>
                <w:b w:val="0"/>
                <w:bCs/>
                <w:color w:val="auto"/>
                <w:kern w:val="0"/>
                <w:sz w:val="21"/>
                <w:szCs w:val="21"/>
                <w:highlight w:val="none"/>
                <w:vertAlign w:val="baseline"/>
                <w:lang w:val="en-US" w:eastAsia="zh-CN"/>
              </w:rPr>
              <w:t>—</w:t>
            </w:r>
          </w:p>
        </w:tc>
        <w:tc>
          <w:tcPr>
            <w:tcW w:w="1792" w:type="dxa"/>
            <w:noWrap w:val="0"/>
            <w:vAlign w:val="center"/>
          </w:tcPr>
          <w:p w14:paraId="71940426">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val="0"/>
                <w:bCs/>
                <w:color w:val="auto"/>
                <w:kern w:val="0"/>
                <w:sz w:val="21"/>
                <w:szCs w:val="21"/>
                <w:highlight w:val="none"/>
                <w:vertAlign w:val="baseline"/>
                <w:lang w:val="en-US" w:eastAsia="zh-CN"/>
              </w:rPr>
            </w:pPr>
            <w:r>
              <w:rPr>
                <w:rFonts w:hint="eastAsia" w:cs="Times New Roman"/>
                <w:b w:val="0"/>
                <w:bCs/>
                <w:color w:val="auto"/>
                <w:kern w:val="0"/>
                <w:sz w:val="21"/>
                <w:szCs w:val="21"/>
                <w:highlight w:val="none"/>
                <w:vertAlign w:val="baseline"/>
                <w:lang w:val="en-US" w:eastAsia="zh-CN"/>
              </w:rPr>
              <w:t>0.944t/a</w:t>
            </w:r>
          </w:p>
        </w:tc>
        <w:tc>
          <w:tcPr>
            <w:tcW w:w="993" w:type="dxa"/>
            <w:noWrap w:val="0"/>
            <w:vAlign w:val="center"/>
          </w:tcPr>
          <w:p w14:paraId="3C720E0D">
            <w:pPr>
              <w:pStyle w:val="46"/>
              <w:keepNext w:val="0"/>
              <w:keepLines w:val="0"/>
              <w:pageBreakBefore w:val="0"/>
              <w:widowControl w:val="0"/>
              <w:kinsoku/>
              <w:wordWrap/>
              <w:overflowPunct/>
              <w:topLinePunct w:val="0"/>
              <w:bidi w:val="0"/>
              <w:spacing w:beforeLines="0" w:afterLines="0" w:line="240" w:lineRule="auto"/>
              <w:textAlignment w:val="auto"/>
              <w:rPr>
                <w:rFonts w:hint="default" w:ascii="Times New Roman" w:hAnsi="Times New Roman" w:eastAsia="宋体" w:cs="Times New Roman"/>
                <w:snapToGrid w:val="0"/>
                <w:color w:val="000000"/>
                <w:kern w:val="21"/>
                <w:sz w:val="21"/>
                <w:szCs w:val="21"/>
                <w:highlight w:val="none"/>
                <w:lang w:val="en-US" w:eastAsia="zh-CN" w:bidi="ar-SA"/>
              </w:rPr>
            </w:pPr>
            <w:r>
              <w:rPr>
                <w:rFonts w:hint="default" w:ascii="Times New Roman" w:hAnsi="Times New Roman" w:cs="Times New Roman"/>
                <w:snapToGrid w:val="0"/>
                <w:color w:val="000000"/>
                <w:kern w:val="21"/>
                <w:sz w:val="21"/>
                <w:szCs w:val="21"/>
                <w:highlight w:val="none"/>
                <w:lang w:val="en-US" w:eastAsia="zh-CN"/>
              </w:rPr>
              <w:t>0</w:t>
            </w:r>
          </w:p>
        </w:tc>
      </w:tr>
      <w:tr w14:paraId="3767F86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Merge w:val="continue"/>
            <w:noWrap w:val="0"/>
            <w:vAlign w:val="center"/>
          </w:tcPr>
          <w:p w14:paraId="54C3326C">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cs="宋体"/>
                <w:snapToGrid w:val="0"/>
                <w:color w:val="000000"/>
                <w:kern w:val="21"/>
                <w:sz w:val="21"/>
                <w:szCs w:val="21"/>
                <w:highlight w:val="none"/>
              </w:rPr>
            </w:pPr>
          </w:p>
        </w:tc>
        <w:tc>
          <w:tcPr>
            <w:tcW w:w="1417" w:type="dxa"/>
            <w:noWrap w:val="0"/>
            <w:vAlign w:val="center"/>
          </w:tcPr>
          <w:p w14:paraId="2FE3E487">
            <w:pPr>
              <w:pStyle w:val="46"/>
              <w:keepNext w:val="0"/>
              <w:keepLines w:val="0"/>
              <w:pageBreakBefore w:val="0"/>
              <w:widowControl w:val="0"/>
              <w:kinsoku/>
              <w:wordWrap/>
              <w:overflowPunct/>
              <w:topLinePunct w:val="0"/>
              <w:bidi w:val="0"/>
              <w:spacing w:beforeLines="0" w:afterLines="0" w:line="240" w:lineRule="auto"/>
              <w:textAlignment w:val="auto"/>
              <w:rPr>
                <w:rFonts w:hint="default" w:hAnsi="宋体" w:cs="宋体"/>
                <w:snapToGrid w:val="0"/>
                <w:color w:val="000000"/>
                <w:kern w:val="21"/>
                <w:sz w:val="21"/>
                <w:szCs w:val="21"/>
                <w:highlight w:val="none"/>
                <w:lang w:val="en-US" w:eastAsia="zh-CN"/>
              </w:rPr>
            </w:pPr>
            <w:r>
              <w:rPr>
                <w:rFonts w:hint="eastAsia" w:hAnsi="宋体" w:cs="宋体"/>
                <w:snapToGrid w:val="0"/>
                <w:color w:val="000000"/>
                <w:kern w:val="21"/>
                <w:sz w:val="21"/>
                <w:szCs w:val="21"/>
                <w:highlight w:val="none"/>
                <w:lang w:val="en-US" w:eastAsia="zh-CN"/>
              </w:rPr>
              <w:t>食堂油烟</w:t>
            </w:r>
          </w:p>
        </w:tc>
        <w:tc>
          <w:tcPr>
            <w:tcW w:w="1701" w:type="dxa"/>
            <w:noWrap w:val="0"/>
            <w:vAlign w:val="center"/>
          </w:tcPr>
          <w:p w14:paraId="2DAD9CDB">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cs="宋体"/>
                <w:snapToGrid w:val="0"/>
                <w:color w:val="000000"/>
                <w:kern w:val="21"/>
                <w:sz w:val="21"/>
                <w:szCs w:val="21"/>
                <w:highlight w:val="none"/>
                <w:lang w:val="en-US" w:eastAsia="zh-CN"/>
              </w:rPr>
            </w:pPr>
            <w:r>
              <w:rPr>
                <w:rFonts w:hint="eastAsia" w:hAnsi="宋体" w:cs="宋体"/>
                <w:snapToGrid w:val="0"/>
                <w:color w:val="000000"/>
                <w:kern w:val="21"/>
                <w:sz w:val="21"/>
                <w:szCs w:val="21"/>
                <w:highlight w:val="none"/>
                <w:lang w:val="en-US" w:eastAsia="zh-CN"/>
              </w:rPr>
              <w:t>—</w:t>
            </w:r>
          </w:p>
        </w:tc>
        <w:tc>
          <w:tcPr>
            <w:tcW w:w="1276" w:type="dxa"/>
            <w:noWrap w:val="0"/>
            <w:vAlign w:val="center"/>
          </w:tcPr>
          <w:p w14:paraId="7364B593">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cs="宋体"/>
                <w:snapToGrid w:val="0"/>
                <w:color w:val="000000"/>
                <w:kern w:val="21"/>
                <w:sz w:val="21"/>
                <w:szCs w:val="21"/>
                <w:highlight w:val="none"/>
                <w:lang w:val="en-US" w:eastAsia="zh-CN"/>
              </w:rPr>
            </w:pPr>
            <w:r>
              <w:rPr>
                <w:rFonts w:hint="eastAsia" w:hAnsi="宋体" w:cs="宋体"/>
                <w:snapToGrid w:val="0"/>
                <w:color w:val="000000"/>
                <w:kern w:val="21"/>
                <w:sz w:val="21"/>
                <w:szCs w:val="21"/>
                <w:highlight w:val="none"/>
                <w:lang w:val="en-US" w:eastAsia="zh-CN"/>
              </w:rPr>
              <w:t>—</w:t>
            </w:r>
          </w:p>
        </w:tc>
        <w:tc>
          <w:tcPr>
            <w:tcW w:w="1701" w:type="dxa"/>
            <w:noWrap w:val="0"/>
            <w:vAlign w:val="center"/>
          </w:tcPr>
          <w:p w14:paraId="30F373FF">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cs="宋体"/>
                <w:snapToGrid w:val="0"/>
                <w:color w:val="000000"/>
                <w:kern w:val="21"/>
                <w:sz w:val="21"/>
                <w:szCs w:val="21"/>
                <w:highlight w:val="none"/>
                <w:lang w:val="en-US" w:eastAsia="zh-CN"/>
              </w:rPr>
            </w:pPr>
            <w:r>
              <w:rPr>
                <w:rFonts w:hint="eastAsia" w:hAnsi="宋体" w:cs="宋体"/>
                <w:snapToGrid w:val="0"/>
                <w:color w:val="000000"/>
                <w:kern w:val="21"/>
                <w:sz w:val="21"/>
                <w:szCs w:val="21"/>
                <w:highlight w:val="none"/>
                <w:lang w:val="en-US" w:eastAsia="zh-CN"/>
              </w:rPr>
              <w:t>—</w:t>
            </w:r>
          </w:p>
        </w:tc>
        <w:tc>
          <w:tcPr>
            <w:tcW w:w="1559" w:type="dxa"/>
            <w:noWrap w:val="0"/>
            <w:vAlign w:val="center"/>
          </w:tcPr>
          <w:p w14:paraId="3E9A5EE7">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val="0"/>
                <w:bCs/>
                <w:color w:val="auto"/>
                <w:kern w:val="0"/>
                <w:sz w:val="21"/>
                <w:szCs w:val="21"/>
                <w:highlight w:val="none"/>
                <w:vertAlign w:val="baseline"/>
                <w:lang w:val="en-US" w:eastAsia="zh-CN"/>
              </w:rPr>
            </w:pPr>
            <w:r>
              <w:rPr>
                <w:rFonts w:hint="eastAsia" w:cs="Times New Roman"/>
                <w:b w:val="0"/>
                <w:bCs/>
                <w:color w:val="auto"/>
                <w:kern w:val="0"/>
                <w:sz w:val="21"/>
                <w:szCs w:val="21"/>
                <w:highlight w:val="none"/>
                <w:vertAlign w:val="baseline"/>
                <w:lang w:val="en-US" w:eastAsia="zh-CN"/>
              </w:rPr>
              <w:t>0.00405t/a</w:t>
            </w:r>
          </w:p>
        </w:tc>
        <w:tc>
          <w:tcPr>
            <w:tcW w:w="1761" w:type="dxa"/>
            <w:noWrap w:val="0"/>
            <w:vAlign w:val="center"/>
          </w:tcPr>
          <w:p w14:paraId="2EBB94C6">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b w:val="0"/>
                <w:bCs/>
                <w:color w:val="auto"/>
                <w:kern w:val="0"/>
                <w:sz w:val="21"/>
                <w:szCs w:val="21"/>
                <w:highlight w:val="none"/>
                <w:vertAlign w:val="baseline"/>
                <w:lang w:val="en-US" w:eastAsia="zh-CN"/>
              </w:rPr>
            </w:pPr>
            <w:r>
              <w:rPr>
                <w:rFonts w:hint="eastAsia" w:cs="Times New Roman"/>
                <w:b w:val="0"/>
                <w:bCs/>
                <w:color w:val="auto"/>
                <w:kern w:val="0"/>
                <w:sz w:val="21"/>
                <w:szCs w:val="21"/>
                <w:highlight w:val="none"/>
                <w:vertAlign w:val="baseline"/>
                <w:lang w:val="en-US" w:eastAsia="zh-CN"/>
              </w:rPr>
              <w:t>—</w:t>
            </w:r>
          </w:p>
        </w:tc>
        <w:tc>
          <w:tcPr>
            <w:tcW w:w="1792" w:type="dxa"/>
            <w:noWrap w:val="0"/>
            <w:vAlign w:val="center"/>
          </w:tcPr>
          <w:p w14:paraId="5B1115D9">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val="0"/>
                <w:bCs/>
                <w:color w:val="auto"/>
                <w:kern w:val="0"/>
                <w:sz w:val="21"/>
                <w:szCs w:val="21"/>
                <w:highlight w:val="none"/>
                <w:vertAlign w:val="baseline"/>
                <w:lang w:val="en-US" w:eastAsia="zh-CN"/>
              </w:rPr>
            </w:pPr>
            <w:r>
              <w:rPr>
                <w:rFonts w:hint="eastAsia" w:cs="Times New Roman"/>
                <w:b w:val="0"/>
                <w:bCs/>
                <w:color w:val="auto"/>
                <w:kern w:val="0"/>
                <w:sz w:val="21"/>
                <w:szCs w:val="21"/>
                <w:highlight w:val="none"/>
                <w:vertAlign w:val="baseline"/>
                <w:lang w:val="en-US" w:eastAsia="zh-CN"/>
              </w:rPr>
              <w:t>0.00405t/a</w:t>
            </w:r>
          </w:p>
        </w:tc>
        <w:tc>
          <w:tcPr>
            <w:tcW w:w="993" w:type="dxa"/>
            <w:noWrap w:val="0"/>
            <w:vAlign w:val="center"/>
          </w:tcPr>
          <w:p w14:paraId="62FD168A">
            <w:pPr>
              <w:pStyle w:val="46"/>
              <w:keepNext w:val="0"/>
              <w:keepLines w:val="0"/>
              <w:pageBreakBefore w:val="0"/>
              <w:widowControl w:val="0"/>
              <w:kinsoku/>
              <w:wordWrap/>
              <w:overflowPunct/>
              <w:topLinePunct w:val="0"/>
              <w:bidi w:val="0"/>
              <w:spacing w:beforeLines="0" w:afterLines="0" w:line="240" w:lineRule="auto"/>
              <w:textAlignment w:val="auto"/>
              <w:rPr>
                <w:rFonts w:hint="default" w:ascii="Times New Roman" w:hAnsi="Times New Roman" w:eastAsia="宋体" w:cs="Times New Roman"/>
                <w:snapToGrid w:val="0"/>
                <w:color w:val="000000"/>
                <w:kern w:val="21"/>
                <w:sz w:val="21"/>
                <w:szCs w:val="21"/>
                <w:highlight w:val="none"/>
                <w:lang w:val="en-US" w:eastAsia="zh-CN"/>
              </w:rPr>
            </w:pPr>
            <w:r>
              <w:rPr>
                <w:rFonts w:hint="default" w:ascii="Times New Roman" w:hAnsi="Times New Roman" w:eastAsia="宋体" w:cs="Times New Roman"/>
                <w:snapToGrid w:val="0"/>
                <w:color w:val="000000"/>
                <w:kern w:val="21"/>
                <w:sz w:val="21"/>
                <w:szCs w:val="21"/>
                <w:highlight w:val="none"/>
                <w:lang w:val="en-US" w:eastAsia="zh-CN"/>
              </w:rPr>
              <w:t>0</w:t>
            </w:r>
          </w:p>
        </w:tc>
      </w:tr>
      <w:tr w14:paraId="30AE992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Merge w:val="restart"/>
            <w:noWrap w:val="0"/>
            <w:vAlign w:val="center"/>
          </w:tcPr>
          <w:p w14:paraId="09CE7EC1">
            <w:pPr>
              <w:pStyle w:val="46"/>
              <w:keepNext w:val="0"/>
              <w:keepLines w:val="0"/>
              <w:pageBreakBefore w:val="0"/>
              <w:widowControl w:val="0"/>
              <w:kinsoku/>
              <w:wordWrap/>
              <w:overflowPunct/>
              <w:topLinePunct w:val="0"/>
              <w:bidi w:val="0"/>
              <w:spacing w:beforeLines="0" w:afterLines="0" w:line="240" w:lineRule="auto"/>
              <w:textAlignment w:val="auto"/>
              <w:rPr>
                <w:rFonts w:hAnsi="宋体" w:cs="宋体"/>
                <w:snapToGrid w:val="0"/>
                <w:color w:val="000000"/>
                <w:kern w:val="21"/>
                <w:sz w:val="21"/>
                <w:szCs w:val="21"/>
                <w:highlight w:val="none"/>
              </w:rPr>
            </w:pPr>
            <w:r>
              <w:rPr>
                <w:rFonts w:hint="eastAsia" w:hAnsi="宋体" w:cs="宋体"/>
                <w:snapToGrid w:val="0"/>
                <w:color w:val="000000"/>
                <w:kern w:val="21"/>
                <w:sz w:val="21"/>
                <w:szCs w:val="21"/>
                <w:highlight w:val="none"/>
              </w:rPr>
              <w:t>一般工业</w:t>
            </w:r>
          </w:p>
          <w:p w14:paraId="2FE37B52">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cs="宋体"/>
                <w:snapToGrid w:val="0"/>
                <w:color w:val="000000"/>
                <w:kern w:val="21"/>
                <w:sz w:val="21"/>
                <w:szCs w:val="21"/>
                <w:highlight w:val="none"/>
              </w:rPr>
            </w:pPr>
            <w:r>
              <w:rPr>
                <w:rFonts w:hint="eastAsia" w:hAnsi="宋体" w:cs="宋体"/>
                <w:snapToGrid w:val="0"/>
                <w:color w:val="000000"/>
                <w:kern w:val="21"/>
                <w:sz w:val="21"/>
                <w:szCs w:val="21"/>
                <w:highlight w:val="none"/>
              </w:rPr>
              <w:t>固体废物</w:t>
            </w:r>
          </w:p>
        </w:tc>
        <w:tc>
          <w:tcPr>
            <w:tcW w:w="1417" w:type="dxa"/>
            <w:noWrap w:val="0"/>
            <w:vAlign w:val="center"/>
          </w:tcPr>
          <w:p w14:paraId="58F41FE9">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eastAsia="宋体" w:cs="宋体"/>
                <w:snapToGrid w:val="0"/>
                <w:color w:val="000000"/>
                <w:kern w:val="21"/>
                <w:sz w:val="21"/>
                <w:szCs w:val="21"/>
                <w:highlight w:val="none"/>
                <w:lang w:val="en-US" w:eastAsia="zh-CN"/>
              </w:rPr>
            </w:pPr>
            <w:r>
              <w:rPr>
                <w:rFonts w:hint="eastAsia" w:hAnsi="宋体" w:cs="宋体"/>
                <w:snapToGrid w:val="0"/>
                <w:color w:val="000000"/>
                <w:kern w:val="21"/>
                <w:sz w:val="21"/>
                <w:szCs w:val="21"/>
                <w:highlight w:val="none"/>
                <w:lang w:val="en-US" w:eastAsia="zh-CN"/>
              </w:rPr>
              <w:t>劣质煤</w:t>
            </w:r>
          </w:p>
        </w:tc>
        <w:tc>
          <w:tcPr>
            <w:tcW w:w="1701" w:type="dxa"/>
            <w:noWrap w:val="0"/>
            <w:vAlign w:val="center"/>
          </w:tcPr>
          <w:p w14:paraId="538207C4">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000000"/>
                <w:kern w:val="21"/>
                <w:sz w:val="21"/>
                <w:szCs w:val="21"/>
                <w:highlight w:val="none"/>
                <w:lang w:val="en-US" w:eastAsia="zh-CN"/>
              </w:rPr>
            </w:pPr>
            <w:r>
              <w:rPr>
                <w:rFonts w:hint="eastAsia" w:ascii="宋体" w:hAnsi="宋体" w:eastAsia="宋体" w:cs="宋体"/>
                <w:snapToGrid w:val="0"/>
                <w:color w:val="000000"/>
                <w:kern w:val="21"/>
                <w:sz w:val="21"/>
                <w:szCs w:val="21"/>
                <w:highlight w:val="none"/>
                <w:lang w:eastAsia="zh-CN"/>
              </w:rPr>
              <w:t>—</w:t>
            </w:r>
          </w:p>
        </w:tc>
        <w:tc>
          <w:tcPr>
            <w:tcW w:w="1276" w:type="dxa"/>
            <w:noWrap w:val="0"/>
            <w:vAlign w:val="center"/>
          </w:tcPr>
          <w:p w14:paraId="054E8068">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000000"/>
                <w:kern w:val="21"/>
                <w:sz w:val="21"/>
                <w:szCs w:val="21"/>
                <w:highlight w:val="none"/>
                <w:lang w:val="en-US" w:eastAsia="zh-CN"/>
              </w:rPr>
            </w:pPr>
            <w:r>
              <w:rPr>
                <w:rFonts w:hint="eastAsia" w:ascii="宋体" w:hAnsi="宋体" w:eastAsia="宋体" w:cs="宋体"/>
                <w:snapToGrid w:val="0"/>
                <w:color w:val="000000"/>
                <w:kern w:val="21"/>
                <w:sz w:val="21"/>
                <w:szCs w:val="21"/>
                <w:highlight w:val="none"/>
                <w:lang w:eastAsia="zh-CN"/>
              </w:rPr>
              <w:t>—</w:t>
            </w:r>
          </w:p>
        </w:tc>
        <w:tc>
          <w:tcPr>
            <w:tcW w:w="1701" w:type="dxa"/>
            <w:noWrap w:val="0"/>
            <w:vAlign w:val="center"/>
          </w:tcPr>
          <w:p w14:paraId="24B0D615">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000000"/>
                <w:kern w:val="21"/>
                <w:sz w:val="21"/>
                <w:szCs w:val="21"/>
                <w:highlight w:val="none"/>
                <w:lang w:val="en-US" w:eastAsia="zh-CN" w:bidi="ar-SA"/>
              </w:rPr>
            </w:pPr>
            <w:r>
              <w:rPr>
                <w:rFonts w:hint="eastAsia" w:hAnsi="宋体" w:cs="宋体"/>
                <w:snapToGrid w:val="0"/>
                <w:color w:val="000000"/>
                <w:kern w:val="21"/>
                <w:sz w:val="21"/>
                <w:szCs w:val="21"/>
                <w:highlight w:val="none"/>
                <w:lang w:eastAsia="zh-CN"/>
              </w:rPr>
              <w:t>—</w:t>
            </w:r>
          </w:p>
        </w:tc>
        <w:tc>
          <w:tcPr>
            <w:tcW w:w="1559" w:type="dxa"/>
            <w:noWrap w:val="0"/>
            <w:vAlign w:val="center"/>
          </w:tcPr>
          <w:p w14:paraId="6E96140B">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color w:val="auto"/>
                <w:kern w:val="0"/>
                <w:sz w:val="21"/>
                <w:szCs w:val="21"/>
                <w:highlight w:val="none"/>
                <w:vertAlign w:val="baseline"/>
                <w:lang w:val="en-US" w:eastAsia="zh-CN" w:bidi="ar-SA"/>
              </w:rPr>
            </w:pPr>
            <w:r>
              <w:rPr>
                <w:rFonts w:hint="eastAsia" w:cs="Times New Roman"/>
                <w:b w:val="0"/>
                <w:bCs/>
                <w:color w:val="auto"/>
                <w:kern w:val="0"/>
                <w:sz w:val="21"/>
                <w:szCs w:val="21"/>
                <w:highlight w:val="none"/>
                <w:vertAlign w:val="baseline"/>
                <w:lang w:val="en-US" w:eastAsia="zh-CN"/>
              </w:rPr>
              <w:t>1418.141t/a</w:t>
            </w:r>
          </w:p>
        </w:tc>
        <w:tc>
          <w:tcPr>
            <w:tcW w:w="1761" w:type="dxa"/>
            <w:noWrap w:val="0"/>
            <w:vAlign w:val="center"/>
          </w:tcPr>
          <w:p w14:paraId="3CCA00A7">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auto"/>
                <w:kern w:val="21"/>
                <w:sz w:val="21"/>
                <w:szCs w:val="21"/>
                <w:highlight w:val="none"/>
                <w:lang w:val="en-US" w:eastAsia="zh-CN" w:bidi="ar-SA"/>
              </w:rPr>
            </w:pPr>
            <w:r>
              <w:rPr>
                <w:rFonts w:hint="eastAsia" w:ascii="宋体" w:hAnsi="宋体" w:eastAsia="宋体" w:cs="宋体"/>
                <w:snapToGrid w:val="0"/>
                <w:color w:val="auto"/>
                <w:kern w:val="21"/>
                <w:sz w:val="21"/>
                <w:szCs w:val="21"/>
                <w:highlight w:val="none"/>
                <w:lang w:val="en-US" w:eastAsia="zh-CN" w:bidi="ar-SA"/>
              </w:rPr>
              <w:t>—</w:t>
            </w:r>
          </w:p>
        </w:tc>
        <w:tc>
          <w:tcPr>
            <w:tcW w:w="1792" w:type="dxa"/>
            <w:noWrap w:val="0"/>
            <w:vAlign w:val="center"/>
          </w:tcPr>
          <w:p w14:paraId="568BEF85">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snapToGrid w:val="0"/>
                <w:color w:val="auto"/>
                <w:kern w:val="21"/>
                <w:sz w:val="21"/>
                <w:szCs w:val="21"/>
                <w:highlight w:val="none"/>
                <w:lang w:val="en-US" w:eastAsia="zh-CN" w:bidi="ar-SA"/>
              </w:rPr>
            </w:pPr>
            <w:r>
              <w:rPr>
                <w:rFonts w:hint="eastAsia" w:cs="Times New Roman"/>
                <w:b w:val="0"/>
                <w:bCs/>
                <w:color w:val="auto"/>
                <w:kern w:val="0"/>
                <w:sz w:val="21"/>
                <w:szCs w:val="21"/>
                <w:highlight w:val="none"/>
                <w:vertAlign w:val="baseline"/>
                <w:lang w:val="en-US" w:eastAsia="zh-CN"/>
              </w:rPr>
              <w:t>1418.141</w:t>
            </w:r>
            <w:r>
              <w:rPr>
                <w:rFonts w:hint="eastAsia" w:ascii="Times New Roman" w:hAnsi="Times New Roman" w:eastAsia="宋体" w:cs="Times New Roman"/>
                <w:snapToGrid w:val="0"/>
                <w:color w:val="auto"/>
                <w:kern w:val="21"/>
                <w:sz w:val="21"/>
                <w:szCs w:val="21"/>
                <w:highlight w:val="none"/>
                <w:lang w:val="en-US" w:eastAsia="zh-CN" w:bidi="ar-SA"/>
              </w:rPr>
              <w:t>t/a</w:t>
            </w:r>
          </w:p>
        </w:tc>
        <w:tc>
          <w:tcPr>
            <w:tcW w:w="993" w:type="dxa"/>
            <w:noWrap w:val="0"/>
            <w:vAlign w:val="center"/>
          </w:tcPr>
          <w:p w14:paraId="48914E93">
            <w:pPr>
              <w:pStyle w:val="46"/>
              <w:keepNext w:val="0"/>
              <w:keepLines w:val="0"/>
              <w:pageBreakBefore w:val="0"/>
              <w:widowControl w:val="0"/>
              <w:kinsoku/>
              <w:wordWrap/>
              <w:overflowPunct/>
              <w:topLinePunct w:val="0"/>
              <w:bidi w:val="0"/>
              <w:spacing w:beforeLines="0" w:afterLines="0" w:line="240" w:lineRule="auto"/>
              <w:textAlignment w:val="auto"/>
              <w:rPr>
                <w:rFonts w:hint="default" w:ascii="Times New Roman" w:hAnsi="Times New Roman" w:eastAsia="宋体" w:cs="Times New Roman"/>
                <w:snapToGrid w:val="0"/>
                <w:color w:val="000000"/>
                <w:kern w:val="21"/>
                <w:sz w:val="21"/>
                <w:szCs w:val="21"/>
                <w:highlight w:val="none"/>
                <w:lang w:val="en-US" w:eastAsia="zh-CN" w:bidi="ar-SA"/>
              </w:rPr>
            </w:pPr>
            <w:r>
              <w:rPr>
                <w:rFonts w:hint="default" w:ascii="Times New Roman" w:hAnsi="Times New Roman" w:eastAsia="宋体" w:cs="Times New Roman"/>
                <w:snapToGrid w:val="0"/>
                <w:color w:val="000000"/>
                <w:kern w:val="21"/>
                <w:sz w:val="21"/>
                <w:szCs w:val="21"/>
                <w:highlight w:val="none"/>
                <w:lang w:val="en-US" w:eastAsia="zh-CN" w:bidi="ar-SA"/>
              </w:rPr>
              <w:t>0</w:t>
            </w:r>
          </w:p>
        </w:tc>
      </w:tr>
      <w:tr w14:paraId="4F1D68D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Merge w:val="continue"/>
            <w:noWrap w:val="0"/>
            <w:vAlign w:val="center"/>
          </w:tcPr>
          <w:p w14:paraId="3229EAAD">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cs="宋体"/>
                <w:snapToGrid w:val="0"/>
                <w:color w:val="000000"/>
                <w:kern w:val="21"/>
                <w:sz w:val="21"/>
                <w:szCs w:val="21"/>
                <w:highlight w:val="none"/>
              </w:rPr>
            </w:pPr>
          </w:p>
        </w:tc>
        <w:tc>
          <w:tcPr>
            <w:tcW w:w="1417" w:type="dxa"/>
            <w:noWrap w:val="0"/>
            <w:vAlign w:val="center"/>
          </w:tcPr>
          <w:p w14:paraId="1AD17F3D">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cs="宋体"/>
                <w:snapToGrid w:val="0"/>
                <w:color w:val="000000"/>
                <w:kern w:val="21"/>
                <w:sz w:val="21"/>
                <w:szCs w:val="21"/>
                <w:highlight w:val="none"/>
                <w:lang w:val="en-US" w:eastAsia="zh-CN"/>
              </w:rPr>
            </w:pPr>
            <w:r>
              <w:rPr>
                <w:rFonts w:hint="eastAsia" w:hAnsi="宋体" w:cs="宋体"/>
                <w:snapToGrid w:val="0"/>
                <w:color w:val="000000"/>
                <w:kern w:val="21"/>
                <w:sz w:val="21"/>
                <w:szCs w:val="21"/>
                <w:highlight w:val="none"/>
                <w:lang w:val="en-US" w:eastAsia="zh-CN"/>
              </w:rPr>
              <w:t>废滤布</w:t>
            </w:r>
          </w:p>
        </w:tc>
        <w:tc>
          <w:tcPr>
            <w:tcW w:w="1701" w:type="dxa"/>
            <w:noWrap w:val="0"/>
            <w:vAlign w:val="center"/>
          </w:tcPr>
          <w:p w14:paraId="6292B2DE">
            <w:pPr>
              <w:pStyle w:val="46"/>
              <w:keepNext w:val="0"/>
              <w:keepLines w:val="0"/>
              <w:pageBreakBefore w:val="0"/>
              <w:widowControl w:val="0"/>
              <w:kinsoku/>
              <w:wordWrap/>
              <w:overflowPunct/>
              <w:topLinePunct w:val="0"/>
              <w:bidi w:val="0"/>
              <w:spacing w:beforeLines="0" w:afterLines="0" w:line="240" w:lineRule="auto"/>
              <w:textAlignment w:val="auto"/>
              <w:rPr>
                <w:rFonts w:hint="eastAsia" w:ascii="宋体" w:hAnsi="宋体" w:eastAsia="宋体" w:cs="宋体"/>
                <w:snapToGrid w:val="0"/>
                <w:color w:val="000000"/>
                <w:kern w:val="21"/>
                <w:sz w:val="21"/>
                <w:szCs w:val="21"/>
                <w:highlight w:val="none"/>
                <w:lang w:eastAsia="zh-CN"/>
              </w:rPr>
            </w:pPr>
            <w:r>
              <w:rPr>
                <w:rFonts w:hint="eastAsia" w:ascii="宋体" w:hAnsi="宋体" w:eastAsia="宋体" w:cs="宋体"/>
                <w:snapToGrid w:val="0"/>
                <w:color w:val="000000"/>
                <w:kern w:val="21"/>
                <w:sz w:val="21"/>
                <w:szCs w:val="21"/>
                <w:highlight w:val="none"/>
                <w:lang w:eastAsia="zh-CN"/>
              </w:rPr>
              <w:t>—</w:t>
            </w:r>
          </w:p>
        </w:tc>
        <w:tc>
          <w:tcPr>
            <w:tcW w:w="1276" w:type="dxa"/>
            <w:noWrap w:val="0"/>
            <w:vAlign w:val="center"/>
          </w:tcPr>
          <w:p w14:paraId="174B4FEB">
            <w:pPr>
              <w:pStyle w:val="46"/>
              <w:keepNext w:val="0"/>
              <w:keepLines w:val="0"/>
              <w:pageBreakBefore w:val="0"/>
              <w:widowControl w:val="0"/>
              <w:kinsoku/>
              <w:wordWrap/>
              <w:overflowPunct/>
              <w:topLinePunct w:val="0"/>
              <w:bidi w:val="0"/>
              <w:spacing w:beforeLines="0" w:afterLines="0" w:line="240" w:lineRule="auto"/>
              <w:textAlignment w:val="auto"/>
              <w:rPr>
                <w:rFonts w:hint="eastAsia" w:ascii="宋体" w:hAnsi="宋体" w:eastAsia="宋体" w:cs="宋体"/>
                <w:snapToGrid w:val="0"/>
                <w:color w:val="000000"/>
                <w:kern w:val="21"/>
                <w:sz w:val="21"/>
                <w:szCs w:val="21"/>
                <w:highlight w:val="none"/>
                <w:lang w:eastAsia="zh-CN"/>
              </w:rPr>
            </w:pPr>
            <w:r>
              <w:rPr>
                <w:rFonts w:hint="eastAsia" w:ascii="宋体" w:hAnsi="宋体" w:eastAsia="宋体" w:cs="宋体"/>
                <w:snapToGrid w:val="0"/>
                <w:color w:val="000000"/>
                <w:kern w:val="21"/>
                <w:sz w:val="21"/>
                <w:szCs w:val="21"/>
                <w:highlight w:val="none"/>
                <w:lang w:eastAsia="zh-CN"/>
              </w:rPr>
              <w:t>—</w:t>
            </w:r>
          </w:p>
        </w:tc>
        <w:tc>
          <w:tcPr>
            <w:tcW w:w="1701" w:type="dxa"/>
            <w:noWrap w:val="0"/>
            <w:vAlign w:val="center"/>
          </w:tcPr>
          <w:p w14:paraId="2CA99B1B">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cs="宋体"/>
                <w:snapToGrid w:val="0"/>
                <w:color w:val="000000"/>
                <w:kern w:val="21"/>
                <w:sz w:val="21"/>
                <w:szCs w:val="21"/>
                <w:highlight w:val="none"/>
                <w:lang w:eastAsia="zh-CN"/>
              </w:rPr>
            </w:pPr>
            <w:r>
              <w:rPr>
                <w:rFonts w:hint="eastAsia" w:hAnsi="宋体" w:cs="宋体"/>
                <w:snapToGrid w:val="0"/>
                <w:color w:val="000000"/>
                <w:kern w:val="21"/>
                <w:sz w:val="21"/>
                <w:szCs w:val="21"/>
                <w:highlight w:val="none"/>
                <w:lang w:eastAsia="zh-CN"/>
              </w:rPr>
              <w:t>—</w:t>
            </w:r>
          </w:p>
        </w:tc>
        <w:tc>
          <w:tcPr>
            <w:tcW w:w="1559" w:type="dxa"/>
            <w:noWrap w:val="0"/>
            <w:vAlign w:val="center"/>
          </w:tcPr>
          <w:p w14:paraId="0A169C2A">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color w:val="auto"/>
                <w:kern w:val="0"/>
                <w:sz w:val="21"/>
                <w:szCs w:val="21"/>
                <w:highlight w:val="none"/>
                <w:vertAlign w:val="baseline"/>
                <w:lang w:val="en-US" w:eastAsia="zh-CN" w:bidi="ar-SA"/>
              </w:rPr>
            </w:pPr>
            <w:r>
              <w:rPr>
                <w:rFonts w:hint="eastAsia" w:cs="Times New Roman"/>
                <w:b w:val="0"/>
                <w:bCs/>
                <w:color w:val="auto"/>
                <w:kern w:val="0"/>
                <w:sz w:val="21"/>
                <w:szCs w:val="21"/>
                <w:highlight w:val="none"/>
                <w:vertAlign w:val="baseline"/>
                <w:lang w:val="en-US" w:eastAsia="zh-CN"/>
              </w:rPr>
              <w:t>0.5t/a</w:t>
            </w:r>
          </w:p>
        </w:tc>
        <w:tc>
          <w:tcPr>
            <w:tcW w:w="1761" w:type="dxa"/>
            <w:noWrap w:val="0"/>
            <w:vAlign w:val="center"/>
          </w:tcPr>
          <w:p w14:paraId="161B27A6">
            <w:pPr>
              <w:pStyle w:val="46"/>
              <w:keepNext w:val="0"/>
              <w:keepLines w:val="0"/>
              <w:pageBreakBefore w:val="0"/>
              <w:widowControl w:val="0"/>
              <w:kinsoku/>
              <w:wordWrap/>
              <w:overflowPunct/>
              <w:topLinePunct w:val="0"/>
              <w:bidi w:val="0"/>
              <w:spacing w:beforeLines="0" w:afterLines="0" w:line="240" w:lineRule="auto"/>
              <w:textAlignment w:val="auto"/>
              <w:rPr>
                <w:rFonts w:hint="eastAsia" w:ascii="宋体" w:hAnsi="宋体" w:eastAsia="宋体" w:cs="宋体"/>
                <w:snapToGrid w:val="0"/>
                <w:color w:val="auto"/>
                <w:kern w:val="21"/>
                <w:sz w:val="21"/>
                <w:szCs w:val="21"/>
                <w:highlight w:val="none"/>
                <w:lang w:val="en-US" w:eastAsia="zh-CN" w:bidi="ar-SA"/>
              </w:rPr>
            </w:pPr>
            <w:r>
              <w:rPr>
                <w:rFonts w:hint="eastAsia" w:ascii="宋体" w:hAnsi="宋体" w:eastAsia="宋体" w:cs="宋体"/>
                <w:snapToGrid w:val="0"/>
                <w:color w:val="auto"/>
                <w:kern w:val="21"/>
                <w:sz w:val="21"/>
                <w:szCs w:val="21"/>
                <w:highlight w:val="none"/>
                <w:lang w:val="en-US" w:eastAsia="zh-CN" w:bidi="ar-SA"/>
              </w:rPr>
              <w:t>—</w:t>
            </w:r>
          </w:p>
        </w:tc>
        <w:tc>
          <w:tcPr>
            <w:tcW w:w="1792" w:type="dxa"/>
            <w:noWrap w:val="0"/>
            <w:vAlign w:val="center"/>
          </w:tcPr>
          <w:p w14:paraId="68847B7B">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snapToGrid w:val="0"/>
                <w:color w:val="auto"/>
                <w:kern w:val="21"/>
                <w:sz w:val="21"/>
                <w:szCs w:val="21"/>
                <w:highlight w:val="none"/>
                <w:lang w:val="en-US" w:eastAsia="zh-CN" w:bidi="ar-SA"/>
              </w:rPr>
            </w:pPr>
            <w:r>
              <w:rPr>
                <w:rFonts w:hint="eastAsia" w:ascii="Times New Roman" w:hAnsi="Times New Roman" w:eastAsia="宋体" w:cs="Times New Roman"/>
                <w:snapToGrid w:val="0"/>
                <w:color w:val="auto"/>
                <w:kern w:val="21"/>
                <w:sz w:val="21"/>
                <w:szCs w:val="21"/>
                <w:highlight w:val="none"/>
                <w:lang w:val="en-US" w:eastAsia="zh-CN" w:bidi="ar-SA"/>
              </w:rPr>
              <w:t>0.5t/a</w:t>
            </w:r>
          </w:p>
        </w:tc>
        <w:tc>
          <w:tcPr>
            <w:tcW w:w="993" w:type="dxa"/>
            <w:noWrap w:val="0"/>
            <w:vAlign w:val="center"/>
          </w:tcPr>
          <w:p w14:paraId="35B08853">
            <w:pPr>
              <w:pStyle w:val="46"/>
              <w:keepNext w:val="0"/>
              <w:keepLines w:val="0"/>
              <w:pageBreakBefore w:val="0"/>
              <w:widowControl w:val="0"/>
              <w:kinsoku/>
              <w:wordWrap/>
              <w:overflowPunct/>
              <w:topLinePunct w:val="0"/>
              <w:bidi w:val="0"/>
              <w:spacing w:beforeLines="0" w:afterLines="0" w:line="240" w:lineRule="auto"/>
              <w:textAlignment w:val="auto"/>
              <w:rPr>
                <w:rFonts w:hint="default" w:ascii="Times New Roman" w:hAnsi="Times New Roman" w:eastAsia="宋体" w:cs="Times New Roman"/>
                <w:snapToGrid w:val="0"/>
                <w:color w:val="000000"/>
                <w:kern w:val="21"/>
                <w:sz w:val="21"/>
                <w:szCs w:val="21"/>
                <w:highlight w:val="none"/>
                <w:lang w:val="en-US" w:eastAsia="zh-CN" w:bidi="ar-SA"/>
              </w:rPr>
            </w:pPr>
            <w:r>
              <w:rPr>
                <w:rFonts w:hint="default" w:ascii="Times New Roman" w:hAnsi="Times New Roman" w:eastAsia="宋体" w:cs="Times New Roman"/>
                <w:snapToGrid w:val="0"/>
                <w:color w:val="000000"/>
                <w:kern w:val="21"/>
                <w:sz w:val="21"/>
                <w:szCs w:val="21"/>
                <w:highlight w:val="none"/>
                <w:lang w:val="en-US" w:eastAsia="zh-CN" w:bidi="ar-SA"/>
              </w:rPr>
              <w:t>0</w:t>
            </w:r>
          </w:p>
        </w:tc>
      </w:tr>
      <w:tr w14:paraId="2BFE909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Merge w:val="continue"/>
            <w:noWrap w:val="0"/>
            <w:vAlign w:val="center"/>
          </w:tcPr>
          <w:p w14:paraId="59C90909">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cs="宋体"/>
                <w:snapToGrid w:val="0"/>
                <w:color w:val="000000"/>
                <w:kern w:val="21"/>
                <w:sz w:val="21"/>
                <w:szCs w:val="21"/>
                <w:highlight w:val="none"/>
              </w:rPr>
            </w:pPr>
          </w:p>
        </w:tc>
        <w:tc>
          <w:tcPr>
            <w:tcW w:w="1417" w:type="dxa"/>
            <w:noWrap w:val="0"/>
            <w:vAlign w:val="center"/>
          </w:tcPr>
          <w:p w14:paraId="4FC30B2B">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cs="宋体"/>
                <w:snapToGrid w:val="0"/>
                <w:color w:val="000000"/>
                <w:kern w:val="21"/>
                <w:sz w:val="21"/>
                <w:szCs w:val="21"/>
                <w:highlight w:val="none"/>
                <w:lang w:val="en-US" w:eastAsia="zh-CN"/>
              </w:rPr>
            </w:pPr>
            <w:r>
              <w:rPr>
                <w:rFonts w:hint="eastAsia" w:ascii="Times New Roman" w:hAnsi="Times New Roman" w:cs="Times New Roman"/>
                <w:color w:val="auto"/>
                <w:sz w:val="21"/>
                <w:szCs w:val="21"/>
                <w:lang w:val="en-US" w:eastAsia="zh-CN"/>
              </w:rPr>
              <w:t>洗车平台沉淀池污泥</w:t>
            </w:r>
            <w:r>
              <w:rPr>
                <w:rFonts w:hint="eastAsia" w:hAnsi="宋体" w:cs="宋体"/>
                <w:snapToGrid w:val="0"/>
                <w:color w:val="000000"/>
                <w:kern w:val="21"/>
                <w:sz w:val="21"/>
                <w:szCs w:val="21"/>
                <w:highlight w:val="none"/>
                <w:lang w:val="en-US" w:eastAsia="zh-CN"/>
              </w:rPr>
              <w:t>污泥</w:t>
            </w:r>
          </w:p>
        </w:tc>
        <w:tc>
          <w:tcPr>
            <w:tcW w:w="1701" w:type="dxa"/>
            <w:noWrap w:val="0"/>
            <w:vAlign w:val="center"/>
          </w:tcPr>
          <w:p w14:paraId="0232BFBD">
            <w:pPr>
              <w:pStyle w:val="46"/>
              <w:keepNext w:val="0"/>
              <w:keepLines w:val="0"/>
              <w:pageBreakBefore w:val="0"/>
              <w:widowControl w:val="0"/>
              <w:kinsoku/>
              <w:wordWrap/>
              <w:overflowPunct/>
              <w:topLinePunct w:val="0"/>
              <w:bidi w:val="0"/>
              <w:spacing w:beforeLines="0" w:afterLines="0" w:line="240" w:lineRule="auto"/>
              <w:textAlignment w:val="auto"/>
              <w:rPr>
                <w:rFonts w:hint="eastAsia" w:ascii="宋体" w:hAnsi="宋体" w:eastAsia="宋体" w:cs="宋体"/>
                <w:snapToGrid w:val="0"/>
                <w:color w:val="000000"/>
                <w:kern w:val="21"/>
                <w:sz w:val="21"/>
                <w:szCs w:val="21"/>
                <w:highlight w:val="none"/>
                <w:lang w:val="en-US" w:eastAsia="zh-CN" w:bidi="ar-SA"/>
              </w:rPr>
            </w:pPr>
            <w:r>
              <w:rPr>
                <w:rFonts w:hint="eastAsia" w:ascii="宋体" w:hAnsi="宋体" w:eastAsia="宋体" w:cs="宋体"/>
                <w:snapToGrid w:val="0"/>
                <w:color w:val="000000"/>
                <w:kern w:val="21"/>
                <w:sz w:val="21"/>
                <w:szCs w:val="21"/>
                <w:highlight w:val="none"/>
                <w:lang w:eastAsia="zh-CN"/>
              </w:rPr>
              <w:t>—</w:t>
            </w:r>
          </w:p>
        </w:tc>
        <w:tc>
          <w:tcPr>
            <w:tcW w:w="1276" w:type="dxa"/>
            <w:noWrap w:val="0"/>
            <w:vAlign w:val="center"/>
          </w:tcPr>
          <w:p w14:paraId="3B0233CD">
            <w:pPr>
              <w:pStyle w:val="46"/>
              <w:keepNext w:val="0"/>
              <w:keepLines w:val="0"/>
              <w:pageBreakBefore w:val="0"/>
              <w:widowControl w:val="0"/>
              <w:kinsoku/>
              <w:wordWrap/>
              <w:overflowPunct/>
              <w:topLinePunct w:val="0"/>
              <w:bidi w:val="0"/>
              <w:spacing w:beforeLines="0" w:afterLines="0" w:line="240" w:lineRule="auto"/>
              <w:textAlignment w:val="auto"/>
              <w:rPr>
                <w:rFonts w:hint="eastAsia" w:ascii="宋体" w:hAnsi="宋体" w:eastAsia="宋体" w:cs="宋体"/>
                <w:snapToGrid w:val="0"/>
                <w:color w:val="000000"/>
                <w:kern w:val="21"/>
                <w:sz w:val="21"/>
                <w:szCs w:val="21"/>
                <w:highlight w:val="none"/>
                <w:lang w:val="en-US" w:eastAsia="zh-CN" w:bidi="ar-SA"/>
              </w:rPr>
            </w:pPr>
            <w:r>
              <w:rPr>
                <w:rFonts w:hint="eastAsia" w:ascii="宋体" w:hAnsi="宋体" w:eastAsia="宋体" w:cs="宋体"/>
                <w:snapToGrid w:val="0"/>
                <w:color w:val="000000"/>
                <w:kern w:val="21"/>
                <w:sz w:val="21"/>
                <w:szCs w:val="21"/>
                <w:highlight w:val="none"/>
                <w:lang w:eastAsia="zh-CN"/>
              </w:rPr>
              <w:t>—</w:t>
            </w:r>
          </w:p>
        </w:tc>
        <w:tc>
          <w:tcPr>
            <w:tcW w:w="1701" w:type="dxa"/>
            <w:noWrap w:val="0"/>
            <w:vAlign w:val="center"/>
          </w:tcPr>
          <w:p w14:paraId="4510C0AC">
            <w:pPr>
              <w:pStyle w:val="46"/>
              <w:keepNext w:val="0"/>
              <w:keepLines w:val="0"/>
              <w:pageBreakBefore w:val="0"/>
              <w:widowControl w:val="0"/>
              <w:kinsoku/>
              <w:wordWrap/>
              <w:overflowPunct/>
              <w:topLinePunct w:val="0"/>
              <w:bidi w:val="0"/>
              <w:spacing w:beforeLines="0" w:afterLines="0" w:line="240" w:lineRule="auto"/>
              <w:textAlignment w:val="auto"/>
              <w:rPr>
                <w:rFonts w:hint="eastAsia" w:ascii="宋体" w:hAnsi="宋体" w:eastAsia="宋体" w:cs="宋体"/>
                <w:snapToGrid w:val="0"/>
                <w:color w:val="000000"/>
                <w:kern w:val="21"/>
                <w:sz w:val="21"/>
                <w:szCs w:val="21"/>
                <w:highlight w:val="none"/>
                <w:lang w:val="en-US" w:eastAsia="zh-CN" w:bidi="ar-SA"/>
              </w:rPr>
            </w:pPr>
            <w:r>
              <w:rPr>
                <w:rFonts w:hint="eastAsia" w:hAnsi="宋体" w:cs="宋体"/>
                <w:snapToGrid w:val="0"/>
                <w:color w:val="000000"/>
                <w:kern w:val="21"/>
                <w:sz w:val="21"/>
                <w:szCs w:val="21"/>
                <w:highlight w:val="none"/>
                <w:lang w:eastAsia="zh-CN"/>
              </w:rPr>
              <w:t>—</w:t>
            </w:r>
          </w:p>
        </w:tc>
        <w:tc>
          <w:tcPr>
            <w:tcW w:w="1559" w:type="dxa"/>
            <w:noWrap w:val="0"/>
            <w:vAlign w:val="center"/>
          </w:tcPr>
          <w:p w14:paraId="06493BF2">
            <w:pPr>
              <w:keepNext w:val="0"/>
              <w:keepLines w:val="0"/>
              <w:pageBreakBefore w:val="0"/>
              <w:widowControl w:val="0"/>
              <w:kinsoku/>
              <w:wordWrap/>
              <w:overflowPunct/>
              <w:topLinePunct w:val="0"/>
              <w:bidi w:val="0"/>
              <w:adjustRightInd w:val="0"/>
              <w:snapToGrid w:val="0"/>
              <w:spacing w:line="240" w:lineRule="auto"/>
              <w:jc w:val="center"/>
              <w:textAlignment w:val="auto"/>
              <w:rPr>
                <w:rFonts w:hint="eastAsia" w:ascii="Times New Roman" w:hAnsi="Times New Roman" w:eastAsia="宋体" w:cs="Times New Roman"/>
                <w:b w:val="0"/>
                <w:bCs/>
                <w:color w:val="auto"/>
                <w:kern w:val="0"/>
                <w:sz w:val="21"/>
                <w:szCs w:val="21"/>
                <w:highlight w:val="none"/>
                <w:vertAlign w:val="baseline"/>
                <w:lang w:val="en-US" w:eastAsia="zh-CN" w:bidi="ar-SA"/>
              </w:rPr>
            </w:pPr>
            <w:r>
              <w:rPr>
                <w:rFonts w:hint="eastAsia" w:cs="Times New Roman"/>
                <w:b w:val="0"/>
                <w:bCs/>
                <w:color w:val="auto"/>
                <w:kern w:val="0"/>
                <w:sz w:val="21"/>
                <w:szCs w:val="21"/>
                <w:highlight w:val="none"/>
                <w:vertAlign w:val="baseline"/>
                <w:lang w:val="en-US" w:eastAsia="zh-CN"/>
              </w:rPr>
              <w:t>1t/a</w:t>
            </w:r>
          </w:p>
        </w:tc>
        <w:tc>
          <w:tcPr>
            <w:tcW w:w="1761" w:type="dxa"/>
            <w:noWrap w:val="0"/>
            <w:vAlign w:val="center"/>
          </w:tcPr>
          <w:p w14:paraId="4F62D060">
            <w:pPr>
              <w:pStyle w:val="46"/>
              <w:keepNext w:val="0"/>
              <w:keepLines w:val="0"/>
              <w:pageBreakBefore w:val="0"/>
              <w:widowControl w:val="0"/>
              <w:kinsoku/>
              <w:wordWrap/>
              <w:overflowPunct/>
              <w:topLinePunct w:val="0"/>
              <w:bidi w:val="0"/>
              <w:spacing w:beforeLines="0" w:afterLines="0" w:line="240" w:lineRule="auto"/>
              <w:textAlignment w:val="auto"/>
              <w:rPr>
                <w:rFonts w:hint="eastAsia" w:ascii="宋体" w:hAnsi="宋体" w:eastAsia="宋体" w:cs="宋体"/>
                <w:snapToGrid w:val="0"/>
                <w:color w:val="auto"/>
                <w:kern w:val="21"/>
                <w:sz w:val="21"/>
                <w:szCs w:val="21"/>
                <w:highlight w:val="none"/>
                <w:lang w:val="en-US" w:eastAsia="zh-CN" w:bidi="ar-SA"/>
              </w:rPr>
            </w:pPr>
            <w:r>
              <w:rPr>
                <w:rFonts w:hint="eastAsia" w:ascii="宋体" w:hAnsi="宋体" w:eastAsia="宋体" w:cs="宋体"/>
                <w:snapToGrid w:val="0"/>
                <w:color w:val="auto"/>
                <w:kern w:val="21"/>
                <w:sz w:val="21"/>
                <w:szCs w:val="21"/>
                <w:highlight w:val="none"/>
                <w:lang w:val="en-US" w:eastAsia="zh-CN" w:bidi="ar-SA"/>
              </w:rPr>
              <w:t>—</w:t>
            </w:r>
          </w:p>
        </w:tc>
        <w:tc>
          <w:tcPr>
            <w:tcW w:w="1792" w:type="dxa"/>
            <w:noWrap w:val="0"/>
            <w:vAlign w:val="center"/>
          </w:tcPr>
          <w:p w14:paraId="37DDAE47">
            <w:pPr>
              <w:keepNext w:val="0"/>
              <w:keepLines w:val="0"/>
              <w:pageBreakBefore w:val="0"/>
              <w:widowControl w:val="0"/>
              <w:kinsoku/>
              <w:wordWrap/>
              <w:overflowPunct/>
              <w:topLinePunct w:val="0"/>
              <w:bidi w:val="0"/>
              <w:adjustRightInd w:val="0"/>
              <w:snapToGrid w:val="0"/>
              <w:spacing w:line="240" w:lineRule="auto"/>
              <w:jc w:val="center"/>
              <w:textAlignment w:val="auto"/>
              <w:rPr>
                <w:rFonts w:hint="eastAsia" w:ascii="Times New Roman" w:hAnsi="Times New Roman" w:eastAsia="宋体" w:cs="Times New Roman"/>
                <w:snapToGrid w:val="0"/>
                <w:color w:val="auto"/>
                <w:kern w:val="21"/>
                <w:sz w:val="21"/>
                <w:szCs w:val="21"/>
                <w:highlight w:val="none"/>
                <w:lang w:val="en-US" w:eastAsia="zh-CN" w:bidi="ar-SA"/>
              </w:rPr>
            </w:pPr>
            <w:r>
              <w:rPr>
                <w:rFonts w:hint="eastAsia" w:ascii="Times New Roman" w:hAnsi="Times New Roman" w:eastAsia="宋体" w:cs="Times New Roman"/>
                <w:snapToGrid w:val="0"/>
                <w:color w:val="auto"/>
                <w:kern w:val="21"/>
                <w:sz w:val="21"/>
                <w:szCs w:val="21"/>
                <w:highlight w:val="none"/>
                <w:lang w:val="en-US" w:eastAsia="zh-CN" w:bidi="ar-SA"/>
              </w:rPr>
              <w:t>1t/a</w:t>
            </w:r>
          </w:p>
        </w:tc>
        <w:tc>
          <w:tcPr>
            <w:tcW w:w="993" w:type="dxa"/>
            <w:noWrap w:val="0"/>
            <w:vAlign w:val="center"/>
          </w:tcPr>
          <w:p w14:paraId="1536449E">
            <w:pPr>
              <w:pStyle w:val="46"/>
              <w:keepNext w:val="0"/>
              <w:keepLines w:val="0"/>
              <w:pageBreakBefore w:val="0"/>
              <w:widowControl w:val="0"/>
              <w:kinsoku/>
              <w:wordWrap/>
              <w:overflowPunct/>
              <w:topLinePunct w:val="0"/>
              <w:bidi w:val="0"/>
              <w:spacing w:beforeLines="0" w:afterLines="0" w:line="240" w:lineRule="auto"/>
              <w:textAlignment w:val="auto"/>
              <w:rPr>
                <w:rFonts w:hint="default" w:ascii="Times New Roman" w:hAnsi="Times New Roman" w:eastAsia="宋体" w:cs="Times New Roman"/>
                <w:snapToGrid w:val="0"/>
                <w:color w:val="000000"/>
                <w:kern w:val="21"/>
                <w:sz w:val="21"/>
                <w:szCs w:val="21"/>
                <w:highlight w:val="none"/>
                <w:lang w:val="en-US" w:eastAsia="zh-CN" w:bidi="ar-SA"/>
              </w:rPr>
            </w:pPr>
            <w:r>
              <w:rPr>
                <w:rFonts w:hint="default" w:ascii="Times New Roman" w:hAnsi="Times New Roman" w:eastAsia="宋体" w:cs="Times New Roman"/>
                <w:snapToGrid w:val="0"/>
                <w:color w:val="000000"/>
                <w:kern w:val="21"/>
                <w:sz w:val="21"/>
                <w:szCs w:val="21"/>
                <w:highlight w:val="none"/>
                <w:lang w:val="en-US" w:eastAsia="zh-CN" w:bidi="ar-SA"/>
              </w:rPr>
              <w:t>0</w:t>
            </w:r>
          </w:p>
        </w:tc>
      </w:tr>
      <w:tr w14:paraId="18A92E0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588" w:type="dxa"/>
            <w:vMerge w:val="continue"/>
            <w:noWrap w:val="0"/>
            <w:vAlign w:val="center"/>
          </w:tcPr>
          <w:p w14:paraId="76A4EF30">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cs="宋体"/>
                <w:snapToGrid w:val="0"/>
                <w:color w:val="000000"/>
                <w:kern w:val="21"/>
                <w:sz w:val="21"/>
                <w:szCs w:val="21"/>
                <w:highlight w:val="none"/>
              </w:rPr>
            </w:pPr>
          </w:p>
        </w:tc>
        <w:tc>
          <w:tcPr>
            <w:tcW w:w="1417" w:type="dxa"/>
            <w:noWrap w:val="0"/>
            <w:vAlign w:val="center"/>
          </w:tcPr>
          <w:p w14:paraId="4C8D7B35">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cs="宋体"/>
                <w:snapToGrid w:val="0"/>
                <w:color w:val="000000"/>
                <w:kern w:val="21"/>
                <w:sz w:val="21"/>
                <w:szCs w:val="21"/>
                <w:highlight w:val="none"/>
                <w:lang w:val="en-US" w:eastAsia="zh-CN"/>
              </w:rPr>
            </w:pPr>
            <w:r>
              <w:rPr>
                <w:rFonts w:hint="eastAsia" w:hAnsi="宋体" w:cs="宋体"/>
                <w:snapToGrid w:val="0"/>
                <w:color w:val="000000"/>
                <w:kern w:val="21"/>
                <w:sz w:val="21"/>
                <w:szCs w:val="21"/>
                <w:highlight w:val="none"/>
                <w:lang w:val="en-US" w:eastAsia="zh-CN"/>
              </w:rPr>
              <w:t>雨水沉淀池及排水沟污泥污泥</w:t>
            </w:r>
          </w:p>
        </w:tc>
        <w:tc>
          <w:tcPr>
            <w:tcW w:w="1701" w:type="dxa"/>
            <w:noWrap w:val="0"/>
            <w:vAlign w:val="center"/>
          </w:tcPr>
          <w:p w14:paraId="474F5DC4">
            <w:pPr>
              <w:pStyle w:val="46"/>
              <w:keepNext w:val="0"/>
              <w:keepLines w:val="0"/>
              <w:pageBreakBefore w:val="0"/>
              <w:widowControl w:val="0"/>
              <w:kinsoku/>
              <w:wordWrap/>
              <w:overflowPunct/>
              <w:topLinePunct w:val="0"/>
              <w:bidi w:val="0"/>
              <w:spacing w:beforeLines="0" w:afterLines="0" w:line="240" w:lineRule="auto"/>
              <w:textAlignment w:val="auto"/>
              <w:rPr>
                <w:rFonts w:hint="eastAsia" w:ascii="宋体" w:hAnsi="宋体" w:eastAsia="宋体" w:cs="宋体"/>
                <w:snapToGrid w:val="0"/>
                <w:color w:val="000000"/>
                <w:kern w:val="21"/>
                <w:sz w:val="21"/>
                <w:szCs w:val="21"/>
                <w:highlight w:val="none"/>
                <w:lang w:eastAsia="zh-CN"/>
              </w:rPr>
            </w:pPr>
            <w:r>
              <w:rPr>
                <w:rFonts w:hint="eastAsia" w:ascii="宋体" w:hAnsi="宋体" w:eastAsia="宋体" w:cs="宋体"/>
                <w:snapToGrid w:val="0"/>
                <w:color w:val="000000"/>
                <w:kern w:val="21"/>
                <w:sz w:val="21"/>
                <w:szCs w:val="21"/>
                <w:highlight w:val="none"/>
                <w:lang w:eastAsia="zh-CN"/>
              </w:rPr>
              <w:t>—</w:t>
            </w:r>
          </w:p>
        </w:tc>
        <w:tc>
          <w:tcPr>
            <w:tcW w:w="1276" w:type="dxa"/>
            <w:noWrap w:val="0"/>
            <w:vAlign w:val="center"/>
          </w:tcPr>
          <w:p w14:paraId="42EC2AED">
            <w:pPr>
              <w:pStyle w:val="46"/>
              <w:keepNext w:val="0"/>
              <w:keepLines w:val="0"/>
              <w:pageBreakBefore w:val="0"/>
              <w:widowControl w:val="0"/>
              <w:kinsoku/>
              <w:wordWrap/>
              <w:overflowPunct/>
              <w:topLinePunct w:val="0"/>
              <w:bidi w:val="0"/>
              <w:spacing w:beforeLines="0" w:afterLines="0" w:line="240" w:lineRule="auto"/>
              <w:textAlignment w:val="auto"/>
              <w:rPr>
                <w:rFonts w:hint="eastAsia" w:ascii="宋体" w:hAnsi="宋体" w:eastAsia="宋体" w:cs="宋体"/>
                <w:snapToGrid w:val="0"/>
                <w:color w:val="000000"/>
                <w:kern w:val="21"/>
                <w:sz w:val="21"/>
                <w:szCs w:val="21"/>
                <w:highlight w:val="none"/>
                <w:lang w:eastAsia="zh-CN"/>
              </w:rPr>
            </w:pPr>
            <w:r>
              <w:rPr>
                <w:rFonts w:hint="eastAsia" w:ascii="宋体" w:hAnsi="宋体" w:eastAsia="宋体" w:cs="宋体"/>
                <w:snapToGrid w:val="0"/>
                <w:color w:val="000000"/>
                <w:kern w:val="21"/>
                <w:sz w:val="21"/>
                <w:szCs w:val="21"/>
                <w:highlight w:val="none"/>
                <w:lang w:eastAsia="zh-CN"/>
              </w:rPr>
              <w:t>—</w:t>
            </w:r>
          </w:p>
        </w:tc>
        <w:tc>
          <w:tcPr>
            <w:tcW w:w="1701" w:type="dxa"/>
            <w:noWrap w:val="0"/>
            <w:vAlign w:val="center"/>
          </w:tcPr>
          <w:p w14:paraId="12EF76DD">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cs="宋体"/>
                <w:snapToGrid w:val="0"/>
                <w:color w:val="000000"/>
                <w:kern w:val="21"/>
                <w:sz w:val="21"/>
                <w:szCs w:val="21"/>
                <w:highlight w:val="none"/>
                <w:lang w:eastAsia="zh-CN"/>
              </w:rPr>
            </w:pPr>
            <w:r>
              <w:rPr>
                <w:rFonts w:hint="eastAsia" w:hAnsi="宋体" w:cs="宋体"/>
                <w:snapToGrid w:val="0"/>
                <w:color w:val="000000"/>
                <w:kern w:val="21"/>
                <w:sz w:val="21"/>
                <w:szCs w:val="21"/>
                <w:highlight w:val="none"/>
                <w:lang w:eastAsia="zh-CN"/>
              </w:rPr>
              <w:t>—</w:t>
            </w:r>
          </w:p>
        </w:tc>
        <w:tc>
          <w:tcPr>
            <w:tcW w:w="1559" w:type="dxa"/>
            <w:noWrap w:val="0"/>
            <w:vAlign w:val="center"/>
          </w:tcPr>
          <w:p w14:paraId="04F8C74E">
            <w:pPr>
              <w:keepNext w:val="0"/>
              <w:keepLines w:val="0"/>
              <w:pageBreakBefore w:val="0"/>
              <w:widowControl w:val="0"/>
              <w:kinsoku/>
              <w:wordWrap/>
              <w:overflowPunct/>
              <w:topLinePunct w:val="0"/>
              <w:bidi w:val="0"/>
              <w:adjustRightInd w:val="0"/>
              <w:snapToGrid w:val="0"/>
              <w:spacing w:line="240" w:lineRule="auto"/>
              <w:jc w:val="center"/>
              <w:textAlignment w:val="auto"/>
              <w:rPr>
                <w:rFonts w:hint="eastAsia" w:cs="Times New Roman"/>
                <w:b w:val="0"/>
                <w:bCs/>
                <w:color w:val="auto"/>
                <w:kern w:val="0"/>
                <w:sz w:val="21"/>
                <w:szCs w:val="21"/>
                <w:highlight w:val="none"/>
                <w:vertAlign w:val="baseline"/>
                <w:lang w:val="en-US" w:eastAsia="zh-CN"/>
              </w:rPr>
            </w:pPr>
            <w:r>
              <w:rPr>
                <w:rFonts w:hint="eastAsia" w:cs="Times New Roman"/>
                <w:b w:val="0"/>
                <w:bCs/>
                <w:color w:val="auto"/>
                <w:kern w:val="0"/>
                <w:sz w:val="21"/>
                <w:szCs w:val="21"/>
                <w:highlight w:val="none"/>
                <w:vertAlign w:val="baseline"/>
                <w:lang w:val="en-US" w:eastAsia="zh-CN"/>
              </w:rPr>
              <w:t>1t/a</w:t>
            </w:r>
          </w:p>
        </w:tc>
        <w:tc>
          <w:tcPr>
            <w:tcW w:w="1761" w:type="dxa"/>
            <w:noWrap w:val="0"/>
            <w:vAlign w:val="center"/>
          </w:tcPr>
          <w:p w14:paraId="20CD0D5D">
            <w:pPr>
              <w:pStyle w:val="46"/>
              <w:keepNext w:val="0"/>
              <w:keepLines w:val="0"/>
              <w:pageBreakBefore w:val="0"/>
              <w:widowControl w:val="0"/>
              <w:kinsoku/>
              <w:wordWrap/>
              <w:overflowPunct/>
              <w:topLinePunct w:val="0"/>
              <w:bidi w:val="0"/>
              <w:spacing w:beforeLines="0" w:afterLines="0" w:line="240" w:lineRule="auto"/>
              <w:textAlignment w:val="auto"/>
              <w:rPr>
                <w:rFonts w:hint="eastAsia" w:ascii="宋体" w:hAnsi="宋体" w:eastAsia="宋体" w:cs="宋体"/>
                <w:snapToGrid w:val="0"/>
                <w:color w:val="auto"/>
                <w:kern w:val="21"/>
                <w:sz w:val="21"/>
                <w:szCs w:val="21"/>
                <w:highlight w:val="none"/>
                <w:lang w:val="en-US" w:eastAsia="zh-CN" w:bidi="ar-SA"/>
              </w:rPr>
            </w:pPr>
            <w:r>
              <w:rPr>
                <w:rFonts w:hint="eastAsia" w:ascii="宋体" w:hAnsi="宋体" w:eastAsia="宋体" w:cs="宋体"/>
                <w:snapToGrid w:val="0"/>
                <w:color w:val="auto"/>
                <w:kern w:val="21"/>
                <w:sz w:val="21"/>
                <w:szCs w:val="21"/>
                <w:highlight w:val="none"/>
                <w:lang w:val="en-US" w:eastAsia="zh-CN" w:bidi="ar-SA"/>
              </w:rPr>
              <w:t>—</w:t>
            </w:r>
          </w:p>
        </w:tc>
        <w:tc>
          <w:tcPr>
            <w:tcW w:w="1792" w:type="dxa"/>
            <w:noWrap w:val="0"/>
            <w:vAlign w:val="center"/>
          </w:tcPr>
          <w:p w14:paraId="3C79FDDF">
            <w:pPr>
              <w:keepNext w:val="0"/>
              <w:keepLines w:val="0"/>
              <w:pageBreakBefore w:val="0"/>
              <w:widowControl w:val="0"/>
              <w:kinsoku/>
              <w:wordWrap/>
              <w:overflowPunct/>
              <w:topLinePunct w:val="0"/>
              <w:bidi w:val="0"/>
              <w:adjustRightInd w:val="0"/>
              <w:snapToGrid w:val="0"/>
              <w:spacing w:line="240" w:lineRule="auto"/>
              <w:jc w:val="center"/>
              <w:textAlignment w:val="auto"/>
              <w:rPr>
                <w:rFonts w:hint="eastAsia" w:ascii="Times New Roman" w:hAnsi="Times New Roman" w:eastAsia="宋体" w:cs="Times New Roman"/>
                <w:snapToGrid w:val="0"/>
                <w:color w:val="auto"/>
                <w:kern w:val="21"/>
                <w:sz w:val="21"/>
                <w:szCs w:val="21"/>
                <w:highlight w:val="none"/>
                <w:lang w:val="en-US" w:eastAsia="zh-CN" w:bidi="ar-SA"/>
              </w:rPr>
            </w:pPr>
            <w:r>
              <w:rPr>
                <w:rFonts w:hint="eastAsia" w:ascii="Times New Roman" w:hAnsi="Times New Roman" w:eastAsia="宋体" w:cs="Times New Roman"/>
                <w:snapToGrid w:val="0"/>
                <w:color w:val="auto"/>
                <w:kern w:val="21"/>
                <w:sz w:val="21"/>
                <w:szCs w:val="21"/>
                <w:highlight w:val="none"/>
                <w:lang w:val="en-US" w:eastAsia="zh-CN" w:bidi="ar-SA"/>
              </w:rPr>
              <w:t>1t/a</w:t>
            </w:r>
          </w:p>
        </w:tc>
        <w:tc>
          <w:tcPr>
            <w:tcW w:w="993" w:type="dxa"/>
            <w:noWrap w:val="0"/>
            <w:vAlign w:val="center"/>
          </w:tcPr>
          <w:p w14:paraId="36E3EADA">
            <w:pPr>
              <w:pStyle w:val="46"/>
              <w:keepNext w:val="0"/>
              <w:keepLines w:val="0"/>
              <w:pageBreakBefore w:val="0"/>
              <w:widowControl w:val="0"/>
              <w:kinsoku/>
              <w:wordWrap/>
              <w:overflowPunct/>
              <w:topLinePunct w:val="0"/>
              <w:bidi w:val="0"/>
              <w:spacing w:beforeLines="0" w:afterLines="0" w:line="240" w:lineRule="auto"/>
              <w:textAlignment w:val="auto"/>
              <w:rPr>
                <w:rFonts w:hint="default" w:ascii="Times New Roman" w:hAnsi="Times New Roman" w:eastAsia="宋体" w:cs="Times New Roman"/>
                <w:snapToGrid w:val="0"/>
                <w:color w:val="000000"/>
                <w:kern w:val="21"/>
                <w:sz w:val="21"/>
                <w:szCs w:val="21"/>
                <w:highlight w:val="none"/>
                <w:lang w:val="en-US" w:eastAsia="zh-CN" w:bidi="ar-SA"/>
              </w:rPr>
            </w:pPr>
            <w:r>
              <w:rPr>
                <w:rFonts w:hint="default" w:ascii="Times New Roman" w:hAnsi="Times New Roman" w:eastAsia="宋体" w:cs="Times New Roman"/>
                <w:snapToGrid w:val="0"/>
                <w:color w:val="000000"/>
                <w:kern w:val="21"/>
                <w:sz w:val="21"/>
                <w:szCs w:val="21"/>
                <w:highlight w:val="none"/>
                <w:lang w:val="en-US" w:eastAsia="zh-CN" w:bidi="ar-SA"/>
              </w:rPr>
              <w:t>0</w:t>
            </w:r>
          </w:p>
        </w:tc>
      </w:tr>
      <w:tr w14:paraId="1F60B11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Merge w:val="continue"/>
            <w:noWrap w:val="0"/>
            <w:vAlign w:val="center"/>
          </w:tcPr>
          <w:p w14:paraId="66BCB20B">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cs="宋体"/>
                <w:snapToGrid w:val="0"/>
                <w:color w:val="000000"/>
                <w:kern w:val="21"/>
                <w:sz w:val="21"/>
                <w:szCs w:val="21"/>
                <w:highlight w:val="none"/>
              </w:rPr>
            </w:pPr>
          </w:p>
        </w:tc>
        <w:tc>
          <w:tcPr>
            <w:tcW w:w="1417" w:type="dxa"/>
            <w:noWrap w:val="0"/>
            <w:vAlign w:val="center"/>
          </w:tcPr>
          <w:p w14:paraId="13CFA6B9">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eastAsia="宋体" w:cs="宋体"/>
                <w:snapToGrid w:val="0"/>
                <w:color w:val="000000"/>
                <w:kern w:val="21"/>
                <w:sz w:val="21"/>
                <w:szCs w:val="21"/>
                <w:highlight w:val="none"/>
                <w:lang w:val="en-US" w:eastAsia="zh-CN"/>
              </w:rPr>
            </w:pPr>
            <w:r>
              <w:rPr>
                <w:rFonts w:hint="eastAsia" w:hAnsi="宋体" w:cs="宋体"/>
                <w:snapToGrid w:val="0"/>
                <w:color w:val="000000"/>
                <w:kern w:val="21"/>
                <w:sz w:val="21"/>
                <w:szCs w:val="21"/>
                <w:highlight w:val="none"/>
                <w:lang w:val="en-US" w:eastAsia="zh-CN"/>
              </w:rPr>
              <w:t>废布袋</w:t>
            </w:r>
          </w:p>
        </w:tc>
        <w:tc>
          <w:tcPr>
            <w:tcW w:w="1701" w:type="dxa"/>
            <w:noWrap w:val="0"/>
            <w:vAlign w:val="center"/>
          </w:tcPr>
          <w:p w14:paraId="66AEBB42">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000000"/>
                <w:kern w:val="21"/>
                <w:sz w:val="21"/>
                <w:szCs w:val="21"/>
                <w:highlight w:val="none"/>
                <w:lang w:val="en-US" w:eastAsia="zh-CN"/>
              </w:rPr>
            </w:pPr>
            <w:r>
              <w:rPr>
                <w:rFonts w:hint="eastAsia" w:ascii="宋体" w:hAnsi="宋体" w:eastAsia="宋体" w:cs="宋体"/>
                <w:snapToGrid w:val="0"/>
                <w:color w:val="000000"/>
                <w:kern w:val="21"/>
                <w:sz w:val="21"/>
                <w:szCs w:val="21"/>
                <w:highlight w:val="none"/>
                <w:lang w:eastAsia="zh-CN"/>
              </w:rPr>
              <w:t>—</w:t>
            </w:r>
          </w:p>
        </w:tc>
        <w:tc>
          <w:tcPr>
            <w:tcW w:w="1276" w:type="dxa"/>
            <w:noWrap w:val="0"/>
            <w:vAlign w:val="center"/>
          </w:tcPr>
          <w:p w14:paraId="6BB4CE6C">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000000"/>
                <w:kern w:val="21"/>
                <w:sz w:val="21"/>
                <w:szCs w:val="21"/>
                <w:highlight w:val="none"/>
                <w:lang w:val="en-US" w:eastAsia="zh-CN"/>
              </w:rPr>
            </w:pPr>
            <w:r>
              <w:rPr>
                <w:rFonts w:hint="eastAsia" w:ascii="宋体" w:hAnsi="宋体" w:eastAsia="宋体" w:cs="宋体"/>
                <w:snapToGrid w:val="0"/>
                <w:color w:val="000000"/>
                <w:kern w:val="21"/>
                <w:sz w:val="21"/>
                <w:szCs w:val="21"/>
                <w:highlight w:val="none"/>
                <w:lang w:eastAsia="zh-CN"/>
              </w:rPr>
              <w:t>—</w:t>
            </w:r>
          </w:p>
        </w:tc>
        <w:tc>
          <w:tcPr>
            <w:tcW w:w="1701" w:type="dxa"/>
            <w:noWrap w:val="0"/>
            <w:vAlign w:val="center"/>
          </w:tcPr>
          <w:p w14:paraId="71960BB5">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000000"/>
                <w:kern w:val="21"/>
                <w:sz w:val="21"/>
                <w:szCs w:val="21"/>
                <w:highlight w:val="none"/>
                <w:lang w:val="en-US" w:eastAsia="zh-CN" w:bidi="ar-SA"/>
              </w:rPr>
            </w:pPr>
            <w:r>
              <w:rPr>
                <w:rFonts w:hint="eastAsia" w:hAnsi="宋体" w:cs="宋体"/>
                <w:snapToGrid w:val="0"/>
                <w:color w:val="000000"/>
                <w:kern w:val="21"/>
                <w:sz w:val="21"/>
                <w:szCs w:val="21"/>
                <w:highlight w:val="none"/>
                <w:lang w:eastAsia="zh-CN"/>
              </w:rPr>
              <w:t>—</w:t>
            </w:r>
          </w:p>
        </w:tc>
        <w:tc>
          <w:tcPr>
            <w:tcW w:w="1559" w:type="dxa"/>
            <w:noWrap w:val="0"/>
            <w:vAlign w:val="center"/>
          </w:tcPr>
          <w:p w14:paraId="394E4AA6">
            <w:pPr>
              <w:keepNext w:val="0"/>
              <w:keepLines w:val="0"/>
              <w:pageBreakBefore w:val="0"/>
              <w:widowControl w:val="0"/>
              <w:kinsoku/>
              <w:wordWrap/>
              <w:overflowPunct/>
              <w:topLinePunct w:val="0"/>
              <w:bidi w:val="0"/>
              <w:adjustRightInd w:val="0"/>
              <w:snapToGrid w:val="0"/>
              <w:spacing w:line="240" w:lineRule="auto"/>
              <w:jc w:val="center"/>
              <w:textAlignment w:val="auto"/>
              <w:rPr>
                <w:rFonts w:hint="default" w:ascii="Times New Roman" w:hAnsi="Times New Roman" w:eastAsia="宋体" w:cs="Times New Roman"/>
                <w:snapToGrid w:val="0"/>
                <w:color w:val="auto"/>
                <w:kern w:val="21"/>
                <w:sz w:val="21"/>
                <w:szCs w:val="21"/>
                <w:highlight w:val="none"/>
                <w:lang w:val="en-US" w:eastAsia="zh-CN"/>
              </w:rPr>
            </w:pPr>
            <w:r>
              <w:rPr>
                <w:rFonts w:hint="eastAsia" w:cs="Times New Roman"/>
                <w:b w:val="0"/>
                <w:bCs/>
                <w:color w:val="auto"/>
                <w:kern w:val="0"/>
                <w:sz w:val="21"/>
                <w:szCs w:val="21"/>
                <w:highlight w:val="none"/>
                <w:vertAlign w:val="baseline"/>
                <w:lang w:val="en-US" w:eastAsia="zh-CN"/>
              </w:rPr>
              <w:t>0.25t/a</w:t>
            </w:r>
          </w:p>
        </w:tc>
        <w:tc>
          <w:tcPr>
            <w:tcW w:w="1761" w:type="dxa"/>
            <w:noWrap w:val="0"/>
            <w:vAlign w:val="center"/>
          </w:tcPr>
          <w:p w14:paraId="74B12B99">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auto"/>
                <w:kern w:val="21"/>
                <w:sz w:val="21"/>
                <w:szCs w:val="21"/>
                <w:highlight w:val="none"/>
                <w:lang w:val="en-US" w:eastAsia="zh-CN" w:bidi="ar-SA"/>
              </w:rPr>
            </w:pPr>
            <w:r>
              <w:rPr>
                <w:rFonts w:hint="eastAsia" w:ascii="宋体" w:hAnsi="宋体" w:eastAsia="宋体" w:cs="宋体"/>
                <w:snapToGrid w:val="0"/>
                <w:color w:val="auto"/>
                <w:kern w:val="21"/>
                <w:sz w:val="21"/>
                <w:szCs w:val="21"/>
                <w:highlight w:val="none"/>
                <w:lang w:val="en-US" w:eastAsia="zh-CN" w:bidi="ar-SA"/>
              </w:rPr>
              <w:t>—</w:t>
            </w:r>
          </w:p>
        </w:tc>
        <w:tc>
          <w:tcPr>
            <w:tcW w:w="1792" w:type="dxa"/>
            <w:noWrap w:val="0"/>
            <w:vAlign w:val="center"/>
          </w:tcPr>
          <w:p w14:paraId="1B4879E2">
            <w:pPr>
              <w:keepNext w:val="0"/>
              <w:keepLines w:val="0"/>
              <w:pageBreakBefore w:val="0"/>
              <w:widowControl w:val="0"/>
              <w:kinsoku/>
              <w:wordWrap/>
              <w:overflowPunct/>
              <w:topLinePunct w:val="0"/>
              <w:bidi w:val="0"/>
              <w:adjustRightInd w:val="0"/>
              <w:snapToGrid w:val="0"/>
              <w:spacing w:line="240" w:lineRule="auto"/>
              <w:jc w:val="center"/>
              <w:textAlignment w:val="auto"/>
              <w:rPr>
                <w:rFonts w:hint="default" w:ascii="Times New Roman" w:hAnsi="Times New Roman" w:eastAsia="宋体" w:cs="Times New Roman"/>
                <w:snapToGrid w:val="0"/>
                <w:color w:val="auto"/>
                <w:kern w:val="21"/>
                <w:sz w:val="21"/>
                <w:szCs w:val="21"/>
                <w:highlight w:val="none"/>
                <w:lang w:val="en-US" w:eastAsia="zh-CN" w:bidi="ar-SA"/>
              </w:rPr>
            </w:pPr>
            <w:r>
              <w:rPr>
                <w:rFonts w:hint="eastAsia" w:ascii="Times New Roman" w:hAnsi="Times New Roman" w:eastAsia="宋体" w:cs="Times New Roman"/>
                <w:snapToGrid w:val="0"/>
                <w:color w:val="auto"/>
                <w:kern w:val="21"/>
                <w:sz w:val="21"/>
                <w:szCs w:val="21"/>
                <w:highlight w:val="none"/>
                <w:lang w:val="en-US" w:eastAsia="zh-CN" w:bidi="ar-SA"/>
              </w:rPr>
              <w:t>0.25t/a</w:t>
            </w:r>
          </w:p>
        </w:tc>
        <w:tc>
          <w:tcPr>
            <w:tcW w:w="993" w:type="dxa"/>
            <w:noWrap w:val="0"/>
            <w:vAlign w:val="center"/>
          </w:tcPr>
          <w:p w14:paraId="231D9A9D">
            <w:pPr>
              <w:pStyle w:val="46"/>
              <w:keepNext w:val="0"/>
              <w:keepLines w:val="0"/>
              <w:pageBreakBefore w:val="0"/>
              <w:widowControl w:val="0"/>
              <w:kinsoku/>
              <w:wordWrap/>
              <w:overflowPunct/>
              <w:topLinePunct w:val="0"/>
              <w:bidi w:val="0"/>
              <w:spacing w:beforeLines="0" w:afterLines="0" w:line="240" w:lineRule="auto"/>
              <w:textAlignment w:val="auto"/>
              <w:rPr>
                <w:rFonts w:hint="default" w:ascii="Times New Roman" w:hAnsi="Times New Roman" w:eastAsia="宋体" w:cs="Times New Roman"/>
                <w:snapToGrid w:val="0"/>
                <w:color w:val="000000"/>
                <w:kern w:val="21"/>
                <w:sz w:val="21"/>
                <w:szCs w:val="21"/>
                <w:highlight w:val="none"/>
                <w:lang w:val="en-US" w:eastAsia="zh-CN" w:bidi="ar-SA"/>
              </w:rPr>
            </w:pPr>
            <w:r>
              <w:rPr>
                <w:rFonts w:hint="default" w:ascii="Times New Roman" w:hAnsi="Times New Roman" w:eastAsia="宋体" w:cs="Times New Roman"/>
                <w:snapToGrid w:val="0"/>
                <w:color w:val="000000"/>
                <w:kern w:val="21"/>
                <w:sz w:val="21"/>
                <w:szCs w:val="21"/>
                <w:highlight w:val="none"/>
                <w:lang w:val="en-US" w:eastAsia="zh-CN" w:bidi="ar-SA"/>
              </w:rPr>
              <w:t>0</w:t>
            </w:r>
          </w:p>
        </w:tc>
      </w:tr>
      <w:tr w14:paraId="47A96C6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Merge w:val="continue"/>
            <w:noWrap w:val="0"/>
            <w:vAlign w:val="center"/>
          </w:tcPr>
          <w:p w14:paraId="3A1F2C9E">
            <w:pPr>
              <w:pStyle w:val="46"/>
              <w:keepNext w:val="0"/>
              <w:keepLines w:val="0"/>
              <w:pageBreakBefore w:val="0"/>
              <w:widowControl w:val="0"/>
              <w:kinsoku/>
              <w:wordWrap/>
              <w:overflowPunct/>
              <w:topLinePunct w:val="0"/>
              <w:bidi w:val="0"/>
              <w:spacing w:beforeLines="0" w:afterLines="0" w:line="240" w:lineRule="auto"/>
              <w:textAlignment w:val="auto"/>
              <w:rPr>
                <w:rFonts w:hAnsi="宋体" w:cs="宋体"/>
                <w:snapToGrid w:val="0"/>
                <w:color w:val="000000"/>
                <w:kern w:val="21"/>
                <w:sz w:val="21"/>
                <w:szCs w:val="21"/>
                <w:highlight w:val="none"/>
              </w:rPr>
            </w:pPr>
          </w:p>
        </w:tc>
        <w:tc>
          <w:tcPr>
            <w:tcW w:w="1417" w:type="dxa"/>
            <w:noWrap w:val="0"/>
            <w:vAlign w:val="center"/>
          </w:tcPr>
          <w:p w14:paraId="49B16854">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eastAsia="宋体" w:cs="宋体"/>
                <w:snapToGrid w:val="0"/>
                <w:color w:val="000000"/>
                <w:kern w:val="21"/>
                <w:sz w:val="21"/>
                <w:szCs w:val="21"/>
                <w:highlight w:val="none"/>
                <w:lang w:val="en-US" w:eastAsia="zh-CN"/>
              </w:rPr>
            </w:pPr>
            <w:r>
              <w:rPr>
                <w:rFonts w:hint="eastAsia" w:hAnsi="宋体" w:cs="宋体"/>
                <w:snapToGrid w:val="0"/>
                <w:color w:val="000000"/>
                <w:kern w:val="21"/>
                <w:sz w:val="21"/>
                <w:szCs w:val="21"/>
                <w:highlight w:val="none"/>
                <w:lang w:val="en-US" w:eastAsia="zh-CN"/>
              </w:rPr>
              <w:t>除尘灰</w:t>
            </w:r>
          </w:p>
        </w:tc>
        <w:tc>
          <w:tcPr>
            <w:tcW w:w="1701" w:type="dxa"/>
            <w:noWrap w:val="0"/>
            <w:vAlign w:val="center"/>
          </w:tcPr>
          <w:p w14:paraId="359A7B93">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000000"/>
                <w:kern w:val="21"/>
                <w:sz w:val="21"/>
                <w:szCs w:val="21"/>
                <w:highlight w:val="none"/>
                <w:lang w:val="en-US" w:eastAsia="zh-CN"/>
              </w:rPr>
            </w:pPr>
            <w:r>
              <w:rPr>
                <w:rFonts w:hint="eastAsia" w:ascii="宋体" w:hAnsi="宋体" w:eastAsia="宋体" w:cs="宋体"/>
                <w:snapToGrid w:val="0"/>
                <w:color w:val="000000"/>
                <w:kern w:val="21"/>
                <w:sz w:val="21"/>
                <w:szCs w:val="21"/>
                <w:highlight w:val="none"/>
                <w:lang w:eastAsia="zh-CN"/>
              </w:rPr>
              <w:t>—</w:t>
            </w:r>
          </w:p>
        </w:tc>
        <w:tc>
          <w:tcPr>
            <w:tcW w:w="1276" w:type="dxa"/>
            <w:noWrap w:val="0"/>
            <w:vAlign w:val="center"/>
          </w:tcPr>
          <w:p w14:paraId="57476FE5">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000000"/>
                <w:kern w:val="21"/>
                <w:sz w:val="21"/>
                <w:szCs w:val="21"/>
                <w:highlight w:val="none"/>
                <w:lang w:val="en-US" w:eastAsia="zh-CN"/>
              </w:rPr>
            </w:pPr>
            <w:r>
              <w:rPr>
                <w:rFonts w:hint="eastAsia" w:ascii="宋体" w:hAnsi="宋体" w:eastAsia="宋体" w:cs="宋体"/>
                <w:snapToGrid w:val="0"/>
                <w:color w:val="000000"/>
                <w:kern w:val="21"/>
                <w:sz w:val="21"/>
                <w:szCs w:val="21"/>
                <w:highlight w:val="none"/>
                <w:lang w:eastAsia="zh-CN"/>
              </w:rPr>
              <w:t>—</w:t>
            </w:r>
          </w:p>
        </w:tc>
        <w:tc>
          <w:tcPr>
            <w:tcW w:w="1701" w:type="dxa"/>
            <w:noWrap w:val="0"/>
            <w:vAlign w:val="center"/>
          </w:tcPr>
          <w:p w14:paraId="195FD485">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000000"/>
                <w:kern w:val="21"/>
                <w:sz w:val="21"/>
                <w:szCs w:val="21"/>
                <w:highlight w:val="none"/>
                <w:lang w:val="en-US" w:eastAsia="zh-CN" w:bidi="ar-SA"/>
              </w:rPr>
            </w:pPr>
            <w:r>
              <w:rPr>
                <w:rFonts w:hint="eastAsia" w:hAnsi="宋体" w:cs="宋体"/>
                <w:snapToGrid w:val="0"/>
                <w:color w:val="000000"/>
                <w:kern w:val="21"/>
                <w:sz w:val="21"/>
                <w:szCs w:val="21"/>
                <w:highlight w:val="none"/>
                <w:lang w:eastAsia="zh-CN"/>
              </w:rPr>
              <w:t>—</w:t>
            </w:r>
          </w:p>
        </w:tc>
        <w:tc>
          <w:tcPr>
            <w:tcW w:w="1559" w:type="dxa"/>
            <w:noWrap w:val="0"/>
            <w:vAlign w:val="center"/>
          </w:tcPr>
          <w:p w14:paraId="3B5E1220">
            <w:pPr>
              <w:keepNext w:val="0"/>
              <w:keepLines w:val="0"/>
              <w:pageBreakBefore w:val="0"/>
              <w:widowControl w:val="0"/>
              <w:kinsoku/>
              <w:wordWrap/>
              <w:overflowPunct/>
              <w:topLinePunct w:val="0"/>
              <w:bidi w:val="0"/>
              <w:adjustRightInd w:val="0"/>
              <w:snapToGrid w:val="0"/>
              <w:spacing w:line="240" w:lineRule="auto"/>
              <w:jc w:val="center"/>
              <w:textAlignment w:val="auto"/>
              <w:rPr>
                <w:rFonts w:hint="default" w:ascii="Times New Roman" w:hAnsi="Times New Roman" w:eastAsia="宋体" w:cs="Times New Roman"/>
                <w:snapToGrid w:val="0"/>
                <w:color w:val="auto"/>
                <w:kern w:val="21"/>
                <w:sz w:val="21"/>
                <w:szCs w:val="21"/>
                <w:highlight w:val="none"/>
                <w:lang w:val="en-US" w:eastAsia="zh-CN" w:bidi="ar-SA"/>
              </w:rPr>
            </w:pPr>
            <w:r>
              <w:rPr>
                <w:rFonts w:hint="eastAsia" w:cs="Times New Roman"/>
                <w:b w:val="0"/>
                <w:bCs/>
                <w:color w:val="auto"/>
                <w:kern w:val="0"/>
                <w:sz w:val="21"/>
                <w:szCs w:val="21"/>
                <w:highlight w:val="none"/>
                <w:vertAlign w:val="baseline"/>
                <w:lang w:val="en-US" w:eastAsia="zh-CN"/>
              </w:rPr>
              <w:t>578.9t/a</w:t>
            </w:r>
          </w:p>
        </w:tc>
        <w:tc>
          <w:tcPr>
            <w:tcW w:w="1761" w:type="dxa"/>
            <w:noWrap w:val="0"/>
            <w:vAlign w:val="center"/>
          </w:tcPr>
          <w:p w14:paraId="7C7342CD">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auto"/>
                <w:kern w:val="21"/>
                <w:sz w:val="21"/>
                <w:szCs w:val="21"/>
                <w:highlight w:val="none"/>
                <w:lang w:val="en-US" w:eastAsia="zh-CN" w:bidi="ar-SA"/>
              </w:rPr>
            </w:pPr>
            <w:r>
              <w:rPr>
                <w:rFonts w:hint="eastAsia" w:hAnsi="宋体" w:cs="宋体"/>
                <w:snapToGrid w:val="0"/>
                <w:color w:val="auto"/>
                <w:kern w:val="21"/>
                <w:sz w:val="21"/>
                <w:szCs w:val="21"/>
                <w:highlight w:val="none"/>
                <w:lang w:eastAsia="zh-CN"/>
              </w:rPr>
              <w:t>—</w:t>
            </w:r>
          </w:p>
        </w:tc>
        <w:tc>
          <w:tcPr>
            <w:tcW w:w="1792" w:type="dxa"/>
            <w:noWrap w:val="0"/>
            <w:vAlign w:val="center"/>
          </w:tcPr>
          <w:p w14:paraId="424B4452">
            <w:pPr>
              <w:keepNext w:val="0"/>
              <w:keepLines w:val="0"/>
              <w:pageBreakBefore w:val="0"/>
              <w:widowControl w:val="0"/>
              <w:kinsoku/>
              <w:wordWrap/>
              <w:overflowPunct/>
              <w:topLinePunct w:val="0"/>
              <w:bidi w:val="0"/>
              <w:adjustRightInd w:val="0"/>
              <w:snapToGrid w:val="0"/>
              <w:spacing w:line="240" w:lineRule="auto"/>
              <w:jc w:val="center"/>
              <w:textAlignment w:val="auto"/>
              <w:rPr>
                <w:rFonts w:hint="default" w:ascii="Times New Roman" w:hAnsi="Times New Roman" w:eastAsia="宋体" w:cs="Times New Roman"/>
                <w:snapToGrid w:val="0"/>
                <w:color w:val="auto"/>
                <w:kern w:val="21"/>
                <w:sz w:val="21"/>
                <w:szCs w:val="21"/>
                <w:highlight w:val="none"/>
                <w:lang w:val="en-US" w:eastAsia="zh-CN" w:bidi="ar-SA"/>
              </w:rPr>
            </w:pPr>
            <w:r>
              <w:rPr>
                <w:rFonts w:hint="eastAsia" w:ascii="Times New Roman" w:hAnsi="Times New Roman" w:eastAsia="宋体" w:cs="Times New Roman"/>
                <w:snapToGrid w:val="0"/>
                <w:color w:val="auto"/>
                <w:kern w:val="21"/>
                <w:sz w:val="21"/>
                <w:szCs w:val="21"/>
                <w:highlight w:val="none"/>
                <w:lang w:val="en-US" w:eastAsia="zh-CN" w:bidi="ar-SA"/>
              </w:rPr>
              <w:t>578.9t/a</w:t>
            </w:r>
          </w:p>
        </w:tc>
        <w:tc>
          <w:tcPr>
            <w:tcW w:w="993" w:type="dxa"/>
            <w:noWrap w:val="0"/>
            <w:vAlign w:val="center"/>
          </w:tcPr>
          <w:p w14:paraId="4D8999AD">
            <w:pPr>
              <w:pStyle w:val="46"/>
              <w:keepNext w:val="0"/>
              <w:keepLines w:val="0"/>
              <w:pageBreakBefore w:val="0"/>
              <w:widowControl w:val="0"/>
              <w:kinsoku/>
              <w:wordWrap/>
              <w:overflowPunct/>
              <w:topLinePunct w:val="0"/>
              <w:bidi w:val="0"/>
              <w:spacing w:beforeLines="0" w:afterLines="0" w:line="240" w:lineRule="auto"/>
              <w:textAlignment w:val="auto"/>
              <w:rPr>
                <w:rFonts w:hint="default" w:ascii="Times New Roman" w:hAnsi="Times New Roman" w:eastAsia="宋体" w:cs="Times New Roman"/>
                <w:snapToGrid w:val="0"/>
                <w:color w:val="000000"/>
                <w:kern w:val="21"/>
                <w:sz w:val="21"/>
                <w:szCs w:val="21"/>
                <w:highlight w:val="none"/>
                <w:lang w:val="en-US" w:eastAsia="zh-CN" w:bidi="ar-SA"/>
              </w:rPr>
            </w:pPr>
            <w:r>
              <w:rPr>
                <w:rFonts w:hint="default" w:ascii="Times New Roman" w:hAnsi="Times New Roman" w:eastAsia="宋体" w:cs="Times New Roman"/>
                <w:snapToGrid w:val="0"/>
                <w:color w:val="000000"/>
                <w:kern w:val="21"/>
                <w:sz w:val="21"/>
                <w:szCs w:val="21"/>
                <w:highlight w:val="none"/>
                <w:lang w:val="en-US" w:eastAsia="zh-CN" w:bidi="ar-SA"/>
              </w:rPr>
              <w:t>0</w:t>
            </w:r>
          </w:p>
        </w:tc>
      </w:tr>
      <w:tr w14:paraId="6DB08F8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Merge w:val="continue"/>
            <w:noWrap w:val="0"/>
            <w:vAlign w:val="center"/>
          </w:tcPr>
          <w:p w14:paraId="40B60991">
            <w:pPr>
              <w:pStyle w:val="46"/>
              <w:keepNext w:val="0"/>
              <w:keepLines w:val="0"/>
              <w:pageBreakBefore w:val="0"/>
              <w:widowControl w:val="0"/>
              <w:kinsoku/>
              <w:wordWrap/>
              <w:overflowPunct/>
              <w:topLinePunct w:val="0"/>
              <w:bidi w:val="0"/>
              <w:spacing w:beforeLines="0" w:afterLines="0" w:line="240" w:lineRule="auto"/>
              <w:textAlignment w:val="auto"/>
              <w:rPr>
                <w:rFonts w:hAnsi="宋体" w:cs="宋体"/>
                <w:snapToGrid w:val="0"/>
                <w:color w:val="000000"/>
                <w:kern w:val="21"/>
                <w:sz w:val="21"/>
                <w:szCs w:val="21"/>
                <w:highlight w:val="none"/>
              </w:rPr>
            </w:pPr>
          </w:p>
        </w:tc>
        <w:tc>
          <w:tcPr>
            <w:tcW w:w="1417" w:type="dxa"/>
            <w:noWrap w:val="0"/>
            <w:vAlign w:val="center"/>
          </w:tcPr>
          <w:p w14:paraId="602A6001">
            <w:pPr>
              <w:pStyle w:val="46"/>
              <w:keepNext w:val="0"/>
              <w:keepLines w:val="0"/>
              <w:pageBreakBefore w:val="0"/>
              <w:widowControl w:val="0"/>
              <w:kinsoku/>
              <w:wordWrap/>
              <w:overflowPunct/>
              <w:topLinePunct w:val="0"/>
              <w:bidi w:val="0"/>
              <w:spacing w:beforeLines="0" w:afterLines="0" w:line="240" w:lineRule="auto"/>
              <w:textAlignment w:val="auto"/>
              <w:rPr>
                <w:rFonts w:hint="eastAsia" w:ascii="宋体" w:hAnsi="宋体" w:eastAsia="宋体" w:cs="宋体"/>
                <w:snapToGrid w:val="0"/>
                <w:color w:val="000000"/>
                <w:kern w:val="21"/>
                <w:sz w:val="21"/>
                <w:szCs w:val="21"/>
                <w:highlight w:val="none"/>
                <w:lang w:val="en-US" w:eastAsia="zh-CN" w:bidi="ar-SA"/>
              </w:rPr>
            </w:pPr>
            <w:r>
              <w:rPr>
                <w:rFonts w:hint="eastAsia" w:hAnsi="宋体" w:cs="宋体"/>
                <w:snapToGrid w:val="0"/>
                <w:color w:val="000000"/>
                <w:kern w:val="21"/>
                <w:sz w:val="21"/>
                <w:szCs w:val="21"/>
                <w:highlight w:val="none"/>
                <w:lang w:val="en-US" w:eastAsia="zh-CN"/>
              </w:rPr>
              <w:t>生活垃圾</w:t>
            </w:r>
          </w:p>
        </w:tc>
        <w:tc>
          <w:tcPr>
            <w:tcW w:w="1701" w:type="dxa"/>
            <w:noWrap w:val="0"/>
            <w:vAlign w:val="center"/>
          </w:tcPr>
          <w:p w14:paraId="6FBBFE32">
            <w:pPr>
              <w:pStyle w:val="46"/>
              <w:keepNext w:val="0"/>
              <w:keepLines w:val="0"/>
              <w:pageBreakBefore w:val="0"/>
              <w:widowControl w:val="0"/>
              <w:kinsoku/>
              <w:wordWrap/>
              <w:overflowPunct/>
              <w:topLinePunct w:val="0"/>
              <w:bidi w:val="0"/>
              <w:spacing w:beforeLines="0" w:afterLines="0" w:line="240" w:lineRule="auto"/>
              <w:textAlignment w:val="auto"/>
              <w:rPr>
                <w:rFonts w:hint="eastAsia" w:ascii="宋体" w:hAnsi="宋体" w:eastAsia="宋体" w:cs="宋体"/>
                <w:snapToGrid w:val="0"/>
                <w:color w:val="000000"/>
                <w:kern w:val="21"/>
                <w:sz w:val="21"/>
                <w:szCs w:val="21"/>
                <w:highlight w:val="none"/>
                <w:lang w:val="en-US" w:eastAsia="zh-CN" w:bidi="ar-SA"/>
              </w:rPr>
            </w:pPr>
            <w:r>
              <w:rPr>
                <w:rFonts w:hint="eastAsia" w:ascii="宋体" w:hAnsi="宋体" w:eastAsia="宋体" w:cs="宋体"/>
                <w:snapToGrid w:val="0"/>
                <w:color w:val="000000"/>
                <w:kern w:val="21"/>
                <w:sz w:val="21"/>
                <w:szCs w:val="21"/>
                <w:highlight w:val="none"/>
                <w:lang w:eastAsia="zh-CN"/>
              </w:rPr>
              <w:t>—</w:t>
            </w:r>
          </w:p>
        </w:tc>
        <w:tc>
          <w:tcPr>
            <w:tcW w:w="1276" w:type="dxa"/>
            <w:noWrap w:val="0"/>
            <w:vAlign w:val="center"/>
          </w:tcPr>
          <w:p w14:paraId="0D88A63A">
            <w:pPr>
              <w:pStyle w:val="46"/>
              <w:keepNext w:val="0"/>
              <w:keepLines w:val="0"/>
              <w:pageBreakBefore w:val="0"/>
              <w:widowControl w:val="0"/>
              <w:kinsoku/>
              <w:wordWrap/>
              <w:overflowPunct/>
              <w:topLinePunct w:val="0"/>
              <w:bidi w:val="0"/>
              <w:spacing w:beforeLines="0" w:afterLines="0" w:line="240" w:lineRule="auto"/>
              <w:textAlignment w:val="auto"/>
              <w:rPr>
                <w:rFonts w:hint="eastAsia" w:ascii="宋体" w:hAnsi="宋体" w:eastAsia="宋体" w:cs="宋体"/>
                <w:snapToGrid w:val="0"/>
                <w:color w:val="000000"/>
                <w:kern w:val="21"/>
                <w:sz w:val="21"/>
                <w:szCs w:val="21"/>
                <w:highlight w:val="none"/>
                <w:lang w:val="en-US" w:eastAsia="zh-CN" w:bidi="ar-SA"/>
              </w:rPr>
            </w:pPr>
            <w:r>
              <w:rPr>
                <w:rFonts w:hint="eastAsia" w:ascii="宋体" w:hAnsi="宋体" w:eastAsia="宋体" w:cs="宋体"/>
                <w:snapToGrid w:val="0"/>
                <w:color w:val="000000"/>
                <w:kern w:val="21"/>
                <w:sz w:val="21"/>
                <w:szCs w:val="21"/>
                <w:highlight w:val="none"/>
                <w:lang w:eastAsia="zh-CN"/>
              </w:rPr>
              <w:t>—</w:t>
            </w:r>
          </w:p>
        </w:tc>
        <w:tc>
          <w:tcPr>
            <w:tcW w:w="1701" w:type="dxa"/>
            <w:noWrap w:val="0"/>
            <w:vAlign w:val="center"/>
          </w:tcPr>
          <w:p w14:paraId="11A06C59">
            <w:pPr>
              <w:pStyle w:val="46"/>
              <w:keepNext w:val="0"/>
              <w:keepLines w:val="0"/>
              <w:pageBreakBefore w:val="0"/>
              <w:widowControl w:val="0"/>
              <w:kinsoku/>
              <w:wordWrap/>
              <w:overflowPunct/>
              <w:topLinePunct w:val="0"/>
              <w:bidi w:val="0"/>
              <w:spacing w:beforeLines="0" w:afterLines="0" w:line="240" w:lineRule="auto"/>
              <w:textAlignment w:val="auto"/>
              <w:rPr>
                <w:rFonts w:hint="eastAsia" w:ascii="宋体" w:hAnsi="宋体" w:eastAsia="宋体" w:cs="宋体"/>
                <w:snapToGrid w:val="0"/>
                <w:color w:val="000000"/>
                <w:kern w:val="21"/>
                <w:sz w:val="21"/>
                <w:szCs w:val="21"/>
                <w:highlight w:val="none"/>
                <w:lang w:val="en-US" w:eastAsia="zh-CN" w:bidi="ar-SA"/>
              </w:rPr>
            </w:pPr>
            <w:r>
              <w:rPr>
                <w:rFonts w:hint="eastAsia" w:hAnsi="宋体" w:cs="宋体"/>
                <w:snapToGrid w:val="0"/>
                <w:color w:val="000000"/>
                <w:kern w:val="21"/>
                <w:sz w:val="21"/>
                <w:szCs w:val="21"/>
                <w:highlight w:val="none"/>
                <w:lang w:eastAsia="zh-CN"/>
              </w:rPr>
              <w:t>—</w:t>
            </w:r>
          </w:p>
        </w:tc>
        <w:tc>
          <w:tcPr>
            <w:tcW w:w="1559" w:type="dxa"/>
            <w:noWrap w:val="0"/>
            <w:vAlign w:val="center"/>
          </w:tcPr>
          <w:p w14:paraId="6A5D1DED">
            <w:pPr>
              <w:keepNext w:val="0"/>
              <w:keepLines w:val="0"/>
              <w:pageBreakBefore w:val="0"/>
              <w:widowControl w:val="0"/>
              <w:kinsoku/>
              <w:wordWrap/>
              <w:overflowPunct/>
              <w:topLinePunct w:val="0"/>
              <w:bidi w:val="0"/>
              <w:adjustRightInd w:val="0"/>
              <w:snapToGrid w:val="0"/>
              <w:spacing w:line="240" w:lineRule="auto"/>
              <w:jc w:val="center"/>
              <w:textAlignment w:val="auto"/>
              <w:rPr>
                <w:rFonts w:hint="eastAsia" w:ascii="Times New Roman" w:hAnsi="Times New Roman" w:eastAsia="宋体" w:cs="Times New Roman"/>
                <w:snapToGrid w:val="0"/>
                <w:color w:val="auto"/>
                <w:kern w:val="21"/>
                <w:sz w:val="21"/>
                <w:szCs w:val="21"/>
                <w:highlight w:val="none"/>
                <w:lang w:val="en-US" w:eastAsia="zh-CN" w:bidi="ar-SA"/>
              </w:rPr>
            </w:pPr>
            <w:r>
              <w:rPr>
                <w:rFonts w:hint="eastAsia" w:cs="Times New Roman"/>
                <w:b w:val="0"/>
                <w:bCs/>
                <w:color w:val="auto"/>
                <w:kern w:val="0"/>
                <w:sz w:val="21"/>
                <w:szCs w:val="21"/>
                <w:highlight w:val="none"/>
                <w:vertAlign w:val="baseline"/>
                <w:lang w:val="en-US" w:eastAsia="zh-CN"/>
              </w:rPr>
              <w:t>13.5</w:t>
            </w:r>
            <w:r>
              <w:rPr>
                <w:rFonts w:hint="default" w:cs="Times New Roman"/>
                <w:b w:val="0"/>
                <w:bCs/>
                <w:color w:val="auto"/>
                <w:kern w:val="0"/>
                <w:sz w:val="21"/>
                <w:szCs w:val="21"/>
                <w:highlight w:val="none"/>
                <w:vertAlign w:val="baseline"/>
                <w:lang w:val="en-US" w:eastAsia="zh-CN"/>
              </w:rPr>
              <w:t>t/a</w:t>
            </w:r>
          </w:p>
        </w:tc>
        <w:tc>
          <w:tcPr>
            <w:tcW w:w="1761" w:type="dxa"/>
            <w:noWrap w:val="0"/>
            <w:vAlign w:val="center"/>
          </w:tcPr>
          <w:p w14:paraId="4B0EF997">
            <w:pPr>
              <w:pStyle w:val="46"/>
              <w:keepNext w:val="0"/>
              <w:keepLines w:val="0"/>
              <w:pageBreakBefore w:val="0"/>
              <w:widowControl w:val="0"/>
              <w:kinsoku/>
              <w:wordWrap/>
              <w:overflowPunct/>
              <w:topLinePunct w:val="0"/>
              <w:bidi w:val="0"/>
              <w:spacing w:beforeLines="0" w:afterLines="0" w:line="240" w:lineRule="auto"/>
              <w:textAlignment w:val="auto"/>
              <w:rPr>
                <w:rFonts w:hint="eastAsia" w:ascii="宋体" w:hAnsi="宋体" w:eastAsia="宋体" w:cs="宋体"/>
                <w:snapToGrid w:val="0"/>
                <w:color w:val="auto"/>
                <w:kern w:val="21"/>
                <w:sz w:val="21"/>
                <w:szCs w:val="21"/>
                <w:highlight w:val="none"/>
                <w:lang w:val="en-US" w:eastAsia="zh-CN" w:bidi="ar-SA"/>
              </w:rPr>
            </w:pPr>
            <w:r>
              <w:rPr>
                <w:rFonts w:hint="eastAsia" w:hAnsi="宋体" w:cs="宋体"/>
                <w:snapToGrid w:val="0"/>
                <w:color w:val="auto"/>
                <w:kern w:val="21"/>
                <w:sz w:val="21"/>
                <w:szCs w:val="21"/>
                <w:highlight w:val="none"/>
                <w:lang w:eastAsia="zh-CN"/>
              </w:rPr>
              <w:t>—</w:t>
            </w:r>
          </w:p>
        </w:tc>
        <w:tc>
          <w:tcPr>
            <w:tcW w:w="1792" w:type="dxa"/>
            <w:noWrap w:val="0"/>
            <w:vAlign w:val="center"/>
          </w:tcPr>
          <w:p w14:paraId="6BE47550">
            <w:pPr>
              <w:keepNext w:val="0"/>
              <w:keepLines w:val="0"/>
              <w:pageBreakBefore w:val="0"/>
              <w:widowControl w:val="0"/>
              <w:kinsoku/>
              <w:wordWrap/>
              <w:overflowPunct/>
              <w:topLinePunct w:val="0"/>
              <w:bidi w:val="0"/>
              <w:adjustRightInd w:val="0"/>
              <w:snapToGrid w:val="0"/>
              <w:spacing w:line="240" w:lineRule="auto"/>
              <w:jc w:val="center"/>
              <w:textAlignment w:val="auto"/>
              <w:rPr>
                <w:rFonts w:hint="eastAsia" w:ascii="Times New Roman" w:hAnsi="Times New Roman" w:eastAsia="宋体" w:cs="Times New Roman"/>
                <w:b w:val="0"/>
                <w:bCs/>
                <w:color w:val="auto"/>
                <w:kern w:val="0"/>
                <w:sz w:val="21"/>
                <w:szCs w:val="21"/>
                <w:highlight w:val="none"/>
                <w:vertAlign w:val="baseline"/>
                <w:lang w:val="en-US" w:eastAsia="zh-CN" w:bidi="ar-SA"/>
              </w:rPr>
            </w:pPr>
            <w:r>
              <w:rPr>
                <w:rFonts w:hint="eastAsia" w:cs="Times New Roman"/>
                <w:b w:val="0"/>
                <w:bCs/>
                <w:color w:val="auto"/>
                <w:kern w:val="0"/>
                <w:sz w:val="21"/>
                <w:szCs w:val="21"/>
                <w:highlight w:val="none"/>
                <w:vertAlign w:val="baseline"/>
                <w:lang w:val="en-US" w:eastAsia="zh-CN"/>
              </w:rPr>
              <w:t>13.5</w:t>
            </w:r>
            <w:r>
              <w:rPr>
                <w:rFonts w:hint="default" w:cs="Times New Roman"/>
                <w:b w:val="0"/>
                <w:bCs/>
                <w:color w:val="auto"/>
                <w:kern w:val="0"/>
                <w:sz w:val="21"/>
                <w:szCs w:val="21"/>
                <w:highlight w:val="none"/>
                <w:vertAlign w:val="baseline"/>
                <w:lang w:val="en-US" w:eastAsia="zh-CN"/>
              </w:rPr>
              <w:t>t/a</w:t>
            </w:r>
          </w:p>
        </w:tc>
        <w:tc>
          <w:tcPr>
            <w:tcW w:w="993" w:type="dxa"/>
            <w:noWrap w:val="0"/>
            <w:vAlign w:val="center"/>
          </w:tcPr>
          <w:p w14:paraId="6EC45522">
            <w:pPr>
              <w:pStyle w:val="46"/>
              <w:keepNext w:val="0"/>
              <w:keepLines w:val="0"/>
              <w:pageBreakBefore w:val="0"/>
              <w:widowControl w:val="0"/>
              <w:kinsoku/>
              <w:wordWrap/>
              <w:overflowPunct/>
              <w:topLinePunct w:val="0"/>
              <w:bidi w:val="0"/>
              <w:spacing w:beforeLines="0" w:afterLines="0" w:line="240" w:lineRule="auto"/>
              <w:textAlignment w:val="auto"/>
              <w:rPr>
                <w:rFonts w:hint="default" w:ascii="Times New Roman" w:hAnsi="Times New Roman" w:eastAsia="宋体" w:cs="Times New Roman"/>
                <w:snapToGrid w:val="0"/>
                <w:color w:val="000000"/>
                <w:kern w:val="21"/>
                <w:sz w:val="21"/>
                <w:szCs w:val="21"/>
                <w:highlight w:val="none"/>
                <w:lang w:val="en-US" w:eastAsia="zh-CN" w:bidi="ar-SA"/>
              </w:rPr>
            </w:pPr>
            <w:r>
              <w:rPr>
                <w:rFonts w:hint="default" w:ascii="Times New Roman" w:hAnsi="Times New Roman" w:cs="Times New Roman"/>
                <w:snapToGrid w:val="0"/>
                <w:color w:val="000000"/>
                <w:kern w:val="21"/>
                <w:sz w:val="21"/>
                <w:szCs w:val="21"/>
                <w:highlight w:val="none"/>
                <w:lang w:val="en-US" w:eastAsia="zh-CN"/>
              </w:rPr>
              <w:t>0</w:t>
            </w:r>
          </w:p>
        </w:tc>
      </w:tr>
      <w:tr w14:paraId="6B018F4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Merge w:val="continue"/>
            <w:noWrap w:val="0"/>
            <w:vAlign w:val="center"/>
          </w:tcPr>
          <w:p w14:paraId="5EDE2C70">
            <w:pPr>
              <w:pStyle w:val="46"/>
              <w:keepNext w:val="0"/>
              <w:keepLines w:val="0"/>
              <w:pageBreakBefore w:val="0"/>
              <w:widowControl w:val="0"/>
              <w:kinsoku/>
              <w:wordWrap/>
              <w:overflowPunct/>
              <w:topLinePunct w:val="0"/>
              <w:bidi w:val="0"/>
              <w:spacing w:beforeLines="0" w:afterLines="0" w:line="240" w:lineRule="auto"/>
              <w:textAlignment w:val="auto"/>
              <w:rPr>
                <w:rFonts w:hAnsi="宋体" w:cs="宋体"/>
                <w:snapToGrid w:val="0"/>
                <w:color w:val="000000"/>
                <w:kern w:val="21"/>
                <w:sz w:val="21"/>
                <w:szCs w:val="21"/>
                <w:highlight w:val="none"/>
              </w:rPr>
            </w:pPr>
          </w:p>
        </w:tc>
        <w:tc>
          <w:tcPr>
            <w:tcW w:w="1417" w:type="dxa"/>
            <w:noWrap w:val="0"/>
            <w:vAlign w:val="center"/>
          </w:tcPr>
          <w:p w14:paraId="4297F846">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cs="宋体"/>
                <w:snapToGrid w:val="0"/>
                <w:color w:val="000000"/>
                <w:kern w:val="21"/>
                <w:sz w:val="21"/>
                <w:szCs w:val="21"/>
                <w:highlight w:val="none"/>
                <w:lang w:val="en-US" w:eastAsia="zh-CN"/>
              </w:rPr>
            </w:pPr>
            <w:r>
              <w:rPr>
                <w:rFonts w:hint="eastAsia" w:hAnsi="宋体" w:cs="宋体"/>
                <w:snapToGrid w:val="0"/>
                <w:color w:val="000000"/>
                <w:kern w:val="21"/>
                <w:sz w:val="21"/>
                <w:szCs w:val="21"/>
                <w:highlight w:val="none"/>
                <w:lang w:val="en-US" w:eastAsia="zh-CN"/>
              </w:rPr>
              <w:t>餐厨垃圾</w:t>
            </w:r>
          </w:p>
        </w:tc>
        <w:tc>
          <w:tcPr>
            <w:tcW w:w="1701" w:type="dxa"/>
            <w:noWrap w:val="0"/>
            <w:vAlign w:val="center"/>
          </w:tcPr>
          <w:p w14:paraId="31DF9D81">
            <w:pPr>
              <w:pStyle w:val="46"/>
              <w:keepNext w:val="0"/>
              <w:keepLines w:val="0"/>
              <w:pageBreakBefore w:val="0"/>
              <w:widowControl w:val="0"/>
              <w:kinsoku/>
              <w:wordWrap/>
              <w:overflowPunct/>
              <w:topLinePunct w:val="0"/>
              <w:bidi w:val="0"/>
              <w:spacing w:beforeLines="0" w:afterLines="0" w:line="240" w:lineRule="auto"/>
              <w:textAlignment w:val="auto"/>
              <w:rPr>
                <w:rFonts w:hint="eastAsia" w:ascii="宋体" w:hAnsi="宋体" w:eastAsia="宋体" w:cs="宋体"/>
                <w:snapToGrid w:val="0"/>
                <w:color w:val="000000"/>
                <w:kern w:val="21"/>
                <w:sz w:val="21"/>
                <w:szCs w:val="21"/>
                <w:highlight w:val="none"/>
                <w:lang w:eastAsia="zh-CN"/>
              </w:rPr>
            </w:pPr>
            <w:r>
              <w:rPr>
                <w:rFonts w:hint="eastAsia" w:ascii="宋体" w:hAnsi="宋体" w:eastAsia="宋体" w:cs="宋体"/>
                <w:snapToGrid w:val="0"/>
                <w:color w:val="000000"/>
                <w:kern w:val="21"/>
                <w:sz w:val="21"/>
                <w:szCs w:val="21"/>
                <w:highlight w:val="none"/>
                <w:lang w:eastAsia="zh-CN"/>
              </w:rPr>
              <w:t>—</w:t>
            </w:r>
          </w:p>
        </w:tc>
        <w:tc>
          <w:tcPr>
            <w:tcW w:w="1276" w:type="dxa"/>
            <w:noWrap w:val="0"/>
            <w:vAlign w:val="center"/>
          </w:tcPr>
          <w:p w14:paraId="67DDC1E9">
            <w:pPr>
              <w:pStyle w:val="46"/>
              <w:keepNext w:val="0"/>
              <w:keepLines w:val="0"/>
              <w:pageBreakBefore w:val="0"/>
              <w:widowControl w:val="0"/>
              <w:kinsoku/>
              <w:wordWrap/>
              <w:overflowPunct/>
              <w:topLinePunct w:val="0"/>
              <w:bidi w:val="0"/>
              <w:spacing w:beforeLines="0" w:afterLines="0" w:line="240" w:lineRule="auto"/>
              <w:textAlignment w:val="auto"/>
              <w:rPr>
                <w:rFonts w:hint="eastAsia" w:ascii="宋体" w:hAnsi="宋体" w:eastAsia="宋体" w:cs="宋体"/>
                <w:snapToGrid w:val="0"/>
                <w:color w:val="000000"/>
                <w:kern w:val="21"/>
                <w:sz w:val="21"/>
                <w:szCs w:val="21"/>
                <w:highlight w:val="none"/>
                <w:lang w:eastAsia="zh-CN"/>
              </w:rPr>
            </w:pPr>
            <w:r>
              <w:rPr>
                <w:rFonts w:hint="eastAsia" w:ascii="宋体" w:hAnsi="宋体" w:eastAsia="宋体" w:cs="宋体"/>
                <w:snapToGrid w:val="0"/>
                <w:color w:val="000000"/>
                <w:kern w:val="21"/>
                <w:sz w:val="21"/>
                <w:szCs w:val="21"/>
                <w:highlight w:val="none"/>
                <w:lang w:eastAsia="zh-CN"/>
              </w:rPr>
              <w:t>—</w:t>
            </w:r>
          </w:p>
        </w:tc>
        <w:tc>
          <w:tcPr>
            <w:tcW w:w="1701" w:type="dxa"/>
            <w:noWrap w:val="0"/>
            <w:vAlign w:val="center"/>
          </w:tcPr>
          <w:p w14:paraId="04901BCC">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cs="宋体"/>
                <w:snapToGrid w:val="0"/>
                <w:color w:val="000000"/>
                <w:kern w:val="21"/>
                <w:sz w:val="21"/>
                <w:szCs w:val="21"/>
                <w:highlight w:val="none"/>
                <w:lang w:eastAsia="zh-CN"/>
              </w:rPr>
            </w:pPr>
            <w:r>
              <w:rPr>
                <w:rFonts w:hint="eastAsia" w:hAnsi="宋体" w:cs="宋体"/>
                <w:snapToGrid w:val="0"/>
                <w:color w:val="000000"/>
                <w:kern w:val="21"/>
                <w:sz w:val="21"/>
                <w:szCs w:val="21"/>
                <w:highlight w:val="none"/>
                <w:lang w:eastAsia="zh-CN"/>
              </w:rPr>
              <w:t>—</w:t>
            </w:r>
          </w:p>
        </w:tc>
        <w:tc>
          <w:tcPr>
            <w:tcW w:w="1559" w:type="dxa"/>
            <w:noWrap w:val="0"/>
            <w:vAlign w:val="center"/>
          </w:tcPr>
          <w:p w14:paraId="7505D4AE">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bidi="ar-SA"/>
              </w:rPr>
            </w:pPr>
            <w:r>
              <w:rPr>
                <w:rFonts w:hint="eastAsia" w:ascii="Times New Roman" w:hAnsi="Times New Roman" w:eastAsia="宋体" w:cs="Times New Roman"/>
                <w:b w:val="0"/>
                <w:bCs/>
                <w:kern w:val="0"/>
                <w:sz w:val="21"/>
                <w:szCs w:val="21"/>
                <w:highlight w:val="none"/>
                <w:vertAlign w:val="baseline"/>
                <w:lang w:val="en-US" w:eastAsia="zh-CN"/>
              </w:rPr>
              <w:t>0.27</w:t>
            </w:r>
            <w:r>
              <w:rPr>
                <w:rFonts w:hint="default" w:ascii="Times New Roman" w:hAnsi="Times New Roman" w:eastAsia="宋体" w:cs="Times New Roman"/>
                <w:b w:val="0"/>
                <w:bCs/>
                <w:kern w:val="0"/>
                <w:sz w:val="21"/>
                <w:szCs w:val="21"/>
                <w:highlight w:val="none"/>
                <w:vertAlign w:val="baseline"/>
                <w:lang w:val="en-US" w:eastAsia="zh-CN"/>
              </w:rPr>
              <w:t>t/a</w:t>
            </w:r>
          </w:p>
        </w:tc>
        <w:tc>
          <w:tcPr>
            <w:tcW w:w="1761" w:type="dxa"/>
            <w:noWrap w:val="0"/>
            <w:vAlign w:val="center"/>
          </w:tcPr>
          <w:p w14:paraId="18DFD95A">
            <w:pPr>
              <w:pStyle w:val="46"/>
              <w:keepNext w:val="0"/>
              <w:keepLines w:val="0"/>
              <w:pageBreakBefore w:val="0"/>
              <w:widowControl w:val="0"/>
              <w:kinsoku/>
              <w:wordWrap/>
              <w:overflowPunct/>
              <w:topLinePunct w:val="0"/>
              <w:bidi w:val="0"/>
              <w:spacing w:beforeLines="0" w:afterLines="0" w:line="240" w:lineRule="auto"/>
              <w:textAlignment w:val="auto"/>
              <w:rPr>
                <w:rFonts w:hint="eastAsia" w:ascii="宋体" w:hAnsi="宋体" w:eastAsia="宋体" w:cs="宋体"/>
                <w:snapToGrid w:val="0"/>
                <w:color w:val="000000"/>
                <w:kern w:val="21"/>
                <w:sz w:val="21"/>
                <w:szCs w:val="21"/>
                <w:highlight w:val="none"/>
                <w:lang w:val="en-US" w:eastAsia="zh-CN" w:bidi="ar-SA"/>
              </w:rPr>
            </w:pPr>
            <w:r>
              <w:rPr>
                <w:rFonts w:hint="eastAsia" w:ascii="宋体" w:hAnsi="宋体" w:eastAsia="宋体" w:cs="宋体"/>
                <w:snapToGrid w:val="0"/>
                <w:color w:val="000000"/>
                <w:kern w:val="21"/>
                <w:sz w:val="21"/>
                <w:szCs w:val="21"/>
                <w:highlight w:val="none"/>
                <w:lang w:val="en-US" w:eastAsia="zh-CN" w:bidi="ar-SA"/>
              </w:rPr>
              <w:t>—</w:t>
            </w:r>
          </w:p>
        </w:tc>
        <w:tc>
          <w:tcPr>
            <w:tcW w:w="1792" w:type="dxa"/>
            <w:noWrap w:val="0"/>
            <w:vAlign w:val="center"/>
          </w:tcPr>
          <w:p w14:paraId="7D37655E">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kern w:val="0"/>
                <w:sz w:val="21"/>
                <w:szCs w:val="21"/>
                <w:highlight w:val="none"/>
                <w:vertAlign w:val="baseline"/>
                <w:lang w:val="en-US" w:eastAsia="zh-CN" w:bidi="ar-SA"/>
              </w:rPr>
            </w:pPr>
            <w:r>
              <w:rPr>
                <w:rFonts w:hint="eastAsia" w:ascii="Times New Roman" w:hAnsi="Times New Roman" w:eastAsia="宋体" w:cs="Times New Roman"/>
                <w:b w:val="0"/>
                <w:bCs/>
                <w:kern w:val="0"/>
                <w:sz w:val="21"/>
                <w:szCs w:val="21"/>
                <w:highlight w:val="none"/>
                <w:vertAlign w:val="baseline"/>
                <w:lang w:val="en-US" w:eastAsia="zh-CN"/>
              </w:rPr>
              <w:t>0.27</w:t>
            </w:r>
            <w:r>
              <w:rPr>
                <w:rFonts w:hint="default" w:ascii="Times New Roman" w:hAnsi="Times New Roman" w:eastAsia="宋体" w:cs="Times New Roman"/>
                <w:b w:val="0"/>
                <w:bCs/>
                <w:kern w:val="0"/>
                <w:sz w:val="21"/>
                <w:szCs w:val="21"/>
                <w:highlight w:val="none"/>
                <w:vertAlign w:val="baseline"/>
                <w:lang w:val="en-US" w:eastAsia="zh-CN"/>
              </w:rPr>
              <w:t>t/a</w:t>
            </w:r>
          </w:p>
        </w:tc>
        <w:tc>
          <w:tcPr>
            <w:tcW w:w="993" w:type="dxa"/>
            <w:noWrap w:val="0"/>
            <w:vAlign w:val="center"/>
          </w:tcPr>
          <w:p w14:paraId="01B50847">
            <w:pPr>
              <w:pStyle w:val="46"/>
              <w:keepNext w:val="0"/>
              <w:keepLines w:val="0"/>
              <w:pageBreakBefore w:val="0"/>
              <w:widowControl w:val="0"/>
              <w:kinsoku/>
              <w:wordWrap/>
              <w:overflowPunct/>
              <w:topLinePunct w:val="0"/>
              <w:bidi w:val="0"/>
              <w:spacing w:beforeLines="0" w:afterLines="0" w:line="240" w:lineRule="auto"/>
              <w:textAlignment w:val="auto"/>
              <w:rPr>
                <w:rFonts w:hint="default" w:ascii="Times New Roman" w:hAnsi="Times New Roman" w:eastAsia="宋体" w:cs="Times New Roman"/>
                <w:snapToGrid w:val="0"/>
                <w:color w:val="000000"/>
                <w:kern w:val="21"/>
                <w:sz w:val="21"/>
                <w:szCs w:val="21"/>
                <w:highlight w:val="none"/>
                <w:lang w:val="en-US" w:eastAsia="zh-CN" w:bidi="ar-SA"/>
              </w:rPr>
            </w:pPr>
            <w:r>
              <w:rPr>
                <w:rFonts w:hint="default" w:ascii="Times New Roman" w:hAnsi="Times New Roman" w:cs="Times New Roman"/>
                <w:snapToGrid w:val="0"/>
                <w:color w:val="000000"/>
                <w:kern w:val="21"/>
                <w:sz w:val="21"/>
                <w:szCs w:val="21"/>
                <w:highlight w:val="none"/>
                <w:lang w:val="en-US" w:eastAsia="zh-CN"/>
              </w:rPr>
              <w:t>0</w:t>
            </w:r>
          </w:p>
        </w:tc>
      </w:tr>
      <w:tr w14:paraId="3298E96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Merge w:val="continue"/>
            <w:noWrap w:val="0"/>
            <w:vAlign w:val="center"/>
          </w:tcPr>
          <w:p w14:paraId="44387B72">
            <w:pPr>
              <w:pStyle w:val="46"/>
              <w:keepNext w:val="0"/>
              <w:keepLines w:val="0"/>
              <w:pageBreakBefore w:val="0"/>
              <w:widowControl w:val="0"/>
              <w:kinsoku/>
              <w:wordWrap/>
              <w:overflowPunct/>
              <w:topLinePunct w:val="0"/>
              <w:bidi w:val="0"/>
              <w:spacing w:beforeLines="0" w:afterLines="0" w:line="240" w:lineRule="auto"/>
              <w:textAlignment w:val="auto"/>
              <w:rPr>
                <w:rFonts w:hAnsi="宋体" w:cs="宋体"/>
                <w:snapToGrid w:val="0"/>
                <w:color w:val="000000"/>
                <w:kern w:val="21"/>
                <w:sz w:val="21"/>
                <w:szCs w:val="21"/>
                <w:highlight w:val="none"/>
              </w:rPr>
            </w:pPr>
          </w:p>
        </w:tc>
        <w:tc>
          <w:tcPr>
            <w:tcW w:w="1417" w:type="dxa"/>
            <w:noWrap w:val="0"/>
            <w:vAlign w:val="center"/>
          </w:tcPr>
          <w:p w14:paraId="65ED6897">
            <w:pPr>
              <w:pStyle w:val="46"/>
              <w:keepNext w:val="0"/>
              <w:keepLines w:val="0"/>
              <w:pageBreakBefore w:val="0"/>
              <w:widowControl w:val="0"/>
              <w:kinsoku/>
              <w:wordWrap/>
              <w:overflowPunct/>
              <w:topLinePunct w:val="0"/>
              <w:bidi w:val="0"/>
              <w:spacing w:beforeLines="0" w:afterLines="0" w:line="240" w:lineRule="auto"/>
              <w:textAlignment w:val="auto"/>
              <w:rPr>
                <w:rFonts w:hint="default" w:hAnsi="宋体" w:cs="宋体"/>
                <w:snapToGrid w:val="0"/>
                <w:color w:val="000000"/>
                <w:kern w:val="21"/>
                <w:sz w:val="21"/>
                <w:szCs w:val="21"/>
                <w:highlight w:val="none"/>
                <w:lang w:val="en-US" w:eastAsia="zh-CN"/>
              </w:rPr>
            </w:pPr>
            <w:r>
              <w:rPr>
                <w:rFonts w:hint="eastAsia" w:hAnsi="宋体" w:cs="宋体"/>
                <w:snapToGrid w:val="0"/>
                <w:color w:val="000000"/>
                <w:kern w:val="21"/>
                <w:sz w:val="21"/>
                <w:szCs w:val="21"/>
                <w:highlight w:val="none"/>
                <w:lang w:val="en-US" w:eastAsia="zh-CN"/>
              </w:rPr>
              <w:t>废油脂</w:t>
            </w:r>
          </w:p>
        </w:tc>
        <w:tc>
          <w:tcPr>
            <w:tcW w:w="1701" w:type="dxa"/>
            <w:noWrap w:val="0"/>
            <w:vAlign w:val="center"/>
          </w:tcPr>
          <w:p w14:paraId="3BDB4415">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000000"/>
                <w:kern w:val="21"/>
                <w:sz w:val="21"/>
                <w:szCs w:val="21"/>
                <w:highlight w:val="none"/>
                <w:lang w:val="en-US" w:eastAsia="zh-CN"/>
              </w:rPr>
            </w:pPr>
            <w:r>
              <w:rPr>
                <w:rFonts w:hint="eastAsia" w:ascii="宋体" w:hAnsi="宋体" w:eastAsia="宋体" w:cs="宋体"/>
                <w:snapToGrid w:val="0"/>
                <w:color w:val="000000"/>
                <w:kern w:val="21"/>
                <w:sz w:val="21"/>
                <w:szCs w:val="21"/>
                <w:highlight w:val="none"/>
                <w:lang w:eastAsia="zh-CN"/>
              </w:rPr>
              <w:t>—</w:t>
            </w:r>
          </w:p>
        </w:tc>
        <w:tc>
          <w:tcPr>
            <w:tcW w:w="1276" w:type="dxa"/>
            <w:noWrap w:val="0"/>
            <w:vAlign w:val="center"/>
          </w:tcPr>
          <w:p w14:paraId="166B8FFF">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000000"/>
                <w:kern w:val="21"/>
                <w:sz w:val="21"/>
                <w:szCs w:val="21"/>
                <w:highlight w:val="none"/>
                <w:lang w:val="en-US" w:eastAsia="zh-CN"/>
              </w:rPr>
            </w:pPr>
            <w:r>
              <w:rPr>
                <w:rFonts w:hint="eastAsia" w:ascii="宋体" w:hAnsi="宋体" w:eastAsia="宋体" w:cs="宋体"/>
                <w:snapToGrid w:val="0"/>
                <w:color w:val="000000"/>
                <w:kern w:val="21"/>
                <w:sz w:val="21"/>
                <w:szCs w:val="21"/>
                <w:highlight w:val="none"/>
                <w:lang w:eastAsia="zh-CN"/>
              </w:rPr>
              <w:t>—</w:t>
            </w:r>
          </w:p>
        </w:tc>
        <w:tc>
          <w:tcPr>
            <w:tcW w:w="1701" w:type="dxa"/>
            <w:noWrap w:val="0"/>
            <w:vAlign w:val="center"/>
          </w:tcPr>
          <w:p w14:paraId="7CAA4286">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000000"/>
                <w:kern w:val="21"/>
                <w:sz w:val="21"/>
                <w:szCs w:val="21"/>
                <w:highlight w:val="none"/>
                <w:lang w:val="en-US" w:eastAsia="zh-CN" w:bidi="ar-SA"/>
              </w:rPr>
            </w:pPr>
            <w:r>
              <w:rPr>
                <w:rFonts w:hint="eastAsia" w:hAnsi="宋体" w:cs="宋体"/>
                <w:snapToGrid w:val="0"/>
                <w:color w:val="000000"/>
                <w:kern w:val="21"/>
                <w:sz w:val="21"/>
                <w:szCs w:val="21"/>
                <w:highlight w:val="none"/>
                <w:lang w:eastAsia="zh-CN"/>
              </w:rPr>
              <w:t>—</w:t>
            </w:r>
          </w:p>
        </w:tc>
        <w:tc>
          <w:tcPr>
            <w:tcW w:w="1559" w:type="dxa"/>
            <w:noWrap w:val="0"/>
            <w:vAlign w:val="center"/>
          </w:tcPr>
          <w:p w14:paraId="19D9ED0D">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bidi="ar-SA"/>
              </w:rPr>
            </w:pPr>
            <w:r>
              <w:rPr>
                <w:rFonts w:hint="eastAsia" w:ascii="Times New Roman" w:hAnsi="Times New Roman" w:eastAsia="宋体" w:cs="Times New Roman"/>
                <w:b w:val="0"/>
                <w:bCs/>
                <w:kern w:val="0"/>
                <w:sz w:val="21"/>
                <w:szCs w:val="21"/>
                <w:highlight w:val="none"/>
                <w:vertAlign w:val="baseline"/>
                <w:lang w:val="en-US" w:eastAsia="zh-CN"/>
              </w:rPr>
              <w:t>4.05</w:t>
            </w:r>
            <w:r>
              <w:rPr>
                <w:rFonts w:hint="default" w:ascii="Times New Roman" w:hAnsi="Times New Roman" w:eastAsia="宋体" w:cs="Times New Roman"/>
                <w:b w:val="0"/>
                <w:bCs/>
                <w:kern w:val="0"/>
                <w:sz w:val="21"/>
                <w:szCs w:val="21"/>
                <w:highlight w:val="none"/>
                <w:vertAlign w:val="baseline"/>
                <w:lang w:val="en-US" w:eastAsia="zh-CN"/>
              </w:rPr>
              <w:t>t/a</w:t>
            </w:r>
          </w:p>
        </w:tc>
        <w:tc>
          <w:tcPr>
            <w:tcW w:w="1761" w:type="dxa"/>
            <w:noWrap w:val="0"/>
            <w:vAlign w:val="center"/>
          </w:tcPr>
          <w:p w14:paraId="488696FA">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000000"/>
                <w:kern w:val="21"/>
                <w:sz w:val="21"/>
                <w:szCs w:val="21"/>
                <w:highlight w:val="none"/>
                <w:lang w:val="en-US" w:eastAsia="zh-CN" w:bidi="ar-SA"/>
              </w:rPr>
            </w:pPr>
            <w:r>
              <w:rPr>
                <w:rFonts w:hint="eastAsia" w:ascii="宋体" w:hAnsi="宋体" w:eastAsia="宋体" w:cs="宋体"/>
                <w:snapToGrid w:val="0"/>
                <w:color w:val="000000"/>
                <w:kern w:val="21"/>
                <w:sz w:val="21"/>
                <w:szCs w:val="21"/>
                <w:highlight w:val="none"/>
                <w:lang w:val="en-US" w:eastAsia="zh-CN" w:bidi="ar-SA"/>
              </w:rPr>
              <w:t>—</w:t>
            </w:r>
          </w:p>
        </w:tc>
        <w:tc>
          <w:tcPr>
            <w:tcW w:w="1792" w:type="dxa"/>
            <w:noWrap w:val="0"/>
            <w:vAlign w:val="center"/>
          </w:tcPr>
          <w:p w14:paraId="3944A9E9">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kern w:val="0"/>
                <w:sz w:val="21"/>
                <w:szCs w:val="21"/>
                <w:highlight w:val="none"/>
                <w:vertAlign w:val="baseline"/>
                <w:lang w:val="en-US" w:eastAsia="zh-CN" w:bidi="ar-SA"/>
              </w:rPr>
            </w:pPr>
            <w:r>
              <w:rPr>
                <w:rFonts w:hint="eastAsia" w:ascii="Times New Roman" w:hAnsi="Times New Roman" w:eastAsia="宋体" w:cs="Times New Roman"/>
                <w:b w:val="0"/>
                <w:bCs/>
                <w:kern w:val="0"/>
                <w:sz w:val="21"/>
                <w:szCs w:val="21"/>
                <w:highlight w:val="none"/>
                <w:vertAlign w:val="baseline"/>
                <w:lang w:val="en-US" w:eastAsia="zh-CN"/>
              </w:rPr>
              <w:t>4.05</w:t>
            </w:r>
            <w:r>
              <w:rPr>
                <w:rFonts w:hint="default" w:ascii="Times New Roman" w:hAnsi="Times New Roman" w:eastAsia="宋体" w:cs="Times New Roman"/>
                <w:b w:val="0"/>
                <w:bCs/>
                <w:kern w:val="0"/>
                <w:sz w:val="21"/>
                <w:szCs w:val="21"/>
                <w:highlight w:val="none"/>
                <w:vertAlign w:val="baseline"/>
                <w:lang w:val="en-US" w:eastAsia="zh-CN"/>
              </w:rPr>
              <w:t>t/a</w:t>
            </w:r>
          </w:p>
        </w:tc>
        <w:tc>
          <w:tcPr>
            <w:tcW w:w="993" w:type="dxa"/>
            <w:noWrap w:val="0"/>
            <w:vAlign w:val="center"/>
          </w:tcPr>
          <w:p w14:paraId="225BA2D8">
            <w:pPr>
              <w:pStyle w:val="46"/>
              <w:keepNext w:val="0"/>
              <w:keepLines w:val="0"/>
              <w:pageBreakBefore w:val="0"/>
              <w:widowControl w:val="0"/>
              <w:kinsoku/>
              <w:wordWrap/>
              <w:overflowPunct/>
              <w:topLinePunct w:val="0"/>
              <w:bidi w:val="0"/>
              <w:spacing w:beforeLines="0" w:afterLines="0" w:line="240" w:lineRule="auto"/>
              <w:textAlignment w:val="auto"/>
              <w:rPr>
                <w:rFonts w:hint="default" w:ascii="Times New Roman" w:hAnsi="Times New Roman" w:eastAsia="宋体" w:cs="Times New Roman"/>
                <w:snapToGrid w:val="0"/>
                <w:color w:val="000000"/>
                <w:kern w:val="21"/>
                <w:sz w:val="21"/>
                <w:szCs w:val="21"/>
                <w:highlight w:val="none"/>
                <w:lang w:val="en-US" w:eastAsia="zh-CN" w:bidi="ar-SA"/>
              </w:rPr>
            </w:pPr>
            <w:r>
              <w:rPr>
                <w:rFonts w:hint="default" w:ascii="Times New Roman" w:hAnsi="Times New Roman" w:cs="Times New Roman"/>
                <w:snapToGrid w:val="0"/>
                <w:color w:val="000000"/>
                <w:kern w:val="21"/>
                <w:sz w:val="21"/>
                <w:szCs w:val="21"/>
                <w:highlight w:val="none"/>
                <w:lang w:val="en-US" w:eastAsia="zh-CN"/>
              </w:rPr>
              <w:t>0</w:t>
            </w:r>
          </w:p>
        </w:tc>
      </w:tr>
      <w:tr w14:paraId="3371D52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Merge w:val="restart"/>
            <w:noWrap w:val="0"/>
            <w:vAlign w:val="center"/>
          </w:tcPr>
          <w:p w14:paraId="7B2C5A39">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cs="宋体"/>
                <w:snapToGrid w:val="0"/>
                <w:color w:val="000000"/>
                <w:kern w:val="21"/>
                <w:sz w:val="21"/>
                <w:szCs w:val="21"/>
                <w:highlight w:val="none"/>
              </w:rPr>
            </w:pPr>
            <w:r>
              <w:rPr>
                <w:rFonts w:hint="eastAsia" w:hAnsi="宋体" w:cs="宋体"/>
                <w:snapToGrid w:val="0"/>
                <w:color w:val="000000"/>
                <w:kern w:val="21"/>
                <w:sz w:val="21"/>
                <w:szCs w:val="21"/>
                <w:highlight w:val="none"/>
              </w:rPr>
              <w:t>危险废物</w:t>
            </w:r>
          </w:p>
        </w:tc>
        <w:tc>
          <w:tcPr>
            <w:tcW w:w="1417" w:type="dxa"/>
            <w:noWrap w:val="0"/>
            <w:vAlign w:val="center"/>
          </w:tcPr>
          <w:p w14:paraId="2E10F9CD">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eastAsia="宋体" w:cs="宋体"/>
                <w:snapToGrid w:val="0"/>
                <w:color w:val="000000"/>
                <w:kern w:val="21"/>
                <w:sz w:val="21"/>
                <w:szCs w:val="21"/>
                <w:highlight w:val="none"/>
                <w:lang w:val="en-US" w:eastAsia="zh-CN"/>
              </w:rPr>
            </w:pPr>
            <w:r>
              <w:rPr>
                <w:rFonts w:hint="eastAsia" w:hAnsi="宋体" w:cs="宋体"/>
                <w:snapToGrid w:val="0"/>
                <w:color w:val="000000"/>
                <w:kern w:val="21"/>
                <w:sz w:val="21"/>
                <w:szCs w:val="21"/>
                <w:highlight w:val="none"/>
                <w:lang w:val="en-US" w:eastAsia="zh-CN"/>
              </w:rPr>
              <w:t>废润滑油</w:t>
            </w:r>
          </w:p>
        </w:tc>
        <w:tc>
          <w:tcPr>
            <w:tcW w:w="1701" w:type="dxa"/>
            <w:noWrap w:val="0"/>
            <w:vAlign w:val="center"/>
          </w:tcPr>
          <w:p w14:paraId="613DB5CA">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000000"/>
                <w:kern w:val="21"/>
                <w:sz w:val="21"/>
                <w:szCs w:val="21"/>
                <w:highlight w:val="none"/>
                <w:lang w:val="en-US" w:eastAsia="zh-CN"/>
              </w:rPr>
            </w:pPr>
            <w:r>
              <w:rPr>
                <w:rFonts w:hint="eastAsia" w:ascii="宋体" w:hAnsi="宋体" w:eastAsia="宋体" w:cs="宋体"/>
                <w:snapToGrid w:val="0"/>
                <w:color w:val="000000"/>
                <w:kern w:val="21"/>
                <w:sz w:val="21"/>
                <w:szCs w:val="21"/>
                <w:highlight w:val="none"/>
                <w:lang w:eastAsia="zh-CN"/>
              </w:rPr>
              <w:t>—</w:t>
            </w:r>
          </w:p>
        </w:tc>
        <w:tc>
          <w:tcPr>
            <w:tcW w:w="1276" w:type="dxa"/>
            <w:noWrap w:val="0"/>
            <w:vAlign w:val="center"/>
          </w:tcPr>
          <w:p w14:paraId="7279CA37">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000000"/>
                <w:kern w:val="21"/>
                <w:sz w:val="21"/>
                <w:szCs w:val="21"/>
                <w:highlight w:val="none"/>
                <w:lang w:val="en-US" w:eastAsia="zh-CN"/>
              </w:rPr>
            </w:pPr>
            <w:r>
              <w:rPr>
                <w:rFonts w:hint="eastAsia" w:ascii="宋体" w:hAnsi="宋体" w:eastAsia="宋体" w:cs="宋体"/>
                <w:snapToGrid w:val="0"/>
                <w:color w:val="000000"/>
                <w:kern w:val="21"/>
                <w:sz w:val="21"/>
                <w:szCs w:val="21"/>
                <w:highlight w:val="none"/>
                <w:lang w:eastAsia="zh-CN"/>
              </w:rPr>
              <w:t>—</w:t>
            </w:r>
          </w:p>
        </w:tc>
        <w:tc>
          <w:tcPr>
            <w:tcW w:w="1701" w:type="dxa"/>
            <w:noWrap w:val="0"/>
            <w:vAlign w:val="center"/>
          </w:tcPr>
          <w:p w14:paraId="05B56536">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000000"/>
                <w:kern w:val="21"/>
                <w:sz w:val="21"/>
                <w:szCs w:val="21"/>
                <w:highlight w:val="none"/>
                <w:lang w:val="en-US" w:eastAsia="zh-CN" w:bidi="ar-SA"/>
              </w:rPr>
            </w:pPr>
            <w:r>
              <w:rPr>
                <w:rFonts w:hint="eastAsia" w:hAnsi="宋体" w:cs="宋体"/>
                <w:snapToGrid w:val="0"/>
                <w:color w:val="000000"/>
                <w:kern w:val="21"/>
                <w:sz w:val="21"/>
                <w:szCs w:val="21"/>
                <w:highlight w:val="none"/>
                <w:lang w:eastAsia="zh-CN"/>
              </w:rPr>
              <w:t>—</w:t>
            </w:r>
          </w:p>
        </w:tc>
        <w:tc>
          <w:tcPr>
            <w:tcW w:w="1559" w:type="dxa"/>
            <w:noWrap w:val="0"/>
            <w:vAlign w:val="center"/>
          </w:tcPr>
          <w:p w14:paraId="13E2017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napToGrid w:val="0"/>
                <w:color w:val="000000"/>
                <w:kern w:val="21"/>
                <w:sz w:val="21"/>
                <w:szCs w:val="21"/>
                <w:highlight w:val="none"/>
                <w:lang w:val="en-US" w:eastAsia="zh-CN" w:bidi="ar-SA"/>
              </w:rPr>
            </w:pPr>
            <w:r>
              <w:rPr>
                <w:rFonts w:hint="eastAsia" w:cs="Times New Roman"/>
                <w:kern w:val="2"/>
                <w:sz w:val="21"/>
                <w:szCs w:val="21"/>
                <w:highlight w:val="none"/>
                <w:lang w:val="en-US" w:eastAsia="zh-CN" w:bidi="ar-SA"/>
              </w:rPr>
              <w:t>0.25</w:t>
            </w:r>
            <w:r>
              <w:rPr>
                <w:rFonts w:hint="default" w:cs="Times New Roman"/>
                <w:b w:val="0"/>
                <w:bCs/>
                <w:kern w:val="0"/>
                <w:sz w:val="21"/>
                <w:szCs w:val="21"/>
                <w:highlight w:val="none"/>
                <w:vertAlign w:val="baseline"/>
                <w:lang w:val="en-US" w:eastAsia="zh-CN"/>
              </w:rPr>
              <w:t>t/a</w:t>
            </w:r>
          </w:p>
        </w:tc>
        <w:tc>
          <w:tcPr>
            <w:tcW w:w="1761" w:type="dxa"/>
            <w:noWrap w:val="0"/>
            <w:vAlign w:val="center"/>
          </w:tcPr>
          <w:p w14:paraId="200AB819">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000000"/>
                <w:kern w:val="21"/>
                <w:sz w:val="21"/>
                <w:szCs w:val="21"/>
                <w:highlight w:val="none"/>
                <w:lang w:val="en-US" w:eastAsia="zh-CN" w:bidi="ar-SA"/>
              </w:rPr>
            </w:pPr>
            <w:r>
              <w:rPr>
                <w:rFonts w:hint="eastAsia" w:ascii="宋体" w:hAnsi="宋体" w:eastAsia="宋体" w:cs="宋体"/>
                <w:snapToGrid w:val="0"/>
                <w:color w:val="000000"/>
                <w:kern w:val="21"/>
                <w:sz w:val="21"/>
                <w:szCs w:val="21"/>
                <w:highlight w:val="none"/>
                <w:lang w:val="en-US" w:eastAsia="zh-CN" w:bidi="ar-SA"/>
              </w:rPr>
              <w:t>—</w:t>
            </w:r>
          </w:p>
        </w:tc>
        <w:tc>
          <w:tcPr>
            <w:tcW w:w="1792" w:type="dxa"/>
            <w:noWrap w:val="0"/>
            <w:vAlign w:val="center"/>
          </w:tcPr>
          <w:p w14:paraId="0B87130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
                <w:sz w:val="21"/>
                <w:szCs w:val="21"/>
                <w:highlight w:val="none"/>
                <w:lang w:val="en-US" w:eastAsia="zh-CN" w:bidi="ar-SA"/>
              </w:rPr>
            </w:pPr>
            <w:r>
              <w:rPr>
                <w:rFonts w:hint="eastAsia" w:cs="Times New Roman"/>
                <w:kern w:val="2"/>
                <w:sz w:val="21"/>
                <w:szCs w:val="21"/>
                <w:highlight w:val="none"/>
                <w:lang w:val="en-US" w:eastAsia="zh-CN" w:bidi="ar-SA"/>
              </w:rPr>
              <w:t>0.25</w:t>
            </w:r>
            <w:r>
              <w:rPr>
                <w:rFonts w:hint="default" w:cs="Times New Roman"/>
                <w:b w:val="0"/>
                <w:bCs/>
                <w:kern w:val="0"/>
                <w:sz w:val="21"/>
                <w:szCs w:val="21"/>
                <w:highlight w:val="none"/>
                <w:vertAlign w:val="baseline"/>
                <w:lang w:val="en-US" w:eastAsia="zh-CN"/>
              </w:rPr>
              <w:t>t/a</w:t>
            </w:r>
          </w:p>
        </w:tc>
        <w:tc>
          <w:tcPr>
            <w:tcW w:w="993" w:type="dxa"/>
            <w:noWrap w:val="0"/>
            <w:vAlign w:val="center"/>
          </w:tcPr>
          <w:p w14:paraId="620333F3">
            <w:pPr>
              <w:pStyle w:val="46"/>
              <w:keepNext w:val="0"/>
              <w:keepLines w:val="0"/>
              <w:pageBreakBefore w:val="0"/>
              <w:widowControl w:val="0"/>
              <w:kinsoku/>
              <w:wordWrap/>
              <w:overflowPunct/>
              <w:topLinePunct w:val="0"/>
              <w:bidi w:val="0"/>
              <w:spacing w:beforeLines="0" w:afterLines="0" w:line="240" w:lineRule="auto"/>
              <w:textAlignment w:val="auto"/>
              <w:rPr>
                <w:rFonts w:hint="default" w:ascii="Times New Roman" w:hAnsi="Times New Roman" w:eastAsia="宋体" w:cs="Times New Roman"/>
                <w:snapToGrid w:val="0"/>
                <w:color w:val="000000"/>
                <w:kern w:val="21"/>
                <w:sz w:val="21"/>
                <w:szCs w:val="21"/>
                <w:highlight w:val="none"/>
                <w:lang w:val="en-US" w:eastAsia="zh-CN"/>
              </w:rPr>
            </w:pPr>
            <w:r>
              <w:rPr>
                <w:rFonts w:hint="default" w:ascii="Times New Roman" w:hAnsi="Times New Roman" w:cs="Times New Roman"/>
                <w:snapToGrid w:val="0"/>
                <w:color w:val="000000"/>
                <w:kern w:val="21"/>
                <w:sz w:val="21"/>
                <w:szCs w:val="21"/>
                <w:highlight w:val="none"/>
                <w:lang w:val="en-US" w:eastAsia="zh-CN"/>
              </w:rPr>
              <w:t>0</w:t>
            </w:r>
          </w:p>
        </w:tc>
      </w:tr>
      <w:tr w14:paraId="790DD27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Merge w:val="continue"/>
            <w:noWrap w:val="0"/>
            <w:vAlign w:val="center"/>
          </w:tcPr>
          <w:p w14:paraId="54DF4C2F">
            <w:pPr>
              <w:pStyle w:val="46"/>
              <w:keepNext w:val="0"/>
              <w:keepLines w:val="0"/>
              <w:pageBreakBefore w:val="0"/>
              <w:widowControl w:val="0"/>
              <w:kinsoku/>
              <w:wordWrap/>
              <w:overflowPunct/>
              <w:topLinePunct w:val="0"/>
              <w:bidi w:val="0"/>
              <w:spacing w:beforeLines="0" w:afterLines="0" w:line="240" w:lineRule="auto"/>
              <w:textAlignment w:val="auto"/>
              <w:rPr>
                <w:rFonts w:hAnsi="宋体" w:cs="宋体"/>
                <w:snapToGrid w:val="0"/>
                <w:color w:val="000000"/>
                <w:kern w:val="21"/>
                <w:sz w:val="21"/>
                <w:szCs w:val="21"/>
                <w:highlight w:val="none"/>
              </w:rPr>
            </w:pPr>
          </w:p>
        </w:tc>
        <w:tc>
          <w:tcPr>
            <w:tcW w:w="1417" w:type="dxa"/>
            <w:noWrap w:val="0"/>
            <w:vAlign w:val="center"/>
          </w:tcPr>
          <w:p w14:paraId="32CC31D6">
            <w:pPr>
              <w:pStyle w:val="46"/>
              <w:keepNext w:val="0"/>
              <w:keepLines w:val="0"/>
              <w:pageBreakBefore w:val="0"/>
              <w:widowControl w:val="0"/>
              <w:kinsoku/>
              <w:wordWrap/>
              <w:overflowPunct/>
              <w:topLinePunct w:val="0"/>
              <w:bidi w:val="0"/>
              <w:spacing w:beforeLines="0" w:afterLines="0" w:line="240" w:lineRule="auto"/>
              <w:textAlignment w:val="auto"/>
              <w:rPr>
                <w:rFonts w:hint="eastAsia" w:hAnsi="宋体" w:eastAsia="宋体" w:cs="宋体"/>
                <w:snapToGrid w:val="0"/>
                <w:color w:val="000000"/>
                <w:kern w:val="21"/>
                <w:sz w:val="21"/>
                <w:szCs w:val="21"/>
                <w:highlight w:val="none"/>
                <w:lang w:val="en-US" w:eastAsia="zh-CN"/>
              </w:rPr>
            </w:pPr>
            <w:r>
              <w:rPr>
                <w:rFonts w:hint="eastAsia" w:hAnsi="宋体" w:cs="宋体"/>
                <w:snapToGrid w:val="0"/>
                <w:color w:val="000000"/>
                <w:kern w:val="21"/>
                <w:sz w:val="21"/>
                <w:szCs w:val="21"/>
                <w:highlight w:val="none"/>
                <w:lang w:val="en-US" w:eastAsia="zh-CN"/>
              </w:rPr>
              <w:t>废油桶</w:t>
            </w:r>
          </w:p>
        </w:tc>
        <w:tc>
          <w:tcPr>
            <w:tcW w:w="1701" w:type="dxa"/>
            <w:noWrap w:val="0"/>
            <w:vAlign w:val="center"/>
          </w:tcPr>
          <w:p w14:paraId="7A1BB677">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000000"/>
                <w:kern w:val="21"/>
                <w:sz w:val="21"/>
                <w:szCs w:val="21"/>
                <w:highlight w:val="none"/>
                <w:lang w:val="en-US" w:eastAsia="zh-CN"/>
              </w:rPr>
            </w:pPr>
            <w:r>
              <w:rPr>
                <w:rFonts w:hint="eastAsia" w:ascii="宋体" w:hAnsi="宋体" w:eastAsia="宋体" w:cs="宋体"/>
                <w:snapToGrid w:val="0"/>
                <w:color w:val="000000"/>
                <w:kern w:val="21"/>
                <w:sz w:val="21"/>
                <w:szCs w:val="21"/>
                <w:highlight w:val="none"/>
                <w:lang w:eastAsia="zh-CN"/>
              </w:rPr>
              <w:t>—</w:t>
            </w:r>
          </w:p>
        </w:tc>
        <w:tc>
          <w:tcPr>
            <w:tcW w:w="1276" w:type="dxa"/>
            <w:noWrap w:val="0"/>
            <w:vAlign w:val="center"/>
          </w:tcPr>
          <w:p w14:paraId="16E7B796">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000000"/>
                <w:kern w:val="21"/>
                <w:sz w:val="21"/>
                <w:szCs w:val="21"/>
                <w:highlight w:val="none"/>
                <w:lang w:val="en-US" w:eastAsia="zh-CN"/>
              </w:rPr>
            </w:pPr>
            <w:r>
              <w:rPr>
                <w:rFonts w:hint="eastAsia" w:ascii="宋体" w:hAnsi="宋体" w:eastAsia="宋体" w:cs="宋体"/>
                <w:snapToGrid w:val="0"/>
                <w:color w:val="000000"/>
                <w:kern w:val="21"/>
                <w:sz w:val="21"/>
                <w:szCs w:val="21"/>
                <w:highlight w:val="none"/>
                <w:lang w:eastAsia="zh-CN"/>
              </w:rPr>
              <w:t>—</w:t>
            </w:r>
          </w:p>
        </w:tc>
        <w:tc>
          <w:tcPr>
            <w:tcW w:w="1701" w:type="dxa"/>
            <w:noWrap w:val="0"/>
            <w:vAlign w:val="center"/>
          </w:tcPr>
          <w:p w14:paraId="20253867">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000000"/>
                <w:kern w:val="21"/>
                <w:sz w:val="21"/>
                <w:szCs w:val="21"/>
                <w:highlight w:val="none"/>
                <w:lang w:val="en-US" w:eastAsia="zh-CN" w:bidi="ar-SA"/>
              </w:rPr>
            </w:pPr>
            <w:r>
              <w:rPr>
                <w:rFonts w:hint="eastAsia" w:hAnsi="宋体" w:cs="宋体"/>
                <w:snapToGrid w:val="0"/>
                <w:color w:val="000000"/>
                <w:kern w:val="21"/>
                <w:sz w:val="21"/>
                <w:szCs w:val="21"/>
                <w:highlight w:val="none"/>
                <w:lang w:eastAsia="zh-CN"/>
              </w:rPr>
              <w:t>—</w:t>
            </w:r>
          </w:p>
        </w:tc>
        <w:tc>
          <w:tcPr>
            <w:tcW w:w="1559" w:type="dxa"/>
            <w:noWrap w:val="0"/>
            <w:vAlign w:val="center"/>
          </w:tcPr>
          <w:p w14:paraId="3A8ACDC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napToGrid w:val="0"/>
                <w:color w:val="000000"/>
                <w:kern w:val="21"/>
                <w:sz w:val="21"/>
                <w:szCs w:val="21"/>
                <w:highlight w:val="none"/>
                <w:lang w:val="en-US" w:eastAsia="zh-CN" w:bidi="ar-SA"/>
              </w:rPr>
            </w:pPr>
            <w:r>
              <w:rPr>
                <w:rFonts w:hint="eastAsia"/>
                <w:sz w:val="21"/>
                <w:szCs w:val="21"/>
                <w:highlight w:val="none"/>
                <w:lang w:val="en-US" w:eastAsia="zh-CN"/>
              </w:rPr>
              <w:t>0.1</w:t>
            </w:r>
            <w:r>
              <w:rPr>
                <w:rFonts w:hint="default" w:cs="Times New Roman"/>
                <w:b w:val="0"/>
                <w:bCs/>
                <w:kern w:val="0"/>
                <w:sz w:val="21"/>
                <w:szCs w:val="21"/>
                <w:highlight w:val="none"/>
                <w:vertAlign w:val="baseline"/>
                <w:lang w:val="en-US" w:eastAsia="zh-CN"/>
              </w:rPr>
              <w:t>t/a</w:t>
            </w:r>
          </w:p>
        </w:tc>
        <w:tc>
          <w:tcPr>
            <w:tcW w:w="1761" w:type="dxa"/>
            <w:noWrap w:val="0"/>
            <w:vAlign w:val="center"/>
          </w:tcPr>
          <w:p w14:paraId="4D23B6E2">
            <w:pPr>
              <w:pStyle w:val="46"/>
              <w:keepNext w:val="0"/>
              <w:keepLines w:val="0"/>
              <w:pageBreakBefore w:val="0"/>
              <w:widowControl w:val="0"/>
              <w:kinsoku/>
              <w:wordWrap/>
              <w:overflowPunct/>
              <w:topLinePunct w:val="0"/>
              <w:bidi w:val="0"/>
              <w:spacing w:beforeLines="0" w:afterLines="0" w:line="240" w:lineRule="auto"/>
              <w:textAlignment w:val="auto"/>
              <w:rPr>
                <w:rFonts w:hint="default" w:ascii="宋体" w:hAnsi="宋体" w:eastAsia="宋体" w:cs="宋体"/>
                <w:snapToGrid w:val="0"/>
                <w:color w:val="000000"/>
                <w:kern w:val="21"/>
                <w:sz w:val="21"/>
                <w:szCs w:val="21"/>
                <w:highlight w:val="none"/>
                <w:lang w:val="en-US" w:eastAsia="zh-CN" w:bidi="ar-SA"/>
              </w:rPr>
            </w:pPr>
            <w:r>
              <w:rPr>
                <w:rFonts w:hint="eastAsia" w:hAnsi="宋体" w:cs="宋体"/>
                <w:snapToGrid w:val="0"/>
                <w:color w:val="000000"/>
                <w:kern w:val="21"/>
                <w:sz w:val="21"/>
                <w:szCs w:val="21"/>
                <w:highlight w:val="none"/>
                <w:lang w:eastAsia="zh-CN"/>
              </w:rPr>
              <w:t>—</w:t>
            </w:r>
          </w:p>
        </w:tc>
        <w:tc>
          <w:tcPr>
            <w:tcW w:w="1792" w:type="dxa"/>
            <w:noWrap w:val="0"/>
            <w:vAlign w:val="center"/>
          </w:tcPr>
          <w:p w14:paraId="4BA6B1B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
                <w:sz w:val="21"/>
                <w:szCs w:val="21"/>
                <w:highlight w:val="none"/>
                <w:lang w:val="en-US" w:eastAsia="zh-CN" w:bidi="ar-SA"/>
              </w:rPr>
            </w:pPr>
            <w:r>
              <w:rPr>
                <w:rFonts w:hint="eastAsia"/>
                <w:sz w:val="21"/>
                <w:szCs w:val="21"/>
                <w:highlight w:val="none"/>
                <w:lang w:val="en-US" w:eastAsia="zh-CN"/>
              </w:rPr>
              <w:t>0.1</w:t>
            </w:r>
            <w:r>
              <w:rPr>
                <w:rFonts w:hint="default" w:cs="Times New Roman"/>
                <w:b w:val="0"/>
                <w:bCs/>
                <w:kern w:val="0"/>
                <w:sz w:val="21"/>
                <w:szCs w:val="21"/>
                <w:highlight w:val="none"/>
                <w:vertAlign w:val="baseline"/>
                <w:lang w:val="en-US" w:eastAsia="zh-CN"/>
              </w:rPr>
              <w:t>t/a</w:t>
            </w:r>
          </w:p>
        </w:tc>
        <w:tc>
          <w:tcPr>
            <w:tcW w:w="993" w:type="dxa"/>
            <w:noWrap w:val="0"/>
            <w:vAlign w:val="center"/>
          </w:tcPr>
          <w:p w14:paraId="4DC5C46C">
            <w:pPr>
              <w:pStyle w:val="46"/>
              <w:keepNext w:val="0"/>
              <w:keepLines w:val="0"/>
              <w:pageBreakBefore w:val="0"/>
              <w:widowControl w:val="0"/>
              <w:kinsoku/>
              <w:wordWrap/>
              <w:overflowPunct/>
              <w:topLinePunct w:val="0"/>
              <w:bidi w:val="0"/>
              <w:spacing w:beforeLines="0" w:afterLines="0" w:line="240" w:lineRule="auto"/>
              <w:textAlignment w:val="auto"/>
              <w:rPr>
                <w:rFonts w:hint="default" w:ascii="Times New Roman" w:hAnsi="Times New Roman" w:eastAsia="宋体" w:cs="Times New Roman"/>
                <w:snapToGrid w:val="0"/>
                <w:color w:val="000000"/>
                <w:kern w:val="21"/>
                <w:sz w:val="21"/>
                <w:szCs w:val="21"/>
                <w:highlight w:val="none"/>
                <w:lang w:val="en-US" w:eastAsia="zh-CN"/>
              </w:rPr>
            </w:pPr>
            <w:r>
              <w:rPr>
                <w:rFonts w:hint="default" w:ascii="Times New Roman" w:hAnsi="Times New Roman" w:cs="Times New Roman"/>
                <w:snapToGrid w:val="0"/>
                <w:color w:val="000000"/>
                <w:kern w:val="21"/>
                <w:sz w:val="21"/>
                <w:szCs w:val="21"/>
                <w:highlight w:val="none"/>
                <w:lang w:val="en-US" w:eastAsia="zh-CN"/>
              </w:rPr>
              <w:t>0</w:t>
            </w:r>
          </w:p>
        </w:tc>
      </w:tr>
    </w:tbl>
    <w:p w14:paraId="251A711B">
      <w:pPr>
        <w:pStyle w:val="46"/>
        <w:spacing w:before="192" w:beforeLines="80" w:after="24"/>
        <w:jc w:val="left"/>
        <w:rPr>
          <w:rFonts w:ascii="宋体" w:hAnsi="宋体" w:eastAsia="黑体"/>
          <w:sz w:val="15"/>
          <w:szCs w:val="15"/>
          <w:highlight w:val="none"/>
        </w:rPr>
      </w:pPr>
      <w:r>
        <w:rPr>
          <w:rFonts w:hAnsi="宋体"/>
          <w:snapToGrid w:val="0"/>
          <w:color w:val="000000"/>
          <w:kern w:val="21"/>
          <w:szCs w:val="21"/>
          <w:highlight w:val="none"/>
        </w:rPr>
        <w:t>注：</w:t>
      </w:r>
      <w:r>
        <w:rPr>
          <w:rFonts w:hAnsi="宋体"/>
          <w:snapToGrid w:val="0"/>
          <w:color w:val="000000"/>
          <w:spacing w:val="-16"/>
          <w:kern w:val="21"/>
          <w:szCs w:val="21"/>
          <w:highlight w:val="none"/>
        </w:rPr>
        <w:fldChar w:fldCharType="begin"/>
      </w:r>
      <w:r>
        <w:rPr>
          <w:rFonts w:hAnsi="宋体"/>
          <w:snapToGrid w:val="0"/>
          <w:color w:val="000000"/>
          <w:spacing w:val="-16"/>
          <w:kern w:val="21"/>
          <w:szCs w:val="21"/>
          <w:highlight w:val="none"/>
        </w:rPr>
        <w:instrText xml:space="preserve"> = 6 \* GB3 \* MERGEFORMAT </w:instrText>
      </w:r>
      <w:r>
        <w:rPr>
          <w:rFonts w:hAnsi="宋体"/>
          <w:snapToGrid w:val="0"/>
          <w:color w:val="000000"/>
          <w:spacing w:val="-16"/>
          <w:kern w:val="21"/>
          <w:szCs w:val="21"/>
          <w:highlight w:val="none"/>
        </w:rPr>
        <w:fldChar w:fldCharType="separate"/>
      </w:r>
      <w:r>
        <w:rPr>
          <w:rFonts w:hint="eastAsia" w:hAnsi="宋体"/>
          <w:szCs w:val="21"/>
          <w:highlight w:val="none"/>
        </w:rPr>
        <w:t>⑥</w:t>
      </w:r>
      <w:r>
        <w:rPr>
          <w:rFonts w:hAnsi="宋体"/>
          <w:snapToGrid w:val="0"/>
          <w:color w:val="000000"/>
          <w:spacing w:val="-16"/>
          <w:kern w:val="21"/>
          <w:szCs w:val="21"/>
          <w:highlight w:val="none"/>
        </w:rPr>
        <w:fldChar w:fldCharType="end"/>
      </w:r>
      <w:r>
        <w:rPr>
          <w:rFonts w:hAnsi="宋体"/>
          <w:snapToGrid w:val="0"/>
          <w:color w:val="000000"/>
          <w:spacing w:val="-16"/>
          <w:kern w:val="21"/>
          <w:szCs w:val="21"/>
          <w:highlight w:val="none"/>
        </w:rPr>
        <w:t>=</w:t>
      </w:r>
      <w:r>
        <w:rPr>
          <w:rFonts w:hAnsi="宋体"/>
          <w:snapToGrid w:val="0"/>
          <w:color w:val="000000"/>
          <w:spacing w:val="-6"/>
          <w:kern w:val="21"/>
          <w:szCs w:val="21"/>
          <w:highlight w:val="none"/>
        </w:rPr>
        <w:fldChar w:fldCharType="begin"/>
      </w:r>
      <w:r>
        <w:rPr>
          <w:rFonts w:hAnsi="宋体"/>
          <w:snapToGrid w:val="0"/>
          <w:color w:val="000000"/>
          <w:spacing w:val="-6"/>
          <w:kern w:val="21"/>
          <w:szCs w:val="21"/>
          <w:highlight w:val="none"/>
        </w:rPr>
        <w:instrText xml:space="preserve"> = 1 \* GB3 \* MERGEFORMAT </w:instrText>
      </w:r>
      <w:r>
        <w:rPr>
          <w:rFonts w:hAnsi="宋体"/>
          <w:snapToGrid w:val="0"/>
          <w:color w:val="000000"/>
          <w:spacing w:val="-6"/>
          <w:kern w:val="21"/>
          <w:szCs w:val="21"/>
          <w:highlight w:val="none"/>
        </w:rPr>
        <w:fldChar w:fldCharType="separate"/>
      </w:r>
      <w:r>
        <w:rPr>
          <w:rFonts w:hint="eastAsia" w:hAnsi="宋体"/>
          <w:szCs w:val="21"/>
          <w:highlight w:val="none"/>
        </w:rPr>
        <w:t>①</w:t>
      </w:r>
      <w:r>
        <w:rPr>
          <w:rFonts w:hAnsi="宋体"/>
          <w:snapToGrid w:val="0"/>
          <w:color w:val="000000"/>
          <w:spacing w:val="-6"/>
          <w:kern w:val="21"/>
          <w:szCs w:val="21"/>
          <w:highlight w:val="none"/>
        </w:rPr>
        <w:fldChar w:fldCharType="end"/>
      </w:r>
      <w:r>
        <w:rPr>
          <w:rFonts w:hAnsi="宋体"/>
          <w:snapToGrid w:val="0"/>
          <w:color w:val="000000"/>
          <w:spacing w:val="-6"/>
          <w:kern w:val="21"/>
          <w:szCs w:val="21"/>
          <w:highlight w:val="none"/>
        </w:rPr>
        <w:t>+</w:t>
      </w:r>
      <w:r>
        <w:rPr>
          <w:rFonts w:hAnsi="宋体"/>
          <w:snapToGrid w:val="0"/>
          <w:color w:val="000000"/>
          <w:spacing w:val="-6"/>
          <w:kern w:val="21"/>
          <w:szCs w:val="21"/>
          <w:highlight w:val="none"/>
        </w:rPr>
        <w:fldChar w:fldCharType="begin"/>
      </w:r>
      <w:r>
        <w:rPr>
          <w:rFonts w:hAnsi="宋体"/>
          <w:snapToGrid w:val="0"/>
          <w:color w:val="000000"/>
          <w:spacing w:val="-6"/>
          <w:kern w:val="21"/>
          <w:szCs w:val="21"/>
          <w:highlight w:val="none"/>
        </w:rPr>
        <w:instrText xml:space="preserve"> = 3 \* GB3 \* MERGEFORMAT </w:instrText>
      </w:r>
      <w:r>
        <w:rPr>
          <w:rFonts w:hAnsi="宋体"/>
          <w:snapToGrid w:val="0"/>
          <w:color w:val="000000"/>
          <w:spacing w:val="-6"/>
          <w:kern w:val="21"/>
          <w:szCs w:val="21"/>
          <w:highlight w:val="none"/>
        </w:rPr>
        <w:fldChar w:fldCharType="separate"/>
      </w:r>
      <w:r>
        <w:rPr>
          <w:rFonts w:hint="eastAsia" w:hAnsi="宋体"/>
          <w:szCs w:val="21"/>
          <w:highlight w:val="none"/>
        </w:rPr>
        <w:t>③</w:t>
      </w:r>
      <w:r>
        <w:rPr>
          <w:rFonts w:hAnsi="宋体"/>
          <w:snapToGrid w:val="0"/>
          <w:color w:val="000000"/>
          <w:spacing w:val="-6"/>
          <w:kern w:val="21"/>
          <w:szCs w:val="21"/>
          <w:highlight w:val="none"/>
        </w:rPr>
        <w:fldChar w:fldCharType="end"/>
      </w:r>
      <w:r>
        <w:rPr>
          <w:rFonts w:hAnsi="宋体"/>
          <w:snapToGrid w:val="0"/>
          <w:color w:val="000000"/>
          <w:spacing w:val="-6"/>
          <w:kern w:val="21"/>
          <w:szCs w:val="21"/>
          <w:highlight w:val="none"/>
        </w:rPr>
        <w:t>+</w:t>
      </w:r>
      <w:r>
        <w:rPr>
          <w:rFonts w:hAnsi="宋体"/>
          <w:snapToGrid w:val="0"/>
          <w:color w:val="000000"/>
          <w:spacing w:val="-6"/>
          <w:kern w:val="21"/>
          <w:szCs w:val="21"/>
          <w:highlight w:val="none"/>
        </w:rPr>
        <w:fldChar w:fldCharType="begin"/>
      </w:r>
      <w:r>
        <w:rPr>
          <w:rFonts w:hAnsi="宋体"/>
          <w:snapToGrid w:val="0"/>
          <w:color w:val="000000"/>
          <w:spacing w:val="-6"/>
          <w:kern w:val="21"/>
          <w:szCs w:val="21"/>
          <w:highlight w:val="none"/>
        </w:rPr>
        <w:instrText xml:space="preserve"> = 4 \* GB3 \* MERGEFORMAT </w:instrText>
      </w:r>
      <w:r>
        <w:rPr>
          <w:rFonts w:hAnsi="宋体"/>
          <w:snapToGrid w:val="0"/>
          <w:color w:val="000000"/>
          <w:spacing w:val="-6"/>
          <w:kern w:val="21"/>
          <w:szCs w:val="21"/>
          <w:highlight w:val="none"/>
        </w:rPr>
        <w:fldChar w:fldCharType="separate"/>
      </w:r>
      <w:r>
        <w:rPr>
          <w:rFonts w:hint="eastAsia" w:hAnsi="宋体"/>
          <w:szCs w:val="21"/>
          <w:highlight w:val="none"/>
        </w:rPr>
        <w:t>④</w:t>
      </w:r>
      <w:r>
        <w:rPr>
          <w:rFonts w:hAnsi="宋体"/>
          <w:snapToGrid w:val="0"/>
          <w:color w:val="000000"/>
          <w:spacing w:val="-6"/>
          <w:kern w:val="21"/>
          <w:szCs w:val="21"/>
          <w:highlight w:val="none"/>
        </w:rPr>
        <w:fldChar w:fldCharType="end"/>
      </w:r>
      <w:r>
        <w:rPr>
          <w:rFonts w:hAnsi="宋体"/>
          <w:snapToGrid w:val="0"/>
          <w:color w:val="000000"/>
          <w:spacing w:val="-6"/>
          <w:kern w:val="21"/>
          <w:szCs w:val="21"/>
          <w:highlight w:val="none"/>
        </w:rPr>
        <w:t>-</w:t>
      </w:r>
      <w:r>
        <w:rPr>
          <w:rFonts w:hAnsi="宋体"/>
          <w:snapToGrid w:val="0"/>
          <w:color w:val="000000"/>
          <w:spacing w:val="-16"/>
          <w:kern w:val="21"/>
          <w:szCs w:val="21"/>
          <w:highlight w:val="none"/>
        </w:rPr>
        <w:fldChar w:fldCharType="begin"/>
      </w:r>
      <w:r>
        <w:rPr>
          <w:rFonts w:hAnsi="宋体"/>
          <w:snapToGrid w:val="0"/>
          <w:color w:val="000000"/>
          <w:spacing w:val="-16"/>
          <w:kern w:val="21"/>
          <w:szCs w:val="21"/>
          <w:highlight w:val="none"/>
        </w:rPr>
        <w:instrText xml:space="preserve"> = 5 \* GB3 \* MERGEFORMAT </w:instrText>
      </w:r>
      <w:r>
        <w:rPr>
          <w:rFonts w:hAnsi="宋体"/>
          <w:snapToGrid w:val="0"/>
          <w:color w:val="000000"/>
          <w:spacing w:val="-16"/>
          <w:kern w:val="21"/>
          <w:szCs w:val="21"/>
          <w:highlight w:val="none"/>
        </w:rPr>
        <w:fldChar w:fldCharType="separate"/>
      </w:r>
      <w:r>
        <w:rPr>
          <w:rFonts w:hint="eastAsia" w:hAnsi="宋体"/>
          <w:szCs w:val="21"/>
          <w:highlight w:val="none"/>
        </w:rPr>
        <w:t>⑤</w:t>
      </w:r>
      <w:r>
        <w:rPr>
          <w:rFonts w:hAnsi="宋体"/>
          <w:snapToGrid w:val="0"/>
          <w:color w:val="000000"/>
          <w:spacing w:val="-16"/>
          <w:kern w:val="21"/>
          <w:szCs w:val="21"/>
          <w:highlight w:val="none"/>
        </w:rPr>
        <w:fldChar w:fldCharType="end"/>
      </w:r>
      <w:r>
        <w:rPr>
          <w:rFonts w:hAnsi="宋体"/>
          <w:snapToGrid w:val="0"/>
          <w:color w:val="000000"/>
          <w:spacing w:val="-16"/>
          <w:kern w:val="21"/>
          <w:szCs w:val="21"/>
          <w:highlight w:val="none"/>
        </w:rPr>
        <w:t>；</w:t>
      </w:r>
      <w:r>
        <w:rPr>
          <w:rFonts w:hAnsi="宋体"/>
          <w:snapToGrid w:val="0"/>
          <w:color w:val="000000"/>
          <w:spacing w:val="-6"/>
          <w:kern w:val="21"/>
          <w:szCs w:val="21"/>
          <w:highlight w:val="none"/>
        </w:rPr>
        <w:fldChar w:fldCharType="begin"/>
      </w:r>
      <w:r>
        <w:rPr>
          <w:rFonts w:hAnsi="宋体"/>
          <w:snapToGrid w:val="0"/>
          <w:color w:val="000000"/>
          <w:spacing w:val="-6"/>
          <w:kern w:val="21"/>
          <w:szCs w:val="21"/>
          <w:highlight w:val="none"/>
        </w:rPr>
        <w:instrText xml:space="preserve"> = 7 \* GB3 \* MERGEFORMAT </w:instrText>
      </w:r>
      <w:r>
        <w:rPr>
          <w:rFonts w:hAnsi="宋体"/>
          <w:snapToGrid w:val="0"/>
          <w:color w:val="000000"/>
          <w:spacing w:val="-6"/>
          <w:kern w:val="21"/>
          <w:szCs w:val="21"/>
          <w:highlight w:val="none"/>
        </w:rPr>
        <w:fldChar w:fldCharType="separate"/>
      </w:r>
      <w:r>
        <w:rPr>
          <w:rFonts w:hint="eastAsia" w:hAnsi="宋体"/>
          <w:szCs w:val="21"/>
          <w:highlight w:val="none"/>
        </w:rPr>
        <w:t>⑦</w:t>
      </w:r>
      <w:r>
        <w:rPr>
          <w:rFonts w:hAnsi="宋体"/>
          <w:snapToGrid w:val="0"/>
          <w:color w:val="000000"/>
          <w:spacing w:val="-6"/>
          <w:kern w:val="21"/>
          <w:szCs w:val="21"/>
          <w:highlight w:val="none"/>
        </w:rPr>
        <w:fldChar w:fldCharType="end"/>
      </w:r>
      <w:r>
        <w:rPr>
          <w:rFonts w:hAnsi="宋体"/>
          <w:snapToGrid w:val="0"/>
          <w:color w:val="000000"/>
          <w:spacing w:val="-6"/>
          <w:kern w:val="21"/>
          <w:szCs w:val="21"/>
          <w:highlight w:val="none"/>
        </w:rPr>
        <w:t>=</w:t>
      </w:r>
      <w:r>
        <w:rPr>
          <w:rFonts w:hAnsi="宋体"/>
          <w:snapToGrid w:val="0"/>
          <w:color w:val="000000"/>
          <w:spacing w:val="-16"/>
          <w:kern w:val="21"/>
          <w:szCs w:val="21"/>
          <w:highlight w:val="none"/>
        </w:rPr>
        <w:fldChar w:fldCharType="begin"/>
      </w:r>
      <w:r>
        <w:rPr>
          <w:rFonts w:hAnsi="宋体"/>
          <w:snapToGrid w:val="0"/>
          <w:color w:val="000000"/>
          <w:spacing w:val="-16"/>
          <w:kern w:val="21"/>
          <w:szCs w:val="21"/>
          <w:highlight w:val="none"/>
        </w:rPr>
        <w:instrText xml:space="preserve"> = 6 \* GB3 \* MERGEFORMAT </w:instrText>
      </w:r>
      <w:r>
        <w:rPr>
          <w:rFonts w:hAnsi="宋体"/>
          <w:snapToGrid w:val="0"/>
          <w:color w:val="000000"/>
          <w:spacing w:val="-16"/>
          <w:kern w:val="21"/>
          <w:szCs w:val="21"/>
          <w:highlight w:val="none"/>
        </w:rPr>
        <w:fldChar w:fldCharType="separate"/>
      </w:r>
      <w:r>
        <w:rPr>
          <w:rFonts w:hint="eastAsia" w:hAnsi="宋体"/>
          <w:szCs w:val="21"/>
          <w:highlight w:val="none"/>
        </w:rPr>
        <w:t>⑥</w:t>
      </w:r>
      <w:r>
        <w:rPr>
          <w:rFonts w:hAnsi="宋体"/>
          <w:snapToGrid w:val="0"/>
          <w:color w:val="000000"/>
          <w:spacing w:val="-16"/>
          <w:kern w:val="21"/>
          <w:szCs w:val="21"/>
          <w:highlight w:val="none"/>
        </w:rPr>
        <w:fldChar w:fldCharType="end"/>
      </w:r>
      <w:r>
        <w:rPr>
          <w:rFonts w:hAnsi="宋体"/>
          <w:snapToGrid w:val="0"/>
          <w:color w:val="000000"/>
          <w:spacing w:val="-16"/>
          <w:kern w:val="21"/>
          <w:szCs w:val="21"/>
          <w:highlight w:val="none"/>
        </w:rPr>
        <w:t>-</w:t>
      </w:r>
      <w:r>
        <w:rPr>
          <w:rFonts w:hAnsi="宋体"/>
          <w:snapToGrid w:val="0"/>
          <w:color w:val="000000"/>
          <w:spacing w:val="-6"/>
          <w:kern w:val="21"/>
          <w:szCs w:val="21"/>
          <w:highlight w:val="none"/>
        </w:rPr>
        <w:fldChar w:fldCharType="begin"/>
      </w:r>
      <w:r>
        <w:rPr>
          <w:rFonts w:hAnsi="宋体"/>
          <w:snapToGrid w:val="0"/>
          <w:color w:val="000000"/>
          <w:spacing w:val="-6"/>
          <w:kern w:val="21"/>
          <w:szCs w:val="21"/>
          <w:highlight w:val="none"/>
        </w:rPr>
        <w:instrText xml:space="preserve"> = 1 \* GB3 \* MERGEFORMAT </w:instrText>
      </w:r>
      <w:r>
        <w:rPr>
          <w:rFonts w:hAnsi="宋体"/>
          <w:snapToGrid w:val="0"/>
          <w:color w:val="000000"/>
          <w:spacing w:val="-6"/>
          <w:kern w:val="21"/>
          <w:szCs w:val="21"/>
          <w:highlight w:val="none"/>
        </w:rPr>
        <w:fldChar w:fldCharType="separate"/>
      </w:r>
      <w:r>
        <w:rPr>
          <w:rFonts w:hint="eastAsia" w:hAnsi="宋体"/>
          <w:szCs w:val="21"/>
          <w:highlight w:val="none"/>
        </w:rPr>
        <w:t>①</w:t>
      </w:r>
      <w:r>
        <w:rPr>
          <w:rFonts w:hAnsi="宋体"/>
          <w:snapToGrid w:val="0"/>
          <w:color w:val="000000"/>
          <w:spacing w:val="-6"/>
          <w:kern w:val="21"/>
          <w:szCs w:val="21"/>
          <w:highlight w:val="none"/>
        </w:rPr>
        <w:fldChar w:fldCharType="end"/>
      </w:r>
    </w:p>
    <w:sectPr>
      <w:footerReference r:id="rId8" w:type="default"/>
      <w:pgSz w:w="16838" w:h="11905" w:orient="landscape"/>
      <w:pgMar w:top="1531" w:right="1701" w:bottom="1531" w:left="2126" w:header="851" w:footer="850" w:gutter="0"/>
      <w:pgBorders>
        <w:top w:val="none" w:sz="0" w:space="0"/>
        <w:left w:val="none" w:sz="0" w:space="0"/>
        <w:bottom w:val="none" w:sz="0" w:space="0"/>
        <w:right w:val="none" w:sz="0" w:space="0"/>
      </w:pgBorders>
      <w:pgNumType w:fmt="decimal"/>
      <w:cols w:space="720" w:num="1"/>
      <w:rtlGutter w:val="0"/>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auto"/>
    <w:pitch w:val="default"/>
    <w:sig w:usb0="E0002AFF" w:usb1="C0007841" w:usb2="00000009" w:usb3="00000000" w:csb0="400001FF" w:csb1="FFFF0000"/>
  </w:font>
  <w:font w:name="宋体">
    <w:panose1 w:val="02010600030101010101"/>
    <w:charset w:val="02"/>
    <w:family w:val="roma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embedRegular r:id="rId1" w:fontKey="{5A7E7153-998C-4EDF-B609-CDB553B862B2}"/>
  </w:font>
  <w:font w:name="黑体">
    <w:panose1 w:val="02010609060101010101"/>
    <w:charset w:val="86"/>
    <w:family w:val="auto"/>
    <w:pitch w:val="default"/>
    <w:sig w:usb0="800002BF" w:usb1="38CF7CFA" w:usb2="00000016" w:usb3="00000000" w:csb0="00040001" w:csb1="00000000"/>
    <w:embedRegular r:id="rId2" w:fontKey="{E7DD77F1-2A74-46D3-94C5-E873B8EBF0B7}"/>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panose1 w:val="02010609030101010101"/>
    <w:charset w:val="86"/>
    <w:family w:val="modern"/>
    <w:pitch w:val="default"/>
    <w:sig w:usb0="00000001" w:usb1="080E0000" w:usb2="00000000" w:usb3="00000000" w:csb0="00040000" w:csb1="00000000"/>
    <w:embedRegular r:id="rId3" w:fontKey="{80B815D1-C810-4E54-9137-A14D865ED86F}"/>
  </w:font>
  <w:font w:name="方正小标宋_GBK">
    <w:panose1 w:val="02000000000000000000"/>
    <w:charset w:val="86"/>
    <w:family w:val="script"/>
    <w:pitch w:val="default"/>
    <w:sig w:usb0="A00002BF" w:usb1="38CF7CFA" w:usb2="00082016" w:usb3="00000000" w:csb0="00040001" w:csb1="00000000"/>
    <w:embedRegular r:id="rId4" w:fontKey="{696BC5D2-7B13-4CCA-B70E-241E4745A874}"/>
  </w:font>
  <w:font w:name="楷体_GB2312">
    <w:panose1 w:val="02010609030101010101"/>
    <w:charset w:val="86"/>
    <w:family w:val="modern"/>
    <w:pitch w:val="default"/>
    <w:sig w:usb0="00000001" w:usb1="080E0000" w:usb2="00000000" w:usb3="00000000" w:csb0="00040000" w:csb1="00000000"/>
    <w:embedRegular r:id="rId5" w:fontKey="{BB25FBCB-C16B-40D6-BBFD-D2C9059DF3A6}"/>
  </w:font>
  <w:font w:name="仿宋">
    <w:panose1 w:val="02010609060101010101"/>
    <w:charset w:val="86"/>
    <w:family w:val="modern"/>
    <w:pitch w:val="default"/>
    <w:sig w:usb0="800002BF" w:usb1="38CF7CFA" w:usb2="00000016" w:usb3="00000000" w:csb0="00040001" w:csb1="00000000"/>
    <w:embedRegular r:id="rId6" w:fontKey="{DCECECCD-BC75-461B-8F64-982D01899602}"/>
  </w:font>
  <w:font w:name="Wingdings 2">
    <w:panose1 w:val="05020102010507070707"/>
    <w:charset w:val="02"/>
    <w:family w:val="auto"/>
    <w:pitch w:val="default"/>
    <w:sig w:usb0="00000000" w:usb1="00000000" w:usb2="00000000" w:usb3="00000000" w:csb0="80000000" w:csb1="00000000"/>
    <w:embedRegular r:id="rId7" w:fontKey="{A94658E4-7890-402F-B904-3081EE09A523}"/>
  </w:font>
  <w:font w:name="TimesNewRomanPSMT">
    <w:altName w:val="Times New Roman"/>
    <w:panose1 w:val="00000000000000000000"/>
    <w:charset w:val="00"/>
    <w:family w:val="auto"/>
    <w:pitch w:val="default"/>
    <w:sig w:usb0="00000000" w:usb1="00000000" w:usb2="00000000" w:usb3="00000000" w:csb0="00040001" w:csb1="00000000"/>
    <w:embedRegular r:id="rId8" w:fontKey="{8FF38361-3E90-4C29-9F33-B13450551481}"/>
  </w:font>
  <w:font w:name="微软雅黑">
    <w:panose1 w:val="020B0503020204020204"/>
    <w:charset w:val="86"/>
    <w:family w:val="auto"/>
    <w:pitch w:val="default"/>
    <w:sig w:usb0="80000287" w:usb1="280F3C52" w:usb2="00000016" w:usb3="00000000" w:csb0="0004001F" w:csb1="00000000"/>
    <w:embedRegular r:id="rId9" w:fontKey="{E5E27904-FD52-41A7-AC02-8AFCEA143DD1}"/>
  </w:font>
  <w:font w:name="Cambria Math">
    <w:panose1 w:val="02040503050406030204"/>
    <w:charset w:val="00"/>
    <w:family w:val="auto"/>
    <w:pitch w:val="default"/>
    <w:sig w:usb0="E00002FF" w:usb1="420024FF" w:usb2="00000000" w:usb3="00000000" w:csb0="2000019F" w:csb1="00000000"/>
    <w:embedRegular r:id="rId10" w:fontKey="{F889D33F-C157-425A-9297-DDF77E9E6B4C}"/>
  </w:font>
  <w:font w:name="Tahoma">
    <w:panose1 w:val="020B0604030504040204"/>
    <w:charset w:val="00"/>
    <w:family w:val="auto"/>
    <w:pitch w:val="default"/>
    <w:sig w:usb0="E1002EFF" w:usb1="C000605B" w:usb2="00000029" w:usb3="00000000" w:csb0="200101FF" w:csb1="20280000"/>
  </w:font>
  <w:font w:name="MS PGothic">
    <w:panose1 w:val="020B0600070205080204"/>
    <w:charset w:val="80"/>
    <w:family w:val="auto"/>
    <w:pitch w:val="default"/>
    <w:sig w:usb0="E00002FF" w:usb1="6AC7FDFB" w:usb2="00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E7A9A0">
    <w:pPr>
      <w:pStyle w:val="18"/>
      <w:ind w:right="360" w:firstLine="36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228041">
    <w:pPr>
      <w:pStyle w:val="18"/>
      <w:framePr w:wrap="around" w:vAnchor="text" w:hAnchor="margin" w:xAlign="center" w:y="1"/>
      <w:rPr>
        <w:rStyle w:val="29"/>
      </w:rPr>
    </w:pPr>
    <w:r>
      <w:fldChar w:fldCharType="begin"/>
    </w:r>
    <w:r>
      <w:rPr>
        <w:rStyle w:val="29"/>
      </w:rPr>
      <w:instrText xml:space="preserve">PAGE  </w:instrText>
    </w:r>
    <w:r>
      <w:fldChar w:fldCharType="end"/>
    </w:r>
  </w:p>
  <w:p w14:paraId="5A9F2E7C">
    <w:pPr>
      <w:pStyle w:val="18"/>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C15068">
    <w:pPr>
      <w:pStyle w:val="18"/>
      <w:ind w:right="360" w:firstLine="360"/>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-284480</wp:posOffset>
              </wp:positionV>
              <wp:extent cx="1828800" cy="1828800"/>
              <wp:effectExtent l="0" t="0" r="0" b="0"/>
              <wp:wrapNone/>
              <wp:docPr id="12" name="文本框 103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4E7E791A">
                          <w:pPr>
                            <w:pStyle w:val="18"/>
                          </w:pPr>
                          <w:r>
                            <w:fldChar w:fldCharType="begin"/>
                          </w:r>
                          <w:r>
                            <w:instrText xml:space="preserve"> PAGE  \* MERGEFORMAT </w:instrText>
                          </w:r>
                          <w:r>
                            <w:fldChar w:fldCharType="separate"/>
                          </w:r>
                          <w:r>
                            <w:t>1</w:t>
                          </w:r>
                          <w:r>
                            <w:fldChar w:fldCharType="end"/>
                          </w:r>
                        </w:p>
                      </w:txbxContent>
                    </wps:txbx>
                    <wps:bodyPr vert="horz" wrap="none" lIns="0" tIns="0" rIns="0" bIns="0" anchor="t" anchorCtr="0" upright="0">
                      <a:spAutoFit/>
                    </wps:bodyPr>
                  </wps:wsp>
                </a:graphicData>
              </a:graphic>
            </wp:anchor>
          </w:drawing>
        </mc:Choice>
        <mc:Fallback>
          <w:pict>
            <v:shape id="文本框 1032" o:spid="_x0000_s1026" o:spt="202" type="#_x0000_t202" style="position:absolute;left:0pt;margin-top:-22.4pt;height:144pt;width:144pt;mso-position-horizontal:center;mso-position-horizontal-relative:margin;mso-wrap-style:none;z-index:251659264;mso-width-relative:page;mso-height-relative:page;" filled="f" stroked="f" coordsize="21600,21600" o:gfxdata="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jPrpltQAAAAIAQAA&#10;DwAAAAAAAAABACAAAAAiAAAAZHJzL2Rvd25yZXYueG1sUEsBAhQAFAAAAAgAh07iQJ1jnjHkAQAA&#10;0AMAAA4AAAAAAAAAAQAgAAAAIwEAAGRycy9lMm9Eb2MueG1sUEsFBgAAAAAGAAYAWQEAAHkFAAAA&#10;AA==&#10;">
              <v:fill on="f" focussize="0,0"/>
              <v:stroke on="f"/>
              <v:imagedata o:title=""/>
              <o:lock v:ext="edit" aspectratio="f"/>
              <v:textbox inset="0mm,0mm,0mm,0mm" style="mso-fit-shape-to-text:t;">
                <w:txbxContent>
                  <w:p w14:paraId="4E7E791A">
                    <w:pPr>
                      <w:pStyle w:val="18"/>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1622B9">
    <w:pPr>
      <w:pStyle w:val="18"/>
      <w:ind w:right="360" w:firstLine="360"/>
      <w:jc w:val="cente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4A37257">
                          <w:pPr>
                            <w:pStyle w:val="18"/>
                          </w:pPr>
                          <w:r>
                            <w:fldChar w:fldCharType="begin"/>
                          </w:r>
                          <w:r>
                            <w:instrText xml:space="preserve"> PAGE  \* MERGEFORMAT </w:instrText>
                          </w:r>
                          <w:r>
                            <w:fldChar w:fldCharType="separate"/>
                          </w:r>
                          <w:r>
                            <w:t>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thHI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Wgg3X1vuouoPMs&#10;C1v9YHlME4X0dnUIEDNpHAXqVOl1Q++lKvVzEpv7z32K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GthHIzAgAAYwQAAA4AAAAAAAAAAQAgAAAAHwEAAGRycy9lMm9Eb2MueG1sUEsF&#10;BgAAAAAGAAYAWQEAAMQFAAAAAA==&#10;">
              <v:fill on="f" focussize="0,0"/>
              <v:stroke on="f" weight="0.5pt"/>
              <v:imagedata o:title=""/>
              <o:lock v:ext="edit" aspectratio="f"/>
              <v:textbox inset="0mm,0mm,0mm,0mm" style="mso-fit-shape-to-text:t;">
                <w:txbxContent>
                  <w:p w14:paraId="34A37257">
                    <w:pPr>
                      <w:pStyle w:val="18"/>
                    </w:pPr>
                    <w:r>
                      <w:fldChar w:fldCharType="begin"/>
                    </w:r>
                    <w:r>
                      <w:instrText xml:space="preserve"> PAGE  \* MERGEFORMAT </w:instrText>
                    </w:r>
                    <w:r>
                      <w:fldChar w:fldCharType="separate"/>
                    </w:r>
                    <w:r>
                      <w:t>8</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F2532D">
    <w:pPr>
      <w:pStyle w:val="18"/>
      <w:ind w:right="360" w:firstLine="360"/>
      <w:jc w:val="cente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-284480</wp:posOffset>
              </wp:positionV>
              <wp:extent cx="1828800" cy="1828800"/>
              <wp:effectExtent l="0" t="0" r="0" b="0"/>
              <wp:wrapNone/>
              <wp:docPr id="13" name="文本框 103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2E6EC9F6">
                          <w:pPr>
                            <w:pStyle w:val="18"/>
                          </w:pPr>
                          <w:r>
                            <w:fldChar w:fldCharType="begin"/>
                          </w:r>
                          <w:r>
                            <w:instrText xml:space="preserve"> PAGE  \* MERGEFORMAT </w:instrText>
                          </w:r>
                          <w:r>
                            <w:fldChar w:fldCharType="separate"/>
                          </w:r>
                          <w:r>
                            <w:t>2</w:t>
                          </w:r>
                          <w:r>
                            <w:fldChar w:fldCharType="end"/>
                          </w:r>
                        </w:p>
                      </w:txbxContent>
                    </wps:txbx>
                    <wps:bodyPr vert="horz" wrap="none" lIns="0" tIns="0" rIns="0" bIns="0" anchor="t" anchorCtr="0" upright="0">
                      <a:spAutoFit/>
                    </wps:bodyPr>
                  </wps:wsp>
                </a:graphicData>
              </a:graphic>
            </wp:anchor>
          </w:drawing>
        </mc:Choice>
        <mc:Fallback>
          <w:pict>
            <v:shape id="文本框 1033" o:spid="_x0000_s1026" o:spt="202" type="#_x0000_t202" style="position:absolute;left:0pt;margin-top:-22.4pt;height:144pt;width:144pt;mso-position-horizontal:center;mso-position-horizontal-relative:margin;mso-wrap-style:none;z-index:251660288;mso-width-relative:page;mso-height-relative:page;" filled="f" stroked="f" coordsize="21600,21600" o:gfxdata="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Iz66ZbUAAAACAEA&#10;AA8AAAAAAAAAAQAgAAAAIgAAAGRycy9kb3ducmV2LnhtbFBLAQIUABQAAAAIAIdO4kAOuNTt5QEA&#10;ANADAAAOAAAAAAAAAAEAIAAAACMBAABkcnMvZTJvRG9jLnhtbFBLBQYAAAAABgAGAFkBAAB6BQAA&#10;AAA=&#10;">
              <v:fill on="f" focussize="0,0"/>
              <v:stroke on="f"/>
              <v:imagedata o:title=""/>
              <o:lock v:ext="edit" aspectratio="f"/>
              <v:textbox inset="0mm,0mm,0mm,0mm" style="mso-fit-shape-to-text:t;">
                <w:txbxContent>
                  <w:p w14:paraId="2E6EC9F6">
                    <w:pPr>
                      <w:pStyle w:val="18"/>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8B0F8D">
    <w:pPr>
      <w:pStyle w:val="18"/>
      <w:ind w:right="360" w:firstLine="360"/>
      <w:jc w:val="cente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-284480</wp:posOffset>
              </wp:positionV>
              <wp:extent cx="1828800" cy="1828800"/>
              <wp:effectExtent l="0" t="0" r="0" b="0"/>
              <wp:wrapNone/>
              <wp:docPr id="14" name="文本框 103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566EC17A">
                          <w:pPr>
                            <w:pStyle w:val="18"/>
                          </w:pPr>
                          <w:r>
                            <w:fldChar w:fldCharType="begin"/>
                          </w:r>
                          <w:r>
                            <w:instrText xml:space="preserve"> PAGE  \* MERGEFORMAT </w:instrText>
                          </w:r>
                          <w:r>
                            <w:fldChar w:fldCharType="separate"/>
                          </w:r>
                          <w:r>
                            <w:t>8</w:t>
                          </w:r>
                          <w:r>
                            <w:fldChar w:fldCharType="end"/>
                          </w:r>
                        </w:p>
                      </w:txbxContent>
                    </wps:txbx>
                    <wps:bodyPr vert="horz" wrap="none" lIns="0" tIns="0" rIns="0" bIns="0" anchor="t" anchorCtr="0" upright="0">
                      <a:spAutoFit/>
                    </wps:bodyPr>
                  </wps:wsp>
                </a:graphicData>
              </a:graphic>
            </wp:anchor>
          </w:drawing>
        </mc:Choice>
        <mc:Fallback>
          <w:pict>
            <v:shape id="文本框 1035" o:spid="_x0000_s1026" o:spt="202" type="#_x0000_t202" style="position:absolute;left:0pt;margin-top:-22.4pt;height:144pt;width:144pt;mso-position-horizontal:center;mso-position-horizontal-relative:margin;mso-wrap-style:none;z-index:251661312;mso-width-relative:page;mso-height-relative:page;" filled="f" stroked="f" coordsize="21600,21600" o:gfxdata="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Iz66ZbUAAAACAEA&#10;AA8AAAAAAAAAAQAgAAAAIgAAAGRycy9kb3ducmV2LnhtbFBLAQIUABQAAAAIAIdO4kCcusPe5QEA&#10;ANADAAAOAAAAAAAAAAEAIAAAACMBAABkcnMvZTJvRG9jLnhtbFBLBQYAAAAABgAGAFkBAAB6BQAA&#10;AAA=&#10;">
              <v:fill on="f" focussize="0,0"/>
              <v:stroke on="f"/>
              <v:imagedata o:title=""/>
              <o:lock v:ext="edit" aspectratio="f"/>
              <v:textbox inset="0mm,0mm,0mm,0mm" style="mso-fit-shape-to-text:t;">
                <w:txbxContent>
                  <w:p w14:paraId="566EC17A">
                    <w:pPr>
                      <w:pStyle w:val="18"/>
                    </w:pPr>
                    <w:r>
                      <w:fldChar w:fldCharType="begin"/>
                    </w:r>
                    <w:r>
                      <w:instrText xml:space="preserve"> PAGE  \* MERGEFORMAT </w:instrText>
                    </w:r>
                    <w:r>
                      <w:fldChar w:fldCharType="separate"/>
                    </w:r>
                    <w:r>
                      <w:t>8</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829029"/>
    <w:multiLevelType w:val="singleLevel"/>
    <w:tmpl w:val="B4829029"/>
    <w:lvl w:ilvl="0" w:tentative="0">
      <w:start w:val="1"/>
      <w:numFmt w:val="bullet"/>
      <w:pStyle w:val="10"/>
      <w:lvlText w:val=""/>
      <w:lvlJc w:val="left"/>
      <w:pPr>
        <w:tabs>
          <w:tab w:val="left" w:pos="2040"/>
        </w:tabs>
        <w:ind w:left="2040" w:hanging="360"/>
      </w:pPr>
      <w:rPr>
        <w:rFonts w:hint="default" w:ascii="Wingdings" w:hAnsi="Wingdings"/>
      </w:rPr>
    </w:lvl>
  </w:abstractNum>
  <w:abstractNum w:abstractNumId="1">
    <w:nsid w:val="110A68B6"/>
    <w:multiLevelType w:val="multilevel"/>
    <w:tmpl w:val="110A68B6"/>
    <w:lvl w:ilvl="0" w:tentative="0">
      <w:start w:val="1"/>
      <w:numFmt w:val="decimal"/>
      <w:pStyle w:val="56"/>
      <w:lvlText w:val="（%1）"/>
      <w:lvlJc w:val="left"/>
      <w:pPr>
        <w:tabs>
          <w:tab w:val="left" w:pos="1200"/>
        </w:tabs>
        <w:ind w:left="1200" w:hanging="720"/>
      </w:pPr>
      <w:rPr>
        <w:rFonts w:hint="default"/>
        <w:lang w:val="en-US"/>
      </w:rPr>
    </w:lvl>
    <w:lvl w:ilvl="1" w:tentative="0">
      <w:start w:val="1"/>
      <w:numFmt w:val="lowerLetter"/>
      <w:lvlText w:val="%2)"/>
      <w:lvlJc w:val="left"/>
      <w:pPr>
        <w:tabs>
          <w:tab w:val="left" w:pos="1320"/>
        </w:tabs>
        <w:ind w:left="1320" w:hanging="420"/>
      </w:pPr>
    </w:lvl>
    <w:lvl w:ilvl="2" w:tentative="0">
      <w:start w:val="1"/>
      <w:numFmt w:val="lowerRoman"/>
      <w:lvlText w:val="%3."/>
      <w:lvlJc w:val="right"/>
      <w:pPr>
        <w:tabs>
          <w:tab w:val="left" w:pos="1740"/>
        </w:tabs>
        <w:ind w:left="1740" w:hanging="420"/>
      </w:pPr>
    </w:lvl>
    <w:lvl w:ilvl="3" w:tentative="0">
      <w:start w:val="1"/>
      <w:numFmt w:val="decimal"/>
      <w:lvlText w:val="%4."/>
      <w:lvlJc w:val="left"/>
      <w:pPr>
        <w:tabs>
          <w:tab w:val="left" w:pos="2160"/>
        </w:tabs>
        <w:ind w:left="2160" w:hanging="420"/>
      </w:pPr>
    </w:lvl>
    <w:lvl w:ilvl="4" w:tentative="0">
      <w:start w:val="1"/>
      <w:numFmt w:val="lowerLetter"/>
      <w:lvlText w:val="%5)"/>
      <w:lvlJc w:val="left"/>
      <w:pPr>
        <w:tabs>
          <w:tab w:val="left" w:pos="2580"/>
        </w:tabs>
        <w:ind w:left="2580" w:hanging="420"/>
      </w:pPr>
    </w:lvl>
    <w:lvl w:ilvl="5" w:tentative="0">
      <w:start w:val="1"/>
      <w:numFmt w:val="lowerRoman"/>
      <w:lvlText w:val="%6."/>
      <w:lvlJc w:val="right"/>
      <w:pPr>
        <w:tabs>
          <w:tab w:val="left" w:pos="3000"/>
        </w:tabs>
        <w:ind w:left="3000" w:hanging="420"/>
      </w:pPr>
    </w:lvl>
    <w:lvl w:ilvl="6" w:tentative="0">
      <w:start w:val="1"/>
      <w:numFmt w:val="decimal"/>
      <w:lvlText w:val="%7."/>
      <w:lvlJc w:val="left"/>
      <w:pPr>
        <w:tabs>
          <w:tab w:val="left" w:pos="3420"/>
        </w:tabs>
        <w:ind w:left="3420" w:hanging="420"/>
      </w:pPr>
    </w:lvl>
    <w:lvl w:ilvl="7" w:tentative="0">
      <w:start w:val="1"/>
      <w:numFmt w:val="lowerLetter"/>
      <w:lvlText w:val="%8)"/>
      <w:lvlJc w:val="left"/>
      <w:pPr>
        <w:tabs>
          <w:tab w:val="left" w:pos="3840"/>
        </w:tabs>
        <w:ind w:left="3840" w:hanging="420"/>
      </w:pPr>
    </w:lvl>
    <w:lvl w:ilvl="8" w:tentative="0">
      <w:start w:val="1"/>
      <w:numFmt w:val="lowerRoman"/>
      <w:lvlText w:val="%9."/>
      <w:lvlJc w:val="right"/>
      <w:pPr>
        <w:tabs>
          <w:tab w:val="left" w:pos="4260"/>
        </w:tabs>
        <w:ind w:left="4260" w:hanging="4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TrueTypeFonts/>
  <w:saveSubsetFonts/>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trackedChanges" w:enforcement="0"/>
  <w:defaultTabStop w:val="420"/>
  <w:hyphenationZone w:val="360"/>
  <w:doNotHyphenateCaps/>
  <w:drawingGridVerticalSpacing w:val="156"/>
  <w:displayHorizontalDrawingGridEvery w:val="1"/>
  <w:displayVerticalDrawingGridEvery w:val="1"/>
  <w:noPunctuationKerning w:val="1"/>
  <w:characterSpacingControl w:val="compressPunctuation"/>
  <w:noLineBreaksAfter w:lang="zh-CN" w:val="([{·‘“〈《「『【〔〖（．［｛￡￥"/>
  <w:noLineBreaksBefore w:lang="zh-CN" w:val="!),.:;?]}¨·ˇˉ―‖’”…∶、。〃々〉》」』】〕〗！＂＇），．：；？］｀｜｝～￠"/>
  <w:doNotValidateAgainstSchema/>
  <w:doNotDemarcateInvalidXml/>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TQxZTlhOWZkNGQzNWUyZjA1NGUxMGEwMjdmODRiYzUifQ=="/>
  </w:docVars>
  <w:rsids>
    <w:rsidRoot w:val="00172A27"/>
    <w:rsid w:val="000060B3"/>
    <w:rsid w:val="0004016C"/>
    <w:rsid w:val="0004364B"/>
    <w:rsid w:val="00061B1F"/>
    <w:rsid w:val="000733C4"/>
    <w:rsid w:val="00074783"/>
    <w:rsid w:val="0008070B"/>
    <w:rsid w:val="000810AC"/>
    <w:rsid w:val="00081A02"/>
    <w:rsid w:val="00082231"/>
    <w:rsid w:val="00092D38"/>
    <w:rsid w:val="0009377B"/>
    <w:rsid w:val="000A20C9"/>
    <w:rsid w:val="000B058F"/>
    <w:rsid w:val="000B4467"/>
    <w:rsid w:val="000B4DB9"/>
    <w:rsid w:val="000C09AC"/>
    <w:rsid w:val="000C767F"/>
    <w:rsid w:val="000D5A44"/>
    <w:rsid w:val="000E3ED2"/>
    <w:rsid w:val="00131F42"/>
    <w:rsid w:val="001357F1"/>
    <w:rsid w:val="00140FA8"/>
    <w:rsid w:val="00142FEB"/>
    <w:rsid w:val="00143A2D"/>
    <w:rsid w:val="00145A41"/>
    <w:rsid w:val="00151675"/>
    <w:rsid w:val="00157435"/>
    <w:rsid w:val="0017504D"/>
    <w:rsid w:val="0017671A"/>
    <w:rsid w:val="00177422"/>
    <w:rsid w:val="00184590"/>
    <w:rsid w:val="001870D1"/>
    <w:rsid w:val="0018781E"/>
    <w:rsid w:val="0019262D"/>
    <w:rsid w:val="001A1B35"/>
    <w:rsid w:val="001A48A2"/>
    <w:rsid w:val="001A6F61"/>
    <w:rsid w:val="001B72B8"/>
    <w:rsid w:val="001C69B3"/>
    <w:rsid w:val="001D5595"/>
    <w:rsid w:val="001D7874"/>
    <w:rsid w:val="001D7F22"/>
    <w:rsid w:val="001F0F17"/>
    <w:rsid w:val="001F3347"/>
    <w:rsid w:val="001F69E4"/>
    <w:rsid w:val="002125B4"/>
    <w:rsid w:val="002155B8"/>
    <w:rsid w:val="00224839"/>
    <w:rsid w:val="002249B2"/>
    <w:rsid w:val="00226574"/>
    <w:rsid w:val="002278EC"/>
    <w:rsid w:val="0023280E"/>
    <w:rsid w:val="002377D1"/>
    <w:rsid w:val="002506BC"/>
    <w:rsid w:val="00254345"/>
    <w:rsid w:val="00264557"/>
    <w:rsid w:val="002805AB"/>
    <w:rsid w:val="00284204"/>
    <w:rsid w:val="00291773"/>
    <w:rsid w:val="002A168C"/>
    <w:rsid w:val="002A3DC7"/>
    <w:rsid w:val="002B49E2"/>
    <w:rsid w:val="002B7B00"/>
    <w:rsid w:val="002B7C44"/>
    <w:rsid w:val="002C2B17"/>
    <w:rsid w:val="002D3DD0"/>
    <w:rsid w:val="002E1F3A"/>
    <w:rsid w:val="002E298A"/>
    <w:rsid w:val="00301978"/>
    <w:rsid w:val="0030332C"/>
    <w:rsid w:val="003051C2"/>
    <w:rsid w:val="00312296"/>
    <w:rsid w:val="00314F0E"/>
    <w:rsid w:val="00321D8E"/>
    <w:rsid w:val="00325928"/>
    <w:rsid w:val="00332863"/>
    <w:rsid w:val="0033684D"/>
    <w:rsid w:val="00337B42"/>
    <w:rsid w:val="00341B42"/>
    <w:rsid w:val="0034348F"/>
    <w:rsid w:val="00356653"/>
    <w:rsid w:val="0035743F"/>
    <w:rsid w:val="00357BE2"/>
    <w:rsid w:val="0036170C"/>
    <w:rsid w:val="00366E0F"/>
    <w:rsid w:val="00381A72"/>
    <w:rsid w:val="00384676"/>
    <w:rsid w:val="00390857"/>
    <w:rsid w:val="003A4BF3"/>
    <w:rsid w:val="003B420D"/>
    <w:rsid w:val="003C6C16"/>
    <w:rsid w:val="003D794D"/>
    <w:rsid w:val="003E3058"/>
    <w:rsid w:val="003E5FC0"/>
    <w:rsid w:val="003E76A9"/>
    <w:rsid w:val="003F0809"/>
    <w:rsid w:val="003F6A8C"/>
    <w:rsid w:val="003F755C"/>
    <w:rsid w:val="00406F01"/>
    <w:rsid w:val="00416D50"/>
    <w:rsid w:val="00416FD5"/>
    <w:rsid w:val="00417772"/>
    <w:rsid w:val="00420E6A"/>
    <w:rsid w:val="00425A9E"/>
    <w:rsid w:val="00426D6B"/>
    <w:rsid w:val="00431E6C"/>
    <w:rsid w:val="00433CE7"/>
    <w:rsid w:val="00452738"/>
    <w:rsid w:val="00456091"/>
    <w:rsid w:val="00466321"/>
    <w:rsid w:val="00484B9B"/>
    <w:rsid w:val="004855F6"/>
    <w:rsid w:val="0048661E"/>
    <w:rsid w:val="00494670"/>
    <w:rsid w:val="004A3823"/>
    <w:rsid w:val="004C3DCB"/>
    <w:rsid w:val="004E6946"/>
    <w:rsid w:val="004F1AD8"/>
    <w:rsid w:val="005039CB"/>
    <w:rsid w:val="0050558F"/>
    <w:rsid w:val="00506286"/>
    <w:rsid w:val="00510813"/>
    <w:rsid w:val="00511990"/>
    <w:rsid w:val="00511DE0"/>
    <w:rsid w:val="00514870"/>
    <w:rsid w:val="00514B9B"/>
    <w:rsid w:val="00517F02"/>
    <w:rsid w:val="00524303"/>
    <w:rsid w:val="005258A2"/>
    <w:rsid w:val="005401AE"/>
    <w:rsid w:val="00542E07"/>
    <w:rsid w:val="00545424"/>
    <w:rsid w:val="00554A7B"/>
    <w:rsid w:val="0055572C"/>
    <w:rsid w:val="0056106A"/>
    <w:rsid w:val="005720AE"/>
    <w:rsid w:val="00594D77"/>
    <w:rsid w:val="005969E4"/>
    <w:rsid w:val="005A06B7"/>
    <w:rsid w:val="005A1759"/>
    <w:rsid w:val="005A68A7"/>
    <w:rsid w:val="005D36AB"/>
    <w:rsid w:val="006063C5"/>
    <w:rsid w:val="00617CC3"/>
    <w:rsid w:val="006377A6"/>
    <w:rsid w:val="00637A3D"/>
    <w:rsid w:val="006411EF"/>
    <w:rsid w:val="006748B8"/>
    <w:rsid w:val="006775C3"/>
    <w:rsid w:val="0069290A"/>
    <w:rsid w:val="0069775A"/>
    <w:rsid w:val="00697813"/>
    <w:rsid w:val="006A3EE8"/>
    <w:rsid w:val="006A72BF"/>
    <w:rsid w:val="006B03F2"/>
    <w:rsid w:val="006B37DC"/>
    <w:rsid w:val="006B4F68"/>
    <w:rsid w:val="006C0592"/>
    <w:rsid w:val="006C272E"/>
    <w:rsid w:val="006C5479"/>
    <w:rsid w:val="006D13B5"/>
    <w:rsid w:val="006E12FF"/>
    <w:rsid w:val="006E607E"/>
    <w:rsid w:val="00706C5D"/>
    <w:rsid w:val="00732922"/>
    <w:rsid w:val="0075162E"/>
    <w:rsid w:val="00754034"/>
    <w:rsid w:val="00756556"/>
    <w:rsid w:val="007618C4"/>
    <w:rsid w:val="00767980"/>
    <w:rsid w:val="00770B19"/>
    <w:rsid w:val="0077463F"/>
    <w:rsid w:val="007836EA"/>
    <w:rsid w:val="00784CDA"/>
    <w:rsid w:val="007906C4"/>
    <w:rsid w:val="007940EA"/>
    <w:rsid w:val="007967E8"/>
    <w:rsid w:val="007A2170"/>
    <w:rsid w:val="007A22BF"/>
    <w:rsid w:val="007A3323"/>
    <w:rsid w:val="007B72B8"/>
    <w:rsid w:val="007B7A58"/>
    <w:rsid w:val="007C21B5"/>
    <w:rsid w:val="007D4799"/>
    <w:rsid w:val="007E4BD2"/>
    <w:rsid w:val="00801393"/>
    <w:rsid w:val="00802F88"/>
    <w:rsid w:val="0081293E"/>
    <w:rsid w:val="00815465"/>
    <w:rsid w:val="00817E9A"/>
    <w:rsid w:val="008306BD"/>
    <w:rsid w:val="00831A80"/>
    <w:rsid w:val="00833743"/>
    <w:rsid w:val="008340A4"/>
    <w:rsid w:val="0087135F"/>
    <w:rsid w:val="00872D94"/>
    <w:rsid w:val="00880364"/>
    <w:rsid w:val="00891592"/>
    <w:rsid w:val="00891E9E"/>
    <w:rsid w:val="008A29A9"/>
    <w:rsid w:val="008A2F68"/>
    <w:rsid w:val="008B4FA6"/>
    <w:rsid w:val="008B5282"/>
    <w:rsid w:val="008B7C17"/>
    <w:rsid w:val="008C2D01"/>
    <w:rsid w:val="008C40E6"/>
    <w:rsid w:val="008D0F7A"/>
    <w:rsid w:val="008D68E4"/>
    <w:rsid w:val="008E0506"/>
    <w:rsid w:val="008E0CFF"/>
    <w:rsid w:val="008E5D6B"/>
    <w:rsid w:val="008E76F0"/>
    <w:rsid w:val="008F15FE"/>
    <w:rsid w:val="008F2D29"/>
    <w:rsid w:val="008F5187"/>
    <w:rsid w:val="008F60D8"/>
    <w:rsid w:val="00902727"/>
    <w:rsid w:val="0090312B"/>
    <w:rsid w:val="0091736D"/>
    <w:rsid w:val="0093037A"/>
    <w:rsid w:val="0094154D"/>
    <w:rsid w:val="0095155F"/>
    <w:rsid w:val="00954429"/>
    <w:rsid w:val="009563CE"/>
    <w:rsid w:val="00976328"/>
    <w:rsid w:val="0097680D"/>
    <w:rsid w:val="00982438"/>
    <w:rsid w:val="0098404C"/>
    <w:rsid w:val="00985283"/>
    <w:rsid w:val="00995992"/>
    <w:rsid w:val="009A03E5"/>
    <w:rsid w:val="009A0F3B"/>
    <w:rsid w:val="009A1BB4"/>
    <w:rsid w:val="009A2628"/>
    <w:rsid w:val="009A3200"/>
    <w:rsid w:val="009B0897"/>
    <w:rsid w:val="009B7BD9"/>
    <w:rsid w:val="009C7DD5"/>
    <w:rsid w:val="009E227D"/>
    <w:rsid w:val="009E5019"/>
    <w:rsid w:val="00A04F1B"/>
    <w:rsid w:val="00A0501B"/>
    <w:rsid w:val="00A14947"/>
    <w:rsid w:val="00A32A83"/>
    <w:rsid w:val="00A368DB"/>
    <w:rsid w:val="00A423AA"/>
    <w:rsid w:val="00A53EC6"/>
    <w:rsid w:val="00A55C0F"/>
    <w:rsid w:val="00A566D5"/>
    <w:rsid w:val="00A8713F"/>
    <w:rsid w:val="00A90BA1"/>
    <w:rsid w:val="00A97A9A"/>
    <w:rsid w:val="00AA0671"/>
    <w:rsid w:val="00AA2531"/>
    <w:rsid w:val="00AB1E09"/>
    <w:rsid w:val="00AB5330"/>
    <w:rsid w:val="00AB7747"/>
    <w:rsid w:val="00AC14CE"/>
    <w:rsid w:val="00AC2A56"/>
    <w:rsid w:val="00AD055E"/>
    <w:rsid w:val="00AD47A7"/>
    <w:rsid w:val="00AF0CBF"/>
    <w:rsid w:val="00AF257F"/>
    <w:rsid w:val="00AF33CF"/>
    <w:rsid w:val="00AF4D50"/>
    <w:rsid w:val="00AF6179"/>
    <w:rsid w:val="00B1295A"/>
    <w:rsid w:val="00B20A45"/>
    <w:rsid w:val="00B22C5C"/>
    <w:rsid w:val="00B24F30"/>
    <w:rsid w:val="00B31ABF"/>
    <w:rsid w:val="00B33BE3"/>
    <w:rsid w:val="00B53B5D"/>
    <w:rsid w:val="00B6055E"/>
    <w:rsid w:val="00B6317D"/>
    <w:rsid w:val="00B7723F"/>
    <w:rsid w:val="00B80534"/>
    <w:rsid w:val="00B8433C"/>
    <w:rsid w:val="00B87491"/>
    <w:rsid w:val="00BA29E9"/>
    <w:rsid w:val="00BA7142"/>
    <w:rsid w:val="00BB237C"/>
    <w:rsid w:val="00BB41A3"/>
    <w:rsid w:val="00BC32DC"/>
    <w:rsid w:val="00BC35B6"/>
    <w:rsid w:val="00BD1B51"/>
    <w:rsid w:val="00BD4596"/>
    <w:rsid w:val="00BE1405"/>
    <w:rsid w:val="00BE312D"/>
    <w:rsid w:val="00BF1C20"/>
    <w:rsid w:val="00C10578"/>
    <w:rsid w:val="00C135BC"/>
    <w:rsid w:val="00C15C95"/>
    <w:rsid w:val="00C2596A"/>
    <w:rsid w:val="00C27537"/>
    <w:rsid w:val="00C328FE"/>
    <w:rsid w:val="00C33507"/>
    <w:rsid w:val="00C4409D"/>
    <w:rsid w:val="00C44E72"/>
    <w:rsid w:val="00C45A06"/>
    <w:rsid w:val="00C47E5B"/>
    <w:rsid w:val="00C61E4B"/>
    <w:rsid w:val="00C64BFF"/>
    <w:rsid w:val="00C704E9"/>
    <w:rsid w:val="00C763C9"/>
    <w:rsid w:val="00C80057"/>
    <w:rsid w:val="00C82232"/>
    <w:rsid w:val="00C82913"/>
    <w:rsid w:val="00C972B1"/>
    <w:rsid w:val="00CA2CCE"/>
    <w:rsid w:val="00CA43FD"/>
    <w:rsid w:val="00CA7EF8"/>
    <w:rsid w:val="00CC489B"/>
    <w:rsid w:val="00CD2BCD"/>
    <w:rsid w:val="00CD3A4C"/>
    <w:rsid w:val="00CE10E9"/>
    <w:rsid w:val="00CE2910"/>
    <w:rsid w:val="00CE5393"/>
    <w:rsid w:val="00CF36BE"/>
    <w:rsid w:val="00CF6000"/>
    <w:rsid w:val="00D003F3"/>
    <w:rsid w:val="00D0364F"/>
    <w:rsid w:val="00D06834"/>
    <w:rsid w:val="00D308ED"/>
    <w:rsid w:val="00D36D86"/>
    <w:rsid w:val="00D428AA"/>
    <w:rsid w:val="00D50A34"/>
    <w:rsid w:val="00D53EFA"/>
    <w:rsid w:val="00D94A7C"/>
    <w:rsid w:val="00D95896"/>
    <w:rsid w:val="00DB2983"/>
    <w:rsid w:val="00DC1257"/>
    <w:rsid w:val="00DC3DC0"/>
    <w:rsid w:val="00DC5B2B"/>
    <w:rsid w:val="00DD318D"/>
    <w:rsid w:val="00DE1BE7"/>
    <w:rsid w:val="00DF2E12"/>
    <w:rsid w:val="00DF514A"/>
    <w:rsid w:val="00DF6690"/>
    <w:rsid w:val="00DF6804"/>
    <w:rsid w:val="00E0358D"/>
    <w:rsid w:val="00E04323"/>
    <w:rsid w:val="00E070A2"/>
    <w:rsid w:val="00E2656A"/>
    <w:rsid w:val="00E412D0"/>
    <w:rsid w:val="00E56322"/>
    <w:rsid w:val="00E60982"/>
    <w:rsid w:val="00E62C62"/>
    <w:rsid w:val="00E654C1"/>
    <w:rsid w:val="00E65D97"/>
    <w:rsid w:val="00E72A5A"/>
    <w:rsid w:val="00E73354"/>
    <w:rsid w:val="00E9242D"/>
    <w:rsid w:val="00EB5255"/>
    <w:rsid w:val="00EB5C47"/>
    <w:rsid w:val="00ED0639"/>
    <w:rsid w:val="00EF4755"/>
    <w:rsid w:val="00EF7135"/>
    <w:rsid w:val="00F027DB"/>
    <w:rsid w:val="00F14A7A"/>
    <w:rsid w:val="00F22985"/>
    <w:rsid w:val="00F3383E"/>
    <w:rsid w:val="00F465A7"/>
    <w:rsid w:val="00F50B7C"/>
    <w:rsid w:val="00F550E6"/>
    <w:rsid w:val="00F74345"/>
    <w:rsid w:val="00F80A0A"/>
    <w:rsid w:val="00F82B19"/>
    <w:rsid w:val="00F9212D"/>
    <w:rsid w:val="00F965DA"/>
    <w:rsid w:val="00FA406A"/>
    <w:rsid w:val="00FB503A"/>
    <w:rsid w:val="00FB516C"/>
    <w:rsid w:val="00FD0236"/>
    <w:rsid w:val="00FD18F4"/>
    <w:rsid w:val="00FD54DB"/>
    <w:rsid w:val="00FD619F"/>
    <w:rsid w:val="010B2AF9"/>
    <w:rsid w:val="012744D7"/>
    <w:rsid w:val="01290F7E"/>
    <w:rsid w:val="012D2227"/>
    <w:rsid w:val="014001AC"/>
    <w:rsid w:val="015D1E09"/>
    <w:rsid w:val="01674DF2"/>
    <w:rsid w:val="0179546C"/>
    <w:rsid w:val="017B44B6"/>
    <w:rsid w:val="01A26771"/>
    <w:rsid w:val="01A346FD"/>
    <w:rsid w:val="02697903"/>
    <w:rsid w:val="027E3270"/>
    <w:rsid w:val="02927D60"/>
    <w:rsid w:val="029A7D90"/>
    <w:rsid w:val="02BB6C54"/>
    <w:rsid w:val="02F96569"/>
    <w:rsid w:val="02FC4656"/>
    <w:rsid w:val="02FD4578"/>
    <w:rsid w:val="033518D8"/>
    <w:rsid w:val="03393DEC"/>
    <w:rsid w:val="0358725C"/>
    <w:rsid w:val="0361440A"/>
    <w:rsid w:val="03A05033"/>
    <w:rsid w:val="03D251BA"/>
    <w:rsid w:val="03EA7B21"/>
    <w:rsid w:val="04157712"/>
    <w:rsid w:val="041E03A6"/>
    <w:rsid w:val="041F054D"/>
    <w:rsid w:val="042C0EBC"/>
    <w:rsid w:val="0490144A"/>
    <w:rsid w:val="049319EC"/>
    <w:rsid w:val="049A2547"/>
    <w:rsid w:val="04A42800"/>
    <w:rsid w:val="04AE7B23"/>
    <w:rsid w:val="050D433E"/>
    <w:rsid w:val="050F7414"/>
    <w:rsid w:val="05167397"/>
    <w:rsid w:val="052E1A16"/>
    <w:rsid w:val="053F310B"/>
    <w:rsid w:val="05407702"/>
    <w:rsid w:val="05457AEC"/>
    <w:rsid w:val="05492A09"/>
    <w:rsid w:val="05715BAA"/>
    <w:rsid w:val="0573756B"/>
    <w:rsid w:val="05850883"/>
    <w:rsid w:val="059451B2"/>
    <w:rsid w:val="05955D14"/>
    <w:rsid w:val="05C869C2"/>
    <w:rsid w:val="05D15F11"/>
    <w:rsid w:val="05F54255"/>
    <w:rsid w:val="05F83EAE"/>
    <w:rsid w:val="05FE4E9C"/>
    <w:rsid w:val="060317A8"/>
    <w:rsid w:val="062E4B40"/>
    <w:rsid w:val="063E7D85"/>
    <w:rsid w:val="064E1F37"/>
    <w:rsid w:val="06640749"/>
    <w:rsid w:val="06693416"/>
    <w:rsid w:val="06784FE2"/>
    <w:rsid w:val="069448F1"/>
    <w:rsid w:val="06971C19"/>
    <w:rsid w:val="06B86A37"/>
    <w:rsid w:val="06D575E9"/>
    <w:rsid w:val="070D3E5C"/>
    <w:rsid w:val="07293586"/>
    <w:rsid w:val="07295285"/>
    <w:rsid w:val="074107DA"/>
    <w:rsid w:val="07636392"/>
    <w:rsid w:val="076E3F95"/>
    <w:rsid w:val="07770C56"/>
    <w:rsid w:val="07852DBD"/>
    <w:rsid w:val="07927288"/>
    <w:rsid w:val="079C0106"/>
    <w:rsid w:val="07AD5E6F"/>
    <w:rsid w:val="07B611C8"/>
    <w:rsid w:val="07D608AC"/>
    <w:rsid w:val="07EA2C20"/>
    <w:rsid w:val="08094AA6"/>
    <w:rsid w:val="081953AC"/>
    <w:rsid w:val="08234384"/>
    <w:rsid w:val="082A74C0"/>
    <w:rsid w:val="08855978"/>
    <w:rsid w:val="088A61B1"/>
    <w:rsid w:val="08D4020A"/>
    <w:rsid w:val="08DA2F68"/>
    <w:rsid w:val="092217DD"/>
    <w:rsid w:val="0935478F"/>
    <w:rsid w:val="093A7294"/>
    <w:rsid w:val="094560C7"/>
    <w:rsid w:val="09650203"/>
    <w:rsid w:val="09954E0D"/>
    <w:rsid w:val="09BC05EC"/>
    <w:rsid w:val="09C66EAF"/>
    <w:rsid w:val="09CA0F5B"/>
    <w:rsid w:val="09D75580"/>
    <w:rsid w:val="09DC6D11"/>
    <w:rsid w:val="09FC6C3A"/>
    <w:rsid w:val="0A00497C"/>
    <w:rsid w:val="0A1C72DC"/>
    <w:rsid w:val="0A21150B"/>
    <w:rsid w:val="0A263993"/>
    <w:rsid w:val="0A2D3AC2"/>
    <w:rsid w:val="0A2F7010"/>
    <w:rsid w:val="0A481E7F"/>
    <w:rsid w:val="0A8E0FB1"/>
    <w:rsid w:val="0AA437C1"/>
    <w:rsid w:val="0AA755DF"/>
    <w:rsid w:val="0AD57EAC"/>
    <w:rsid w:val="0AE0655C"/>
    <w:rsid w:val="0B120D44"/>
    <w:rsid w:val="0B2E5519"/>
    <w:rsid w:val="0B41683D"/>
    <w:rsid w:val="0B7C477E"/>
    <w:rsid w:val="0B7D3DAB"/>
    <w:rsid w:val="0BB34B17"/>
    <w:rsid w:val="0BD27BF6"/>
    <w:rsid w:val="0C166839"/>
    <w:rsid w:val="0C1741FF"/>
    <w:rsid w:val="0C3B3C7D"/>
    <w:rsid w:val="0C5222AD"/>
    <w:rsid w:val="0CA05FA3"/>
    <w:rsid w:val="0CAB2EAE"/>
    <w:rsid w:val="0CDF5BE4"/>
    <w:rsid w:val="0CE42D59"/>
    <w:rsid w:val="0CF87B8D"/>
    <w:rsid w:val="0D0606D7"/>
    <w:rsid w:val="0D163A6C"/>
    <w:rsid w:val="0D186481"/>
    <w:rsid w:val="0D2210AE"/>
    <w:rsid w:val="0D533CF2"/>
    <w:rsid w:val="0D5372D9"/>
    <w:rsid w:val="0D621C7D"/>
    <w:rsid w:val="0D790B08"/>
    <w:rsid w:val="0D7B2671"/>
    <w:rsid w:val="0D8575EA"/>
    <w:rsid w:val="0DA5331D"/>
    <w:rsid w:val="0DBB71FB"/>
    <w:rsid w:val="0DC9777B"/>
    <w:rsid w:val="0DD25FB8"/>
    <w:rsid w:val="0DD442E1"/>
    <w:rsid w:val="0DDB5006"/>
    <w:rsid w:val="0DFC12FE"/>
    <w:rsid w:val="0E1A2C2A"/>
    <w:rsid w:val="0E5139F9"/>
    <w:rsid w:val="0E533932"/>
    <w:rsid w:val="0E562603"/>
    <w:rsid w:val="0E73034D"/>
    <w:rsid w:val="0E9262B2"/>
    <w:rsid w:val="0EA7526D"/>
    <w:rsid w:val="0EB67D00"/>
    <w:rsid w:val="0EC46154"/>
    <w:rsid w:val="0EE228A3"/>
    <w:rsid w:val="0EE363D7"/>
    <w:rsid w:val="0F13775A"/>
    <w:rsid w:val="0F1A203F"/>
    <w:rsid w:val="0F3155D8"/>
    <w:rsid w:val="0F5F45FE"/>
    <w:rsid w:val="0F7A3541"/>
    <w:rsid w:val="0F8B118C"/>
    <w:rsid w:val="0F9A112B"/>
    <w:rsid w:val="0FE91A0F"/>
    <w:rsid w:val="10071B8A"/>
    <w:rsid w:val="10157FD4"/>
    <w:rsid w:val="1021478E"/>
    <w:rsid w:val="103D1884"/>
    <w:rsid w:val="103F3D25"/>
    <w:rsid w:val="106D2F64"/>
    <w:rsid w:val="107C0AD5"/>
    <w:rsid w:val="109776BD"/>
    <w:rsid w:val="10A65B52"/>
    <w:rsid w:val="10AD0C8E"/>
    <w:rsid w:val="10B63710"/>
    <w:rsid w:val="10C60D50"/>
    <w:rsid w:val="10C60FC4"/>
    <w:rsid w:val="10CC127E"/>
    <w:rsid w:val="10D12BCF"/>
    <w:rsid w:val="10F10820"/>
    <w:rsid w:val="111020F9"/>
    <w:rsid w:val="111C2F7A"/>
    <w:rsid w:val="112278CE"/>
    <w:rsid w:val="113F14D5"/>
    <w:rsid w:val="115236C2"/>
    <w:rsid w:val="115953C8"/>
    <w:rsid w:val="11660A66"/>
    <w:rsid w:val="11665CA1"/>
    <w:rsid w:val="118C2781"/>
    <w:rsid w:val="119B4AD7"/>
    <w:rsid w:val="11A65EF9"/>
    <w:rsid w:val="11D54941"/>
    <w:rsid w:val="11F4424F"/>
    <w:rsid w:val="121C2063"/>
    <w:rsid w:val="124A679D"/>
    <w:rsid w:val="12666D03"/>
    <w:rsid w:val="128165A8"/>
    <w:rsid w:val="1283439D"/>
    <w:rsid w:val="12BB4FB9"/>
    <w:rsid w:val="12C50B05"/>
    <w:rsid w:val="12CD1ABC"/>
    <w:rsid w:val="12D22C2E"/>
    <w:rsid w:val="130A061A"/>
    <w:rsid w:val="131219E1"/>
    <w:rsid w:val="13252E99"/>
    <w:rsid w:val="133053C7"/>
    <w:rsid w:val="13531FC1"/>
    <w:rsid w:val="1360303A"/>
    <w:rsid w:val="136A730B"/>
    <w:rsid w:val="13951726"/>
    <w:rsid w:val="13A6779A"/>
    <w:rsid w:val="13CF716E"/>
    <w:rsid w:val="14096DFD"/>
    <w:rsid w:val="141B17AE"/>
    <w:rsid w:val="14331E76"/>
    <w:rsid w:val="14396509"/>
    <w:rsid w:val="143D30F0"/>
    <w:rsid w:val="145674FC"/>
    <w:rsid w:val="14C17833"/>
    <w:rsid w:val="14CF1B1B"/>
    <w:rsid w:val="14DD2C3C"/>
    <w:rsid w:val="14DE2AC5"/>
    <w:rsid w:val="14E07884"/>
    <w:rsid w:val="14EF4ABA"/>
    <w:rsid w:val="14FC11E0"/>
    <w:rsid w:val="152921B5"/>
    <w:rsid w:val="15304A54"/>
    <w:rsid w:val="153B126F"/>
    <w:rsid w:val="15520056"/>
    <w:rsid w:val="156355CD"/>
    <w:rsid w:val="158C7E7A"/>
    <w:rsid w:val="15962639"/>
    <w:rsid w:val="15B11221"/>
    <w:rsid w:val="15CC1BB7"/>
    <w:rsid w:val="15FF61FE"/>
    <w:rsid w:val="16087E1D"/>
    <w:rsid w:val="161352C3"/>
    <w:rsid w:val="1619640F"/>
    <w:rsid w:val="162437A1"/>
    <w:rsid w:val="16402C77"/>
    <w:rsid w:val="168D7598"/>
    <w:rsid w:val="16AB2114"/>
    <w:rsid w:val="16AF39B2"/>
    <w:rsid w:val="16B56AEF"/>
    <w:rsid w:val="16CF5B22"/>
    <w:rsid w:val="16FC64D7"/>
    <w:rsid w:val="17017F86"/>
    <w:rsid w:val="171F753A"/>
    <w:rsid w:val="176113D3"/>
    <w:rsid w:val="17701D14"/>
    <w:rsid w:val="17735226"/>
    <w:rsid w:val="17795D6E"/>
    <w:rsid w:val="178766DD"/>
    <w:rsid w:val="179D1A5D"/>
    <w:rsid w:val="17C62542"/>
    <w:rsid w:val="17E07B9B"/>
    <w:rsid w:val="17E20E4C"/>
    <w:rsid w:val="187D188E"/>
    <w:rsid w:val="188D7D23"/>
    <w:rsid w:val="189B3A8E"/>
    <w:rsid w:val="189F624C"/>
    <w:rsid w:val="18A32D69"/>
    <w:rsid w:val="18BF79FB"/>
    <w:rsid w:val="18CE6098"/>
    <w:rsid w:val="18DB556C"/>
    <w:rsid w:val="18ED6A14"/>
    <w:rsid w:val="19115BEF"/>
    <w:rsid w:val="193440BB"/>
    <w:rsid w:val="193957B5"/>
    <w:rsid w:val="195A5377"/>
    <w:rsid w:val="19632C6F"/>
    <w:rsid w:val="1973118E"/>
    <w:rsid w:val="19E145C7"/>
    <w:rsid w:val="19F17097"/>
    <w:rsid w:val="1A0A53A3"/>
    <w:rsid w:val="1A15126C"/>
    <w:rsid w:val="1A1C66C0"/>
    <w:rsid w:val="1A300FDA"/>
    <w:rsid w:val="1A3A3477"/>
    <w:rsid w:val="1A42393B"/>
    <w:rsid w:val="1A516B2E"/>
    <w:rsid w:val="1A626F8D"/>
    <w:rsid w:val="1AA10224"/>
    <w:rsid w:val="1AAD45DE"/>
    <w:rsid w:val="1ABF10C7"/>
    <w:rsid w:val="1ADD03C2"/>
    <w:rsid w:val="1AE23C2A"/>
    <w:rsid w:val="1B026887"/>
    <w:rsid w:val="1B046F80"/>
    <w:rsid w:val="1B0B13E3"/>
    <w:rsid w:val="1B185709"/>
    <w:rsid w:val="1B1C538E"/>
    <w:rsid w:val="1B1F4E7E"/>
    <w:rsid w:val="1B214753"/>
    <w:rsid w:val="1B28788F"/>
    <w:rsid w:val="1B3267B5"/>
    <w:rsid w:val="1B34092A"/>
    <w:rsid w:val="1B40161D"/>
    <w:rsid w:val="1B441859"/>
    <w:rsid w:val="1B6606B1"/>
    <w:rsid w:val="1B762CF0"/>
    <w:rsid w:val="1B7C58B1"/>
    <w:rsid w:val="1BA809D0"/>
    <w:rsid w:val="1BAF1D5E"/>
    <w:rsid w:val="1BCD0437"/>
    <w:rsid w:val="1BCD48DA"/>
    <w:rsid w:val="1BD71F98"/>
    <w:rsid w:val="1BE834C2"/>
    <w:rsid w:val="1BF427C4"/>
    <w:rsid w:val="1BF6798D"/>
    <w:rsid w:val="1BFC2EDD"/>
    <w:rsid w:val="1C49471D"/>
    <w:rsid w:val="1C4F0C92"/>
    <w:rsid w:val="1C5E7925"/>
    <w:rsid w:val="1C6B2070"/>
    <w:rsid w:val="1CA97497"/>
    <w:rsid w:val="1CAB69CA"/>
    <w:rsid w:val="1CB05D14"/>
    <w:rsid w:val="1CC54DD5"/>
    <w:rsid w:val="1CD557F5"/>
    <w:rsid w:val="1CFD070F"/>
    <w:rsid w:val="1D132DE7"/>
    <w:rsid w:val="1D285482"/>
    <w:rsid w:val="1D373FB2"/>
    <w:rsid w:val="1D41190E"/>
    <w:rsid w:val="1D513245"/>
    <w:rsid w:val="1D5E21F8"/>
    <w:rsid w:val="1D5F6196"/>
    <w:rsid w:val="1D6132A5"/>
    <w:rsid w:val="1D8E56D5"/>
    <w:rsid w:val="1D976F4E"/>
    <w:rsid w:val="1D991F76"/>
    <w:rsid w:val="1DD41F50"/>
    <w:rsid w:val="1DE859FC"/>
    <w:rsid w:val="1E5E7A6C"/>
    <w:rsid w:val="1E6C46CD"/>
    <w:rsid w:val="1E7A43DA"/>
    <w:rsid w:val="1EA90CE7"/>
    <w:rsid w:val="1ED36980"/>
    <w:rsid w:val="1EDD2F64"/>
    <w:rsid w:val="1EFA7794"/>
    <w:rsid w:val="1F291E28"/>
    <w:rsid w:val="1F302869"/>
    <w:rsid w:val="1F4B3E9E"/>
    <w:rsid w:val="1F9D6C76"/>
    <w:rsid w:val="1FCD30FB"/>
    <w:rsid w:val="1FE7539E"/>
    <w:rsid w:val="1FF61BC9"/>
    <w:rsid w:val="20120B0E"/>
    <w:rsid w:val="204C2272"/>
    <w:rsid w:val="20671BE0"/>
    <w:rsid w:val="20682974"/>
    <w:rsid w:val="20855784"/>
    <w:rsid w:val="209239FD"/>
    <w:rsid w:val="20963CB8"/>
    <w:rsid w:val="20A81A1B"/>
    <w:rsid w:val="20B07FB6"/>
    <w:rsid w:val="20B177D9"/>
    <w:rsid w:val="20B646FB"/>
    <w:rsid w:val="20BD0124"/>
    <w:rsid w:val="20D53FBC"/>
    <w:rsid w:val="20D81349"/>
    <w:rsid w:val="210448FA"/>
    <w:rsid w:val="211011F6"/>
    <w:rsid w:val="212D3380"/>
    <w:rsid w:val="213B74B1"/>
    <w:rsid w:val="215A2310"/>
    <w:rsid w:val="218250DB"/>
    <w:rsid w:val="21867A05"/>
    <w:rsid w:val="219624CF"/>
    <w:rsid w:val="21A41C3A"/>
    <w:rsid w:val="21C81E6C"/>
    <w:rsid w:val="21DD05AB"/>
    <w:rsid w:val="21DE318A"/>
    <w:rsid w:val="21EF5B80"/>
    <w:rsid w:val="22001928"/>
    <w:rsid w:val="221E20F8"/>
    <w:rsid w:val="22576990"/>
    <w:rsid w:val="227346A7"/>
    <w:rsid w:val="228F4698"/>
    <w:rsid w:val="22934188"/>
    <w:rsid w:val="22943A5C"/>
    <w:rsid w:val="229712FD"/>
    <w:rsid w:val="229B4DEB"/>
    <w:rsid w:val="22A46437"/>
    <w:rsid w:val="22B636F8"/>
    <w:rsid w:val="22BA3D9E"/>
    <w:rsid w:val="22D40BF9"/>
    <w:rsid w:val="22F47480"/>
    <w:rsid w:val="230537A5"/>
    <w:rsid w:val="23214815"/>
    <w:rsid w:val="23603570"/>
    <w:rsid w:val="236B2A0F"/>
    <w:rsid w:val="23730ED6"/>
    <w:rsid w:val="23874E71"/>
    <w:rsid w:val="23875060"/>
    <w:rsid w:val="23BD6FE3"/>
    <w:rsid w:val="23C15E1B"/>
    <w:rsid w:val="23D06D16"/>
    <w:rsid w:val="23D20CE0"/>
    <w:rsid w:val="23DE1C48"/>
    <w:rsid w:val="23E7047B"/>
    <w:rsid w:val="240210CD"/>
    <w:rsid w:val="24100D1E"/>
    <w:rsid w:val="24467AF0"/>
    <w:rsid w:val="246C55CC"/>
    <w:rsid w:val="24774C00"/>
    <w:rsid w:val="24A7216D"/>
    <w:rsid w:val="24AB2D30"/>
    <w:rsid w:val="24BF09F7"/>
    <w:rsid w:val="24C001EA"/>
    <w:rsid w:val="24EF0994"/>
    <w:rsid w:val="24F92D08"/>
    <w:rsid w:val="25186BC6"/>
    <w:rsid w:val="252D53FE"/>
    <w:rsid w:val="252E63EA"/>
    <w:rsid w:val="253D5BE5"/>
    <w:rsid w:val="256F54C5"/>
    <w:rsid w:val="25844F98"/>
    <w:rsid w:val="25992F1E"/>
    <w:rsid w:val="25A16BBC"/>
    <w:rsid w:val="25AA31D9"/>
    <w:rsid w:val="25AB396D"/>
    <w:rsid w:val="25EC2D81"/>
    <w:rsid w:val="25F87C29"/>
    <w:rsid w:val="260E1D77"/>
    <w:rsid w:val="2613738E"/>
    <w:rsid w:val="26143C99"/>
    <w:rsid w:val="26165173"/>
    <w:rsid w:val="261B4881"/>
    <w:rsid w:val="262112BF"/>
    <w:rsid w:val="26456C65"/>
    <w:rsid w:val="265C2AE3"/>
    <w:rsid w:val="26655E3B"/>
    <w:rsid w:val="266B71CA"/>
    <w:rsid w:val="268C004B"/>
    <w:rsid w:val="26B66697"/>
    <w:rsid w:val="26DB2B15"/>
    <w:rsid w:val="26FB054E"/>
    <w:rsid w:val="2705224F"/>
    <w:rsid w:val="270E3873"/>
    <w:rsid w:val="271F6B87"/>
    <w:rsid w:val="272D447F"/>
    <w:rsid w:val="27445869"/>
    <w:rsid w:val="27593B6D"/>
    <w:rsid w:val="277057A2"/>
    <w:rsid w:val="27713259"/>
    <w:rsid w:val="277B168E"/>
    <w:rsid w:val="27CA5FC4"/>
    <w:rsid w:val="27D864BB"/>
    <w:rsid w:val="283A2EFB"/>
    <w:rsid w:val="284F401B"/>
    <w:rsid w:val="28546167"/>
    <w:rsid w:val="28D62D15"/>
    <w:rsid w:val="28E026ED"/>
    <w:rsid w:val="2900009D"/>
    <w:rsid w:val="29206EB8"/>
    <w:rsid w:val="2925720D"/>
    <w:rsid w:val="292C0F27"/>
    <w:rsid w:val="29595666"/>
    <w:rsid w:val="29614F39"/>
    <w:rsid w:val="29657F00"/>
    <w:rsid w:val="29874881"/>
    <w:rsid w:val="29A0718A"/>
    <w:rsid w:val="29A529F3"/>
    <w:rsid w:val="29AE132B"/>
    <w:rsid w:val="29E325E0"/>
    <w:rsid w:val="2A2E555E"/>
    <w:rsid w:val="2A324A57"/>
    <w:rsid w:val="2A376D63"/>
    <w:rsid w:val="2A452503"/>
    <w:rsid w:val="2A74112A"/>
    <w:rsid w:val="2A8F792B"/>
    <w:rsid w:val="2A9C2048"/>
    <w:rsid w:val="2ACE1AD5"/>
    <w:rsid w:val="2AD32AA7"/>
    <w:rsid w:val="2AE80DE9"/>
    <w:rsid w:val="2B2C43F8"/>
    <w:rsid w:val="2B4C581C"/>
    <w:rsid w:val="2B5D3585"/>
    <w:rsid w:val="2B91322F"/>
    <w:rsid w:val="2B91393E"/>
    <w:rsid w:val="2B957220"/>
    <w:rsid w:val="2BA936A8"/>
    <w:rsid w:val="2BE91590"/>
    <w:rsid w:val="2C245E51"/>
    <w:rsid w:val="2C315A5A"/>
    <w:rsid w:val="2C39742E"/>
    <w:rsid w:val="2C4464F3"/>
    <w:rsid w:val="2C4B1C25"/>
    <w:rsid w:val="2C4F78A8"/>
    <w:rsid w:val="2C80344D"/>
    <w:rsid w:val="2C8C7BC5"/>
    <w:rsid w:val="2C9F2038"/>
    <w:rsid w:val="2C9F6E7C"/>
    <w:rsid w:val="2CA46F92"/>
    <w:rsid w:val="2CB21FD4"/>
    <w:rsid w:val="2CD86C3B"/>
    <w:rsid w:val="2CDF621C"/>
    <w:rsid w:val="2CED26E7"/>
    <w:rsid w:val="2CF30EC0"/>
    <w:rsid w:val="2CF336FC"/>
    <w:rsid w:val="2CFB081F"/>
    <w:rsid w:val="2D045C82"/>
    <w:rsid w:val="2D2B1461"/>
    <w:rsid w:val="2D9E56F5"/>
    <w:rsid w:val="2DC23B73"/>
    <w:rsid w:val="2DCB42F0"/>
    <w:rsid w:val="2DE801DF"/>
    <w:rsid w:val="2E1168A9"/>
    <w:rsid w:val="2E667F96"/>
    <w:rsid w:val="2E690493"/>
    <w:rsid w:val="2E8226AB"/>
    <w:rsid w:val="2EB536D8"/>
    <w:rsid w:val="2ECF6822"/>
    <w:rsid w:val="2EE1627B"/>
    <w:rsid w:val="2EFA0445"/>
    <w:rsid w:val="2EFE0A65"/>
    <w:rsid w:val="2EFF4953"/>
    <w:rsid w:val="2EFF6701"/>
    <w:rsid w:val="2F27490D"/>
    <w:rsid w:val="2F2B399A"/>
    <w:rsid w:val="2F3960B7"/>
    <w:rsid w:val="2F5E167A"/>
    <w:rsid w:val="2F8772D4"/>
    <w:rsid w:val="2FD065E6"/>
    <w:rsid w:val="2FD96870"/>
    <w:rsid w:val="2FE20F33"/>
    <w:rsid w:val="2FE9288F"/>
    <w:rsid w:val="2FED29FE"/>
    <w:rsid w:val="2FF26266"/>
    <w:rsid w:val="2FF83CB8"/>
    <w:rsid w:val="30052BA6"/>
    <w:rsid w:val="30146D75"/>
    <w:rsid w:val="301C108E"/>
    <w:rsid w:val="303618DB"/>
    <w:rsid w:val="30580BC9"/>
    <w:rsid w:val="307006AC"/>
    <w:rsid w:val="30985397"/>
    <w:rsid w:val="30EC0F07"/>
    <w:rsid w:val="30F2086B"/>
    <w:rsid w:val="31126BC0"/>
    <w:rsid w:val="311E2ED7"/>
    <w:rsid w:val="31395673"/>
    <w:rsid w:val="315619EE"/>
    <w:rsid w:val="315C449C"/>
    <w:rsid w:val="316F2EEB"/>
    <w:rsid w:val="317C4070"/>
    <w:rsid w:val="317D57FA"/>
    <w:rsid w:val="31A16112"/>
    <w:rsid w:val="31B82709"/>
    <w:rsid w:val="31BE467E"/>
    <w:rsid w:val="31D05482"/>
    <w:rsid w:val="31DD2329"/>
    <w:rsid w:val="31F115B2"/>
    <w:rsid w:val="32032EAA"/>
    <w:rsid w:val="32077F9E"/>
    <w:rsid w:val="32145E29"/>
    <w:rsid w:val="32400B34"/>
    <w:rsid w:val="3264272D"/>
    <w:rsid w:val="329E6876"/>
    <w:rsid w:val="32B55A55"/>
    <w:rsid w:val="32EB7BE9"/>
    <w:rsid w:val="32FF2A3C"/>
    <w:rsid w:val="332D64FC"/>
    <w:rsid w:val="332E3A59"/>
    <w:rsid w:val="333015F2"/>
    <w:rsid w:val="334B6320"/>
    <w:rsid w:val="338B1B17"/>
    <w:rsid w:val="33945FB2"/>
    <w:rsid w:val="33AB00F9"/>
    <w:rsid w:val="33BC1065"/>
    <w:rsid w:val="33C26013"/>
    <w:rsid w:val="33CC574C"/>
    <w:rsid w:val="33D934D4"/>
    <w:rsid w:val="33FE2F6A"/>
    <w:rsid w:val="340824FC"/>
    <w:rsid w:val="340B7DF0"/>
    <w:rsid w:val="340E07E5"/>
    <w:rsid w:val="34235BF7"/>
    <w:rsid w:val="342F1837"/>
    <w:rsid w:val="347D6A46"/>
    <w:rsid w:val="34A55F9D"/>
    <w:rsid w:val="34B76A5A"/>
    <w:rsid w:val="34C401D1"/>
    <w:rsid w:val="34DE38A8"/>
    <w:rsid w:val="34E41468"/>
    <w:rsid w:val="34E50ADF"/>
    <w:rsid w:val="34FB4F24"/>
    <w:rsid w:val="351F3B98"/>
    <w:rsid w:val="35215623"/>
    <w:rsid w:val="35452C92"/>
    <w:rsid w:val="354A42E5"/>
    <w:rsid w:val="354F08B4"/>
    <w:rsid w:val="358C5FA8"/>
    <w:rsid w:val="35AB133E"/>
    <w:rsid w:val="35B26B16"/>
    <w:rsid w:val="35C15DF1"/>
    <w:rsid w:val="35D71F45"/>
    <w:rsid w:val="35E677E3"/>
    <w:rsid w:val="35FB40C6"/>
    <w:rsid w:val="36064CF0"/>
    <w:rsid w:val="36074A7F"/>
    <w:rsid w:val="360E6BBA"/>
    <w:rsid w:val="36296F1C"/>
    <w:rsid w:val="36495249"/>
    <w:rsid w:val="36581D34"/>
    <w:rsid w:val="366179A8"/>
    <w:rsid w:val="367125DA"/>
    <w:rsid w:val="368B0708"/>
    <w:rsid w:val="36923549"/>
    <w:rsid w:val="36B75FBF"/>
    <w:rsid w:val="36BD0C45"/>
    <w:rsid w:val="36C721FA"/>
    <w:rsid w:val="36D67508"/>
    <w:rsid w:val="36E92171"/>
    <w:rsid w:val="36EF1362"/>
    <w:rsid w:val="37460BE1"/>
    <w:rsid w:val="375A6B78"/>
    <w:rsid w:val="37647A49"/>
    <w:rsid w:val="37671737"/>
    <w:rsid w:val="376A384F"/>
    <w:rsid w:val="378D51F2"/>
    <w:rsid w:val="379F09BA"/>
    <w:rsid w:val="37A12A4B"/>
    <w:rsid w:val="37A175BE"/>
    <w:rsid w:val="37A626F9"/>
    <w:rsid w:val="37CF3024"/>
    <w:rsid w:val="37E00298"/>
    <w:rsid w:val="37F055B7"/>
    <w:rsid w:val="38093155"/>
    <w:rsid w:val="3848736B"/>
    <w:rsid w:val="384D672F"/>
    <w:rsid w:val="387D5BBB"/>
    <w:rsid w:val="387F213D"/>
    <w:rsid w:val="388A04C2"/>
    <w:rsid w:val="38997BC6"/>
    <w:rsid w:val="38A722E3"/>
    <w:rsid w:val="38AC78FA"/>
    <w:rsid w:val="38B302F9"/>
    <w:rsid w:val="38B5613C"/>
    <w:rsid w:val="38C56C0D"/>
    <w:rsid w:val="38C56D40"/>
    <w:rsid w:val="38CE4E96"/>
    <w:rsid w:val="38E04E57"/>
    <w:rsid w:val="38E13748"/>
    <w:rsid w:val="38F12CD3"/>
    <w:rsid w:val="38F94775"/>
    <w:rsid w:val="38F967ED"/>
    <w:rsid w:val="391E71C1"/>
    <w:rsid w:val="392971ED"/>
    <w:rsid w:val="39325651"/>
    <w:rsid w:val="39352A8A"/>
    <w:rsid w:val="3958001D"/>
    <w:rsid w:val="39605333"/>
    <w:rsid w:val="398C3287"/>
    <w:rsid w:val="39A607ED"/>
    <w:rsid w:val="39A95F2D"/>
    <w:rsid w:val="39B60E41"/>
    <w:rsid w:val="39C90037"/>
    <w:rsid w:val="39C944DB"/>
    <w:rsid w:val="39DE6C7D"/>
    <w:rsid w:val="3A053AB7"/>
    <w:rsid w:val="3A1439A9"/>
    <w:rsid w:val="3A364074"/>
    <w:rsid w:val="3A4D0C68"/>
    <w:rsid w:val="3A6072D7"/>
    <w:rsid w:val="3A676FF3"/>
    <w:rsid w:val="3A872856"/>
    <w:rsid w:val="3A8F1281"/>
    <w:rsid w:val="3AA0523C"/>
    <w:rsid w:val="3AA8552A"/>
    <w:rsid w:val="3AEE2015"/>
    <w:rsid w:val="3AEE41FA"/>
    <w:rsid w:val="3B20012B"/>
    <w:rsid w:val="3B3757BB"/>
    <w:rsid w:val="3B3763D1"/>
    <w:rsid w:val="3B396BF1"/>
    <w:rsid w:val="3B4C2C28"/>
    <w:rsid w:val="3B563B4D"/>
    <w:rsid w:val="3B8F487B"/>
    <w:rsid w:val="3B9B7BEA"/>
    <w:rsid w:val="3BAB3A99"/>
    <w:rsid w:val="3BDC4281"/>
    <w:rsid w:val="3BF66AC8"/>
    <w:rsid w:val="3C011D0B"/>
    <w:rsid w:val="3C0637C5"/>
    <w:rsid w:val="3C123F18"/>
    <w:rsid w:val="3C1732DC"/>
    <w:rsid w:val="3C2F6E1E"/>
    <w:rsid w:val="3C330A08"/>
    <w:rsid w:val="3C363E1C"/>
    <w:rsid w:val="3C4F64BA"/>
    <w:rsid w:val="3C502FFC"/>
    <w:rsid w:val="3C575CBD"/>
    <w:rsid w:val="3C6836E9"/>
    <w:rsid w:val="3C9C5901"/>
    <w:rsid w:val="3CB37786"/>
    <w:rsid w:val="3CB76544"/>
    <w:rsid w:val="3CDA245A"/>
    <w:rsid w:val="3CF03B2D"/>
    <w:rsid w:val="3CF22936"/>
    <w:rsid w:val="3D1E06B7"/>
    <w:rsid w:val="3D4F5A91"/>
    <w:rsid w:val="3D540560"/>
    <w:rsid w:val="3D592AD1"/>
    <w:rsid w:val="3D6D3054"/>
    <w:rsid w:val="3D737321"/>
    <w:rsid w:val="3D842BF3"/>
    <w:rsid w:val="3D865C7E"/>
    <w:rsid w:val="3D9A41C5"/>
    <w:rsid w:val="3D9F5C7F"/>
    <w:rsid w:val="3DE511B8"/>
    <w:rsid w:val="3DEF44EB"/>
    <w:rsid w:val="3E0755D2"/>
    <w:rsid w:val="3E155F41"/>
    <w:rsid w:val="3E2172CC"/>
    <w:rsid w:val="3E304B29"/>
    <w:rsid w:val="3E6447D3"/>
    <w:rsid w:val="3E64548A"/>
    <w:rsid w:val="3E682515"/>
    <w:rsid w:val="3E6F4DD9"/>
    <w:rsid w:val="3E7269DA"/>
    <w:rsid w:val="3E8D79DB"/>
    <w:rsid w:val="3EA572C5"/>
    <w:rsid w:val="3EBE2135"/>
    <w:rsid w:val="3EDA0523"/>
    <w:rsid w:val="3F125FDD"/>
    <w:rsid w:val="3F163D1F"/>
    <w:rsid w:val="3F5B3E28"/>
    <w:rsid w:val="3F66763C"/>
    <w:rsid w:val="3F7D3D9E"/>
    <w:rsid w:val="3F8860D2"/>
    <w:rsid w:val="3F9115F7"/>
    <w:rsid w:val="3FB36E63"/>
    <w:rsid w:val="3FC35E10"/>
    <w:rsid w:val="400C5122"/>
    <w:rsid w:val="401B6302"/>
    <w:rsid w:val="404C51DD"/>
    <w:rsid w:val="405B37C4"/>
    <w:rsid w:val="406D0527"/>
    <w:rsid w:val="407829C9"/>
    <w:rsid w:val="407A6407"/>
    <w:rsid w:val="407C7DC3"/>
    <w:rsid w:val="408847A8"/>
    <w:rsid w:val="409C46F8"/>
    <w:rsid w:val="412030C2"/>
    <w:rsid w:val="4127143E"/>
    <w:rsid w:val="41323E08"/>
    <w:rsid w:val="41A64CD9"/>
    <w:rsid w:val="41BE3B38"/>
    <w:rsid w:val="41F145CF"/>
    <w:rsid w:val="4200449D"/>
    <w:rsid w:val="420E6F2F"/>
    <w:rsid w:val="422F5AD7"/>
    <w:rsid w:val="423A3BCC"/>
    <w:rsid w:val="424B5C7C"/>
    <w:rsid w:val="424E57D2"/>
    <w:rsid w:val="425828A0"/>
    <w:rsid w:val="425D3DE8"/>
    <w:rsid w:val="426052B1"/>
    <w:rsid w:val="42611755"/>
    <w:rsid w:val="42641245"/>
    <w:rsid w:val="42846450"/>
    <w:rsid w:val="42AE465A"/>
    <w:rsid w:val="42B26C49"/>
    <w:rsid w:val="42B85E04"/>
    <w:rsid w:val="42E42302"/>
    <w:rsid w:val="42EE02D2"/>
    <w:rsid w:val="42FE51F6"/>
    <w:rsid w:val="431A7A75"/>
    <w:rsid w:val="433A6FE6"/>
    <w:rsid w:val="434370AD"/>
    <w:rsid w:val="43480868"/>
    <w:rsid w:val="434B4099"/>
    <w:rsid w:val="4350713C"/>
    <w:rsid w:val="436653E0"/>
    <w:rsid w:val="437048E9"/>
    <w:rsid w:val="43935C63"/>
    <w:rsid w:val="439D783D"/>
    <w:rsid w:val="43B81849"/>
    <w:rsid w:val="43B95F20"/>
    <w:rsid w:val="43C4431A"/>
    <w:rsid w:val="43ED3FCD"/>
    <w:rsid w:val="4407632C"/>
    <w:rsid w:val="441555EA"/>
    <w:rsid w:val="44187E44"/>
    <w:rsid w:val="44256F30"/>
    <w:rsid w:val="444B446B"/>
    <w:rsid w:val="4473751E"/>
    <w:rsid w:val="449A71A0"/>
    <w:rsid w:val="44B81383"/>
    <w:rsid w:val="44B951CC"/>
    <w:rsid w:val="44CD14E0"/>
    <w:rsid w:val="44CD30D2"/>
    <w:rsid w:val="44D206FE"/>
    <w:rsid w:val="44F20B0B"/>
    <w:rsid w:val="44FA19ED"/>
    <w:rsid w:val="45091C30"/>
    <w:rsid w:val="452E5F4C"/>
    <w:rsid w:val="453E6D87"/>
    <w:rsid w:val="45442C68"/>
    <w:rsid w:val="454739B2"/>
    <w:rsid w:val="45612018"/>
    <w:rsid w:val="456269C0"/>
    <w:rsid w:val="457326B9"/>
    <w:rsid w:val="4573283D"/>
    <w:rsid w:val="457B554C"/>
    <w:rsid w:val="4588524B"/>
    <w:rsid w:val="458946E9"/>
    <w:rsid w:val="459B577C"/>
    <w:rsid w:val="459B6D2C"/>
    <w:rsid w:val="45A22AAF"/>
    <w:rsid w:val="45A47C0E"/>
    <w:rsid w:val="45EE77A4"/>
    <w:rsid w:val="45EF52CA"/>
    <w:rsid w:val="460348D1"/>
    <w:rsid w:val="4603668A"/>
    <w:rsid w:val="460F14C8"/>
    <w:rsid w:val="4611106A"/>
    <w:rsid w:val="461953CC"/>
    <w:rsid w:val="462211FB"/>
    <w:rsid w:val="464A2500"/>
    <w:rsid w:val="46577FD6"/>
    <w:rsid w:val="46601D4B"/>
    <w:rsid w:val="46827EEC"/>
    <w:rsid w:val="468D1910"/>
    <w:rsid w:val="46973F40"/>
    <w:rsid w:val="46CC2D7F"/>
    <w:rsid w:val="46D955A7"/>
    <w:rsid w:val="47133957"/>
    <w:rsid w:val="471F573B"/>
    <w:rsid w:val="4749353F"/>
    <w:rsid w:val="47A07E0C"/>
    <w:rsid w:val="47A636DD"/>
    <w:rsid w:val="47B16CDB"/>
    <w:rsid w:val="47DA227C"/>
    <w:rsid w:val="47E82436"/>
    <w:rsid w:val="47F20AC0"/>
    <w:rsid w:val="47F9422B"/>
    <w:rsid w:val="482C010F"/>
    <w:rsid w:val="484E0F6A"/>
    <w:rsid w:val="485853A8"/>
    <w:rsid w:val="485A1120"/>
    <w:rsid w:val="4870272E"/>
    <w:rsid w:val="48E85B1A"/>
    <w:rsid w:val="491D5B42"/>
    <w:rsid w:val="497B7A26"/>
    <w:rsid w:val="497F4FBA"/>
    <w:rsid w:val="49835064"/>
    <w:rsid w:val="49866B78"/>
    <w:rsid w:val="49A10689"/>
    <w:rsid w:val="49AA1C33"/>
    <w:rsid w:val="49C425C9"/>
    <w:rsid w:val="49CA3E14"/>
    <w:rsid w:val="49CB5DBA"/>
    <w:rsid w:val="49DC7715"/>
    <w:rsid w:val="49ED269D"/>
    <w:rsid w:val="4A02107C"/>
    <w:rsid w:val="4A023139"/>
    <w:rsid w:val="4A0A0924"/>
    <w:rsid w:val="4A111DF6"/>
    <w:rsid w:val="4A2E6646"/>
    <w:rsid w:val="4A404346"/>
    <w:rsid w:val="4A6224E4"/>
    <w:rsid w:val="4A7B576F"/>
    <w:rsid w:val="4A8536D2"/>
    <w:rsid w:val="4A8740D8"/>
    <w:rsid w:val="4AC7359A"/>
    <w:rsid w:val="4AD574F9"/>
    <w:rsid w:val="4AF561A9"/>
    <w:rsid w:val="4B1D6F30"/>
    <w:rsid w:val="4B8A33E0"/>
    <w:rsid w:val="4BEB0C49"/>
    <w:rsid w:val="4C20645B"/>
    <w:rsid w:val="4C41780C"/>
    <w:rsid w:val="4C4A0649"/>
    <w:rsid w:val="4C51283A"/>
    <w:rsid w:val="4C51542A"/>
    <w:rsid w:val="4C7E2A39"/>
    <w:rsid w:val="4C7E5ECA"/>
    <w:rsid w:val="4C876AA5"/>
    <w:rsid w:val="4C91592D"/>
    <w:rsid w:val="4CA456F7"/>
    <w:rsid w:val="4CC32763"/>
    <w:rsid w:val="4CDA42BB"/>
    <w:rsid w:val="4CE656CE"/>
    <w:rsid w:val="4D0E00FB"/>
    <w:rsid w:val="4D176606"/>
    <w:rsid w:val="4D1D096E"/>
    <w:rsid w:val="4D2530A2"/>
    <w:rsid w:val="4D2F601D"/>
    <w:rsid w:val="4D69454D"/>
    <w:rsid w:val="4D714816"/>
    <w:rsid w:val="4DB841F3"/>
    <w:rsid w:val="4DC54612"/>
    <w:rsid w:val="4DC96F55"/>
    <w:rsid w:val="4DD12529"/>
    <w:rsid w:val="4DEC4FB0"/>
    <w:rsid w:val="4DF96CE5"/>
    <w:rsid w:val="4E075D8A"/>
    <w:rsid w:val="4E0E389F"/>
    <w:rsid w:val="4E1A6C5C"/>
    <w:rsid w:val="4E30647F"/>
    <w:rsid w:val="4E372511"/>
    <w:rsid w:val="4E373269"/>
    <w:rsid w:val="4E4A1167"/>
    <w:rsid w:val="4E5A52AA"/>
    <w:rsid w:val="4E870795"/>
    <w:rsid w:val="4E8D1227"/>
    <w:rsid w:val="4EA06726"/>
    <w:rsid w:val="4EC00FAD"/>
    <w:rsid w:val="4EC11450"/>
    <w:rsid w:val="4F0C47F7"/>
    <w:rsid w:val="4F1A33B7"/>
    <w:rsid w:val="4F242C94"/>
    <w:rsid w:val="4F4F3AC1"/>
    <w:rsid w:val="4F517136"/>
    <w:rsid w:val="4F9843DC"/>
    <w:rsid w:val="4F9900F4"/>
    <w:rsid w:val="4FAA6498"/>
    <w:rsid w:val="4FAC4124"/>
    <w:rsid w:val="4FAF2FEB"/>
    <w:rsid w:val="4FC62A8C"/>
    <w:rsid w:val="4FE20F0D"/>
    <w:rsid w:val="4FE51552"/>
    <w:rsid w:val="4FE66E49"/>
    <w:rsid w:val="50067498"/>
    <w:rsid w:val="502F0063"/>
    <w:rsid w:val="50391409"/>
    <w:rsid w:val="50403400"/>
    <w:rsid w:val="50504C4B"/>
    <w:rsid w:val="509C6E7C"/>
    <w:rsid w:val="50A3118B"/>
    <w:rsid w:val="50B45146"/>
    <w:rsid w:val="50C11611"/>
    <w:rsid w:val="50F35389"/>
    <w:rsid w:val="51010EFF"/>
    <w:rsid w:val="512A365A"/>
    <w:rsid w:val="512E4EF8"/>
    <w:rsid w:val="51441E81"/>
    <w:rsid w:val="514C35D0"/>
    <w:rsid w:val="515034ED"/>
    <w:rsid w:val="51556929"/>
    <w:rsid w:val="51603583"/>
    <w:rsid w:val="5162104E"/>
    <w:rsid w:val="51791222"/>
    <w:rsid w:val="517B425B"/>
    <w:rsid w:val="51DA564B"/>
    <w:rsid w:val="52274009"/>
    <w:rsid w:val="523A78CD"/>
    <w:rsid w:val="526E252E"/>
    <w:rsid w:val="526F57C8"/>
    <w:rsid w:val="527C7EE5"/>
    <w:rsid w:val="528E3AA5"/>
    <w:rsid w:val="52BE3AE1"/>
    <w:rsid w:val="52C61A23"/>
    <w:rsid w:val="52DB1C29"/>
    <w:rsid w:val="5301404C"/>
    <w:rsid w:val="5301616C"/>
    <w:rsid w:val="530A0169"/>
    <w:rsid w:val="53166B5D"/>
    <w:rsid w:val="533007EA"/>
    <w:rsid w:val="5338205E"/>
    <w:rsid w:val="53434247"/>
    <w:rsid w:val="534A08D8"/>
    <w:rsid w:val="537B1F4B"/>
    <w:rsid w:val="53A039CC"/>
    <w:rsid w:val="53A1505A"/>
    <w:rsid w:val="53B75DC8"/>
    <w:rsid w:val="53BE4405"/>
    <w:rsid w:val="53C2401E"/>
    <w:rsid w:val="53CF1722"/>
    <w:rsid w:val="53D41FB3"/>
    <w:rsid w:val="53F02271"/>
    <w:rsid w:val="54063E08"/>
    <w:rsid w:val="543437E8"/>
    <w:rsid w:val="545B4653"/>
    <w:rsid w:val="54776BB6"/>
    <w:rsid w:val="54890159"/>
    <w:rsid w:val="549168D8"/>
    <w:rsid w:val="54A466CC"/>
    <w:rsid w:val="54A63265"/>
    <w:rsid w:val="54BD7C19"/>
    <w:rsid w:val="54E21290"/>
    <w:rsid w:val="54F248FE"/>
    <w:rsid w:val="54F27AC1"/>
    <w:rsid w:val="54F73313"/>
    <w:rsid w:val="54F80955"/>
    <w:rsid w:val="55144405"/>
    <w:rsid w:val="55432F3C"/>
    <w:rsid w:val="555170A7"/>
    <w:rsid w:val="5579508C"/>
    <w:rsid w:val="5587536D"/>
    <w:rsid w:val="55986DE4"/>
    <w:rsid w:val="559B174B"/>
    <w:rsid w:val="55B81234"/>
    <w:rsid w:val="55CE0CF4"/>
    <w:rsid w:val="561F7D82"/>
    <w:rsid w:val="56290384"/>
    <w:rsid w:val="56301712"/>
    <w:rsid w:val="563B3F8C"/>
    <w:rsid w:val="56500712"/>
    <w:rsid w:val="566D2D0F"/>
    <w:rsid w:val="567A298E"/>
    <w:rsid w:val="56B22A9C"/>
    <w:rsid w:val="56C147D7"/>
    <w:rsid w:val="56CE4A87"/>
    <w:rsid w:val="56E22830"/>
    <w:rsid w:val="56E93944"/>
    <w:rsid w:val="57111F1C"/>
    <w:rsid w:val="571510B4"/>
    <w:rsid w:val="574A11AC"/>
    <w:rsid w:val="577563D0"/>
    <w:rsid w:val="579062FC"/>
    <w:rsid w:val="57AE5A6A"/>
    <w:rsid w:val="57B43C7D"/>
    <w:rsid w:val="57B72A76"/>
    <w:rsid w:val="57C3426C"/>
    <w:rsid w:val="57C96B2C"/>
    <w:rsid w:val="57CE1F93"/>
    <w:rsid w:val="57DA4647"/>
    <w:rsid w:val="57E83EBB"/>
    <w:rsid w:val="58191461"/>
    <w:rsid w:val="5822508B"/>
    <w:rsid w:val="58627B7D"/>
    <w:rsid w:val="58636E92"/>
    <w:rsid w:val="588743D1"/>
    <w:rsid w:val="5887701A"/>
    <w:rsid w:val="588C47E1"/>
    <w:rsid w:val="589960A5"/>
    <w:rsid w:val="58AD5D03"/>
    <w:rsid w:val="58B511AF"/>
    <w:rsid w:val="58BB591A"/>
    <w:rsid w:val="58D90C34"/>
    <w:rsid w:val="592F21E8"/>
    <w:rsid w:val="59344A9E"/>
    <w:rsid w:val="594E4771"/>
    <w:rsid w:val="59625759"/>
    <w:rsid w:val="59656A6D"/>
    <w:rsid w:val="5980259E"/>
    <w:rsid w:val="59890EC9"/>
    <w:rsid w:val="59930F48"/>
    <w:rsid w:val="59A42495"/>
    <w:rsid w:val="59C0439F"/>
    <w:rsid w:val="59EF71EF"/>
    <w:rsid w:val="5A1E1882"/>
    <w:rsid w:val="5A386F73"/>
    <w:rsid w:val="5A6279C1"/>
    <w:rsid w:val="5A696955"/>
    <w:rsid w:val="5A9949E6"/>
    <w:rsid w:val="5AA004E9"/>
    <w:rsid w:val="5ABA5A4E"/>
    <w:rsid w:val="5ABE2233"/>
    <w:rsid w:val="5ACC6CB9"/>
    <w:rsid w:val="5AFF16B3"/>
    <w:rsid w:val="5B1419E2"/>
    <w:rsid w:val="5B4A5024"/>
    <w:rsid w:val="5B616C06"/>
    <w:rsid w:val="5B667984"/>
    <w:rsid w:val="5B767BC7"/>
    <w:rsid w:val="5BCC5007"/>
    <w:rsid w:val="5BDF5D95"/>
    <w:rsid w:val="5BED3C02"/>
    <w:rsid w:val="5BFE7528"/>
    <w:rsid w:val="5C201C66"/>
    <w:rsid w:val="5C4756DE"/>
    <w:rsid w:val="5C58551F"/>
    <w:rsid w:val="5C6F4617"/>
    <w:rsid w:val="5C761E49"/>
    <w:rsid w:val="5CA72E3F"/>
    <w:rsid w:val="5CE82C76"/>
    <w:rsid w:val="5D01316C"/>
    <w:rsid w:val="5D431DD4"/>
    <w:rsid w:val="5D9D0768"/>
    <w:rsid w:val="5DA56542"/>
    <w:rsid w:val="5DAA1DAA"/>
    <w:rsid w:val="5DC31D72"/>
    <w:rsid w:val="5DCD5A99"/>
    <w:rsid w:val="5DF03531"/>
    <w:rsid w:val="5E1575E6"/>
    <w:rsid w:val="5E2467F1"/>
    <w:rsid w:val="5E3753B6"/>
    <w:rsid w:val="5E381A8A"/>
    <w:rsid w:val="5E457D25"/>
    <w:rsid w:val="5E615A05"/>
    <w:rsid w:val="5E8826AA"/>
    <w:rsid w:val="5EB22056"/>
    <w:rsid w:val="5EE376EA"/>
    <w:rsid w:val="5EF3639B"/>
    <w:rsid w:val="5F042A70"/>
    <w:rsid w:val="5F054BE6"/>
    <w:rsid w:val="5F1514A5"/>
    <w:rsid w:val="5F1A2B43"/>
    <w:rsid w:val="5F555D46"/>
    <w:rsid w:val="5F5C5FB8"/>
    <w:rsid w:val="5F60273C"/>
    <w:rsid w:val="5F9E593F"/>
    <w:rsid w:val="5FB40CBE"/>
    <w:rsid w:val="5FB837BB"/>
    <w:rsid w:val="5FCF5AF8"/>
    <w:rsid w:val="5FD56E87"/>
    <w:rsid w:val="5FE5356E"/>
    <w:rsid w:val="5FF156E9"/>
    <w:rsid w:val="5FF4100A"/>
    <w:rsid w:val="60032414"/>
    <w:rsid w:val="601654D5"/>
    <w:rsid w:val="601B6D00"/>
    <w:rsid w:val="60226A95"/>
    <w:rsid w:val="602776E2"/>
    <w:rsid w:val="604007A4"/>
    <w:rsid w:val="607E1A2E"/>
    <w:rsid w:val="607E307A"/>
    <w:rsid w:val="608C160F"/>
    <w:rsid w:val="60CC405A"/>
    <w:rsid w:val="60CD59AA"/>
    <w:rsid w:val="60D1764E"/>
    <w:rsid w:val="60EA4E15"/>
    <w:rsid w:val="61324B91"/>
    <w:rsid w:val="6135108B"/>
    <w:rsid w:val="616E1341"/>
    <w:rsid w:val="61761FA3"/>
    <w:rsid w:val="61776AC6"/>
    <w:rsid w:val="617C580C"/>
    <w:rsid w:val="618B3CA1"/>
    <w:rsid w:val="6198793F"/>
    <w:rsid w:val="61AE798F"/>
    <w:rsid w:val="61E215D8"/>
    <w:rsid w:val="61E41603"/>
    <w:rsid w:val="62101690"/>
    <w:rsid w:val="621B3775"/>
    <w:rsid w:val="623205C0"/>
    <w:rsid w:val="62364782"/>
    <w:rsid w:val="62397BA1"/>
    <w:rsid w:val="623E6F65"/>
    <w:rsid w:val="62467BC8"/>
    <w:rsid w:val="626F5370"/>
    <w:rsid w:val="629A35B8"/>
    <w:rsid w:val="629E7A04"/>
    <w:rsid w:val="62CA25A7"/>
    <w:rsid w:val="62D3669A"/>
    <w:rsid w:val="62DE42A4"/>
    <w:rsid w:val="62F52F0D"/>
    <w:rsid w:val="631D6B7A"/>
    <w:rsid w:val="632366D8"/>
    <w:rsid w:val="63383B32"/>
    <w:rsid w:val="635D5F96"/>
    <w:rsid w:val="63604804"/>
    <w:rsid w:val="6394356A"/>
    <w:rsid w:val="63992481"/>
    <w:rsid w:val="63A11FFC"/>
    <w:rsid w:val="63A23F7D"/>
    <w:rsid w:val="63C61B2C"/>
    <w:rsid w:val="63D40BE9"/>
    <w:rsid w:val="63DC6A36"/>
    <w:rsid w:val="640011A5"/>
    <w:rsid w:val="64056D65"/>
    <w:rsid w:val="64102431"/>
    <w:rsid w:val="642F65ED"/>
    <w:rsid w:val="64432611"/>
    <w:rsid w:val="64487C27"/>
    <w:rsid w:val="646B3CC5"/>
    <w:rsid w:val="64875274"/>
    <w:rsid w:val="64A5243A"/>
    <w:rsid w:val="64B259E8"/>
    <w:rsid w:val="64CA6FED"/>
    <w:rsid w:val="64D66A32"/>
    <w:rsid w:val="64DE77A6"/>
    <w:rsid w:val="64E4410D"/>
    <w:rsid w:val="64F32289"/>
    <w:rsid w:val="64F531DE"/>
    <w:rsid w:val="64F658D5"/>
    <w:rsid w:val="650869C2"/>
    <w:rsid w:val="65113E8A"/>
    <w:rsid w:val="65137337"/>
    <w:rsid w:val="651E6BDA"/>
    <w:rsid w:val="6521310B"/>
    <w:rsid w:val="65373578"/>
    <w:rsid w:val="656A7E04"/>
    <w:rsid w:val="658E1FB1"/>
    <w:rsid w:val="6599219B"/>
    <w:rsid w:val="65B35574"/>
    <w:rsid w:val="65BC6B1F"/>
    <w:rsid w:val="65C16B88"/>
    <w:rsid w:val="65E2296E"/>
    <w:rsid w:val="661B018A"/>
    <w:rsid w:val="662201E3"/>
    <w:rsid w:val="663602D9"/>
    <w:rsid w:val="664629B6"/>
    <w:rsid w:val="66557FFA"/>
    <w:rsid w:val="665925BF"/>
    <w:rsid w:val="665F56FC"/>
    <w:rsid w:val="66642BCD"/>
    <w:rsid w:val="666A5E7D"/>
    <w:rsid w:val="6678063D"/>
    <w:rsid w:val="66881EDD"/>
    <w:rsid w:val="66A02B6E"/>
    <w:rsid w:val="66C92742"/>
    <w:rsid w:val="66CF63DE"/>
    <w:rsid w:val="66FB66D7"/>
    <w:rsid w:val="67191D4F"/>
    <w:rsid w:val="671F124A"/>
    <w:rsid w:val="67274663"/>
    <w:rsid w:val="672C1A82"/>
    <w:rsid w:val="67361805"/>
    <w:rsid w:val="67462C8B"/>
    <w:rsid w:val="677A33C6"/>
    <w:rsid w:val="67957627"/>
    <w:rsid w:val="67A41618"/>
    <w:rsid w:val="67DD4B2A"/>
    <w:rsid w:val="67E660D5"/>
    <w:rsid w:val="67F21249"/>
    <w:rsid w:val="68057019"/>
    <w:rsid w:val="680D3662"/>
    <w:rsid w:val="68106CAE"/>
    <w:rsid w:val="68115D88"/>
    <w:rsid w:val="681F6961"/>
    <w:rsid w:val="6837444B"/>
    <w:rsid w:val="683B6218"/>
    <w:rsid w:val="68506036"/>
    <w:rsid w:val="6852295F"/>
    <w:rsid w:val="685748DD"/>
    <w:rsid w:val="685A6C08"/>
    <w:rsid w:val="68610A2F"/>
    <w:rsid w:val="6864524C"/>
    <w:rsid w:val="68805514"/>
    <w:rsid w:val="68B037A3"/>
    <w:rsid w:val="69316E2F"/>
    <w:rsid w:val="69357410"/>
    <w:rsid w:val="69487370"/>
    <w:rsid w:val="694E2071"/>
    <w:rsid w:val="6958090C"/>
    <w:rsid w:val="69617163"/>
    <w:rsid w:val="69690D6B"/>
    <w:rsid w:val="697401FD"/>
    <w:rsid w:val="69766163"/>
    <w:rsid w:val="697A3B33"/>
    <w:rsid w:val="69A9466C"/>
    <w:rsid w:val="69D41F5D"/>
    <w:rsid w:val="69D44760"/>
    <w:rsid w:val="69D51DCA"/>
    <w:rsid w:val="69EE6F64"/>
    <w:rsid w:val="6A384A44"/>
    <w:rsid w:val="6A3D3FA6"/>
    <w:rsid w:val="6A520EC7"/>
    <w:rsid w:val="6A576E16"/>
    <w:rsid w:val="6A6652AB"/>
    <w:rsid w:val="6A6B772C"/>
    <w:rsid w:val="6A715A56"/>
    <w:rsid w:val="6A7A31EA"/>
    <w:rsid w:val="6AAD2EDA"/>
    <w:rsid w:val="6AEF1B05"/>
    <w:rsid w:val="6AF87E20"/>
    <w:rsid w:val="6AF90A4F"/>
    <w:rsid w:val="6B1369EA"/>
    <w:rsid w:val="6B322639"/>
    <w:rsid w:val="6B7A3154"/>
    <w:rsid w:val="6B86698E"/>
    <w:rsid w:val="6B9E2823"/>
    <w:rsid w:val="6BA01D5F"/>
    <w:rsid w:val="6BB44A38"/>
    <w:rsid w:val="6BC4547A"/>
    <w:rsid w:val="6BFE110F"/>
    <w:rsid w:val="6C4D11B4"/>
    <w:rsid w:val="6C615D2A"/>
    <w:rsid w:val="6C636C38"/>
    <w:rsid w:val="6CAD71C1"/>
    <w:rsid w:val="6CB94C6B"/>
    <w:rsid w:val="6CBB2A9D"/>
    <w:rsid w:val="6CC311C9"/>
    <w:rsid w:val="6CDC7AA6"/>
    <w:rsid w:val="6CEB1A97"/>
    <w:rsid w:val="6CEC22C6"/>
    <w:rsid w:val="6CEE3336"/>
    <w:rsid w:val="6CF3094C"/>
    <w:rsid w:val="6D2B458A"/>
    <w:rsid w:val="6DAB4649"/>
    <w:rsid w:val="6DB34098"/>
    <w:rsid w:val="6DB545B6"/>
    <w:rsid w:val="6DBB5488"/>
    <w:rsid w:val="6DCC26E9"/>
    <w:rsid w:val="6DE02FB4"/>
    <w:rsid w:val="6DE04C90"/>
    <w:rsid w:val="6DFE01DF"/>
    <w:rsid w:val="6E0A42F6"/>
    <w:rsid w:val="6E3878FF"/>
    <w:rsid w:val="6E4B6C92"/>
    <w:rsid w:val="6E514CED"/>
    <w:rsid w:val="6E9543B1"/>
    <w:rsid w:val="6EB10569"/>
    <w:rsid w:val="6EB563D5"/>
    <w:rsid w:val="6ED92677"/>
    <w:rsid w:val="6EDC5B3C"/>
    <w:rsid w:val="6EED2E42"/>
    <w:rsid w:val="6EFA2466"/>
    <w:rsid w:val="6EFA31B7"/>
    <w:rsid w:val="6F0E1A9E"/>
    <w:rsid w:val="6F1A2E8D"/>
    <w:rsid w:val="6F1F473C"/>
    <w:rsid w:val="6F225983"/>
    <w:rsid w:val="6F26325B"/>
    <w:rsid w:val="6F450822"/>
    <w:rsid w:val="6F685621"/>
    <w:rsid w:val="6F6E47DD"/>
    <w:rsid w:val="6F767D3E"/>
    <w:rsid w:val="6FC767EC"/>
    <w:rsid w:val="6FCF70BD"/>
    <w:rsid w:val="6FF944CB"/>
    <w:rsid w:val="6FFC5590"/>
    <w:rsid w:val="700A0487"/>
    <w:rsid w:val="70313C65"/>
    <w:rsid w:val="705160B5"/>
    <w:rsid w:val="706D1DD0"/>
    <w:rsid w:val="707C09F1"/>
    <w:rsid w:val="70856B87"/>
    <w:rsid w:val="70D527EE"/>
    <w:rsid w:val="70DF36C1"/>
    <w:rsid w:val="70EB475C"/>
    <w:rsid w:val="70F428B1"/>
    <w:rsid w:val="7105209F"/>
    <w:rsid w:val="71237A52"/>
    <w:rsid w:val="712553C5"/>
    <w:rsid w:val="71430F73"/>
    <w:rsid w:val="71583CE1"/>
    <w:rsid w:val="715B5300"/>
    <w:rsid w:val="71D27F8A"/>
    <w:rsid w:val="71D83473"/>
    <w:rsid w:val="721B6765"/>
    <w:rsid w:val="72350776"/>
    <w:rsid w:val="723E4BEC"/>
    <w:rsid w:val="72553024"/>
    <w:rsid w:val="7270316B"/>
    <w:rsid w:val="727D783D"/>
    <w:rsid w:val="72821F59"/>
    <w:rsid w:val="72983453"/>
    <w:rsid w:val="72AC1CC9"/>
    <w:rsid w:val="72B1467C"/>
    <w:rsid w:val="72EF6A40"/>
    <w:rsid w:val="72F645B7"/>
    <w:rsid w:val="72F9312A"/>
    <w:rsid w:val="73122968"/>
    <w:rsid w:val="73142552"/>
    <w:rsid w:val="731F5D5E"/>
    <w:rsid w:val="73335F46"/>
    <w:rsid w:val="73847A82"/>
    <w:rsid w:val="739C3AEB"/>
    <w:rsid w:val="739F6935"/>
    <w:rsid w:val="73A330CC"/>
    <w:rsid w:val="73B052C6"/>
    <w:rsid w:val="73C51AD5"/>
    <w:rsid w:val="73E74F2C"/>
    <w:rsid w:val="73EA2E5D"/>
    <w:rsid w:val="73EA4857"/>
    <w:rsid w:val="741144D9"/>
    <w:rsid w:val="741E793C"/>
    <w:rsid w:val="742F3313"/>
    <w:rsid w:val="74424693"/>
    <w:rsid w:val="744A1673"/>
    <w:rsid w:val="74577B41"/>
    <w:rsid w:val="745E3944"/>
    <w:rsid w:val="74951B9A"/>
    <w:rsid w:val="74C86389"/>
    <w:rsid w:val="74D1717F"/>
    <w:rsid w:val="74D379E1"/>
    <w:rsid w:val="74D44C97"/>
    <w:rsid w:val="74FC4E2C"/>
    <w:rsid w:val="75245E99"/>
    <w:rsid w:val="754601B3"/>
    <w:rsid w:val="75482501"/>
    <w:rsid w:val="754937FF"/>
    <w:rsid w:val="75FA0863"/>
    <w:rsid w:val="75FB5580"/>
    <w:rsid w:val="7620613A"/>
    <w:rsid w:val="762D3121"/>
    <w:rsid w:val="7635099D"/>
    <w:rsid w:val="76530DD9"/>
    <w:rsid w:val="765A0431"/>
    <w:rsid w:val="766308F1"/>
    <w:rsid w:val="767174B1"/>
    <w:rsid w:val="76AC10D7"/>
    <w:rsid w:val="76C27D0D"/>
    <w:rsid w:val="76EA50BB"/>
    <w:rsid w:val="772462D2"/>
    <w:rsid w:val="77296E1D"/>
    <w:rsid w:val="776808B4"/>
    <w:rsid w:val="776963DA"/>
    <w:rsid w:val="77762421"/>
    <w:rsid w:val="779A38C8"/>
    <w:rsid w:val="77A50B2C"/>
    <w:rsid w:val="77B041CC"/>
    <w:rsid w:val="77B56B1F"/>
    <w:rsid w:val="77BB3C0E"/>
    <w:rsid w:val="77E95495"/>
    <w:rsid w:val="77F263D0"/>
    <w:rsid w:val="77FC0C7C"/>
    <w:rsid w:val="78015DC0"/>
    <w:rsid w:val="780F09F4"/>
    <w:rsid w:val="781B0EBA"/>
    <w:rsid w:val="781C1942"/>
    <w:rsid w:val="78443D95"/>
    <w:rsid w:val="78523EB3"/>
    <w:rsid w:val="7880578A"/>
    <w:rsid w:val="78A060FF"/>
    <w:rsid w:val="78A90480"/>
    <w:rsid w:val="78C70753"/>
    <w:rsid w:val="78CE2999"/>
    <w:rsid w:val="7956687F"/>
    <w:rsid w:val="79835BAD"/>
    <w:rsid w:val="79965B41"/>
    <w:rsid w:val="79C35FFD"/>
    <w:rsid w:val="79D031B0"/>
    <w:rsid w:val="79E30A34"/>
    <w:rsid w:val="7A081EDB"/>
    <w:rsid w:val="7A1A5D2B"/>
    <w:rsid w:val="7A340F22"/>
    <w:rsid w:val="7A364017"/>
    <w:rsid w:val="7A5C2737"/>
    <w:rsid w:val="7A686558"/>
    <w:rsid w:val="7A6B7ABD"/>
    <w:rsid w:val="7A7C01D3"/>
    <w:rsid w:val="7A7D2441"/>
    <w:rsid w:val="7A8265E1"/>
    <w:rsid w:val="7A890A42"/>
    <w:rsid w:val="7A8D4699"/>
    <w:rsid w:val="7AC06271"/>
    <w:rsid w:val="7AC57DCC"/>
    <w:rsid w:val="7AE85868"/>
    <w:rsid w:val="7AEE7323"/>
    <w:rsid w:val="7AFA3202"/>
    <w:rsid w:val="7B0A03C8"/>
    <w:rsid w:val="7B0A1C83"/>
    <w:rsid w:val="7B326DBA"/>
    <w:rsid w:val="7B537186"/>
    <w:rsid w:val="7B686D42"/>
    <w:rsid w:val="7B6F5515"/>
    <w:rsid w:val="7B767318"/>
    <w:rsid w:val="7B7D4202"/>
    <w:rsid w:val="7B841746"/>
    <w:rsid w:val="7BB046A3"/>
    <w:rsid w:val="7BB30197"/>
    <w:rsid w:val="7BDD400B"/>
    <w:rsid w:val="7BE67FFA"/>
    <w:rsid w:val="7BEE15C0"/>
    <w:rsid w:val="7BF301BC"/>
    <w:rsid w:val="7C3B57A0"/>
    <w:rsid w:val="7C6C5AC7"/>
    <w:rsid w:val="7C88221D"/>
    <w:rsid w:val="7C931645"/>
    <w:rsid w:val="7CC6544B"/>
    <w:rsid w:val="7CCD7E55"/>
    <w:rsid w:val="7CD442F6"/>
    <w:rsid w:val="7CF46746"/>
    <w:rsid w:val="7D0239FF"/>
    <w:rsid w:val="7D3C6FA3"/>
    <w:rsid w:val="7D5E40CD"/>
    <w:rsid w:val="7D6A6E0D"/>
    <w:rsid w:val="7D78756D"/>
    <w:rsid w:val="7D7F24B4"/>
    <w:rsid w:val="7D855626"/>
    <w:rsid w:val="7DCD56F2"/>
    <w:rsid w:val="7DCE7506"/>
    <w:rsid w:val="7DD040E1"/>
    <w:rsid w:val="7E176B90"/>
    <w:rsid w:val="7E301A00"/>
    <w:rsid w:val="7E5B5A50"/>
    <w:rsid w:val="7E682F48"/>
    <w:rsid w:val="7E6E1FF1"/>
    <w:rsid w:val="7E7D7ED3"/>
    <w:rsid w:val="7E97161A"/>
    <w:rsid w:val="7EDB313B"/>
    <w:rsid w:val="7F001CE7"/>
    <w:rsid w:val="7F090336"/>
    <w:rsid w:val="7F1417F4"/>
    <w:rsid w:val="7F3C6183"/>
    <w:rsid w:val="7F4152E0"/>
    <w:rsid w:val="7F846286"/>
    <w:rsid w:val="7FA90C3E"/>
    <w:rsid w:val="7FCB0EC2"/>
    <w:rsid w:val="7FE47E50"/>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iPriority="0" w:name="heading 2"/>
    <w:lsdException w:qFormat="1" w:uiPriority="0"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qFormat="1"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qFormat="1" w:uiPriority="99"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qFormat="1" w:unhideWhenUsed="0" w:uiPriority="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4"/>
      <w:szCs w:val="24"/>
      <w:lang w:val="en-US" w:eastAsia="zh-CN" w:bidi="ar-SA"/>
    </w:rPr>
  </w:style>
  <w:style w:type="paragraph" w:styleId="2">
    <w:name w:val="heading 1"/>
    <w:basedOn w:val="1"/>
    <w:next w:val="1"/>
    <w:qFormat/>
    <w:uiPriority w:val="99"/>
    <w:pPr>
      <w:keepNext/>
      <w:overflowPunct w:val="0"/>
      <w:snapToGrid w:val="0"/>
      <w:spacing w:before="120" w:after="160" w:line="259" w:lineRule="auto"/>
      <w:ind w:left="432" w:hanging="432"/>
      <w:outlineLvl w:val="0"/>
    </w:pPr>
    <w:rPr>
      <w:rFonts w:eastAsia="黑体"/>
      <w:b/>
      <w:bCs/>
      <w:color w:val="000000"/>
      <w:kern w:val="44"/>
      <w:sz w:val="30"/>
      <w:szCs w:val="30"/>
    </w:rPr>
  </w:style>
  <w:style w:type="paragraph" w:styleId="3">
    <w:name w:val="heading 3"/>
    <w:basedOn w:val="1"/>
    <w:next w:val="1"/>
    <w:unhideWhenUsed/>
    <w:qFormat/>
    <w:uiPriority w:val="0"/>
    <w:pPr>
      <w:spacing w:before="100" w:beforeAutospacing="1" w:after="100" w:afterAutospacing="1"/>
      <w:jc w:val="left"/>
      <w:outlineLvl w:val="2"/>
    </w:pPr>
    <w:rPr>
      <w:rFonts w:hint="eastAsia" w:ascii="宋体" w:hAnsi="宋体" w:eastAsia="宋体" w:cs="宋体"/>
      <w:b/>
      <w:bCs/>
      <w:kern w:val="0"/>
      <w:sz w:val="27"/>
      <w:szCs w:val="27"/>
      <w:lang w:val="en-US" w:eastAsia="zh-CN" w:bidi="ar"/>
    </w:rPr>
  </w:style>
  <w:style w:type="paragraph" w:styleId="4">
    <w:name w:val="heading 4"/>
    <w:basedOn w:val="1"/>
    <w:next w:val="1"/>
    <w:qFormat/>
    <w:uiPriority w:val="0"/>
    <w:pPr>
      <w:keepNext/>
      <w:keepLines/>
      <w:tabs>
        <w:tab w:val="left" w:pos="2880"/>
      </w:tabs>
      <w:spacing w:before="280" w:beforeLines="0" w:after="290" w:afterLines="0" w:line="372" w:lineRule="auto"/>
      <w:ind w:left="2880" w:hanging="360"/>
      <w:outlineLvl w:val="3"/>
    </w:pPr>
    <w:rPr>
      <w:rFonts w:ascii="Arial" w:hAnsi="Arial" w:eastAsia="黑体" w:cs="宋体"/>
      <w:b/>
      <w:bCs/>
      <w:kern w:val="0"/>
      <w:sz w:val="28"/>
      <w:szCs w:val="28"/>
    </w:rPr>
  </w:style>
  <w:style w:type="character" w:default="1" w:styleId="27">
    <w:name w:val="Default Paragraph Font"/>
    <w:semiHidden/>
    <w:qFormat/>
    <w:uiPriority w:val="0"/>
  </w:style>
  <w:style w:type="table" w:default="1" w:styleId="25">
    <w:name w:val="Normal Table"/>
    <w:semiHidden/>
    <w:qFormat/>
    <w:uiPriority w:val="0"/>
    <w:tblPr>
      <w:tblCellMar>
        <w:top w:w="0" w:type="dxa"/>
        <w:left w:w="108" w:type="dxa"/>
        <w:bottom w:w="0" w:type="dxa"/>
        <w:right w:w="108" w:type="dxa"/>
      </w:tblCellMar>
    </w:tblPr>
  </w:style>
  <w:style w:type="paragraph" w:styleId="5">
    <w:name w:val="Normal Indent"/>
    <w:basedOn w:val="1"/>
    <w:next w:val="6"/>
    <w:qFormat/>
    <w:uiPriority w:val="0"/>
    <w:pPr>
      <w:ind w:firstLine="420"/>
    </w:pPr>
  </w:style>
  <w:style w:type="paragraph" w:styleId="6">
    <w:name w:val="toc 1"/>
    <w:basedOn w:val="1"/>
    <w:next w:val="1"/>
    <w:qFormat/>
    <w:uiPriority w:val="0"/>
    <w:pPr>
      <w:spacing w:line="240" w:lineRule="exact"/>
      <w:jc w:val="center"/>
    </w:pPr>
    <w:rPr>
      <w:kern w:val="0"/>
      <w:sz w:val="18"/>
      <w:szCs w:val="18"/>
    </w:rPr>
  </w:style>
  <w:style w:type="paragraph" w:styleId="7">
    <w:name w:val="caption"/>
    <w:basedOn w:val="1"/>
    <w:next w:val="1"/>
    <w:qFormat/>
    <w:uiPriority w:val="0"/>
    <w:pPr>
      <w:spacing w:before="160" w:after="160" w:line="288" w:lineRule="auto"/>
      <w:ind w:firstLine="510"/>
      <w:jc w:val="center"/>
    </w:pPr>
    <w:rPr>
      <w:rFonts w:ascii="Arial" w:hAnsi="Arial" w:eastAsia="黑体"/>
      <w:sz w:val="24"/>
    </w:rPr>
  </w:style>
  <w:style w:type="paragraph" w:styleId="8">
    <w:name w:val="annotation text"/>
    <w:basedOn w:val="1"/>
    <w:link w:val="32"/>
    <w:semiHidden/>
    <w:qFormat/>
    <w:uiPriority w:val="0"/>
    <w:pPr>
      <w:jc w:val="left"/>
    </w:pPr>
    <w:rPr>
      <w:kern w:val="0"/>
      <w:sz w:val="24"/>
      <w:szCs w:val="20"/>
    </w:rPr>
  </w:style>
  <w:style w:type="paragraph" w:styleId="9">
    <w:name w:val="Body Text"/>
    <w:basedOn w:val="1"/>
    <w:next w:val="10"/>
    <w:link w:val="33"/>
    <w:qFormat/>
    <w:uiPriority w:val="0"/>
    <w:pPr>
      <w:widowControl/>
      <w:snapToGrid w:val="0"/>
      <w:spacing w:before="60" w:after="160" w:line="259" w:lineRule="auto"/>
      <w:ind w:right="113"/>
    </w:pPr>
    <w:rPr>
      <w:kern w:val="0"/>
      <w:sz w:val="18"/>
      <w:szCs w:val="20"/>
    </w:rPr>
  </w:style>
  <w:style w:type="paragraph" w:styleId="10">
    <w:name w:val="List Bullet 5"/>
    <w:basedOn w:val="1"/>
    <w:qFormat/>
    <w:uiPriority w:val="0"/>
    <w:pPr>
      <w:numPr>
        <w:ilvl w:val="0"/>
        <w:numId w:val="1"/>
      </w:numPr>
    </w:pPr>
  </w:style>
  <w:style w:type="paragraph" w:styleId="11">
    <w:name w:val="Body Text Indent"/>
    <w:basedOn w:val="1"/>
    <w:next w:val="7"/>
    <w:link w:val="34"/>
    <w:qFormat/>
    <w:uiPriority w:val="0"/>
    <w:pPr>
      <w:spacing w:after="120"/>
      <w:ind w:left="420" w:leftChars="200"/>
    </w:pPr>
    <w:rPr>
      <w:kern w:val="0"/>
      <w:sz w:val="24"/>
      <w:szCs w:val="20"/>
    </w:rPr>
  </w:style>
  <w:style w:type="paragraph" w:styleId="12">
    <w:name w:val="Block Text"/>
    <w:basedOn w:val="1"/>
    <w:next w:val="1"/>
    <w:qFormat/>
    <w:uiPriority w:val="0"/>
    <w:pPr>
      <w:ind w:left="113" w:right="113" w:firstLine="555"/>
      <w:jc w:val="left"/>
    </w:pPr>
    <w:rPr>
      <w:sz w:val="28"/>
    </w:rPr>
  </w:style>
  <w:style w:type="paragraph" w:styleId="13">
    <w:name w:val="Plain Text"/>
    <w:basedOn w:val="1"/>
    <w:next w:val="14"/>
    <w:qFormat/>
    <w:uiPriority w:val="0"/>
    <w:pPr>
      <w:spacing w:line="480" w:lineRule="exact"/>
    </w:pPr>
    <w:rPr>
      <w:rFonts w:ascii="宋体" w:hAnsi="Courier New" w:cs="Courier New"/>
      <w:sz w:val="28"/>
      <w:szCs w:val="21"/>
    </w:rPr>
  </w:style>
  <w:style w:type="paragraph" w:styleId="14">
    <w:name w:val="List Continue 5"/>
    <w:basedOn w:val="1"/>
    <w:unhideWhenUsed/>
    <w:qFormat/>
    <w:uiPriority w:val="99"/>
    <w:pPr>
      <w:spacing w:after="120" w:afterLines="0"/>
      <w:ind w:left="2100" w:leftChars="1000"/>
    </w:pPr>
  </w:style>
  <w:style w:type="paragraph" w:styleId="15">
    <w:name w:val="Date"/>
    <w:basedOn w:val="1"/>
    <w:next w:val="1"/>
    <w:link w:val="35"/>
    <w:qFormat/>
    <w:uiPriority w:val="0"/>
    <w:pPr>
      <w:ind w:left="100" w:leftChars="2500"/>
    </w:pPr>
    <w:rPr>
      <w:kern w:val="0"/>
      <w:sz w:val="24"/>
      <w:szCs w:val="20"/>
    </w:rPr>
  </w:style>
  <w:style w:type="paragraph" w:styleId="16">
    <w:name w:val="Body Text Indent 2"/>
    <w:basedOn w:val="1"/>
    <w:qFormat/>
    <w:uiPriority w:val="0"/>
    <w:pPr>
      <w:spacing w:line="560" w:lineRule="exact"/>
      <w:ind w:firstLine="480" w:firstLineChars="200"/>
    </w:pPr>
    <w:rPr>
      <w:rFonts w:hAnsi="宋体"/>
      <w:sz w:val="24"/>
    </w:rPr>
  </w:style>
  <w:style w:type="paragraph" w:styleId="17">
    <w:name w:val="Balloon Text"/>
    <w:basedOn w:val="1"/>
    <w:link w:val="36"/>
    <w:semiHidden/>
    <w:qFormat/>
    <w:uiPriority w:val="0"/>
    <w:rPr>
      <w:kern w:val="0"/>
      <w:sz w:val="18"/>
      <w:szCs w:val="20"/>
    </w:rPr>
  </w:style>
  <w:style w:type="paragraph" w:styleId="18">
    <w:name w:val="footer"/>
    <w:basedOn w:val="1"/>
    <w:link w:val="37"/>
    <w:qFormat/>
    <w:uiPriority w:val="99"/>
    <w:pPr>
      <w:tabs>
        <w:tab w:val="center" w:pos="4153"/>
        <w:tab w:val="right" w:pos="8306"/>
      </w:tabs>
      <w:snapToGrid w:val="0"/>
      <w:jc w:val="left"/>
    </w:pPr>
    <w:rPr>
      <w:kern w:val="0"/>
      <w:sz w:val="18"/>
      <w:szCs w:val="20"/>
    </w:rPr>
  </w:style>
  <w:style w:type="paragraph" w:styleId="19">
    <w:name w:val="header"/>
    <w:basedOn w:val="1"/>
    <w:link w:val="38"/>
    <w:qFormat/>
    <w:uiPriority w:val="0"/>
    <w:pPr>
      <w:pBdr>
        <w:bottom w:val="single" w:color="auto" w:sz="6" w:space="1"/>
      </w:pBdr>
      <w:tabs>
        <w:tab w:val="center" w:pos="4153"/>
        <w:tab w:val="right" w:pos="8306"/>
      </w:tabs>
      <w:snapToGrid w:val="0"/>
      <w:jc w:val="center"/>
    </w:pPr>
    <w:rPr>
      <w:kern w:val="0"/>
      <w:sz w:val="18"/>
      <w:szCs w:val="20"/>
    </w:rPr>
  </w:style>
  <w:style w:type="paragraph" w:styleId="20">
    <w:name w:val="Body Text Indent 3"/>
    <w:basedOn w:val="1"/>
    <w:qFormat/>
    <w:uiPriority w:val="0"/>
    <w:pPr>
      <w:spacing w:after="120" w:afterLines="0"/>
      <w:ind w:left="420"/>
    </w:pPr>
    <w:rPr>
      <w:sz w:val="16"/>
    </w:rPr>
  </w:style>
  <w:style w:type="paragraph" w:styleId="21">
    <w:name w:val="toc 2"/>
    <w:basedOn w:val="1"/>
    <w:next w:val="1"/>
    <w:qFormat/>
    <w:uiPriority w:val="0"/>
    <w:pPr>
      <w:ind w:left="210"/>
      <w:jc w:val="left"/>
    </w:pPr>
    <w:rPr>
      <w:rFonts w:ascii="Times New Roman" w:hAnsi="Times New Roman" w:eastAsia="宋体" w:cs="Times New Roman"/>
      <w:smallCaps/>
      <w:sz w:val="20"/>
    </w:rPr>
  </w:style>
  <w:style w:type="paragraph" w:styleId="22">
    <w:name w:val="Normal (Web)"/>
    <w:basedOn w:val="1"/>
    <w:link w:val="39"/>
    <w:qFormat/>
    <w:uiPriority w:val="0"/>
    <w:pPr>
      <w:widowControl/>
      <w:spacing w:before="100" w:beforeAutospacing="1" w:after="100" w:afterAutospacing="1"/>
      <w:jc w:val="left"/>
    </w:pPr>
    <w:rPr>
      <w:rFonts w:ascii="宋体" w:hAnsi="宋体"/>
      <w:kern w:val="0"/>
      <w:sz w:val="24"/>
      <w:szCs w:val="20"/>
    </w:rPr>
  </w:style>
  <w:style w:type="paragraph" w:styleId="23">
    <w:name w:val="annotation subject"/>
    <w:basedOn w:val="8"/>
    <w:next w:val="8"/>
    <w:link w:val="40"/>
    <w:semiHidden/>
    <w:qFormat/>
    <w:uiPriority w:val="0"/>
    <w:rPr>
      <w:b/>
      <w:sz w:val="24"/>
      <w:szCs w:val="20"/>
    </w:rPr>
  </w:style>
  <w:style w:type="paragraph" w:styleId="24">
    <w:name w:val="Body Text First Indent 2"/>
    <w:basedOn w:val="11"/>
    <w:next w:val="1"/>
    <w:qFormat/>
    <w:uiPriority w:val="0"/>
    <w:pPr>
      <w:ind w:firstLine="420" w:firstLineChars="200"/>
    </w:pPr>
  </w:style>
  <w:style w:type="table" w:styleId="26">
    <w:name w:val="Table Grid"/>
    <w:basedOn w:val="25"/>
    <w:qFormat/>
    <w:uiPriority w:val="0"/>
    <w:rPr>
      <w:lang w:val="en-US" w:eastAsia="zh-CN" w:bidi="ar-SA"/>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8">
    <w:name w:val="Strong"/>
    <w:basedOn w:val="27"/>
    <w:qFormat/>
    <w:uiPriority w:val="0"/>
    <w:rPr>
      <w:b/>
    </w:rPr>
  </w:style>
  <w:style w:type="character" w:styleId="29">
    <w:name w:val="page number"/>
    <w:basedOn w:val="27"/>
    <w:qFormat/>
    <w:uiPriority w:val="0"/>
  </w:style>
  <w:style w:type="character" w:styleId="30">
    <w:name w:val="Hyperlink"/>
    <w:basedOn w:val="27"/>
    <w:qFormat/>
    <w:uiPriority w:val="0"/>
    <w:rPr>
      <w:color w:val="0000FF"/>
      <w:u w:val="single"/>
    </w:rPr>
  </w:style>
  <w:style w:type="character" w:styleId="31">
    <w:name w:val="annotation reference"/>
    <w:semiHidden/>
    <w:qFormat/>
    <w:uiPriority w:val="0"/>
    <w:rPr>
      <w:sz w:val="21"/>
    </w:rPr>
  </w:style>
  <w:style w:type="character" w:customStyle="1" w:styleId="32">
    <w:name w:val="批注文字 Char"/>
    <w:link w:val="8"/>
    <w:qFormat/>
    <w:uiPriority w:val="0"/>
    <w:rPr>
      <w:rFonts w:ascii="Times New Roman" w:hAnsi="Times New Roman" w:eastAsia="宋体"/>
      <w:sz w:val="24"/>
    </w:rPr>
  </w:style>
  <w:style w:type="character" w:customStyle="1" w:styleId="33">
    <w:name w:val="正文文本 Char"/>
    <w:link w:val="9"/>
    <w:qFormat/>
    <w:uiPriority w:val="0"/>
    <w:rPr>
      <w:sz w:val="18"/>
    </w:rPr>
  </w:style>
  <w:style w:type="character" w:customStyle="1" w:styleId="34">
    <w:name w:val="正文文本缩进 Char"/>
    <w:link w:val="11"/>
    <w:semiHidden/>
    <w:qFormat/>
    <w:uiPriority w:val="0"/>
    <w:rPr>
      <w:rFonts w:ascii="Times New Roman" w:hAnsi="Times New Roman" w:eastAsia="宋体"/>
      <w:sz w:val="24"/>
    </w:rPr>
  </w:style>
  <w:style w:type="character" w:customStyle="1" w:styleId="35">
    <w:name w:val="日期 Char"/>
    <w:link w:val="15"/>
    <w:qFormat/>
    <w:uiPriority w:val="0"/>
    <w:rPr>
      <w:rFonts w:ascii="Times New Roman" w:hAnsi="Times New Roman" w:eastAsia="宋体"/>
      <w:sz w:val="24"/>
    </w:rPr>
  </w:style>
  <w:style w:type="character" w:customStyle="1" w:styleId="36">
    <w:name w:val="批注框文本 Char"/>
    <w:link w:val="17"/>
    <w:semiHidden/>
    <w:qFormat/>
    <w:uiPriority w:val="0"/>
    <w:rPr>
      <w:rFonts w:ascii="Times New Roman" w:hAnsi="Times New Roman" w:eastAsia="宋体"/>
      <w:sz w:val="18"/>
    </w:rPr>
  </w:style>
  <w:style w:type="character" w:customStyle="1" w:styleId="37">
    <w:name w:val="页脚 Char"/>
    <w:link w:val="18"/>
    <w:qFormat/>
    <w:uiPriority w:val="99"/>
    <w:rPr>
      <w:sz w:val="18"/>
    </w:rPr>
  </w:style>
  <w:style w:type="character" w:customStyle="1" w:styleId="38">
    <w:name w:val="页眉 Char"/>
    <w:link w:val="19"/>
    <w:qFormat/>
    <w:uiPriority w:val="0"/>
    <w:rPr>
      <w:sz w:val="18"/>
    </w:rPr>
  </w:style>
  <w:style w:type="character" w:customStyle="1" w:styleId="39">
    <w:name w:val="普通(网站) Char"/>
    <w:link w:val="22"/>
    <w:qFormat/>
    <w:uiPriority w:val="0"/>
    <w:rPr>
      <w:rFonts w:ascii="宋体" w:hAnsi="宋体" w:eastAsia="宋体"/>
      <w:sz w:val="24"/>
    </w:rPr>
  </w:style>
  <w:style w:type="character" w:customStyle="1" w:styleId="40">
    <w:name w:val="批注主题 Char"/>
    <w:link w:val="23"/>
    <w:semiHidden/>
    <w:qFormat/>
    <w:uiPriority w:val="0"/>
    <w:rPr>
      <w:rFonts w:ascii="Times New Roman" w:hAnsi="Times New Roman" w:eastAsia="宋体"/>
      <w:b/>
      <w:kern w:val="2"/>
      <w:sz w:val="24"/>
    </w:rPr>
  </w:style>
  <w:style w:type="paragraph" w:customStyle="1" w:styleId="41">
    <w:name w:val="样式 正文文本 + 首行缩进:  2 字符"/>
    <w:basedOn w:val="9"/>
    <w:qFormat/>
    <w:uiPriority w:val="0"/>
    <w:pPr>
      <w:spacing w:after="0" w:line="540" w:lineRule="exact"/>
      <w:jc w:val="center"/>
    </w:pPr>
    <w:rPr>
      <w:rFonts w:ascii="黑体" w:hAnsi="黑体" w:eastAsia="黑体"/>
      <w:b/>
      <w:sz w:val="24"/>
    </w:rPr>
  </w:style>
  <w:style w:type="paragraph" w:customStyle="1" w:styleId="42">
    <w:name w:val="样式 正文文本缩进 + 行距: 1.5 倍行距"/>
    <w:basedOn w:val="1"/>
    <w:qFormat/>
    <w:uiPriority w:val="0"/>
    <w:pPr>
      <w:spacing w:after="120" w:line="360" w:lineRule="auto"/>
      <w:ind w:left="90" w:leftChars="32" w:firstLine="560" w:firstLineChars="200"/>
    </w:pPr>
    <w:rPr>
      <w:rFonts w:cs="宋体"/>
      <w:sz w:val="24"/>
    </w:rPr>
  </w:style>
  <w:style w:type="character" w:customStyle="1" w:styleId="43">
    <w:name w:val="页脚 字符"/>
    <w:basedOn w:val="27"/>
    <w:qFormat/>
    <w:uiPriority w:val="99"/>
  </w:style>
  <w:style w:type="character" w:customStyle="1" w:styleId="44">
    <w:name w:val="正文文本 字符1"/>
    <w:semiHidden/>
    <w:qFormat/>
    <w:uiPriority w:val="0"/>
    <w:rPr>
      <w:rFonts w:ascii="Times New Roman" w:hAnsi="Times New Roman" w:eastAsia="宋体"/>
      <w:sz w:val="24"/>
    </w:rPr>
  </w:style>
  <w:style w:type="character" w:customStyle="1" w:styleId="45">
    <w:name w:val="表格 Char"/>
    <w:link w:val="46"/>
    <w:qFormat/>
    <w:uiPriority w:val="0"/>
    <w:rPr>
      <w:rFonts w:ascii="宋体"/>
      <w:sz w:val="21"/>
    </w:rPr>
  </w:style>
  <w:style w:type="paragraph" w:customStyle="1" w:styleId="46">
    <w:name w:val="表格"/>
    <w:basedOn w:val="1"/>
    <w:next w:val="1"/>
    <w:link w:val="45"/>
    <w:qFormat/>
    <w:uiPriority w:val="0"/>
    <w:pPr>
      <w:adjustRightInd w:val="0"/>
      <w:snapToGrid w:val="0"/>
      <w:spacing w:beforeLines="10" w:afterLines="10" w:line="259" w:lineRule="auto"/>
      <w:jc w:val="center"/>
    </w:pPr>
    <w:rPr>
      <w:rFonts w:ascii="宋体"/>
      <w:kern w:val="0"/>
      <w:szCs w:val="20"/>
    </w:rPr>
  </w:style>
  <w:style w:type="character" w:customStyle="1" w:styleId="47">
    <w:name w:val="日期 字符"/>
    <w:semiHidden/>
    <w:qFormat/>
    <w:uiPriority w:val="0"/>
    <w:rPr>
      <w:rFonts w:ascii="Times New Roman" w:hAnsi="Times New Roman" w:eastAsia="宋体"/>
      <w:sz w:val="24"/>
    </w:rPr>
  </w:style>
  <w:style w:type="character" w:customStyle="1" w:styleId="48">
    <w:name w:val="批注文字 字符1"/>
    <w:semiHidden/>
    <w:qFormat/>
    <w:uiPriority w:val="0"/>
    <w:rPr>
      <w:rFonts w:ascii="Times New Roman" w:hAnsi="Times New Roman" w:eastAsia="宋体"/>
      <w:sz w:val="24"/>
    </w:rPr>
  </w:style>
  <w:style w:type="paragraph" w:customStyle="1" w:styleId="49">
    <w:name w:val="正文_10"/>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50">
    <w:name w:val="普通(网站)2"/>
    <w:basedOn w:val="1"/>
    <w:qFormat/>
    <w:uiPriority w:val="0"/>
    <w:pPr>
      <w:widowControl/>
      <w:spacing w:before="100" w:beforeAutospacing="1" w:after="100" w:afterAutospacing="1"/>
      <w:jc w:val="left"/>
    </w:pPr>
    <w:rPr>
      <w:rFonts w:ascii="宋体" w:hAnsi="宋体"/>
      <w:sz w:val="24"/>
      <w:szCs w:val="20"/>
    </w:rPr>
  </w:style>
  <w:style w:type="paragraph" w:customStyle="1" w:styleId="51">
    <w:name w:val="样式 小四 行距: 固定值 24 磅 首行缩进:  2 字符"/>
    <w:basedOn w:val="1"/>
    <w:qFormat/>
    <w:uiPriority w:val="0"/>
    <w:pPr>
      <w:spacing w:line="440" w:lineRule="exact"/>
      <w:ind w:firstLine="200"/>
    </w:pPr>
    <w:rPr>
      <w:spacing w:val="0"/>
      <w:szCs w:val="24"/>
    </w:rPr>
  </w:style>
  <w:style w:type="paragraph" w:customStyle="1" w:styleId="52">
    <w:name w:val="纯文本1"/>
    <w:basedOn w:val="1"/>
    <w:qFormat/>
    <w:uiPriority w:val="99"/>
    <w:pPr>
      <w:autoSpaceDE w:val="0"/>
      <w:autoSpaceDN w:val="0"/>
      <w:adjustRightInd w:val="0"/>
      <w:textAlignment w:val="baseline"/>
    </w:pPr>
    <w:rPr>
      <w:rFonts w:ascii="宋体" w:hAnsi="宋体" w:eastAsia="宋体" w:cs="Times New Roman"/>
      <w:szCs w:val="20"/>
    </w:rPr>
  </w:style>
  <w:style w:type="paragraph" w:customStyle="1" w:styleId="53">
    <w:name w:val="Default"/>
    <w:basedOn w:val="52"/>
    <w:qFormat/>
    <w:uiPriority w:val="99"/>
    <w:pPr>
      <w:widowControl w:val="0"/>
      <w:autoSpaceDE w:val="0"/>
      <w:autoSpaceDN w:val="0"/>
      <w:adjustRightInd w:val="0"/>
    </w:pPr>
    <w:rPr>
      <w:color w:val="000000"/>
      <w:sz w:val="24"/>
      <w:szCs w:val="24"/>
      <w:lang w:val="en-US" w:eastAsia="zh-CN" w:bidi="ar-SA"/>
    </w:rPr>
  </w:style>
  <w:style w:type="paragraph" w:customStyle="1" w:styleId="54">
    <w:name w:val="正文_1"/>
    <w:qFormat/>
    <w:uiPriority w:val="0"/>
    <w:pPr>
      <w:widowControl w:val="0"/>
      <w:jc w:val="both"/>
    </w:pPr>
    <w:rPr>
      <w:rFonts w:ascii="Calibri" w:hAnsi="Calibri" w:eastAsia="宋体" w:cs="Times New Roman"/>
      <w:kern w:val="2"/>
      <w:sz w:val="21"/>
      <w:lang w:val="en-US" w:eastAsia="zh-CN" w:bidi="ar-SA"/>
    </w:rPr>
  </w:style>
  <w:style w:type="paragraph" w:customStyle="1" w:styleId="55">
    <w:name w:val="正文_4"/>
    <w:qFormat/>
    <w:uiPriority w:val="0"/>
    <w:pPr>
      <w:widowControl w:val="0"/>
      <w:jc w:val="both"/>
    </w:pPr>
    <w:rPr>
      <w:rFonts w:ascii="Calibri" w:hAnsi="Calibri" w:eastAsia="宋体" w:cs="Times New Roman"/>
      <w:kern w:val="2"/>
      <w:sz w:val="21"/>
      <w:lang w:val="en-US" w:eastAsia="zh-CN" w:bidi="ar-SA"/>
    </w:rPr>
  </w:style>
  <w:style w:type="paragraph" w:customStyle="1" w:styleId="56">
    <w:name w:val="样式1"/>
    <w:basedOn w:val="1"/>
    <w:qFormat/>
    <w:uiPriority w:val="0"/>
    <w:pPr>
      <w:numPr>
        <w:ilvl w:val="0"/>
        <w:numId w:val="2"/>
      </w:numPr>
      <w:adjustRightInd w:val="0"/>
      <w:snapToGrid w:val="0"/>
      <w:spacing w:line="360" w:lineRule="auto"/>
    </w:pPr>
    <w:rPr>
      <w:sz w:val="28"/>
      <w:szCs w:val="24"/>
    </w:rPr>
  </w:style>
  <w:style w:type="paragraph" w:customStyle="1" w:styleId="57">
    <w:name w:val="Other|1"/>
    <w:basedOn w:val="1"/>
    <w:qFormat/>
    <w:uiPriority w:val="0"/>
    <w:pPr>
      <w:widowControl w:val="0"/>
      <w:shd w:val="clear" w:color="auto" w:fill="auto"/>
      <w:spacing w:line="427" w:lineRule="auto"/>
      <w:ind w:firstLine="400"/>
    </w:pPr>
    <w:rPr>
      <w:rFonts w:ascii="宋体" w:hAnsi="宋体" w:eastAsia="宋体" w:cs="宋体"/>
      <w:sz w:val="28"/>
      <w:szCs w:val="28"/>
      <w:u w:val="none"/>
      <w:shd w:val="clear" w:color="auto" w:fill="auto"/>
      <w:lang w:val="zh-TW" w:eastAsia="zh-TW" w:bidi="zh-TW"/>
    </w:rPr>
  </w:style>
  <w:style w:type="paragraph" w:customStyle="1" w:styleId="58">
    <w:name w:val="Default1"/>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paragraph" w:customStyle="1" w:styleId="59">
    <w:name w:val="新格式表"/>
    <w:basedOn w:val="1"/>
    <w:qFormat/>
    <w:uiPriority w:val="99"/>
    <w:pPr>
      <w:adjustRightInd w:val="0"/>
      <w:snapToGrid w:val="0"/>
      <w:spacing w:line="240" w:lineRule="atLeast"/>
      <w:jc w:val="center"/>
    </w:pPr>
    <w:rPr>
      <w:color w:val="000000"/>
      <w:kern w:val="0"/>
    </w:rPr>
  </w:style>
  <w:style w:type="paragraph" w:customStyle="1" w:styleId="60">
    <w:name w:val="表格文字"/>
    <w:basedOn w:val="9"/>
    <w:qFormat/>
    <w:uiPriority w:val="0"/>
    <w:pPr>
      <w:adjustRightInd w:val="0"/>
      <w:spacing w:line="400" w:lineRule="atLeast"/>
      <w:jc w:val="center"/>
    </w:pPr>
    <w:rPr>
      <w:kern w:val="24"/>
      <w:sz w:val="24"/>
    </w:rPr>
  </w:style>
  <w:style w:type="paragraph" w:customStyle="1" w:styleId="61">
    <w:name w:val="Table Text"/>
    <w:basedOn w:val="1"/>
    <w:semiHidden/>
    <w:qFormat/>
    <w:uiPriority w:val="0"/>
    <w:rPr>
      <w:rFonts w:ascii="宋体" w:hAnsi="宋体" w:eastAsia="宋体" w:cs="宋体"/>
      <w:sz w:val="24"/>
      <w:szCs w:val="24"/>
      <w:lang w:val="en-US" w:eastAsia="en-US" w:bidi="ar-SA"/>
    </w:rPr>
  </w:style>
  <w:style w:type="paragraph" w:customStyle="1" w:styleId="62">
    <w:name w:val="表 格"/>
    <w:basedOn w:val="1"/>
    <w:next w:val="1"/>
    <w:qFormat/>
    <w:uiPriority w:val="0"/>
    <w:pPr>
      <w:spacing w:line="240" w:lineRule="auto"/>
      <w:ind w:firstLine="0" w:firstLineChars="0"/>
      <w:jc w:val="center"/>
    </w:pPr>
    <w:rPr>
      <w:sz w:val="21"/>
    </w:rPr>
  </w:style>
  <w:style w:type="paragraph" w:customStyle="1" w:styleId="63">
    <w:name w:val="WPSOffice手动目录 1"/>
    <w:qFormat/>
    <w:uiPriority w:val="0"/>
    <w:pPr>
      <w:ind w:leftChars="0"/>
    </w:pPr>
    <w:rPr>
      <w:rFonts w:ascii="Times New Roman" w:hAnsi="Times New Roman" w:eastAsia="宋体" w:cs="Times New Roman"/>
      <w:sz w:val="20"/>
      <w:szCs w:val="20"/>
    </w:rPr>
  </w:style>
  <w:style w:type="paragraph" w:customStyle="1" w:styleId="64">
    <w:name w:val="表格内容"/>
    <w:basedOn w:val="65"/>
    <w:next w:val="1"/>
    <w:qFormat/>
    <w:uiPriority w:val="0"/>
    <w:pPr>
      <w:overflowPunct w:val="0"/>
      <w:adjustRightInd w:val="0"/>
      <w:snapToGrid w:val="0"/>
      <w:spacing w:before="40" w:after="60" w:line="200" w:lineRule="atLeast"/>
      <w:textAlignment w:val="baseline"/>
    </w:pPr>
    <w:rPr>
      <w:rFonts w:ascii="Arial" w:hAnsi="Arial" w:eastAsia="仿宋_GB2312"/>
      <w:kern w:val="0"/>
      <w:sz w:val="24"/>
    </w:rPr>
  </w:style>
  <w:style w:type="paragraph" w:customStyle="1" w:styleId="65">
    <w:name w:val="正文内容g"/>
    <w:basedOn w:val="1"/>
    <w:next w:val="1"/>
    <w:qFormat/>
    <w:uiPriority w:val="0"/>
    <w:pPr>
      <w:spacing w:line="460" w:lineRule="exact"/>
      <w:ind w:firstLine="720" w:firstLineChars="200"/>
    </w:pPr>
    <w:rPr>
      <w:rFonts w:ascii="Times New Roman" w:hAnsi="Times New Roman" w:eastAsia="宋体"/>
    </w:rPr>
  </w:style>
  <w:style w:type="paragraph" w:customStyle="1" w:styleId="66">
    <w:name w:val="表"/>
    <w:qFormat/>
    <w:uiPriority w:val="0"/>
    <w:pPr>
      <w:spacing w:line="440" w:lineRule="exact"/>
      <w:ind w:firstLine="200" w:firstLineChars="200"/>
      <w:jc w:val="both"/>
    </w:pPr>
    <w:rPr>
      <w:rFonts w:ascii="Calibri" w:hAnsi="Calibri" w:eastAsia="宋体" w:cs="Times New Roman"/>
      <w:kern w:val="2"/>
      <w:sz w:val="24"/>
      <w:szCs w:val="22"/>
      <w:lang w:val="en-US" w:eastAsia="zh-CN" w:bidi="ar-SA"/>
    </w:rPr>
  </w:style>
  <w:style w:type="paragraph" w:customStyle="1" w:styleId="67">
    <w:name w:val="环评表格"/>
    <w:next w:val="1"/>
    <w:qFormat/>
    <w:uiPriority w:val="0"/>
    <w:pPr>
      <w:spacing w:line="320" w:lineRule="exact"/>
      <w:jc w:val="center"/>
    </w:pPr>
    <w:rPr>
      <w:rFonts w:ascii="Times New Roman" w:hAnsi="Times New Roman" w:eastAsia="宋体" w:cs="Times New Roman"/>
      <w:sz w:val="21"/>
      <w:szCs w:val="21"/>
      <w:lang w:val="en-US" w:eastAsia="zh-CN" w:bidi="ar-SA"/>
    </w:rPr>
  </w:style>
  <w:style w:type="paragraph" w:customStyle="1" w:styleId="68">
    <w:name w:val="正文1"/>
    <w:basedOn w:val="1"/>
    <w:next w:val="1"/>
    <w:qFormat/>
    <w:uiPriority w:val="0"/>
    <w:pPr>
      <w:widowControl/>
      <w:spacing w:before="78" w:beforeLines="25" w:after="78" w:afterLines="25" w:line="360" w:lineRule="auto"/>
      <w:ind w:firstLine="480" w:firstLineChars="200"/>
      <w:jc w:val="left"/>
    </w:pPr>
    <w:rPr>
      <w:rFonts w:ascii="宋体" w:hAnsi="宋体"/>
      <w:kern w:val="0"/>
      <w:sz w:val="24"/>
    </w:rPr>
  </w:style>
  <w:style w:type="character" w:customStyle="1" w:styleId="69">
    <w:name w:val="NormalCharacter"/>
    <w:semiHidden/>
    <w:qFormat/>
    <w:uiPriority w:val="0"/>
    <w:rPr>
      <w:kern w:val="2"/>
      <w:sz w:val="21"/>
      <w:szCs w:val="24"/>
      <w:lang w:val="en-US" w:eastAsia="zh-CN" w:bidi="ar-SA"/>
    </w:rPr>
  </w:style>
  <w:style w:type="paragraph" w:customStyle="1" w:styleId="70">
    <w:name w:val="正文g"/>
    <w:basedOn w:val="1"/>
    <w:qFormat/>
    <w:uiPriority w:val="0"/>
    <w:pPr>
      <w:autoSpaceDE w:val="0"/>
      <w:autoSpaceDN w:val="0"/>
      <w:adjustRightInd/>
      <w:snapToGrid/>
      <w:spacing w:line="440" w:lineRule="exact"/>
      <w:ind w:firstLine="720" w:firstLineChars="200"/>
      <w:jc w:val="left"/>
    </w:pPr>
    <w:rPr>
      <w:rFonts w:hint="eastAsia" w:cs="Times New Roman"/>
      <w:color w:val="auto"/>
      <w:sz w:val="21"/>
    </w:rPr>
  </w:style>
  <w:style w:type="paragraph" w:customStyle="1" w:styleId="71">
    <w:name w:val="九江"/>
    <w:basedOn w:val="1"/>
    <w:qFormat/>
    <w:uiPriority w:val="0"/>
    <w:pPr>
      <w:ind w:firstLine="200"/>
    </w:pPr>
  </w:style>
  <w:style w:type="paragraph" w:customStyle="1" w:styleId="72">
    <w:name w:val="正文正"/>
    <w:basedOn w:val="1"/>
    <w:unhideWhenUsed/>
    <w:qFormat/>
    <w:uiPriority w:val="0"/>
    <w:pPr>
      <w:ind w:firstLine="560" w:firstLineChars="200"/>
    </w:pPr>
    <w:rPr>
      <w:sz w:val="28"/>
    </w:rPr>
  </w:style>
  <w:style w:type="paragraph" w:customStyle="1" w:styleId="73">
    <w:name w:val="表格标题"/>
    <w:basedOn w:val="70"/>
    <w:next w:val="1"/>
    <w:qFormat/>
    <w:uiPriority w:val="0"/>
    <w:pPr>
      <w:adjustRightInd w:val="0"/>
      <w:snapToGrid/>
      <w:spacing w:before="50" w:beforeLines="50" w:line="240" w:lineRule="auto"/>
      <w:jc w:val="center"/>
    </w:pPr>
    <w:rPr>
      <w:b/>
      <w:kern w:val="0"/>
      <w:szCs w:val="20"/>
    </w:rPr>
  </w:style>
  <w:style w:type="paragraph" w:customStyle="1" w:styleId="74">
    <w:name w:val="Table Paragraph"/>
    <w:basedOn w:val="1"/>
    <w:qFormat/>
    <w:uiPriority w:val="1"/>
    <w:pPr>
      <w:autoSpaceDE w:val="0"/>
      <w:autoSpaceDN w:val="0"/>
      <w:jc w:val="center"/>
    </w:pPr>
    <w:rPr>
      <w:rFonts w:ascii="宋体" w:hAnsi="宋体" w:cs="宋体"/>
      <w:kern w:val="0"/>
      <w:sz w:val="22"/>
      <w:szCs w:val="22"/>
      <w:lang w:val="zh-CN" w:bidi="zh-CN"/>
    </w:rPr>
  </w:style>
  <w:style w:type="paragraph" w:customStyle="1" w:styleId="75">
    <w:name w:val="表格题名"/>
    <w:basedOn w:val="5"/>
    <w:qFormat/>
    <w:uiPriority w:val="0"/>
    <w:pPr>
      <w:ind w:firstLine="0" w:firstLineChars="0"/>
      <w:jc w:val="center"/>
    </w:pPr>
    <w:rPr>
      <w:rFonts w:ascii="Times New Roman" w:hAnsi="Times New Roman" w:eastAsia="黑体"/>
      <w:color w:val="000000"/>
      <w:sz w:val="20"/>
      <w:szCs w:val="21"/>
    </w:rPr>
  </w:style>
  <w:style w:type="table" w:customStyle="1" w:styleId="76">
    <w:name w:val="Table Normal"/>
    <w:unhideWhenUsed/>
    <w:qFormat/>
    <w:uiPriority w:val="2"/>
    <w:pPr>
      <w:widowControl w:val="0"/>
      <w:autoSpaceDE w:val="0"/>
      <w:autoSpaceDN w:val="0"/>
    </w:pPr>
    <w:rPr>
      <w:rFonts w:ascii="Calibri" w:hAnsi="Calibri"/>
      <w:sz w:val="22"/>
      <w:szCs w:val="22"/>
      <w:lang w:val="en-US" w:eastAsia="en-US" w:bidi="ar-SA"/>
    </w:rPr>
    <w:tblPr>
      <w:tblCellMar>
        <w:top w:w="0" w:type="dxa"/>
        <w:left w:w="0" w:type="dxa"/>
        <w:bottom w:w="0" w:type="dxa"/>
        <w:right w:w="0" w:type="dxa"/>
      </w:tblCellMar>
    </w:tblPr>
  </w:style>
  <w:style w:type="paragraph" w:customStyle="1" w:styleId="77">
    <w:name w:val="样式 样式 样式 四号 左侧:  1.53 厘米 + 首行缩进:  2 字符 + 居中 左侧:  2 字符 首行缩进:  2..."/>
    <w:basedOn w:val="78"/>
    <w:qFormat/>
    <w:uiPriority w:val="0"/>
    <w:pPr>
      <w:ind w:firstLine="0" w:firstLineChars="0"/>
      <w:jc w:val="center"/>
    </w:pPr>
  </w:style>
  <w:style w:type="paragraph" w:customStyle="1" w:styleId="78">
    <w:name w:val="样式 样式 四号 左侧:  1.53 厘米 + 首行缩进:  2 字符"/>
    <w:basedOn w:val="79"/>
    <w:qFormat/>
    <w:uiPriority w:val="0"/>
    <w:pPr>
      <w:ind w:left="200" w:leftChars="200"/>
    </w:pPr>
    <w:rPr>
      <w:szCs w:val="20"/>
    </w:rPr>
  </w:style>
  <w:style w:type="paragraph" w:customStyle="1" w:styleId="79">
    <w:name w:val="样式 四号 左侧:  1.53 厘米"/>
    <w:basedOn w:val="1"/>
    <w:qFormat/>
    <w:uiPriority w:val="0"/>
    <w:pPr>
      <w:adjustRightInd w:val="0"/>
    </w:pPr>
    <w:rPr>
      <w:w w:val="90"/>
      <w:sz w:val="28"/>
      <w:szCs w:val="28"/>
    </w:rPr>
  </w:style>
  <w:style w:type="character" w:customStyle="1" w:styleId="80">
    <w:name w:val="font21"/>
    <w:basedOn w:val="27"/>
    <w:qFormat/>
    <w:uiPriority w:val="0"/>
    <w:rPr>
      <w:rFonts w:hint="eastAsia" w:ascii="宋体" w:hAnsi="宋体" w:eastAsia="宋体" w:cs="宋体"/>
      <w:color w:val="000000"/>
      <w:sz w:val="21"/>
      <w:szCs w:val="21"/>
      <w:u w:val="none"/>
    </w:rPr>
  </w:style>
  <w:style w:type="character" w:customStyle="1" w:styleId="81">
    <w:name w:val="font31"/>
    <w:basedOn w:val="27"/>
    <w:qFormat/>
    <w:uiPriority w:val="0"/>
    <w:rPr>
      <w:rFonts w:hint="default" w:ascii="Times New Roman" w:hAnsi="Times New Roman" w:cs="Times New Roman"/>
      <w:color w:val="000000"/>
      <w:sz w:val="21"/>
      <w:szCs w:val="21"/>
      <w:u w:val="none"/>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6.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0" Type="http://schemas.openxmlformats.org/officeDocument/2006/relationships/fontTable" Target="fontTable.xml"/><Relationship Id="rId4" Type="http://schemas.openxmlformats.org/officeDocument/2006/relationships/footer" Target="footer2.xml"/><Relationship Id="rId39" Type="http://schemas.openxmlformats.org/officeDocument/2006/relationships/numbering" Target="numbering.xml"/><Relationship Id="rId38" Type="http://schemas.openxmlformats.org/officeDocument/2006/relationships/customXml" Target="../customXml/item1.xml"/><Relationship Id="rId37" Type="http://schemas.openxmlformats.org/officeDocument/2006/relationships/image" Target="media/image18.jpeg"/><Relationship Id="rId36" Type="http://schemas.openxmlformats.org/officeDocument/2006/relationships/image" Target="media/image17.png"/><Relationship Id="rId35" Type="http://schemas.openxmlformats.org/officeDocument/2006/relationships/image" Target="media/image16.png"/><Relationship Id="rId34" Type="http://schemas.openxmlformats.org/officeDocument/2006/relationships/image" Target="media/image15.png"/><Relationship Id="rId33" Type="http://schemas.openxmlformats.org/officeDocument/2006/relationships/image" Target="media/image14.png"/><Relationship Id="rId32" Type="http://schemas.openxmlformats.org/officeDocument/2006/relationships/image" Target="media/image13.png"/><Relationship Id="rId31" Type="http://schemas.openxmlformats.org/officeDocument/2006/relationships/image" Target="media/image12.png"/><Relationship Id="rId30" Type="http://schemas.openxmlformats.org/officeDocument/2006/relationships/image" Target="media/image11.png"/><Relationship Id="rId3" Type="http://schemas.openxmlformats.org/officeDocument/2006/relationships/footer" Target="footer1.xml"/><Relationship Id="rId29" Type="http://schemas.openxmlformats.org/officeDocument/2006/relationships/image" Target="media/image10.wmf"/><Relationship Id="rId28" Type="http://schemas.openxmlformats.org/officeDocument/2006/relationships/oleObject" Target="embeddings/oleObject10.bin"/><Relationship Id="rId27" Type="http://schemas.openxmlformats.org/officeDocument/2006/relationships/image" Target="media/image9.wmf"/><Relationship Id="rId26" Type="http://schemas.openxmlformats.org/officeDocument/2006/relationships/oleObject" Target="embeddings/oleObject9.bin"/><Relationship Id="rId25" Type="http://schemas.openxmlformats.org/officeDocument/2006/relationships/image" Target="media/image8.wmf"/><Relationship Id="rId24" Type="http://schemas.openxmlformats.org/officeDocument/2006/relationships/oleObject" Target="embeddings/oleObject8.bin"/><Relationship Id="rId23" Type="http://schemas.openxmlformats.org/officeDocument/2006/relationships/image" Target="media/image7.emf"/><Relationship Id="rId22" Type="http://schemas.openxmlformats.org/officeDocument/2006/relationships/oleObject" Target="embeddings/oleObject7.bin"/><Relationship Id="rId21" Type="http://schemas.openxmlformats.org/officeDocument/2006/relationships/image" Target="media/image6.emf"/><Relationship Id="rId20" Type="http://schemas.openxmlformats.org/officeDocument/2006/relationships/oleObject" Target="embeddings/oleObject6.bin"/><Relationship Id="rId2" Type="http://schemas.openxmlformats.org/officeDocument/2006/relationships/settings" Target="settings.xml"/><Relationship Id="rId19" Type="http://schemas.openxmlformats.org/officeDocument/2006/relationships/image" Target="media/image5.emf"/><Relationship Id="rId18" Type="http://schemas.openxmlformats.org/officeDocument/2006/relationships/oleObject" Target="embeddings/oleObject5.bin"/><Relationship Id="rId17" Type="http://schemas.openxmlformats.org/officeDocument/2006/relationships/image" Target="media/image4.emf"/><Relationship Id="rId16" Type="http://schemas.openxmlformats.org/officeDocument/2006/relationships/oleObject" Target="embeddings/oleObject4.bin"/><Relationship Id="rId15" Type="http://schemas.openxmlformats.org/officeDocument/2006/relationships/image" Target="media/image3.emf"/><Relationship Id="rId14" Type="http://schemas.openxmlformats.org/officeDocument/2006/relationships/oleObject" Target="embeddings/oleObject3.bin"/><Relationship Id="rId13" Type="http://schemas.openxmlformats.org/officeDocument/2006/relationships/image" Target="media/image2.emf"/><Relationship Id="rId12" Type="http://schemas.openxmlformats.org/officeDocument/2006/relationships/oleObject" Target="embeddings/oleObject2.bin"/><Relationship Id="rId11" Type="http://schemas.openxmlformats.org/officeDocument/2006/relationships/image" Target="media/image1.wmf"/><Relationship Id="rId10" Type="http://schemas.openxmlformats.org/officeDocument/2006/relationships/oleObject" Target="embeddings/oleObject1.bin"/><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ops>
  <customShpExts>
    <customShpInfo spid="_x0000_s1026" textRotate="1"/>
    <customShpInfo spid="_x0000_s1029"/>
    <customShpInfo spid="_x0000_s1032"/>
    <customShpInfo spid="_x0000_s1031"/>
    <customShpInfo spid="_x0000_s1030"/>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wdzx97</Template>
  <Company>微软中国</Company>
  <Pages>92</Pages>
  <Words>4385</Words>
  <Characters>4673</Characters>
  <Lines>13</Lines>
  <Paragraphs>3</Paragraphs>
  <TotalTime>5</TotalTime>
  <ScaleCrop>false</ScaleCrop>
  <LinksUpToDate>false</LinksUpToDate>
  <CharactersWithSpaces>4709</CharactersWithSpaces>
  <Application>WPS Office_12.1.0.18912_F1E327BC-269C-435d-A152-05C5408002CA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2020-12-24T01:29:00Z</dcterms:created>
  <dc:creator>lhj</dc:creator>
  <cp:lastModifiedBy>不爱吃胡萝卜</cp:lastModifiedBy>
  <cp:lastPrinted>2020-12-29T02:43:00Z</cp:lastPrinted>
  <dcterms:modified xsi:type="dcterms:W3CDTF">2024-12-10T08:02:29Z</dcterms:modified>
  <dc:title>附件2</dc:title>
  <cp:revision>37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2052-12.1.0.18912</vt:lpwstr>
  </property>
  <property fmtid="{D5CDD505-2E9C-101B-9397-08002B2CF9AE}" pid="3" name="ICV">
    <vt:lpwstr>149FB7F46993452A971F954111E57B04_13</vt:lpwstr>
  </property>
</Properties>
</file>