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C273EC">
      <w:pPr>
        <w:jc w:val="center"/>
        <w:rPr>
          <w:rFonts w:ascii="Times New Roman" w:hAnsi="Times New Roman" w:eastAsia="方正小标宋_GBK" w:cs="Times New Roman"/>
          <w:sz w:val="44"/>
          <w:szCs w:val="44"/>
        </w:rPr>
      </w:pPr>
      <w:bookmarkStart w:id="0" w:name="_GoBack"/>
      <w:bookmarkEnd w:id="0"/>
      <w:r>
        <w:rPr>
          <w:rFonts w:hint="eastAsia" w:ascii="Times New Roman" w:hAnsi="Times New Roman" w:eastAsia="方正小标宋_GBK" w:cs="Times New Roman"/>
          <w:sz w:val="44"/>
          <w:szCs w:val="44"/>
        </w:rPr>
        <w:t>唐山市曹妃甸区人力资源和社会保障局</w:t>
      </w:r>
      <w:r>
        <w:rPr>
          <w:rFonts w:ascii="Times New Roman" w:hAnsi="Times New Roman" w:eastAsia="方正小标宋_GBK" w:cs="Times New Roman"/>
          <w:sz w:val="44"/>
          <w:szCs w:val="44"/>
        </w:rPr>
        <w:t>2022</w:t>
      </w:r>
      <w:r>
        <w:rPr>
          <w:rFonts w:hint="eastAsia" w:ascii="Times New Roman" w:hAnsi="Times New Roman" w:eastAsia="方正小标宋_GBK" w:cs="Times New Roman"/>
          <w:sz w:val="44"/>
          <w:szCs w:val="44"/>
        </w:rPr>
        <w:t>年部门预算信息公开说明</w:t>
      </w:r>
    </w:p>
    <w:p w14:paraId="03940FEA">
      <w:pPr>
        <w:ind w:firstLine="640" w:firstLineChars="200"/>
        <w:rPr>
          <w:rFonts w:ascii="宋体" w:cs="宋体"/>
          <w:sz w:val="32"/>
          <w:szCs w:val="32"/>
        </w:rPr>
      </w:pPr>
      <w:r>
        <w:rPr>
          <w:rFonts w:hint="eastAsia" w:ascii="宋体" w:hAnsi="宋体" w:cs="宋体"/>
          <w:sz w:val="32"/>
          <w:szCs w:val="32"/>
        </w:rPr>
        <w:t>按照《预算法》、《河北省预决算公开操作规程实施细则》规定，现将</w:t>
      </w:r>
      <w:r>
        <w:rPr>
          <w:rFonts w:ascii="宋体" w:hAnsi="宋体" w:cs="宋体"/>
          <w:sz w:val="32"/>
          <w:szCs w:val="32"/>
        </w:rPr>
        <w:t>2022</w:t>
      </w:r>
      <w:r>
        <w:rPr>
          <w:rFonts w:hint="eastAsia" w:ascii="宋体" w:hAnsi="宋体" w:cs="宋体"/>
          <w:sz w:val="32"/>
          <w:szCs w:val="32"/>
        </w:rPr>
        <w:t>年部门预算公开如下：</w:t>
      </w:r>
    </w:p>
    <w:p w14:paraId="0B2991B7">
      <w:pPr>
        <w:numPr>
          <w:ilvl w:val="0"/>
          <w:numId w:val="1"/>
        </w:numPr>
        <w:ind w:firstLine="640"/>
        <w:rPr>
          <w:rFonts w:ascii="黑体" w:hAnsi="黑体" w:eastAsia="黑体" w:cs="Times New Roman"/>
          <w:sz w:val="32"/>
          <w:szCs w:val="32"/>
        </w:rPr>
      </w:pPr>
      <w:r>
        <w:rPr>
          <w:rFonts w:hint="eastAsia" w:ascii="黑体" w:hAnsi="黑体" w:eastAsia="黑体" w:cs="Times New Roman"/>
          <w:sz w:val="32"/>
          <w:szCs w:val="32"/>
        </w:rPr>
        <w:t>部门职责及机构设置情况</w:t>
      </w:r>
    </w:p>
    <w:p w14:paraId="56D59E6B">
      <w:pPr>
        <w:ind w:firstLine="640" w:firstLineChars="200"/>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部门职责：</w:t>
      </w:r>
    </w:p>
    <w:p w14:paraId="67A52E48">
      <w:pPr>
        <w:ind w:firstLine="640" w:firstLineChars="200"/>
        <w:rPr>
          <w:rFonts w:ascii="宋体" w:cs="宋体"/>
          <w:sz w:val="32"/>
          <w:szCs w:val="32"/>
        </w:rPr>
      </w:pPr>
      <w:r>
        <w:rPr>
          <w:rFonts w:hint="eastAsia" w:ascii="宋体" w:hAnsi="宋体" w:cs="宋体"/>
          <w:sz w:val="32"/>
          <w:szCs w:val="32"/>
        </w:rPr>
        <w:t>（一）贯彻执行国家、省、市人力资源和社会保障事业发展政策、规划和地方性法规规章，起草全区人力资源和社会保障事业发展规划并组织实施。</w:t>
      </w:r>
    </w:p>
    <w:p w14:paraId="226E1C36">
      <w:pPr>
        <w:ind w:firstLine="640" w:firstLineChars="200"/>
        <w:rPr>
          <w:rFonts w:ascii="宋体" w:cs="宋体"/>
          <w:sz w:val="32"/>
          <w:szCs w:val="32"/>
        </w:rPr>
      </w:pPr>
      <w:r>
        <w:rPr>
          <w:rFonts w:hint="eastAsia" w:ascii="宋体" w:hAnsi="宋体" w:cs="宋体"/>
          <w:sz w:val="32"/>
          <w:szCs w:val="32"/>
        </w:rPr>
        <w:t>（二）贯彻执行上级人力资源市场发展规划和人力资源服务业发展、人力资源流动政策，促进人力资源合理流动、有效配置。按照管理权限起草人员（不含公务员）调配和特殊人员安置政策。</w:t>
      </w:r>
    </w:p>
    <w:p w14:paraId="28529569">
      <w:pPr>
        <w:ind w:firstLine="640" w:firstLineChars="200"/>
        <w:rPr>
          <w:rFonts w:ascii="宋体" w:cs="宋体"/>
          <w:sz w:val="32"/>
          <w:szCs w:val="32"/>
        </w:rPr>
      </w:pPr>
      <w:r>
        <w:rPr>
          <w:rFonts w:hint="eastAsia" w:ascii="宋体" w:hAnsi="宋体" w:cs="宋体"/>
          <w:sz w:val="32"/>
          <w:szCs w:val="32"/>
        </w:rPr>
        <w:t>（三）负责促进就业创业工作，起草统筹城乡的就业发展规划，贯彻执行国家、省、市促进就业创业扶持政策，完善公共就业服务体系，促进公平就业，统筹建立面向城乡劳动者的职业技能培训制度，起草全区技工学校和职业培训机构发展规划和管理规则并组织实施。加强就业服务和就业培训，贯彻执行就业援助制度，贯彻执行高校毕业生就业政策，按规定负责中专以上毕业生（非师范类）的就业工作。</w:t>
      </w:r>
    </w:p>
    <w:p w14:paraId="37712D97">
      <w:pPr>
        <w:ind w:firstLine="640" w:firstLineChars="200"/>
        <w:rPr>
          <w:rFonts w:ascii="宋体" w:cs="宋体"/>
          <w:sz w:val="32"/>
          <w:szCs w:val="32"/>
        </w:rPr>
      </w:pPr>
      <w:r>
        <w:rPr>
          <w:rFonts w:hint="eastAsia" w:ascii="宋体" w:hAnsi="宋体" w:cs="宋体"/>
          <w:sz w:val="32"/>
          <w:szCs w:val="32"/>
        </w:rPr>
        <w:t>（四）统筹推进建立覆盖城乡的多层次社会保障体系。贯彻执行国家、省、市养老、失业、工伤等社会保险及其补充保险政策和标准；贯彻执行养老保险省级统筹办法和全省统一的养老、失业、工伤保险关系转续办法和基金统筹办法；贯彻执行国家、省、市养老、失业、工伤等社会保险及其补充保险基金管理和监管制度，审核汇总相关社会保险基金预决算草案；贯彻执行上级企业年金和职业年金政策。会同有关部门实施全民参保计划并建立全区统一的社会保险公共服务平台。</w:t>
      </w:r>
    </w:p>
    <w:p w14:paraId="43FED5ED">
      <w:pPr>
        <w:ind w:firstLine="640" w:firstLineChars="200"/>
        <w:rPr>
          <w:rFonts w:ascii="宋体" w:cs="宋体"/>
          <w:sz w:val="32"/>
          <w:szCs w:val="32"/>
        </w:rPr>
      </w:pPr>
      <w:r>
        <w:rPr>
          <w:rFonts w:hint="eastAsia" w:ascii="宋体" w:hAnsi="宋体" w:cs="宋体"/>
          <w:sz w:val="32"/>
          <w:szCs w:val="32"/>
        </w:rPr>
        <w:t>（五）负责就业、失业和相关社会保险基金预测预警和信息引导，起草应对预案，实施预防、调节和控制，保持就业形势稳定和社会保险基金总体收支平衡。</w:t>
      </w:r>
    </w:p>
    <w:p w14:paraId="1490EBC9">
      <w:pPr>
        <w:ind w:firstLine="640" w:firstLineChars="200"/>
        <w:rPr>
          <w:rFonts w:ascii="宋体" w:cs="宋体"/>
          <w:sz w:val="32"/>
          <w:szCs w:val="32"/>
        </w:rPr>
      </w:pPr>
      <w:r>
        <w:rPr>
          <w:rFonts w:hint="eastAsia" w:ascii="宋体" w:hAnsi="宋体" w:cs="宋体"/>
          <w:sz w:val="32"/>
          <w:szCs w:val="32"/>
        </w:rPr>
        <w:t>（六）贯彻执行国家、省、市劳动、人事争议调解仲裁制度和劳动关系政策，完善劳动关系协商协调机制；贯彻执行职工工作时间、休息休假和假期相关政策；贯彻执行消除非法使用童工政策和女工、未成年工的特殊劳动保护政策；组织实施劳动保障监察，协调劳动者维权工作，依法查处劳动保障违法案件。</w:t>
      </w:r>
    </w:p>
    <w:p w14:paraId="52E4F41C">
      <w:pPr>
        <w:ind w:firstLine="640" w:firstLineChars="200"/>
        <w:rPr>
          <w:rFonts w:ascii="宋体" w:cs="宋体"/>
          <w:sz w:val="32"/>
          <w:szCs w:val="32"/>
        </w:rPr>
      </w:pPr>
      <w:r>
        <w:rPr>
          <w:rFonts w:hint="eastAsia" w:ascii="宋体" w:hAnsi="宋体" w:cs="宋体"/>
          <w:sz w:val="32"/>
          <w:szCs w:val="32"/>
        </w:rPr>
        <w:t>（七）起草人才工作有关目标，参与全区人才工作的指导、组织、协调和管理，承办有关人才工作。推动建立健全市场化、社会化的人才管理服务体系。负责人事考试工作。负责人才分类评价机制推进实施，牵头推进深化职称制度改革，起草全区专业技术人员管理、继续教育和博士后管理等政策，负责相关高层次专业技术人才选拔和培养，起草吸引留学人员来曹（回国）工作或定居政策。组织起草技能人才培养、评价、使用和激励制度。完善职业资格制度，健全职业技能多元化评价政策。</w:t>
      </w:r>
    </w:p>
    <w:p w14:paraId="3760BC59">
      <w:pPr>
        <w:ind w:firstLine="640" w:firstLineChars="200"/>
        <w:rPr>
          <w:rFonts w:ascii="宋体" w:cs="宋体"/>
          <w:sz w:val="32"/>
          <w:szCs w:val="32"/>
        </w:rPr>
      </w:pPr>
      <w:r>
        <w:rPr>
          <w:rFonts w:hint="eastAsia" w:ascii="宋体" w:hAnsi="宋体" w:cs="宋体"/>
          <w:sz w:val="32"/>
          <w:szCs w:val="32"/>
        </w:rPr>
        <w:t>（八）会同有关部门组织事业单位人事制度改革，按照管理权限负责规范事业单位岗位设置、公开招聘、聘用合同等人事综合管理工作，贯彻执行国家、省、市事业单位工作人员和机关工勤人员管理政策。</w:t>
      </w:r>
    </w:p>
    <w:p w14:paraId="1F6907B3">
      <w:pPr>
        <w:ind w:firstLine="640" w:firstLineChars="200"/>
        <w:rPr>
          <w:rFonts w:ascii="宋体" w:cs="宋体"/>
          <w:sz w:val="32"/>
          <w:szCs w:val="32"/>
        </w:rPr>
      </w:pPr>
      <w:r>
        <w:rPr>
          <w:rFonts w:hint="eastAsia" w:ascii="宋体" w:hAnsi="宋体" w:cs="宋体"/>
          <w:sz w:val="32"/>
          <w:szCs w:val="32"/>
        </w:rPr>
        <w:t>（九）负责全区评比达标表扬和创建示范工作的综合管理、审核备案、监督检查。会同有关部门起草全区表扬奖励办法（不含中国共产党党内表彰、公务员奖励），组织指导区直各部门的评比达标表扬活动。负责全区功勋荣誉表扬奖励获得者管理，起草享受待遇的相关政策。</w:t>
      </w:r>
    </w:p>
    <w:p w14:paraId="64BEE2F8">
      <w:pPr>
        <w:ind w:firstLine="640" w:firstLineChars="200"/>
        <w:rPr>
          <w:rFonts w:ascii="宋体" w:cs="宋体"/>
          <w:sz w:val="32"/>
          <w:szCs w:val="32"/>
        </w:rPr>
      </w:pPr>
      <w:r>
        <w:rPr>
          <w:rFonts w:hint="eastAsia" w:ascii="宋体" w:hAnsi="宋体" w:cs="宋体"/>
          <w:sz w:val="32"/>
          <w:szCs w:val="32"/>
        </w:rPr>
        <w:t>（十）贯彻执行上级事业单位人员工资收入分配政策。建立全区企事业单位人员工资决定、正常增长和支付保障机制。贯彻执行企事业单位人员福利和离退休政策，并负责组织实施和监督检查。</w:t>
      </w:r>
    </w:p>
    <w:p w14:paraId="6990C3CC">
      <w:pPr>
        <w:ind w:firstLine="640" w:firstLineChars="200"/>
        <w:rPr>
          <w:rFonts w:ascii="宋体" w:cs="宋体"/>
          <w:sz w:val="32"/>
          <w:szCs w:val="32"/>
        </w:rPr>
      </w:pPr>
      <w:r>
        <w:rPr>
          <w:rFonts w:hint="eastAsia" w:ascii="宋体" w:hAnsi="宋体" w:cs="宋体"/>
          <w:sz w:val="32"/>
          <w:szCs w:val="32"/>
        </w:rPr>
        <w:t>（十一）会同有关部门起草农民工工作综合性政策和规划，推动相关政策的落实，协调解决重点难点问题，维护农民工合法权益。</w:t>
      </w:r>
    </w:p>
    <w:p w14:paraId="30ADBD07">
      <w:pPr>
        <w:ind w:firstLine="640" w:firstLineChars="200"/>
        <w:rPr>
          <w:rFonts w:ascii="宋体" w:cs="宋体"/>
          <w:sz w:val="32"/>
          <w:szCs w:val="32"/>
        </w:rPr>
      </w:pPr>
      <w:r>
        <w:rPr>
          <w:rFonts w:hint="eastAsia" w:ascii="宋体" w:hAnsi="宋体" w:cs="宋体"/>
          <w:sz w:val="32"/>
          <w:szCs w:val="32"/>
        </w:rPr>
        <w:t>（十二）负责机关及所属单位国际交流与合作。</w:t>
      </w:r>
    </w:p>
    <w:p w14:paraId="0DFB98E8">
      <w:pPr>
        <w:ind w:firstLine="640" w:firstLineChars="200"/>
        <w:rPr>
          <w:rFonts w:ascii="宋体" w:cs="宋体"/>
          <w:sz w:val="32"/>
          <w:szCs w:val="32"/>
        </w:rPr>
      </w:pPr>
      <w:r>
        <w:rPr>
          <w:rFonts w:hint="eastAsia" w:ascii="宋体" w:hAnsi="宋体" w:cs="宋体"/>
          <w:sz w:val="32"/>
          <w:szCs w:val="32"/>
        </w:rPr>
        <w:t>（十三）完成区委、区政府交办的其他任务。</w:t>
      </w:r>
    </w:p>
    <w:p w14:paraId="6A6411E8">
      <w:pPr>
        <w:autoSpaceDE w:val="0"/>
        <w:autoSpaceDN w:val="0"/>
        <w:adjustRightInd w:val="0"/>
        <w:jc w:val="left"/>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机构设置：</w:t>
      </w:r>
    </w:p>
    <w:p w14:paraId="4A08F734">
      <w:pPr>
        <w:ind w:firstLine="640" w:firstLineChars="200"/>
        <w:rPr>
          <w:rFonts w:ascii="宋体" w:cs="宋体"/>
          <w:sz w:val="32"/>
          <w:szCs w:val="32"/>
        </w:rPr>
      </w:pPr>
      <w:r>
        <w:rPr>
          <w:rFonts w:hint="eastAsia" w:ascii="宋体" w:hAnsi="宋体" w:cs="宋体"/>
          <w:sz w:val="32"/>
          <w:szCs w:val="32"/>
        </w:rPr>
        <w:t>局机关及附属单位</w:t>
      </w:r>
    </w:p>
    <w:tbl>
      <w:tblPr>
        <w:tblStyle w:val="9"/>
        <w:tblpPr w:leftFromText="180" w:rightFromText="180" w:vertAnchor="text" w:horzAnchor="page" w:tblpX="1446" w:tblpY="323"/>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8"/>
        <w:gridCol w:w="2148"/>
        <w:gridCol w:w="3544"/>
        <w:gridCol w:w="3544"/>
      </w:tblGrid>
      <w:tr w14:paraId="20C6A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8" w:type="dxa"/>
          </w:tcPr>
          <w:p w14:paraId="55DF3904">
            <w:pPr>
              <w:jc w:val="center"/>
              <w:outlineLvl w:val="0"/>
              <w:rPr>
                <w:rFonts w:ascii="??_GB2312" w:hAnsi="??_GB2312" w:cs="??_GB2312"/>
                <w:sz w:val="32"/>
                <w:szCs w:val="32"/>
              </w:rPr>
            </w:pPr>
            <w:r>
              <w:rPr>
                <w:rFonts w:hint="eastAsia" w:ascii="宋体" w:hAnsi="宋体" w:cs="宋体"/>
                <w:sz w:val="32"/>
                <w:szCs w:val="32"/>
              </w:rPr>
              <w:t>单位名称</w:t>
            </w:r>
          </w:p>
        </w:tc>
        <w:tc>
          <w:tcPr>
            <w:tcW w:w="2148" w:type="dxa"/>
          </w:tcPr>
          <w:p w14:paraId="1778656A">
            <w:pPr>
              <w:jc w:val="center"/>
              <w:outlineLvl w:val="0"/>
              <w:rPr>
                <w:rFonts w:ascii="??_GB2312" w:hAnsi="??_GB2312" w:cs="??_GB2312"/>
                <w:sz w:val="32"/>
                <w:szCs w:val="32"/>
              </w:rPr>
            </w:pPr>
            <w:r>
              <w:rPr>
                <w:rFonts w:hint="eastAsia" w:ascii="宋体" w:hAnsi="宋体" w:cs="宋体"/>
                <w:sz w:val="32"/>
                <w:szCs w:val="32"/>
              </w:rPr>
              <w:t>单位性质</w:t>
            </w:r>
          </w:p>
        </w:tc>
        <w:tc>
          <w:tcPr>
            <w:tcW w:w="3544" w:type="dxa"/>
          </w:tcPr>
          <w:p w14:paraId="0FCE1A55">
            <w:pPr>
              <w:jc w:val="center"/>
              <w:outlineLvl w:val="0"/>
              <w:rPr>
                <w:rFonts w:ascii="??_GB2312" w:hAnsi="??_GB2312" w:cs="??_GB2312"/>
                <w:sz w:val="32"/>
                <w:szCs w:val="32"/>
              </w:rPr>
            </w:pPr>
            <w:r>
              <w:rPr>
                <w:rFonts w:hint="eastAsia" w:ascii="宋体" w:hAnsi="宋体" w:cs="宋体"/>
                <w:sz w:val="32"/>
                <w:szCs w:val="32"/>
              </w:rPr>
              <w:t>单位规格</w:t>
            </w:r>
          </w:p>
        </w:tc>
        <w:tc>
          <w:tcPr>
            <w:tcW w:w="3544" w:type="dxa"/>
          </w:tcPr>
          <w:p w14:paraId="02F89BD9">
            <w:pPr>
              <w:jc w:val="center"/>
              <w:outlineLvl w:val="0"/>
              <w:rPr>
                <w:rFonts w:ascii="??_GB2312" w:hAnsi="??_GB2312" w:cs="??_GB2312"/>
                <w:sz w:val="32"/>
                <w:szCs w:val="32"/>
              </w:rPr>
            </w:pPr>
            <w:r>
              <w:rPr>
                <w:rFonts w:hint="eastAsia" w:ascii="宋体" w:hAnsi="宋体" w:cs="宋体"/>
                <w:sz w:val="32"/>
                <w:szCs w:val="32"/>
              </w:rPr>
              <w:t>经费保障形式</w:t>
            </w:r>
          </w:p>
        </w:tc>
      </w:tr>
      <w:tr w14:paraId="24FAC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4938" w:type="dxa"/>
            <w:vAlign w:val="center"/>
          </w:tcPr>
          <w:p w14:paraId="194D734D">
            <w:pPr>
              <w:jc w:val="center"/>
              <w:outlineLvl w:val="0"/>
              <w:rPr>
                <w:rFonts w:ascii="??_GB2312" w:hAnsi="??_GB2312" w:cs="??_GB2312"/>
                <w:sz w:val="32"/>
                <w:szCs w:val="32"/>
              </w:rPr>
            </w:pPr>
            <w:r>
              <w:rPr>
                <w:rFonts w:hint="eastAsia" w:ascii="宋体" w:hAnsi="宋体" w:cs="宋体"/>
                <w:sz w:val="32"/>
                <w:szCs w:val="32"/>
              </w:rPr>
              <w:t>唐山市曹妃甸区人力资源和社会保障局</w:t>
            </w:r>
          </w:p>
        </w:tc>
        <w:tc>
          <w:tcPr>
            <w:tcW w:w="2148" w:type="dxa"/>
            <w:vAlign w:val="center"/>
          </w:tcPr>
          <w:p w14:paraId="59150D1E">
            <w:pPr>
              <w:spacing w:line="300" w:lineRule="exact"/>
              <w:jc w:val="center"/>
              <w:rPr>
                <w:rFonts w:ascii="??_GB2312" w:hAnsi="??_GB2312" w:cs="??_GB2312"/>
                <w:sz w:val="32"/>
                <w:szCs w:val="32"/>
              </w:rPr>
            </w:pPr>
            <w:r>
              <w:rPr>
                <w:rFonts w:hint="eastAsia" w:ascii="宋体" w:hAnsi="宋体" w:cs="宋体"/>
                <w:sz w:val="32"/>
                <w:szCs w:val="32"/>
              </w:rPr>
              <w:t>行政</w:t>
            </w:r>
          </w:p>
        </w:tc>
        <w:tc>
          <w:tcPr>
            <w:tcW w:w="3544" w:type="dxa"/>
            <w:vAlign w:val="center"/>
          </w:tcPr>
          <w:p w14:paraId="619CE7D4">
            <w:pPr>
              <w:jc w:val="center"/>
              <w:outlineLvl w:val="0"/>
              <w:rPr>
                <w:rFonts w:ascii="??_GB2312" w:hAnsi="??_GB2312" w:cs="??_GB2312"/>
                <w:sz w:val="32"/>
                <w:szCs w:val="32"/>
              </w:rPr>
            </w:pPr>
            <w:r>
              <w:rPr>
                <w:rFonts w:hint="eastAsia" w:ascii="宋体" w:hAnsi="宋体" w:cs="宋体"/>
                <w:sz w:val="32"/>
                <w:szCs w:val="32"/>
              </w:rPr>
              <w:t>正科级</w:t>
            </w:r>
          </w:p>
        </w:tc>
        <w:tc>
          <w:tcPr>
            <w:tcW w:w="3544" w:type="dxa"/>
            <w:vAlign w:val="center"/>
          </w:tcPr>
          <w:p w14:paraId="0278C970">
            <w:pPr>
              <w:jc w:val="center"/>
              <w:outlineLvl w:val="0"/>
              <w:rPr>
                <w:rFonts w:ascii="??_GB2312" w:hAnsi="??_GB2312" w:cs="??_GB2312"/>
                <w:sz w:val="32"/>
                <w:szCs w:val="32"/>
              </w:rPr>
            </w:pPr>
            <w:r>
              <w:rPr>
                <w:rFonts w:hint="eastAsia" w:ascii="宋体" w:hAnsi="宋体" w:cs="宋体"/>
                <w:sz w:val="32"/>
                <w:szCs w:val="32"/>
              </w:rPr>
              <w:t>财政拨款</w:t>
            </w:r>
          </w:p>
        </w:tc>
      </w:tr>
      <w:tr w14:paraId="6F68C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4938" w:type="dxa"/>
            <w:vAlign w:val="center"/>
          </w:tcPr>
          <w:p w14:paraId="38495BE1">
            <w:pPr>
              <w:jc w:val="center"/>
              <w:outlineLvl w:val="0"/>
              <w:rPr>
                <w:rFonts w:ascii="宋体" w:cs="宋体"/>
                <w:sz w:val="32"/>
                <w:szCs w:val="32"/>
              </w:rPr>
            </w:pPr>
            <w:r>
              <w:rPr>
                <w:rFonts w:hint="eastAsia" w:ascii="宋体" w:hAnsi="宋体" w:cs="宋体"/>
                <w:sz w:val="32"/>
                <w:szCs w:val="32"/>
              </w:rPr>
              <w:t>唐山市曹妃甸区就业服务中心</w:t>
            </w:r>
          </w:p>
        </w:tc>
        <w:tc>
          <w:tcPr>
            <w:tcW w:w="2148" w:type="dxa"/>
            <w:vAlign w:val="center"/>
          </w:tcPr>
          <w:p w14:paraId="13B34A92">
            <w:pPr>
              <w:jc w:val="center"/>
              <w:rPr>
                <w:rFonts w:ascii="宋体" w:cs="宋体"/>
                <w:sz w:val="32"/>
                <w:szCs w:val="32"/>
              </w:rPr>
            </w:pPr>
            <w:r>
              <w:rPr>
                <w:rFonts w:hint="eastAsia" w:ascii="宋体" w:hAnsi="宋体" w:cs="宋体"/>
                <w:sz w:val="32"/>
                <w:szCs w:val="32"/>
              </w:rPr>
              <w:t>事业</w:t>
            </w:r>
          </w:p>
        </w:tc>
        <w:tc>
          <w:tcPr>
            <w:tcW w:w="3544" w:type="dxa"/>
            <w:vAlign w:val="center"/>
          </w:tcPr>
          <w:p w14:paraId="7EF5ED1E">
            <w:pPr>
              <w:jc w:val="center"/>
              <w:outlineLvl w:val="0"/>
              <w:rPr>
                <w:rFonts w:ascii="宋体" w:cs="宋体"/>
                <w:sz w:val="32"/>
                <w:szCs w:val="32"/>
              </w:rPr>
            </w:pPr>
            <w:r>
              <w:rPr>
                <w:rFonts w:hint="eastAsia" w:ascii="宋体" w:hAnsi="宋体" w:cs="宋体"/>
                <w:sz w:val="32"/>
                <w:szCs w:val="32"/>
              </w:rPr>
              <w:t>正科级</w:t>
            </w:r>
          </w:p>
        </w:tc>
        <w:tc>
          <w:tcPr>
            <w:tcW w:w="3544" w:type="dxa"/>
            <w:vAlign w:val="center"/>
          </w:tcPr>
          <w:p w14:paraId="15F02A22">
            <w:pPr>
              <w:spacing w:line="300" w:lineRule="exact"/>
              <w:jc w:val="center"/>
              <w:rPr>
                <w:rFonts w:ascii="宋体" w:cs="宋体"/>
                <w:sz w:val="30"/>
                <w:szCs w:val="30"/>
              </w:rPr>
            </w:pPr>
            <w:r>
              <w:rPr>
                <w:rFonts w:hint="eastAsia" w:ascii="宋体" w:hAnsi="宋体" w:cs="宋体"/>
                <w:sz w:val="30"/>
                <w:szCs w:val="30"/>
              </w:rPr>
              <w:t>财政性资金基本保证经费的事业单位</w:t>
            </w:r>
          </w:p>
        </w:tc>
      </w:tr>
      <w:tr w14:paraId="30E91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4938" w:type="dxa"/>
            <w:vAlign w:val="center"/>
          </w:tcPr>
          <w:p w14:paraId="559CAB12">
            <w:pPr>
              <w:jc w:val="center"/>
              <w:outlineLvl w:val="0"/>
              <w:rPr>
                <w:rFonts w:ascii="宋体" w:cs="宋体"/>
                <w:sz w:val="32"/>
                <w:szCs w:val="32"/>
              </w:rPr>
            </w:pPr>
            <w:r>
              <w:rPr>
                <w:rFonts w:hint="eastAsia" w:ascii="宋体" w:hAnsi="宋体" w:cs="宋体"/>
                <w:sz w:val="32"/>
                <w:szCs w:val="32"/>
              </w:rPr>
              <w:t>唐山市曹妃甸区社会保险中心</w:t>
            </w:r>
          </w:p>
        </w:tc>
        <w:tc>
          <w:tcPr>
            <w:tcW w:w="2148" w:type="dxa"/>
            <w:vAlign w:val="center"/>
          </w:tcPr>
          <w:p w14:paraId="19253714">
            <w:pPr>
              <w:jc w:val="center"/>
              <w:rPr>
                <w:rFonts w:ascii="宋体" w:cs="宋体"/>
                <w:sz w:val="32"/>
                <w:szCs w:val="32"/>
              </w:rPr>
            </w:pPr>
            <w:r>
              <w:rPr>
                <w:rFonts w:hint="eastAsia" w:ascii="宋体" w:hAnsi="宋体" w:cs="宋体"/>
                <w:sz w:val="32"/>
                <w:szCs w:val="32"/>
              </w:rPr>
              <w:t>事业</w:t>
            </w:r>
          </w:p>
        </w:tc>
        <w:tc>
          <w:tcPr>
            <w:tcW w:w="3544" w:type="dxa"/>
            <w:vAlign w:val="center"/>
          </w:tcPr>
          <w:p w14:paraId="11A5ED83">
            <w:pPr>
              <w:jc w:val="center"/>
              <w:outlineLvl w:val="0"/>
              <w:rPr>
                <w:rFonts w:ascii="宋体" w:cs="宋体"/>
                <w:sz w:val="32"/>
                <w:szCs w:val="32"/>
              </w:rPr>
            </w:pPr>
            <w:r>
              <w:rPr>
                <w:rFonts w:hint="eastAsia" w:ascii="宋体" w:hAnsi="宋体" w:cs="宋体"/>
                <w:sz w:val="32"/>
                <w:szCs w:val="32"/>
              </w:rPr>
              <w:t>副科级</w:t>
            </w:r>
          </w:p>
        </w:tc>
        <w:tc>
          <w:tcPr>
            <w:tcW w:w="3544" w:type="dxa"/>
            <w:vAlign w:val="center"/>
          </w:tcPr>
          <w:p w14:paraId="14257BF9">
            <w:pPr>
              <w:spacing w:line="300" w:lineRule="exact"/>
              <w:jc w:val="center"/>
              <w:rPr>
                <w:rFonts w:ascii="宋体" w:cs="宋体"/>
                <w:sz w:val="30"/>
                <w:szCs w:val="30"/>
              </w:rPr>
            </w:pPr>
            <w:r>
              <w:rPr>
                <w:rFonts w:hint="eastAsia" w:ascii="宋体" w:hAnsi="宋体" w:cs="宋体"/>
                <w:sz w:val="30"/>
                <w:szCs w:val="30"/>
              </w:rPr>
              <w:t>财政性资金基本保证经费的事业单位</w:t>
            </w:r>
          </w:p>
        </w:tc>
      </w:tr>
    </w:tbl>
    <w:p w14:paraId="008719C4">
      <w:pPr>
        <w:ind w:firstLine="640" w:firstLineChars="200"/>
        <w:rPr>
          <w:rFonts w:ascii="宋体" w:cs="宋体"/>
          <w:sz w:val="32"/>
          <w:szCs w:val="32"/>
        </w:rPr>
      </w:pPr>
      <w:r>
        <w:rPr>
          <w:rFonts w:hint="eastAsia" w:ascii="宋体" w:hAnsi="宋体" w:cs="宋体"/>
          <w:sz w:val="32"/>
          <w:szCs w:val="32"/>
        </w:rPr>
        <w:t>内设机构</w:t>
      </w:r>
    </w:p>
    <w:p w14:paraId="1D15EE0F">
      <w:pPr>
        <w:ind w:firstLine="640" w:firstLineChars="200"/>
        <w:rPr>
          <w:rFonts w:ascii="宋体" w:cs="宋体"/>
          <w:sz w:val="32"/>
          <w:szCs w:val="32"/>
        </w:rPr>
      </w:pPr>
      <w:r>
        <w:rPr>
          <w:rFonts w:hint="eastAsia" w:ascii="宋体" w:hAnsi="宋体" w:cs="宋体"/>
          <w:sz w:val="32"/>
          <w:szCs w:val="32"/>
        </w:rPr>
        <w:t>曹妃甸区人力资源和社会保障局设</w:t>
      </w:r>
      <w:r>
        <w:rPr>
          <w:rFonts w:ascii="宋体" w:hAnsi="宋体" w:cs="宋体"/>
          <w:sz w:val="32"/>
          <w:szCs w:val="32"/>
        </w:rPr>
        <w:t>5</w:t>
      </w:r>
      <w:r>
        <w:rPr>
          <w:rFonts w:hint="eastAsia" w:ascii="宋体" w:hAnsi="宋体" w:cs="宋体"/>
          <w:sz w:val="32"/>
          <w:szCs w:val="32"/>
        </w:rPr>
        <w:t>个内设行政机构，机构级别均为副科级，并设</w:t>
      </w:r>
      <w:r>
        <w:rPr>
          <w:rFonts w:ascii="宋体" w:hAnsi="宋体" w:cs="宋体"/>
          <w:sz w:val="32"/>
          <w:szCs w:val="32"/>
        </w:rPr>
        <w:t>6</w:t>
      </w:r>
      <w:r>
        <w:rPr>
          <w:rFonts w:hint="eastAsia" w:ascii="宋体" w:hAnsi="宋体" w:cs="宋体"/>
          <w:sz w:val="32"/>
          <w:szCs w:val="32"/>
        </w:rPr>
        <w:t>个内设事业机构，机构级别后附。</w:t>
      </w:r>
    </w:p>
    <w:p w14:paraId="659873B2">
      <w:pPr>
        <w:ind w:firstLine="640" w:firstLineChars="200"/>
        <w:rPr>
          <w:rFonts w:ascii="宋体" w:cs="宋体"/>
          <w:sz w:val="32"/>
          <w:szCs w:val="32"/>
        </w:rPr>
      </w:pPr>
      <w:r>
        <w:rPr>
          <w:rFonts w:hint="eastAsia" w:ascii="宋体" w:hAnsi="宋体" w:cs="宋体"/>
          <w:sz w:val="32"/>
          <w:szCs w:val="32"/>
        </w:rPr>
        <w:t>行政机构：</w:t>
      </w:r>
    </w:p>
    <w:p w14:paraId="6BA0DBBB">
      <w:pPr>
        <w:ind w:firstLine="640" w:firstLineChars="200"/>
        <w:rPr>
          <w:rFonts w:ascii="宋体" w:cs="宋体"/>
          <w:sz w:val="32"/>
          <w:szCs w:val="32"/>
        </w:rPr>
      </w:pPr>
      <w:r>
        <w:rPr>
          <w:rFonts w:hint="eastAsia" w:ascii="宋体" w:hAnsi="宋体" w:cs="宋体"/>
          <w:sz w:val="32"/>
          <w:szCs w:val="32"/>
        </w:rPr>
        <w:t>（一）办公室</w:t>
      </w:r>
    </w:p>
    <w:p w14:paraId="38621049">
      <w:pPr>
        <w:ind w:firstLine="640" w:firstLineChars="200"/>
        <w:rPr>
          <w:rFonts w:ascii="宋体" w:cs="宋体"/>
          <w:sz w:val="32"/>
          <w:szCs w:val="32"/>
        </w:rPr>
      </w:pPr>
      <w:r>
        <w:rPr>
          <w:rFonts w:hint="eastAsia" w:ascii="宋体" w:hAnsi="宋体" w:cs="宋体"/>
          <w:sz w:val="32"/>
          <w:szCs w:val="32"/>
        </w:rPr>
        <w:t>（二）事业单位人事管理科（职称改革领导小组办公室）</w:t>
      </w:r>
    </w:p>
    <w:p w14:paraId="76F674BF">
      <w:pPr>
        <w:ind w:firstLine="640" w:firstLineChars="200"/>
        <w:rPr>
          <w:rFonts w:ascii="宋体" w:cs="宋体"/>
          <w:sz w:val="32"/>
          <w:szCs w:val="32"/>
        </w:rPr>
      </w:pPr>
      <w:r>
        <w:rPr>
          <w:rFonts w:hint="eastAsia" w:ascii="宋体" w:hAnsi="宋体" w:cs="宋体"/>
          <w:sz w:val="32"/>
          <w:szCs w:val="32"/>
        </w:rPr>
        <w:t>（三）就业促进与劳动关系科（信访办）</w:t>
      </w:r>
    </w:p>
    <w:p w14:paraId="58D53B29">
      <w:pPr>
        <w:ind w:firstLine="640" w:firstLineChars="200"/>
        <w:rPr>
          <w:rFonts w:ascii="宋体" w:cs="宋体"/>
          <w:sz w:val="32"/>
          <w:szCs w:val="32"/>
        </w:rPr>
      </w:pPr>
      <w:r>
        <w:rPr>
          <w:rFonts w:hint="eastAsia" w:ascii="宋体" w:hAnsi="宋体" w:cs="宋体"/>
          <w:sz w:val="32"/>
          <w:szCs w:val="32"/>
        </w:rPr>
        <w:t>（四）工资福利科与社会保险科</w:t>
      </w:r>
    </w:p>
    <w:p w14:paraId="4FCC99A9">
      <w:pPr>
        <w:ind w:firstLine="640" w:firstLineChars="200"/>
        <w:rPr>
          <w:rFonts w:ascii="宋体" w:cs="宋体"/>
          <w:sz w:val="32"/>
          <w:szCs w:val="32"/>
        </w:rPr>
      </w:pPr>
      <w:r>
        <w:rPr>
          <w:rFonts w:hint="eastAsia" w:ascii="宋体" w:hAnsi="宋体" w:cs="宋体"/>
          <w:sz w:val="32"/>
          <w:szCs w:val="32"/>
        </w:rPr>
        <w:t>（五）社保基金监管与规划财务科</w:t>
      </w:r>
    </w:p>
    <w:p w14:paraId="2613E579">
      <w:pPr>
        <w:ind w:firstLine="640" w:firstLineChars="200"/>
        <w:rPr>
          <w:rFonts w:ascii="宋体" w:cs="宋体"/>
          <w:sz w:val="32"/>
          <w:szCs w:val="32"/>
        </w:rPr>
      </w:pPr>
      <w:r>
        <w:rPr>
          <w:rFonts w:hint="eastAsia" w:ascii="宋体" w:hAnsi="宋体" w:cs="宋体"/>
          <w:sz w:val="32"/>
          <w:szCs w:val="32"/>
        </w:rPr>
        <w:t>事业机构：</w:t>
      </w:r>
    </w:p>
    <w:p w14:paraId="703ACE20">
      <w:pPr>
        <w:ind w:firstLine="640" w:firstLineChars="200"/>
        <w:rPr>
          <w:rFonts w:ascii="宋体" w:cs="宋体"/>
          <w:sz w:val="32"/>
          <w:szCs w:val="32"/>
        </w:rPr>
      </w:pPr>
      <w:r>
        <w:rPr>
          <w:rFonts w:hint="eastAsia" w:ascii="宋体" w:hAnsi="宋体" w:cs="宋体"/>
          <w:sz w:val="32"/>
          <w:szCs w:val="32"/>
        </w:rPr>
        <w:t>（一）唐山市曹妃甸区社会保险中心（副科级）</w:t>
      </w:r>
    </w:p>
    <w:p w14:paraId="2F1B6F5D">
      <w:pPr>
        <w:ind w:firstLine="640" w:firstLineChars="200"/>
        <w:rPr>
          <w:rFonts w:ascii="宋体" w:cs="宋体"/>
          <w:sz w:val="32"/>
          <w:szCs w:val="32"/>
        </w:rPr>
      </w:pPr>
      <w:r>
        <w:rPr>
          <w:rFonts w:hint="eastAsia" w:ascii="宋体" w:hAnsi="宋体" w:cs="宋体"/>
          <w:sz w:val="32"/>
          <w:szCs w:val="32"/>
        </w:rPr>
        <w:t>（二）唐山市曹妃甸区就业服务中心（正科级）</w:t>
      </w:r>
    </w:p>
    <w:p w14:paraId="155E1833">
      <w:pPr>
        <w:ind w:firstLine="640" w:firstLineChars="200"/>
        <w:rPr>
          <w:rFonts w:ascii="宋体" w:cs="宋体"/>
          <w:sz w:val="32"/>
          <w:szCs w:val="32"/>
        </w:rPr>
      </w:pPr>
      <w:r>
        <w:rPr>
          <w:rFonts w:hint="eastAsia" w:ascii="宋体" w:hAnsi="宋体" w:cs="宋体"/>
          <w:sz w:val="32"/>
          <w:szCs w:val="32"/>
        </w:rPr>
        <w:t>（三）唐山市曹妃甸区人才交流中心（股级）</w:t>
      </w:r>
    </w:p>
    <w:p w14:paraId="0053FF2A">
      <w:pPr>
        <w:ind w:firstLine="640" w:firstLineChars="200"/>
        <w:rPr>
          <w:rFonts w:ascii="宋体" w:cs="宋体"/>
          <w:sz w:val="32"/>
          <w:szCs w:val="32"/>
        </w:rPr>
      </w:pPr>
      <w:r>
        <w:rPr>
          <w:rFonts w:hint="eastAsia" w:ascii="宋体" w:hAnsi="宋体" w:cs="宋体"/>
          <w:sz w:val="32"/>
          <w:szCs w:val="32"/>
        </w:rPr>
        <w:t>（四）唐山市曹妃甸区劳动人事争议仲裁院（副科级）</w:t>
      </w:r>
    </w:p>
    <w:p w14:paraId="488781E7">
      <w:pPr>
        <w:ind w:firstLine="640" w:firstLineChars="200"/>
        <w:rPr>
          <w:rFonts w:ascii="宋体" w:cs="宋体"/>
          <w:sz w:val="32"/>
          <w:szCs w:val="32"/>
        </w:rPr>
      </w:pPr>
      <w:r>
        <w:rPr>
          <w:rFonts w:hint="eastAsia" w:ascii="宋体" w:hAnsi="宋体" w:cs="宋体"/>
          <w:sz w:val="32"/>
          <w:szCs w:val="32"/>
        </w:rPr>
        <w:t>（五）唐山市曹妃甸区劳动监察第一大队（股级）</w:t>
      </w:r>
    </w:p>
    <w:p w14:paraId="79CED6DA">
      <w:pPr>
        <w:ind w:firstLine="640" w:firstLineChars="200"/>
        <w:rPr>
          <w:rFonts w:ascii="宋体" w:cs="宋体"/>
          <w:sz w:val="32"/>
          <w:szCs w:val="32"/>
        </w:rPr>
      </w:pPr>
      <w:r>
        <w:rPr>
          <w:rFonts w:hint="eastAsia" w:ascii="宋体" w:hAnsi="宋体" w:cs="宋体"/>
          <w:sz w:val="32"/>
          <w:szCs w:val="32"/>
        </w:rPr>
        <w:t>（六）唐山市曹妃甸区劳动监察第二大队（副科级）</w:t>
      </w:r>
    </w:p>
    <w:p w14:paraId="099025CA">
      <w:pPr>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14:paraId="0AFDD7EC">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、收入说明</w:t>
      </w:r>
    </w:p>
    <w:p w14:paraId="466A7A76">
      <w:pPr>
        <w:ind w:firstLine="640" w:firstLineChars="200"/>
        <w:rPr>
          <w:rFonts w:ascii="Times New Roman" w:hAnsi="Times New Roman" w:eastAsia="方正仿宋_GBK" w:cs="Times New Roman"/>
          <w:sz w:val="32"/>
          <w:szCs w:val="32"/>
        </w:rPr>
      </w:pPr>
      <w:r>
        <w:rPr>
          <w:rFonts w:hint="eastAsia" w:ascii="宋体" w:hAnsi="宋体" w:cs="宋体"/>
          <w:sz w:val="32"/>
          <w:szCs w:val="32"/>
        </w:rPr>
        <w:t>本部门当年全部收入，</w:t>
      </w:r>
      <w:r>
        <w:rPr>
          <w:rFonts w:ascii="??_GB2312" w:hAnsi="??_GB2312" w:cs="??_GB2312"/>
          <w:sz w:val="32"/>
          <w:szCs w:val="32"/>
        </w:rPr>
        <w:t>2022</w:t>
      </w:r>
      <w:r>
        <w:rPr>
          <w:rFonts w:hint="eastAsia" w:ascii="宋体" w:hAnsi="宋体" w:cs="宋体"/>
          <w:sz w:val="32"/>
          <w:szCs w:val="32"/>
        </w:rPr>
        <w:t>年预算收入</w:t>
      </w:r>
      <w:r>
        <w:rPr>
          <w:rFonts w:ascii="??_GB2312" w:hAnsi="??_GB2312" w:cs="??_GB2312"/>
          <w:sz w:val="32"/>
          <w:szCs w:val="32"/>
        </w:rPr>
        <w:t>16,092.26</w:t>
      </w:r>
      <w:r>
        <w:rPr>
          <w:rFonts w:hint="eastAsia" w:ascii="宋体" w:hAnsi="宋体" w:cs="宋体"/>
          <w:sz w:val="32"/>
          <w:szCs w:val="32"/>
        </w:rPr>
        <w:t>万元。其中：一般公共预算收入</w:t>
      </w:r>
      <w:r>
        <w:rPr>
          <w:rFonts w:ascii="??_GB2312" w:hAnsi="??_GB2312" w:cs="??_GB2312"/>
          <w:sz w:val="32"/>
          <w:szCs w:val="32"/>
        </w:rPr>
        <w:t>16,092.26</w:t>
      </w:r>
      <w:r>
        <w:rPr>
          <w:rFonts w:hint="eastAsia" w:ascii="宋体" w:hAnsi="宋体" w:cs="宋体"/>
          <w:sz w:val="32"/>
          <w:szCs w:val="32"/>
        </w:rPr>
        <w:t>万元，基金预算收入</w:t>
      </w:r>
      <w:r>
        <w:rPr>
          <w:rFonts w:ascii="宋体" w:cs="宋体"/>
          <w:sz w:val="32"/>
          <w:szCs w:val="32"/>
        </w:rPr>
        <w:t>0</w:t>
      </w:r>
      <w:r>
        <w:rPr>
          <w:rFonts w:hint="eastAsia" w:ascii="宋体" w:hAnsi="宋体" w:cs="宋体"/>
          <w:sz w:val="32"/>
          <w:szCs w:val="32"/>
        </w:rPr>
        <w:t>万元，财政专户核拨收入</w:t>
      </w:r>
      <w:r>
        <w:rPr>
          <w:rFonts w:ascii="??_GB2312" w:hAnsi="??_GB2312" w:cs="??_GB2312"/>
          <w:sz w:val="32"/>
          <w:szCs w:val="32"/>
        </w:rPr>
        <w:t>0</w:t>
      </w:r>
      <w:r>
        <w:rPr>
          <w:rFonts w:hint="eastAsia" w:ascii="宋体" w:hAnsi="宋体" w:cs="宋体"/>
          <w:sz w:val="32"/>
          <w:szCs w:val="32"/>
        </w:rPr>
        <w:t>万元，其他来源收入</w:t>
      </w:r>
      <w:r>
        <w:rPr>
          <w:rFonts w:ascii="宋体" w:cs="宋体"/>
          <w:sz w:val="32"/>
          <w:szCs w:val="32"/>
        </w:rPr>
        <w:t>0</w:t>
      </w:r>
      <w:r>
        <w:rPr>
          <w:rFonts w:hint="eastAsia" w:ascii="宋体" w:hAnsi="宋体" w:cs="宋体"/>
          <w:sz w:val="32"/>
          <w:szCs w:val="32"/>
        </w:rPr>
        <w:t>万元。</w:t>
      </w:r>
    </w:p>
    <w:p w14:paraId="0BE99734">
      <w:pPr>
        <w:numPr>
          <w:ilvl w:val="0"/>
          <w:numId w:val="2"/>
        </w:num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支出说明</w:t>
      </w:r>
    </w:p>
    <w:p w14:paraId="2A430EFF">
      <w:pPr>
        <w:ind w:firstLine="640" w:firstLineChars="200"/>
        <w:rPr>
          <w:rFonts w:ascii="Arial" w:hAnsi="Arial" w:cs="Arial"/>
          <w:kern w:val="0"/>
          <w:szCs w:val="21"/>
        </w:rPr>
      </w:pPr>
      <w:r>
        <w:rPr>
          <w:rFonts w:hint="eastAsia" w:ascii="宋体" w:hAnsi="宋体" w:cs="宋体"/>
          <w:sz w:val="32"/>
          <w:szCs w:val="32"/>
        </w:rPr>
        <w:t>收支预算总表支出栏、基本支出表、项目支出表按经济分类和支出功能分类科目编制，反映唐山市曹妃甸区人力资源和社会保障局年度部门预算中支出预算的总体情况。</w:t>
      </w:r>
      <w:r>
        <w:rPr>
          <w:rFonts w:ascii="??_GB2312" w:hAnsi="??_GB2312" w:cs="??_GB2312"/>
          <w:sz w:val="32"/>
          <w:szCs w:val="32"/>
        </w:rPr>
        <w:t>2022</w:t>
      </w:r>
      <w:r>
        <w:rPr>
          <w:rFonts w:hint="eastAsia" w:ascii="宋体" w:hAnsi="宋体" w:cs="宋体"/>
          <w:sz w:val="32"/>
          <w:szCs w:val="32"/>
        </w:rPr>
        <w:t>年部门支出预算为</w:t>
      </w:r>
      <w:r>
        <w:rPr>
          <w:rFonts w:ascii="??_GB2312" w:hAnsi="??_GB2312" w:cs="??_GB2312"/>
          <w:sz w:val="32"/>
          <w:szCs w:val="32"/>
        </w:rPr>
        <w:t>16,092.26</w:t>
      </w:r>
      <w:r>
        <w:rPr>
          <w:rFonts w:hint="eastAsia" w:ascii="宋体" w:hAnsi="宋体" w:cs="宋体"/>
          <w:sz w:val="32"/>
          <w:szCs w:val="32"/>
        </w:rPr>
        <w:t>万元，其中基本支出</w:t>
      </w:r>
      <w:r>
        <w:rPr>
          <w:rFonts w:ascii="??_GB2312" w:hAnsi="??_GB2312" w:cs="??_GB2312"/>
          <w:sz w:val="32"/>
          <w:szCs w:val="32"/>
        </w:rPr>
        <w:t>1,471.06</w:t>
      </w:r>
      <w:r>
        <w:rPr>
          <w:rFonts w:hint="eastAsia" w:ascii="宋体" w:hAnsi="宋体" w:cs="宋体"/>
          <w:sz w:val="32"/>
          <w:szCs w:val="32"/>
        </w:rPr>
        <w:t>万元，包括人员经费</w:t>
      </w:r>
      <w:r>
        <w:rPr>
          <w:rFonts w:ascii="??_GB2312" w:hAnsi="??_GB2312" w:cs="??_GB2312"/>
          <w:sz w:val="32"/>
          <w:szCs w:val="32"/>
        </w:rPr>
        <w:t>1,344.22</w:t>
      </w:r>
      <w:r>
        <w:rPr>
          <w:rFonts w:hint="eastAsia" w:ascii="宋体" w:hAnsi="宋体" w:cs="宋体"/>
          <w:sz w:val="32"/>
          <w:szCs w:val="32"/>
        </w:rPr>
        <w:t>元和公用经费</w:t>
      </w:r>
      <w:r>
        <w:rPr>
          <w:rFonts w:ascii="??_GB2312" w:hAnsi="??_GB2312" w:cs="??_GB2312"/>
          <w:sz w:val="32"/>
          <w:szCs w:val="32"/>
        </w:rPr>
        <w:t>126.84</w:t>
      </w:r>
      <w:r>
        <w:rPr>
          <w:rFonts w:hint="eastAsia" w:ascii="宋体" w:hAnsi="宋体" w:cs="宋体"/>
          <w:sz w:val="32"/>
          <w:szCs w:val="32"/>
        </w:rPr>
        <w:t>万元；项目支出</w:t>
      </w:r>
      <w:r>
        <w:rPr>
          <w:rFonts w:ascii="??_GB2312" w:hAnsi="??_GB2312" w:cs="??_GB2312"/>
          <w:sz w:val="32"/>
          <w:szCs w:val="32"/>
        </w:rPr>
        <w:t>14,621.20</w:t>
      </w:r>
      <w:r>
        <w:rPr>
          <w:rFonts w:hint="eastAsia" w:ascii="宋体" w:hAnsi="宋体" w:cs="宋体"/>
          <w:sz w:val="32"/>
          <w:szCs w:val="32"/>
        </w:rPr>
        <w:t>万元，全部为本级支出。</w:t>
      </w:r>
    </w:p>
    <w:p w14:paraId="56CC4B45">
      <w:pPr>
        <w:numPr>
          <w:ilvl w:val="0"/>
          <w:numId w:val="2"/>
        </w:num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比上年增减情况</w:t>
      </w:r>
    </w:p>
    <w:p w14:paraId="19E95A9B">
      <w:pPr>
        <w:rPr>
          <w:rFonts w:ascii="??_GB2312" w:hAnsi="??_GB2312" w:cs="??_GB2312"/>
          <w:sz w:val="32"/>
          <w:szCs w:val="32"/>
        </w:rPr>
      </w:pPr>
      <w:r>
        <w:rPr>
          <w:rFonts w:ascii="??_GB2312" w:hAnsi="??_GB2312" w:cs="??_GB2312"/>
          <w:sz w:val="32"/>
          <w:szCs w:val="32"/>
        </w:rPr>
        <w:t xml:space="preserve">    2022</w:t>
      </w:r>
      <w:r>
        <w:rPr>
          <w:rFonts w:hint="eastAsia" w:ascii="宋体" w:hAnsi="宋体" w:cs="宋体"/>
          <w:sz w:val="32"/>
          <w:szCs w:val="32"/>
        </w:rPr>
        <w:t>年部门预算较</w:t>
      </w:r>
      <w:r>
        <w:rPr>
          <w:rFonts w:ascii="??_GB2312" w:hAnsi="??_GB2312" w:cs="??_GB2312"/>
          <w:sz w:val="32"/>
          <w:szCs w:val="32"/>
        </w:rPr>
        <w:t>2021</w:t>
      </w:r>
      <w:r>
        <w:rPr>
          <w:rFonts w:hint="eastAsia" w:ascii="宋体" w:hAnsi="宋体" w:cs="宋体"/>
          <w:sz w:val="32"/>
          <w:szCs w:val="32"/>
        </w:rPr>
        <w:t>年</w:t>
      </w:r>
      <w:r>
        <w:rPr>
          <w:rFonts w:ascii="宋体" w:hAnsi="宋体" w:cs="宋体"/>
          <w:sz w:val="32"/>
          <w:szCs w:val="32"/>
        </w:rPr>
        <w:t>(</w:t>
      </w:r>
      <w:r>
        <w:rPr>
          <w:rFonts w:ascii="??_GB2312" w:hAnsi="??_GB2312" w:cs="??_GB2312"/>
          <w:sz w:val="32"/>
          <w:szCs w:val="32"/>
        </w:rPr>
        <w:t>16,991.57</w:t>
      </w:r>
      <w:r>
        <w:rPr>
          <w:rFonts w:hint="eastAsia" w:ascii="Arial" w:hAnsi="Arial" w:cs="Arial"/>
          <w:kern w:val="0"/>
          <w:sz w:val="32"/>
          <w:szCs w:val="32"/>
        </w:rPr>
        <w:t>万元，</w:t>
      </w:r>
      <w:r>
        <w:rPr>
          <w:rFonts w:hint="eastAsia" w:ascii="宋体" w:hAnsi="宋体" w:cs="宋体"/>
          <w:sz w:val="32"/>
          <w:szCs w:val="32"/>
        </w:rPr>
        <w:t>其中基本支出</w:t>
      </w:r>
      <w:r>
        <w:rPr>
          <w:rFonts w:ascii="宋体" w:hAnsi="宋体" w:cs="宋体"/>
          <w:sz w:val="32"/>
          <w:szCs w:val="32"/>
        </w:rPr>
        <w:t>1</w:t>
      </w:r>
      <w:r>
        <w:rPr>
          <w:rFonts w:ascii="宋体" w:cs="宋体"/>
          <w:sz w:val="32"/>
          <w:szCs w:val="32"/>
        </w:rPr>
        <w:t>,</w:t>
      </w:r>
      <w:r>
        <w:rPr>
          <w:rFonts w:ascii="宋体" w:hAnsi="宋体" w:cs="宋体"/>
          <w:sz w:val="32"/>
          <w:szCs w:val="32"/>
        </w:rPr>
        <w:t>479.46</w:t>
      </w:r>
      <w:r>
        <w:rPr>
          <w:rFonts w:hint="eastAsia" w:ascii="宋体" w:hAnsi="宋体" w:cs="宋体"/>
          <w:sz w:val="32"/>
          <w:szCs w:val="32"/>
        </w:rPr>
        <w:t>万元，包括人员经费</w:t>
      </w:r>
      <w:r>
        <w:rPr>
          <w:rFonts w:ascii="宋体" w:hAnsi="宋体" w:cs="宋体"/>
          <w:color w:val="000000"/>
          <w:kern w:val="0"/>
          <w:sz w:val="32"/>
          <w:szCs w:val="32"/>
        </w:rPr>
        <w:t>1</w:t>
      </w:r>
      <w:r>
        <w:rPr>
          <w:rFonts w:ascii="宋体" w:cs="宋体"/>
          <w:color w:val="000000"/>
          <w:kern w:val="0"/>
          <w:sz w:val="32"/>
          <w:szCs w:val="32"/>
        </w:rPr>
        <w:t>,</w:t>
      </w:r>
      <w:r>
        <w:rPr>
          <w:rFonts w:ascii="宋体" w:hAnsi="宋体" w:cs="宋体"/>
          <w:color w:val="000000"/>
          <w:kern w:val="0"/>
          <w:sz w:val="32"/>
          <w:szCs w:val="32"/>
        </w:rPr>
        <w:t>351.74</w:t>
      </w:r>
      <w:r>
        <w:rPr>
          <w:rFonts w:hint="eastAsia" w:ascii="宋体" w:hAnsi="宋体" w:cs="宋体"/>
          <w:sz w:val="32"/>
          <w:szCs w:val="32"/>
        </w:rPr>
        <w:t>万元和公用经费</w:t>
      </w:r>
      <w:r>
        <w:rPr>
          <w:rFonts w:ascii="宋体" w:hAnsi="宋体" w:cs="宋体"/>
          <w:color w:val="000000"/>
          <w:kern w:val="0"/>
          <w:sz w:val="32"/>
          <w:szCs w:val="32"/>
        </w:rPr>
        <w:t>127.72</w:t>
      </w:r>
      <w:r>
        <w:rPr>
          <w:rFonts w:hint="eastAsia" w:ascii="宋体" w:hAnsi="宋体" w:cs="宋体"/>
          <w:sz w:val="32"/>
          <w:szCs w:val="32"/>
        </w:rPr>
        <w:t>万元；项目支出</w:t>
      </w:r>
      <w:r>
        <w:rPr>
          <w:rFonts w:ascii="宋体" w:hAnsi="宋体" w:cs="宋体"/>
          <w:sz w:val="32"/>
          <w:szCs w:val="32"/>
        </w:rPr>
        <w:t>15</w:t>
      </w:r>
      <w:r>
        <w:rPr>
          <w:rFonts w:ascii="宋体" w:cs="宋体"/>
          <w:sz w:val="32"/>
          <w:szCs w:val="32"/>
        </w:rPr>
        <w:t>,</w:t>
      </w:r>
      <w:r>
        <w:rPr>
          <w:rFonts w:ascii="宋体" w:hAnsi="宋体" w:cs="宋体"/>
          <w:sz w:val="32"/>
          <w:szCs w:val="32"/>
        </w:rPr>
        <w:t>512.11</w:t>
      </w:r>
      <w:r>
        <w:rPr>
          <w:rFonts w:hint="eastAsia" w:ascii="宋体" w:hAnsi="宋体" w:cs="宋体"/>
          <w:sz w:val="32"/>
          <w:szCs w:val="32"/>
        </w:rPr>
        <w:t>万元，全部为本级支出。</w:t>
      </w:r>
      <w:r>
        <w:rPr>
          <w:rFonts w:ascii="宋体" w:hAnsi="宋体" w:cs="宋体"/>
          <w:sz w:val="32"/>
          <w:szCs w:val="32"/>
        </w:rPr>
        <w:t>)</w:t>
      </w:r>
      <w:r>
        <w:rPr>
          <w:rFonts w:hint="eastAsia" w:ascii="宋体" w:hAnsi="宋体" w:cs="宋体"/>
          <w:sz w:val="32"/>
          <w:szCs w:val="32"/>
        </w:rPr>
        <w:t>减少</w:t>
      </w:r>
      <w:r>
        <w:rPr>
          <w:rFonts w:ascii="宋体" w:hAnsi="宋体" w:cs="宋体"/>
          <w:sz w:val="32"/>
          <w:szCs w:val="32"/>
        </w:rPr>
        <w:t>899.31</w:t>
      </w:r>
      <w:r>
        <w:rPr>
          <w:rFonts w:hint="eastAsia" w:ascii="宋体" w:hAnsi="宋体" w:cs="宋体"/>
          <w:sz w:val="32"/>
          <w:szCs w:val="32"/>
        </w:rPr>
        <w:t>万元，其中：基本支出减少</w:t>
      </w:r>
      <w:r>
        <w:rPr>
          <w:rFonts w:ascii="宋体" w:hAnsi="宋体" w:cs="宋体"/>
          <w:sz w:val="32"/>
          <w:szCs w:val="32"/>
        </w:rPr>
        <w:t>8.4</w:t>
      </w:r>
      <w:r>
        <w:rPr>
          <w:rFonts w:ascii="宋体" w:cs="宋体"/>
          <w:sz w:val="32"/>
          <w:szCs w:val="32"/>
        </w:rPr>
        <w:t>0</w:t>
      </w:r>
      <w:r>
        <w:rPr>
          <w:rFonts w:hint="eastAsia" w:ascii="宋体" w:hAnsi="宋体" w:cs="宋体"/>
          <w:sz w:val="32"/>
          <w:szCs w:val="32"/>
        </w:rPr>
        <w:t>万元，主要是</w:t>
      </w:r>
      <w:r>
        <w:rPr>
          <w:rFonts w:ascii="宋体" w:hAnsi="宋体" w:cs="宋体"/>
          <w:sz w:val="32"/>
          <w:szCs w:val="32"/>
        </w:rPr>
        <w:t>2022</w:t>
      </w:r>
      <w:r>
        <w:rPr>
          <w:rFonts w:hint="eastAsia" w:ascii="宋体" w:hAnsi="宋体" w:cs="宋体"/>
          <w:sz w:val="32"/>
          <w:szCs w:val="32"/>
        </w:rPr>
        <w:t>年初预算在职人员比</w:t>
      </w:r>
      <w:r>
        <w:rPr>
          <w:rFonts w:ascii="宋体" w:hAnsi="宋体" w:cs="宋体"/>
          <w:sz w:val="32"/>
          <w:szCs w:val="32"/>
        </w:rPr>
        <w:t>2021</w:t>
      </w:r>
      <w:r>
        <w:rPr>
          <w:rFonts w:hint="eastAsia" w:ascii="宋体" w:hAnsi="宋体" w:cs="宋体"/>
          <w:sz w:val="32"/>
          <w:szCs w:val="32"/>
        </w:rPr>
        <w:t>年初减少</w:t>
      </w:r>
      <w:r>
        <w:rPr>
          <w:rFonts w:ascii="宋体" w:hAnsi="宋体" w:cs="宋体"/>
          <w:sz w:val="32"/>
          <w:szCs w:val="32"/>
        </w:rPr>
        <w:t>1</w:t>
      </w:r>
      <w:r>
        <w:rPr>
          <w:rFonts w:hint="eastAsia" w:ascii="宋体" w:hAnsi="宋体" w:cs="宋体"/>
          <w:sz w:val="32"/>
          <w:szCs w:val="32"/>
        </w:rPr>
        <w:t>人，导致人员经费减少；项目支出减少</w:t>
      </w:r>
      <w:r>
        <w:rPr>
          <w:rFonts w:ascii="宋体" w:hAnsi="宋体" w:cs="宋体"/>
          <w:sz w:val="32"/>
          <w:szCs w:val="32"/>
        </w:rPr>
        <w:t>890.91</w:t>
      </w:r>
      <w:r>
        <w:rPr>
          <w:rFonts w:hint="eastAsia" w:ascii="宋体" w:hAnsi="宋体" w:cs="宋体"/>
          <w:sz w:val="32"/>
          <w:szCs w:val="32"/>
        </w:rPr>
        <w:t>万元，主要由社会保险基金项目预算减少、就业专项资金预算减少导致。</w:t>
      </w:r>
    </w:p>
    <w:p w14:paraId="0DD5C495">
      <w:pPr>
        <w:numPr>
          <w:ilvl w:val="0"/>
          <w:numId w:val="3"/>
        </w:num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机关运行经费安排情况</w:t>
      </w:r>
    </w:p>
    <w:p w14:paraId="7471BEB5">
      <w:pPr>
        <w:autoSpaceDE w:val="0"/>
        <w:autoSpaceDN w:val="0"/>
        <w:adjustRightInd w:val="0"/>
        <w:ind w:firstLine="640" w:firstLineChars="200"/>
        <w:jc w:val="left"/>
        <w:rPr>
          <w:rFonts w:ascii="??_GB2312" w:hAnsi="??_GB2312" w:cs="??_GB2312"/>
          <w:sz w:val="32"/>
          <w:szCs w:val="32"/>
        </w:rPr>
      </w:pPr>
      <w:r>
        <w:rPr>
          <w:rFonts w:hint="eastAsia" w:ascii="宋体" w:hAnsi="宋体" w:cs="宋体"/>
          <w:sz w:val="32"/>
          <w:szCs w:val="32"/>
        </w:rPr>
        <w:t>机关运行经费共计安排</w:t>
      </w:r>
      <w:r>
        <w:rPr>
          <w:rFonts w:ascii="??_GB2312" w:hAnsi="??_GB2312" w:cs="??_GB2312"/>
          <w:sz w:val="32"/>
          <w:szCs w:val="32"/>
        </w:rPr>
        <w:t>126.84</w:t>
      </w:r>
      <w:r>
        <w:rPr>
          <w:rFonts w:hint="eastAsia" w:ascii="宋体" w:hAnsi="宋体" w:cs="宋体"/>
          <w:sz w:val="32"/>
          <w:szCs w:val="32"/>
        </w:rPr>
        <w:t>万元，主要用于保证机关正常运转的办公及印刷费、邮电费、差旅费、培训费、会议费、福利费、一般设备购置费、日常维修费、办公楼物业管理费、公务车运行维护费等支出。</w:t>
      </w:r>
    </w:p>
    <w:p w14:paraId="189E58AE">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四、财政拨款“三公”经费预算情况及增减变化原因</w:t>
      </w:r>
    </w:p>
    <w:p w14:paraId="2B6ECB65">
      <w:pPr>
        <w:autoSpaceDE w:val="0"/>
        <w:autoSpaceDN w:val="0"/>
        <w:adjustRightInd w:val="0"/>
        <w:ind w:left="198" w:firstLine="640" w:firstLineChars="200"/>
        <w:jc w:val="left"/>
        <w:rPr>
          <w:rFonts w:ascii="宋体" w:cs="宋体"/>
          <w:sz w:val="32"/>
          <w:szCs w:val="32"/>
        </w:rPr>
      </w:pPr>
      <w:r>
        <w:rPr>
          <w:rFonts w:ascii="??_GB2312" w:hAnsi="??_GB2312" w:cs="??_GB2312"/>
          <w:sz w:val="32"/>
          <w:szCs w:val="32"/>
        </w:rPr>
        <w:t>2022</w:t>
      </w:r>
      <w:r>
        <w:rPr>
          <w:rFonts w:hint="eastAsia" w:ascii="宋体" w:hAnsi="宋体" w:cs="宋体"/>
          <w:sz w:val="32"/>
          <w:szCs w:val="32"/>
        </w:rPr>
        <w:t>年，曹妃甸区人力资源和社会保障局“三公”经费预算合计安排</w:t>
      </w:r>
      <w:r>
        <w:rPr>
          <w:rFonts w:ascii="宋体" w:hAnsi="宋体" w:cs="宋体"/>
          <w:sz w:val="32"/>
          <w:szCs w:val="32"/>
        </w:rPr>
        <w:t>9</w:t>
      </w:r>
      <w:r>
        <w:rPr>
          <w:rFonts w:hint="eastAsia" w:ascii="宋体" w:hAnsi="宋体" w:cs="宋体"/>
          <w:sz w:val="32"/>
          <w:szCs w:val="32"/>
        </w:rPr>
        <w:t>万元，比</w:t>
      </w:r>
      <w:r>
        <w:rPr>
          <w:rFonts w:ascii="宋体" w:hAnsi="宋体" w:cs="宋体"/>
          <w:sz w:val="32"/>
          <w:szCs w:val="32"/>
        </w:rPr>
        <w:t>2021</w:t>
      </w:r>
      <w:r>
        <w:rPr>
          <w:rFonts w:hint="eastAsia" w:ascii="宋体" w:hAnsi="宋体" w:cs="宋体"/>
          <w:sz w:val="32"/>
          <w:szCs w:val="32"/>
        </w:rPr>
        <w:t>年（</w:t>
      </w:r>
      <w:r>
        <w:rPr>
          <w:rFonts w:ascii="宋体" w:hAnsi="宋体" w:cs="宋体"/>
          <w:sz w:val="32"/>
          <w:szCs w:val="32"/>
        </w:rPr>
        <w:t>12</w:t>
      </w:r>
      <w:r>
        <w:rPr>
          <w:rFonts w:hint="eastAsia" w:ascii="宋体" w:hAnsi="宋体" w:cs="宋体"/>
          <w:sz w:val="32"/>
          <w:szCs w:val="32"/>
        </w:rPr>
        <w:t>万元）减少</w:t>
      </w:r>
      <w:r>
        <w:rPr>
          <w:rFonts w:ascii="宋体" w:hAnsi="宋体" w:cs="宋体"/>
          <w:sz w:val="32"/>
          <w:szCs w:val="32"/>
        </w:rPr>
        <w:t>3</w:t>
      </w:r>
      <w:r>
        <w:rPr>
          <w:rFonts w:hint="eastAsia" w:ascii="宋体" w:hAnsi="宋体" w:cs="宋体"/>
          <w:sz w:val="32"/>
          <w:szCs w:val="32"/>
        </w:rPr>
        <w:t>万元，其中：公务用车运行维护费用安排</w:t>
      </w:r>
      <w:r>
        <w:rPr>
          <w:rFonts w:ascii="宋体" w:hAnsi="宋体" w:cs="宋体"/>
          <w:sz w:val="32"/>
          <w:szCs w:val="32"/>
        </w:rPr>
        <w:t>9</w:t>
      </w:r>
      <w:r>
        <w:rPr>
          <w:rFonts w:hint="eastAsia" w:ascii="宋体" w:hAnsi="宋体" w:cs="宋体"/>
          <w:sz w:val="32"/>
          <w:szCs w:val="32"/>
        </w:rPr>
        <w:t>万元，比</w:t>
      </w:r>
      <w:r>
        <w:rPr>
          <w:rFonts w:ascii="宋体" w:hAnsi="宋体" w:cs="宋体"/>
          <w:sz w:val="32"/>
          <w:szCs w:val="32"/>
        </w:rPr>
        <w:t>2021</w:t>
      </w:r>
      <w:r>
        <w:rPr>
          <w:rFonts w:hint="eastAsia" w:ascii="宋体" w:hAnsi="宋体" w:cs="宋体"/>
          <w:sz w:val="32"/>
          <w:szCs w:val="32"/>
        </w:rPr>
        <w:t>年减少</w:t>
      </w:r>
      <w:r>
        <w:rPr>
          <w:rFonts w:ascii="宋体" w:hAnsi="宋体" w:cs="宋体"/>
          <w:sz w:val="32"/>
          <w:szCs w:val="32"/>
        </w:rPr>
        <w:t>3</w:t>
      </w:r>
      <w:r>
        <w:rPr>
          <w:rFonts w:hint="eastAsia" w:ascii="宋体" w:hAnsi="宋体" w:cs="宋体"/>
          <w:sz w:val="32"/>
          <w:szCs w:val="32"/>
        </w:rPr>
        <w:t>万元，因公出国（境）费用</w:t>
      </w:r>
      <w:r>
        <w:rPr>
          <w:rFonts w:ascii="宋体" w:cs="宋体"/>
          <w:sz w:val="32"/>
          <w:szCs w:val="32"/>
        </w:rPr>
        <w:t>0</w:t>
      </w:r>
      <w:r>
        <w:rPr>
          <w:rFonts w:hint="eastAsia" w:ascii="宋体" w:hAnsi="宋体" w:cs="宋体"/>
          <w:sz w:val="32"/>
          <w:szCs w:val="32"/>
        </w:rPr>
        <w:t>万元，与上年一致，公务接待费用</w:t>
      </w:r>
      <w:r>
        <w:rPr>
          <w:rFonts w:ascii="宋体" w:cs="宋体"/>
          <w:sz w:val="32"/>
          <w:szCs w:val="32"/>
        </w:rPr>
        <w:t>0</w:t>
      </w:r>
      <w:r>
        <w:rPr>
          <w:rFonts w:hint="eastAsia" w:ascii="宋体" w:hAnsi="宋体" w:cs="宋体"/>
          <w:sz w:val="32"/>
          <w:szCs w:val="32"/>
        </w:rPr>
        <w:t>万元，与上年一致。</w:t>
      </w:r>
      <w:r>
        <w:rPr>
          <w:rFonts w:ascii="宋体" w:hAnsi="宋体" w:cs="宋体"/>
          <w:sz w:val="32"/>
          <w:szCs w:val="32"/>
        </w:rPr>
        <w:t>2022</w:t>
      </w:r>
      <w:r>
        <w:rPr>
          <w:rFonts w:hint="eastAsia" w:ascii="宋体" w:hAnsi="宋体" w:cs="宋体"/>
          <w:sz w:val="32"/>
          <w:szCs w:val="32"/>
        </w:rPr>
        <w:t>年区人力资源和社会保障局认真落实</w:t>
      </w:r>
      <w:r>
        <w:rPr>
          <w:rFonts w:hint="eastAsia" w:ascii="宋体" w:hAnsi="宋体" w:cs="宋体"/>
          <w:sz w:val="32"/>
          <w:szCs w:val="32"/>
          <w:lang w:eastAsia="zh-CN"/>
        </w:rPr>
        <w:t>中央八项规定</w:t>
      </w:r>
      <w:r>
        <w:rPr>
          <w:rFonts w:hint="eastAsia" w:ascii="宋体" w:hAnsi="宋体" w:cs="宋体"/>
          <w:sz w:val="32"/>
          <w:szCs w:val="32"/>
        </w:rPr>
        <w:t>和省市区相关要求，严控运行经费，消减公车费用和接待费用，持续降低行政运行成本。</w:t>
      </w:r>
    </w:p>
    <w:p w14:paraId="7D91C5B9">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五、绩效预算信息</w:t>
      </w:r>
    </w:p>
    <w:p w14:paraId="7896E80E">
      <w:pPr>
        <w:ind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总体绩效目标：</w:t>
      </w:r>
    </w:p>
    <w:p w14:paraId="125F4633">
      <w:pPr>
        <w:ind w:firstLine="562"/>
        <w:jc w:val="left"/>
        <w:rPr>
          <w:rFonts w:ascii="??_GB2312" w:hAnsi="??_GB2312" w:cs="??_GB2312"/>
          <w:sz w:val="32"/>
          <w:szCs w:val="32"/>
        </w:rPr>
      </w:pPr>
      <w:r>
        <w:rPr>
          <w:rFonts w:hint="eastAsia" w:ascii="??_GB2312" w:hAnsi="??_GB2312" w:cs="??_GB2312"/>
          <w:sz w:val="32"/>
          <w:szCs w:val="32"/>
        </w:rPr>
        <w:t>更加注重解决结构性矛盾，着力提升就业创业质量。更加注重制度改革完善，着力织密扎牢社会保障网。更加注重发挥支撑作用，着力推进人才队伍建设。更加注重激发担当作为，着力深化事业单位人事管理。更加注重公平效率，着力规范工资收入分配。更加注重维护合法权益，着力构建和谐劳动关系。</w:t>
      </w:r>
    </w:p>
    <w:p w14:paraId="6A7CE7F1">
      <w:pPr>
        <w:ind w:firstLine="562"/>
        <w:jc w:val="left"/>
        <w:rPr>
          <w:rFonts w:ascii="方正楷体_GBK" w:eastAsia="方正楷体_GBK"/>
          <w:b/>
          <w:color w:val="000000"/>
          <w:sz w:val="28"/>
        </w:rPr>
      </w:pPr>
      <w:r>
        <w:rPr>
          <w:rFonts w:hint="eastAsia" w:ascii="方正楷体_GBK" w:eastAsia="方正楷体_GBK"/>
          <w:b/>
          <w:color w:val="000000"/>
          <w:sz w:val="28"/>
        </w:rPr>
        <w:t>职责分类绩效目标：</w:t>
      </w:r>
    </w:p>
    <w:tbl>
      <w:tblPr>
        <w:tblStyle w:val="9"/>
        <w:tblW w:w="5000" w:type="pct"/>
        <w:tblInd w:w="0" w:type="dxa"/>
        <w:tblLayout w:type="autofit"/>
        <w:tblCellMar>
          <w:top w:w="0" w:type="dxa"/>
          <w:left w:w="108" w:type="dxa"/>
          <w:bottom w:w="0" w:type="dxa"/>
          <w:right w:w="108" w:type="dxa"/>
        </w:tblCellMar>
      </w:tblPr>
      <w:tblGrid>
        <w:gridCol w:w="577"/>
        <w:gridCol w:w="790"/>
        <w:gridCol w:w="2846"/>
        <w:gridCol w:w="576"/>
        <w:gridCol w:w="2197"/>
        <w:gridCol w:w="1789"/>
        <w:gridCol w:w="2555"/>
        <w:gridCol w:w="576"/>
        <w:gridCol w:w="846"/>
        <w:gridCol w:w="846"/>
        <w:gridCol w:w="576"/>
      </w:tblGrid>
      <w:tr w14:paraId="4F339A54">
        <w:tblPrEx>
          <w:tblCellMar>
            <w:top w:w="0" w:type="dxa"/>
            <w:left w:w="108" w:type="dxa"/>
            <w:bottom w:w="0" w:type="dxa"/>
            <w:right w:w="108" w:type="dxa"/>
          </w:tblCellMar>
        </w:tblPrEx>
        <w:trPr>
          <w:trHeight w:val="540" w:hRule="atLeast"/>
        </w:trPr>
        <w:tc>
          <w:tcPr>
            <w:tcW w:w="204" w:type="pct"/>
            <w:tcBorders>
              <w:top w:val="single" w:color="auto" w:sz="4" w:space="0"/>
              <w:left w:val="single" w:color="auto" w:sz="4" w:space="0"/>
              <w:bottom w:val="single" w:color="auto" w:sz="4" w:space="0"/>
              <w:right w:val="single" w:color="auto" w:sz="4" w:space="0"/>
            </w:tcBorders>
            <w:vAlign w:val="center"/>
          </w:tcPr>
          <w:p w14:paraId="68B6BBFF">
            <w:pPr>
              <w:widowControl/>
              <w:jc w:val="center"/>
              <w:rPr>
                <w:rFonts w:ascii="宋体" w:cs="宋体"/>
                <w:kern w:val="0"/>
                <w:sz w:val="18"/>
                <w:szCs w:val="18"/>
              </w:rPr>
            </w:pPr>
            <w:r>
              <w:rPr>
                <w:rFonts w:hint="eastAsia" w:ascii="宋体" w:hAnsi="宋体" w:cs="宋体"/>
                <w:kern w:val="0"/>
                <w:sz w:val="18"/>
                <w:szCs w:val="18"/>
              </w:rPr>
              <w:t>活动编码</w:t>
            </w:r>
          </w:p>
        </w:tc>
        <w:tc>
          <w:tcPr>
            <w:tcW w:w="279" w:type="pct"/>
            <w:tcBorders>
              <w:top w:val="single" w:color="auto" w:sz="4" w:space="0"/>
              <w:left w:val="nil"/>
              <w:bottom w:val="single" w:color="auto" w:sz="4" w:space="0"/>
              <w:right w:val="single" w:color="auto" w:sz="4" w:space="0"/>
            </w:tcBorders>
            <w:vAlign w:val="center"/>
          </w:tcPr>
          <w:p w14:paraId="5E17D13F">
            <w:pPr>
              <w:widowControl/>
              <w:jc w:val="center"/>
              <w:rPr>
                <w:rFonts w:ascii="宋体" w:cs="宋体"/>
                <w:kern w:val="0"/>
                <w:sz w:val="18"/>
                <w:szCs w:val="18"/>
              </w:rPr>
            </w:pPr>
            <w:r>
              <w:rPr>
                <w:rFonts w:hint="eastAsia" w:ascii="宋体" w:hAnsi="宋体" w:cs="宋体"/>
                <w:kern w:val="0"/>
                <w:sz w:val="18"/>
                <w:szCs w:val="18"/>
              </w:rPr>
              <w:t>活动名称</w:t>
            </w:r>
          </w:p>
        </w:tc>
        <w:tc>
          <w:tcPr>
            <w:tcW w:w="1004" w:type="pct"/>
            <w:tcBorders>
              <w:top w:val="single" w:color="auto" w:sz="4" w:space="0"/>
              <w:left w:val="nil"/>
              <w:bottom w:val="single" w:color="auto" w:sz="4" w:space="0"/>
              <w:right w:val="single" w:color="auto" w:sz="4" w:space="0"/>
            </w:tcBorders>
            <w:vAlign w:val="center"/>
          </w:tcPr>
          <w:p w14:paraId="483E5C19">
            <w:pPr>
              <w:widowControl/>
              <w:jc w:val="center"/>
              <w:rPr>
                <w:rFonts w:ascii="宋体" w:cs="宋体"/>
                <w:kern w:val="0"/>
                <w:sz w:val="18"/>
                <w:szCs w:val="18"/>
              </w:rPr>
            </w:pPr>
            <w:r>
              <w:rPr>
                <w:rFonts w:hint="eastAsia" w:ascii="宋体" w:hAnsi="宋体" w:cs="宋体"/>
                <w:kern w:val="0"/>
                <w:sz w:val="18"/>
                <w:szCs w:val="18"/>
              </w:rPr>
              <w:t>活动描述</w:t>
            </w:r>
          </w:p>
        </w:tc>
        <w:tc>
          <w:tcPr>
            <w:tcW w:w="203" w:type="pct"/>
            <w:tcBorders>
              <w:top w:val="single" w:color="auto" w:sz="4" w:space="0"/>
              <w:left w:val="nil"/>
              <w:bottom w:val="single" w:color="auto" w:sz="4" w:space="0"/>
              <w:right w:val="single" w:color="auto" w:sz="4" w:space="0"/>
            </w:tcBorders>
            <w:vAlign w:val="center"/>
          </w:tcPr>
          <w:p w14:paraId="74D35C5D">
            <w:pPr>
              <w:widowControl/>
              <w:jc w:val="center"/>
              <w:rPr>
                <w:rFonts w:ascii="宋体" w:cs="宋体"/>
                <w:kern w:val="0"/>
                <w:sz w:val="18"/>
                <w:szCs w:val="18"/>
              </w:rPr>
            </w:pPr>
            <w:r>
              <w:rPr>
                <w:rFonts w:hint="eastAsia" w:ascii="宋体" w:hAnsi="宋体" w:cs="宋体"/>
                <w:kern w:val="0"/>
                <w:sz w:val="18"/>
                <w:szCs w:val="18"/>
              </w:rPr>
              <w:t>预算年度</w:t>
            </w:r>
          </w:p>
        </w:tc>
        <w:tc>
          <w:tcPr>
            <w:tcW w:w="775" w:type="pct"/>
            <w:tcBorders>
              <w:top w:val="single" w:color="auto" w:sz="4" w:space="0"/>
              <w:left w:val="nil"/>
              <w:bottom w:val="single" w:color="auto" w:sz="4" w:space="0"/>
              <w:right w:val="single" w:color="auto" w:sz="4" w:space="0"/>
            </w:tcBorders>
            <w:vAlign w:val="center"/>
          </w:tcPr>
          <w:p w14:paraId="2B47454C">
            <w:pPr>
              <w:widowControl/>
              <w:jc w:val="center"/>
              <w:rPr>
                <w:rFonts w:ascii="宋体" w:cs="宋体"/>
                <w:kern w:val="0"/>
                <w:sz w:val="18"/>
                <w:szCs w:val="18"/>
              </w:rPr>
            </w:pPr>
            <w:r>
              <w:rPr>
                <w:rFonts w:hint="eastAsia" w:ascii="宋体" w:hAnsi="宋体" w:cs="宋体"/>
                <w:kern w:val="0"/>
                <w:sz w:val="18"/>
                <w:szCs w:val="18"/>
              </w:rPr>
              <w:t>绩效目标</w:t>
            </w:r>
          </w:p>
        </w:tc>
        <w:tc>
          <w:tcPr>
            <w:tcW w:w="631" w:type="pct"/>
            <w:tcBorders>
              <w:top w:val="single" w:color="auto" w:sz="4" w:space="0"/>
              <w:left w:val="nil"/>
              <w:bottom w:val="single" w:color="auto" w:sz="4" w:space="0"/>
              <w:right w:val="single" w:color="auto" w:sz="4" w:space="0"/>
            </w:tcBorders>
            <w:vAlign w:val="center"/>
          </w:tcPr>
          <w:p w14:paraId="06466538">
            <w:pPr>
              <w:widowControl/>
              <w:jc w:val="center"/>
              <w:rPr>
                <w:rFonts w:ascii="宋体" w:cs="宋体"/>
                <w:kern w:val="0"/>
                <w:sz w:val="18"/>
                <w:szCs w:val="18"/>
              </w:rPr>
            </w:pPr>
            <w:r>
              <w:rPr>
                <w:rFonts w:hint="eastAsia" w:ascii="宋体" w:hAnsi="宋体" w:cs="宋体"/>
                <w:kern w:val="0"/>
                <w:sz w:val="18"/>
                <w:szCs w:val="18"/>
              </w:rPr>
              <w:t>绩效指标</w:t>
            </w:r>
          </w:p>
        </w:tc>
        <w:tc>
          <w:tcPr>
            <w:tcW w:w="901" w:type="pct"/>
            <w:tcBorders>
              <w:top w:val="single" w:color="auto" w:sz="4" w:space="0"/>
              <w:left w:val="nil"/>
              <w:bottom w:val="single" w:color="auto" w:sz="4" w:space="0"/>
              <w:right w:val="single" w:color="auto" w:sz="4" w:space="0"/>
            </w:tcBorders>
            <w:vAlign w:val="center"/>
          </w:tcPr>
          <w:p w14:paraId="0FE7C6C6">
            <w:pPr>
              <w:widowControl/>
              <w:jc w:val="center"/>
              <w:rPr>
                <w:rFonts w:ascii="宋体" w:cs="宋体"/>
                <w:kern w:val="0"/>
                <w:sz w:val="18"/>
                <w:szCs w:val="18"/>
              </w:rPr>
            </w:pPr>
            <w:r>
              <w:rPr>
                <w:rFonts w:hint="eastAsia" w:ascii="宋体" w:hAnsi="宋体" w:cs="宋体"/>
                <w:kern w:val="0"/>
                <w:sz w:val="18"/>
                <w:szCs w:val="18"/>
              </w:rPr>
              <w:t>指标描述</w:t>
            </w:r>
          </w:p>
        </w:tc>
        <w:tc>
          <w:tcPr>
            <w:tcW w:w="203" w:type="pct"/>
            <w:tcBorders>
              <w:top w:val="single" w:color="auto" w:sz="4" w:space="0"/>
              <w:left w:val="nil"/>
              <w:bottom w:val="single" w:color="auto" w:sz="4" w:space="0"/>
              <w:right w:val="single" w:color="auto" w:sz="4" w:space="0"/>
            </w:tcBorders>
            <w:vAlign w:val="center"/>
          </w:tcPr>
          <w:p w14:paraId="2CFF25C8">
            <w:pPr>
              <w:widowControl/>
              <w:jc w:val="center"/>
              <w:rPr>
                <w:rFonts w:ascii="宋体" w:cs="宋体"/>
                <w:kern w:val="0"/>
                <w:sz w:val="18"/>
                <w:szCs w:val="18"/>
              </w:rPr>
            </w:pPr>
            <w:r>
              <w:rPr>
                <w:rFonts w:hint="eastAsia" w:ascii="宋体" w:hAnsi="宋体" w:cs="宋体"/>
                <w:kern w:val="0"/>
                <w:sz w:val="18"/>
                <w:szCs w:val="18"/>
              </w:rPr>
              <w:t>优</w:t>
            </w:r>
          </w:p>
        </w:tc>
        <w:tc>
          <w:tcPr>
            <w:tcW w:w="298" w:type="pct"/>
            <w:tcBorders>
              <w:top w:val="single" w:color="auto" w:sz="4" w:space="0"/>
              <w:left w:val="nil"/>
              <w:bottom w:val="single" w:color="auto" w:sz="4" w:space="0"/>
              <w:right w:val="single" w:color="auto" w:sz="4" w:space="0"/>
            </w:tcBorders>
            <w:vAlign w:val="center"/>
          </w:tcPr>
          <w:p w14:paraId="18425793">
            <w:pPr>
              <w:widowControl/>
              <w:jc w:val="center"/>
              <w:rPr>
                <w:rFonts w:ascii="宋体" w:cs="宋体"/>
                <w:kern w:val="0"/>
                <w:sz w:val="18"/>
                <w:szCs w:val="18"/>
              </w:rPr>
            </w:pPr>
            <w:r>
              <w:rPr>
                <w:rFonts w:hint="eastAsia" w:ascii="宋体" w:hAnsi="宋体" w:cs="宋体"/>
                <w:kern w:val="0"/>
                <w:sz w:val="18"/>
                <w:szCs w:val="18"/>
              </w:rPr>
              <w:t>良</w:t>
            </w:r>
          </w:p>
        </w:tc>
        <w:tc>
          <w:tcPr>
            <w:tcW w:w="298" w:type="pct"/>
            <w:tcBorders>
              <w:top w:val="single" w:color="auto" w:sz="4" w:space="0"/>
              <w:left w:val="nil"/>
              <w:bottom w:val="single" w:color="auto" w:sz="4" w:space="0"/>
              <w:right w:val="single" w:color="auto" w:sz="4" w:space="0"/>
            </w:tcBorders>
            <w:vAlign w:val="center"/>
          </w:tcPr>
          <w:p w14:paraId="3914F04E">
            <w:pPr>
              <w:widowControl/>
              <w:jc w:val="center"/>
              <w:rPr>
                <w:rFonts w:ascii="宋体" w:cs="宋体"/>
                <w:kern w:val="0"/>
                <w:sz w:val="18"/>
                <w:szCs w:val="18"/>
              </w:rPr>
            </w:pPr>
            <w:r>
              <w:rPr>
                <w:rFonts w:hint="eastAsia" w:ascii="宋体" w:hAnsi="宋体" w:cs="宋体"/>
                <w:kern w:val="0"/>
                <w:sz w:val="18"/>
                <w:szCs w:val="18"/>
              </w:rPr>
              <w:t>中</w:t>
            </w:r>
          </w:p>
        </w:tc>
        <w:tc>
          <w:tcPr>
            <w:tcW w:w="203" w:type="pct"/>
            <w:tcBorders>
              <w:top w:val="single" w:color="auto" w:sz="4" w:space="0"/>
              <w:left w:val="nil"/>
              <w:bottom w:val="single" w:color="auto" w:sz="4" w:space="0"/>
              <w:right w:val="single" w:color="auto" w:sz="4" w:space="0"/>
            </w:tcBorders>
            <w:vAlign w:val="center"/>
          </w:tcPr>
          <w:p w14:paraId="177D9578">
            <w:pPr>
              <w:widowControl/>
              <w:jc w:val="center"/>
              <w:rPr>
                <w:rFonts w:ascii="宋体" w:cs="宋体"/>
                <w:kern w:val="0"/>
                <w:sz w:val="18"/>
                <w:szCs w:val="18"/>
              </w:rPr>
            </w:pPr>
            <w:r>
              <w:rPr>
                <w:rFonts w:hint="eastAsia" w:ascii="宋体" w:hAnsi="宋体" w:cs="宋体"/>
                <w:kern w:val="0"/>
                <w:sz w:val="18"/>
                <w:szCs w:val="18"/>
              </w:rPr>
              <w:t>差</w:t>
            </w:r>
          </w:p>
        </w:tc>
      </w:tr>
      <w:tr w14:paraId="042E7DEE">
        <w:tblPrEx>
          <w:tblCellMar>
            <w:top w:w="0" w:type="dxa"/>
            <w:left w:w="108" w:type="dxa"/>
            <w:bottom w:w="0" w:type="dxa"/>
            <w:right w:w="108" w:type="dxa"/>
          </w:tblCellMar>
        </w:tblPrEx>
        <w:trPr>
          <w:trHeight w:val="300" w:hRule="atLeast"/>
        </w:trPr>
        <w:tc>
          <w:tcPr>
            <w:tcW w:w="204" w:type="pct"/>
            <w:tcBorders>
              <w:top w:val="nil"/>
              <w:left w:val="single" w:color="auto" w:sz="4" w:space="0"/>
              <w:bottom w:val="single" w:color="auto" w:sz="4" w:space="0"/>
              <w:right w:val="single" w:color="auto" w:sz="4" w:space="0"/>
            </w:tcBorders>
            <w:vAlign w:val="center"/>
          </w:tcPr>
          <w:p w14:paraId="0BE9CC32">
            <w:pPr>
              <w:widowControl/>
              <w:jc w:val="center"/>
              <w:rPr>
                <w:rFonts w:ascii="宋体" w:cs="宋体"/>
                <w:kern w:val="0"/>
                <w:sz w:val="18"/>
                <w:szCs w:val="18"/>
              </w:rPr>
            </w:pPr>
            <w:r>
              <w:rPr>
                <w:rFonts w:hint="eastAsia" w:ascii="宋体" w:hAnsi="宋体" w:cs="宋体"/>
                <w:kern w:val="0"/>
                <w:sz w:val="18"/>
                <w:szCs w:val="18"/>
              </w:rPr>
              <w:t>　</w:t>
            </w:r>
          </w:p>
        </w:tc>
        <w:tc>
          <w:tcPr>
            <w:tcW w:w="279" w:type="pct"/>
            <w:tcBorders>
              <w:top w:val="nil"/>
              <w:left w:val="nil"/>
              <w:bottom w:val="single" w:color="auto" w:sz="4" w:space="0"/>
              <w:right w:val="single" w:color="auto" w:sz="4" w:space="0"/>
            </w:tcBorders>
            <w:vAlign w:val="center"/>
          </w:tcPr>
          <w:p w14:paraId="380920C9">
            <w:pPr>
              <w:widowControl/>
              <w:jc w:val="center"/>
              <w:rPr>
                <w:rFonts w:ascii="宋体" w:cs="宋体"/>
                <w:kern w:val="0"/>
                <w:sz w:val="18"/>
                <w:szCs w:val="18"/>
              </w:rPr>
            </w:pPr>
            <w:r>
              <w:rPr>
                <w:rFonts w:hint="eastAsia" w:ascii="宋体" w:hAnsi="宋体" w:cs="宋体"/>
                <w:kern w:val="0"/>
                <w:sz w:val="18"/>
                <w:szCs w:val="18"/>
              </w:rPr>
              <w:t>　</w:t>
            </w:r>
          </w:p>
        </w:tc>
        <w:tc>
          <w:tcPr>
            <w:tcW w:w="1004" w:type="pct"/>
            <w:tcBorders>
              <w:top w:val="nil"/>
              <w:left w:val="nil"/>
              <w:bottom w:val="single" w:color="auto" w:sz="4" w:space="0"/>
              <w:right w:val="single" w:color="auto" w:sz="4" w:space="0"/>
            </w:tcBorders>
            <w:vAlign w:val="center"/>
          </w:tcPr>
          <w:p w14:paraId="7860142F">
            <w:pPr>
              <w:widowControl/>
              <w:jc w:val="center"/>
              <w:rPr>
                <w:rFonts w:ascii="宋体" w:cs="宋体"/>
                <w:kern w:val="0"/>
                <w:sz w:val="18"/>
                <w:szCs w:val="18"/>
              </w:rPr>
            </w:pPr>
            <w:r>
              <w:rPr>
                <w:rFonts w:hint="eastAsia" w:ascii="宋体" w:hAnsi="宋体" w:cs="宋体"/>
                <w:kern w:val="0"/>
                <w:sz w:val="18"/>
                <w:szCs w:val="18"/>
              </w:rPr>
              <w:t>　</w:t>
            </w:r>
          </w:p>
        </w:tc>
        <w:tc>
          <w:tcPr>
            <w:tcW w:w="203" w:type="pct"/>
            <w:tcBorders>
              <w:top w:val="nil"/>
              <w:left w:val="nil"/>
              <w:bottom w:val="single" w:color="auto" w:sz="4" w:space="0"/>
              <w:right w:val="single" w:color="auto" w:sz="4" w:space="0"/>
            </w:tcBorders>
            <w:vAlign w:val="center"/>
          </w:tcPr>
          <w:p w14:paraId="43B72C3C">
            <w:pPr>
              <w:widowControl/>
              <w:jc w:val="center"/>
              <w:rPr>
                <w:rFonts w:ascii="宋体" w:cs="宋体"/>
                <w:kern w:val="0"/>
                <w:sz w:val="18"/>
                <w:szCs w:val="18"/>
              </w:rPr>
            </w:pPr>
            <w:r>
              <w:rPr>
                <w:rFonts w:hint="eastAsia" w:ascii="宋体" w:hAnsi="宋体" w:cs="宋体"/>
                <w:kern w:val="0"/>
                <w:sz w:val="18"/>
                <w:szCs w:val="18"/>
              </w:rPr>
              <w:t>　</w:t>
            </w:r>
          </w:p>
        </w:tc>
        <w:tc>
          <w:tcPr>
            <w:tcW w:w="775" w:type="pct"/>
            <w:tcBorders>
              <w:top w:val="nil"/>
              <w:left w:val="nil"/>
              <w:bottom w:val="single" w:color="auto" w:sz="4" w:space="0"/>
              <w:right w:val="single" w:color="auto" w:sz="4" w:space="0"/>
            </w:tcBorders>
            <w:vAlign w:val="center"/>
          </w:tcPr>
          <w:p w14:paraId="6DEFB167">
            <w:pPr>
              <w:widowControl/>
              <w:jc w:val="center"/>
              <w:rPr>
                <w:rFonts w:ascii="宋体" w:cs="宋体"/>
                <w:kern w:val="0"/>
                <w:sz w:val="18"/>
                <w:szCs w:val="18"/>
              </w:rPr>
            </w:pPr>
            <w:r>
              <w:rPr>
                <w:rFonts w:hint="eastAsia" w:ascii="宋体" w:hAnsi="宋体" w:cs="宋体"/>
                <w:kern w:val="0"/>
                <w:sz w:val="18"/>
                <w:szCs w:val="18"/>
              </w:rPr>
              <w:t>　</w:t>
            </w:r>
          </w:p>
        </w:tc>
        <w:tc>
          <w:tcPr>
            <w:tcW w:w="631" w:type="pct"/>
            <w:tcBorders>
              <w:top w:val="nil"/>
              <w:left w:val="nil"/>
              <w:bottom w:val="single" w:color="auto" w:sz="4" w:space="0"/>
              <w:right w:val="single" w:color="auto" w:sz="4" w:space="0"/>
            </w:tcBorders>
            <w:vAlign w:val="center"/>
          </w:tcPr>
          <w:p w14:paraId="06DFF7F8">
            <w:pPr>
              <w:widowControl/>
              <w:jc w:val="center"/>
              <w:rPr>
                <w:rFonts w:ascii="宋体" w:cs="宋体"/>
                <w:kern w:val="0"/>
                <w:sz w:val="18"/>
                <w:szCs w:val="18"/>
              </w:rPr>
            </w:pPr>
            <w:r>
              <w:rPr>
                <w:rFonts w:hint="eastAsia" w:ascii="宋体" w:hAnsi="宋体" w:cs="宋体"/>
                <w:kern w:val="0"/>
                <w:sz w:val="18"/>
                <w:szCs w:val="18"/>
              </w:rPr>
              <w:t>　</w:t>
            </w:r>
          </w:p>
        </w:tc>
        <w:tc>
          <w:tcPr>
            <w:tcW w:w="901" w:type="pct"/>
            <w:tcBorders>
              <w:top w:val="nil"/>
              <w:left w:val="nil"/>
              <w:bottom w:val="single" w:color="auto" w:sz="4" w:space="0"/>
              <w:right w:val="single" w:color="auto" w:sz="4" w:space="0"/>
            </w:tcBorders>
            <w:vAlign w:val="center"/>
          </w:tcPr>
          <w:p w14:paraId="4A47F151">
            <w:pPr>
              <w:widowControl/>
              <w:jc w:val="center"/>
              <w:rPr>
                <w:rFonts w:ascii="宋体" w:cs="宋体"/>
                <w:kern w:val="0"/>
                <w:sz w:val="18"/>
                <w:szCs w:val="18"/>
              </w:rPr>
            </w:pPr>
            <w:r>
              <w:rPr>
                <w:rFonts w:hint="eastAsia" w:ascii="宋体" w:hAnsi="宋体" w:cs="宋体"/>
                <w:kern w:val="0"/>
                <w:sz w:val="18"/>
                <w:szCs w:val="18"/>
              </w:rPr>
              <w:t>　</w:t>
            </w:r>
          </w:p>
        </w:tc>
        <w:tc>
          <w:tcPr>
            <w:tcW w:w="203" w:type="pct"/>
            <w:tcBorders>
              <w:top w:val="nil"/>
              <w:left w:val="nil"/>
              <w:bottom w:val="single" w:color="auto" w:sz="4" w:space="0"/>
              <w:right w:val="single" w:color="auto" w:sz="4" w:space="0"/>
            </w:tcBorders>
            <w:vAlign w:val="center"/>
          </w:tcPr>
          <w:p w14:paraId="31E93FD9">
            <w:pPr>
              <w:widowControl/>
              <w:jc w:val="center"/>
              <w:rPr>
                <w:rFonts w:ascii="宋体" w:cs="宋体"/>
                <w:kern w:val="0"/>
                <w:sz w:val="18"/>
                <w:szCs w:val="18"/>
              </w:rPr>
            </w:pPr>
            <w:r>
              <w:rPr>
                <w:rFonts w:hint="eastAsia" w:ascii="宋体" w:hAnsi="宋体" w:cs="宋体"/>
                <w:kern w:val="0"/>
                <w:sz w:val="18"/>
                <w:szCs w:val="18"/>
              </w:rPr>
              <w:t>　</w:t>
            </w:r>
          </w:p>
        </w:tc>
        <w:tc>
          <w:tcPr>
            <w:tcW w:w="298" w:type="pct"/>
            <w:tcBorders>
              <w:top w:val="nil"/>
              <w:left w:val="nil"/>
              <w:bottom w:val="single" w:color="auto" w:sz="4" w:space="0"/>
              <w:right w:val="single" w:color="auto" w:sz="4" w:space="0"/>
            </w:tcBorders>
            <w:vAlign w:val="center"/>
          </w:tcPr>
          <w:p w14:paraId="02DC2303">
            <w:pPr>
              <w:widowControl/>
              <w:jc w:val="center"/>
              <w:rPr>
                <w:rFonts w:ascii="宋体" w:cs="宋体"/>
                <w:kern w:val="0"/>
                <w:sz w:val="18"/>
                <w:szCs w:val="18"/>
              </w:rPr>
            </w:pPr>
            <w:r>
              <w:rPr>
                <w:rFonts w:hint="eastAsia" w:ascii="宋体" w:hAnsi="宋体" w:cs="宋体"/>
                <w:kern w:val="0"/>
                <w:sz w:val="18"/>
                <w:szCs w:val="18"/>
              </w:rPr>
              <w:t>　</w:t>
            </w:r>
          </w:p>
        </w:tc>
        <w:tc>
          <w:tcPr>
            <w:tcW w:w="298" w:type="pct"/>
            <w:tcBorders>
              <w:top w:val="nil"/>
              <w:left w:val="nil"/>
              <w:bottom w:val="single" w:color="auto" w:sz="4" w:space="0"/>
              <w:right w:val="single" w:color="auto" w:sz="4" w:space="0"/>
            </w:tcBorders>
            <w:vAlign w:val="center"/>
          </w:tcPr>
          <w:p w14:paraId="2374F63E">
            <w:pPr>
              <w:widowControl/>
              <w:jc w:val="center"/>
              <w:rPr>
                <w:rFonts w:ascii="宋体" w:cs="宋体"/>
                <w:kern w:val="0"/>
                <w:sz w:val="18"/>
                <w:szCs w:val="18"/>
              </w:rPr>
            </w:pPr>
            <w:r>
              <w:rPr>
                <w:rFonts w:hint="eastAsia" w:ascii="宋体" w:hAnsi="宋体" w:cs="宋体"/>
                <w:kern w:val="0"/>
                <w:sz w:val="18"/>
                <w:szCs w:val="18"/>
              </w:rPr>
              <w:t>　</w:t>
            </w:r>
          </w:p>
        </w:tc>
        <w:tc>
          <w:tcPr>
            <w:tcW w:w="203" w:type="pct"/>
            <w:tcBorders>
              <w:top w:val="nil"/>
              <w:left w:val="nil"/>
              <w:bottom w:val="single" w:color="auto" w:sz="4" w:space="0"/>
              <w:right w:val="single" w:color="auto" w:sz="4" w:space="0"/>
            </w:tcBorders>
            <w:vAlign w:val="center"/>
          </w:tcPr>
          <w:p w14:paraId="131F3C1D">
            <w:pPr>
              <w:widowControl/>
              <w:jc w:val="center"/>
              <w:rPr>
                <w:rFonts w:ascii="宋体" w:cs="宋体"/>
                <w:kern w:val="0"/>
                <w:sz w:val="18"/>
                <w:szCs w:val="18"/>
              </w:rPr>
            </w:pPr>
            <w:r>
              <w:rPr>
                <w:rFonts w:hint="eastAsia" w:ascii="宋体" w:hAnsi="宋体" w:cs="宋体"/>
                <w:kern w:val="0"/>
                <w:sz w:val="18"/>
                <w:szCs w:val="18"/>
              </w:rPr>
              <w:t>　</w:t>
            </w:r>
          </w:p>
        </w:tc>
      </w:tr>
      <w:tr w14:paraId="2EABE3DD">
        <w:tblPrEx>
          <w:tblCellMar>
            <w:top w:w="0" w:type="dxa"/>
            <w:left w:w="108" w:type="dxa"/>
            <w:bottom w:w="0" w:type="dxa"/>
            <w:right w:w="108" w:type="dxa"/>
          </w:tblCellMar>
        </w:tblPrEx>
        <w:trPr>
          <w:trHeight w:val="432" w:hRule="atLeast"/>
        </w:trPr>
        <w:tc>
          <w:tcPr>
            <w:tcW w:w="204" w:type="pct"/>
            <w:vMerge w:val="restart"/>
            <w:tcBorders>
              <w:top w:val="nil"/>
              <w:left w:val="single" w:color="auto" w:sz="4" w:space="0"/>
              <w:bottom w:val="single" w:color="auto" w:sz="4" w:space="0"/>
              <w:right w:val="single" w:color="auto" w:sz="4" w:space="0"/>
            </w:tcBorders>
            <w:noWrap/>
            <w:vAlign w:val="center"/>
          </w:tcPr>
          <w:p w14:paraId="192718C7">
            <w:pPr>
              <w:widowControl/>
              <w:jc w:val="center"/>
              <w:rPr>
                <w:rFonts w:ascii="宋体" w:cs="宋体"/>
                <w:kern w:val="0"/>
                <w:sz w:val="18"/>
                <w:szCs w:val="18"/>
              </w:rPr>
            </w:pPr>
            <w:r>
              <w:rPr>
                <w:rFonts w:ascii="宋体" w:hAnsi="宋体" w:cs="宋体"/>
                <w:kern w:val="0"/>
                <w:sz w:val="18"/>
                <w:szCs w:val="18"/>
              </w:rPr>
              <w:t>0101</w:t>
            </w:r>
          </w:p>
        </w:tc>
        <w:tc>
          <w:tcPr>
            <w:tcW w:w="279" w:type="pct"/>
            <w:vMerge w:val="restart"/>
            <w:tcBorders>
              <w:top w:val="nil"/>
              <w:left w:val="single" w:color="auto" w:sz="4" w:space="0"/>
              <w:bottom w:val="single" w:color="auto" w:sz="4" w:space="0"/>
              <w:right w:val="single" w:color="auto" w:sz="4" w:space="0"/>
            </w:tcBorders>
            <w:vAlign w:val="center"/>
          </w:tcPr>
          <w:p w14:paraId="743C2FA7">
            <w:pPr>
              <w:widowControl/>
              <w:jc w:val="left"/>
              <w:rPr>
                <w:rFonts w:ascii="宋体" w:cs="宋体"/>
                <w:kern w:val="0"/>
                <w:sz w:val="18"/>
                <w:szCs w:val="18"/>
              </w:rPr>
            </w:pPr>
            <w:r>
              <w:rPr>
                <w:rFonts w:hint="eastAsia" w:ascii="宋体" w:hAnsi="宋体" w:cs="宋体"/>
                <w:kern w:val="0"/>
                <w:sz w:val="18"/>
                <w:szCs w:val="18"/>
              </w:rPr>
              <w:t>就业创业扶持政策的制定及管理</w:t>
            </w:r>
          </w:p>
        </w:tc>
        <w:tc>
          <w:tcPr>
            <w:tcW w:w="1004" w:type="pct"/>
            <w:vMerge w:val="restart"/>
            <w:tcBorders>
              <w:top w:val="nil"/>
              <w:left w:val="single" w:color="auto" w:sz="4" w:space="0"/>
              <w:bottom w:val="single" w:color="auto" w:sz="4" w:space="0"/>
              <w:right w:val="single" w:color="auto" w:sz="4" w:space="0"/>
            </w:tcBorders>
            <w:vAlign w:val="center"/>
          </w:tcPr>
          <w:p w14:paraId="504C09C9">
            <w:pPr>
              <w:widowControl/>
              <w:jc w:val="left"/>
              <w:rPr>
                <w:rFonts w:ascii="宋体" w:cs="宋体"/>
                <w:kern w:val="0"/>
                <w:sz w:val="18"/>
                <w:szCs w:val="18"/>
              </w:rPr>
            </w:pPr>
            <w:r>
              <w:rPr>
                <w:rFonts w:hint="eastAsia" w:ascii="宋体" w:hAnsi="宋体" w:cs="宋体"/>
                <w:kern w:val="0"/>
                <w:sz w:val="18"/>
                <w:szCs w:val="18"/>
              </w:rPr>
              <w:t>健全公共就业服务体系，按照统一规划指导公共就业服务信息管理；办理毕业生就业手续派遣工作等。</w:t>
            </w:r>
          </w:p>
        </w:tc>
        <w:tc>
          <w:tcPr>
            <w:tcW w:w="203" w:type="pct"/>
            <w:vMerge w:val="restart"/>
            <w:tcBorders>
              <w:top w:val="nil"/>
              <w:left w:val="single" w:color="auto" w:sz="4" w:space="0"/>
              <w:bottom w:val="single" w:color="auto" w:sz="4" w:space="0"/>
              <w:right w:val="single" w:color="auto" w:sz="4" w:space="0"/>
            </w:tcBorders>
            <w:noWrap/>
            <w:vAlign w:val="center"/>
          </w:tcPr>
          <w:p w14:paraId="685EE7FA">
            <w:pPr>
              <w:widowControl/>
              <w:jc w:val="center"/>
              <w:rPr>
                <w:rFonts w:ascii="宋体" w:cs="宋体"/>
                <w:kern w:val="0"/>
                <w:sz w:val="18"/>
                <w:szCs w:val="18"/>
              </w:rPr>
            </w:pPr>
            <w:r>
              <w:rPr>
                <w:rFonts w:ascii="宋体" w:hAnsi="宋体" w:cs="宋体"/>
                <w:kern w:val="0"/>
                <w:sz w:val="18"/>
                <w:szCs w:val="18"/>
              </w:rPr>
              <w:t>2022</w:t>
            </w:r>
          </w:p>
        </w:tc>
        <w:tc>
          <w:tcPr>
            <w:tcW w:w="775" w:type="pct"/>
            <w:vMerge w:val="restart"/>
            <w:tcBorders>
              <w:top w:val="nil"/>
              <w:left w:val="single" w:color="auto" w:sz="4" w:space="0"/>
              <w:bottom w:val="single" w:color="auto" w:sz="4" w:space="0"/>
              <w:right w:val="single" w:color="auto" w:sz="4" w:space="0"/>
            </w:tcBorders>
            <w:vAlign w:val="center"/>
          </w:tcPr>
          <w:p w14:paraId="2E24BAAB">
            <w:pPr>
              <w:widowControl/>
              <w:jc w:val="left"/>
              <w:rPr>
                <w:rFonts w:ascii="宋体" w:cs="宋体"/>
                <w:kern w:val="0"/>
                <w:sz w:val="18"/>
                <w:szCs w:val="18"/>
              </w:rPr>
            </w:pPr>
            <w:r>
              <w:rPr>
                <w:rFonts w:hint="eastAsia" w:ascii="宋体" w:hAnsi="宋体" w:cs="宋体"/>
                <w:kern w:val="0"/>
                <w:sz w:val="18"/>
                <w:szCs w:val="18"/>
              </w:rPr>
              <w:t>健全公共就业服务体系，按照统一规划指导公共就业服务信息管理；办理毕业生就业手续派遣工作等。</w:t>
            </w:r>
          </w:p>
        </w:tc>
        <w:tc>
          <w:tcPr>
            <w:tcW w:w="631" w:type="pct"/>
            <w:tcBorders>
              <w:top w:val="nil"/>
              <w:left w:val="nil"/>
              <w:bottom w:val="single" w:color="auto" w:sz="4" w:space="0"/>
              <w:right w:val="single" w:color="auto" w:sz="4" w:space="0"/>
            </w:tcBorders>
            <w:vAlign w:val="center"/>
          </w:tcPr>
          <w:p w14:paraId="7DA6703D">
            <w:pPr>
              <w:widowControl/>
              <w:jc w:val="left"/>
              <w:rPr>
                <w:rFonts w:ascii="宋体" w:cs="宋体"/>
                <w:kern w:val="0"/>
                <w:sz w:val="18"/>
                <w:szCs w:val="18"/>
              </w:rPr>
            </w:pPr>
            <w:r>
              <w:rPr>
                <w:rFonts w:hint="eastAsia" w:ascii="宋体" w:hAnsi="宋体" w:cs="宋体"/>
                <w:kern w:val="0"/>
                <w:sz w:val="18"/>
                <w:szCs w:val="18"/>
              </w:rPr>
              <w:t>社会保险补贴到位率</w:t>
            </w:r>
          </w:p>
        </w:tc>
        <w:tc>
          <w:tcPr>
            <w:tcW w:w="901" w:type="pct"/>
            <w:tcBorders>
              <w:top w:val="nil"/>
              <w:left w:val="nil"/>
              <w:bottom w:val="single" w:color="auto" w:sz="4" w:space="0"/>
              <w:right w:val="single" w:color="auto" w:sz="4" w:space="0"/>
            </w:tcBorders>
            <w:vAlign w:val="center"/>
          </w:tcPr>
          <w:p w14:paraId="23B7684F">
            <w:pPr>
              <w:widowControl/>
              <w:jc w:val="left"/>
              <w:rPr>
                <w:rFonts w:ascii="宋体" w:cs="宋体"/>
                <w:kern w:val="0"/>
                <w:sz w:val="18"/>
                <w:szCs w:val="18"/>
              </w:rPr>
            </w:pPr>
            <w:r>
              <w:rPr>
                <w:rFonts w:hint="eastAsia" w:ascii="宋体" w:hAnsi="宋体" w:cs="宋体"/>
                <w:kern w:val="0"/>
                <w:sz w:val="18"/>
                <w:szCs w:val="18"/>
              </w:rPr>
              <w:t>经审核符合领取社会保险补贴条件的各类人员社会保险补贴发放率</w:t>
            </w:r>
          </w:p>
        </w:tc>
        <w:tc>
          <w:tcPr>
            <w:tcW w:w="203" w:type="pct"/>
            <w:tcBorders>
              <w:top w:val="nil"/>
              <w:left w:val="nil"/>
              <w:bottom w:val="single" w:color="auto" w:sz="4" w:space="0"/>
              <w:right w:val="single" w:color="auto" w:sz="4" w:space="0"/>
            </w:tcBorders>
            <w:vAlign w:val="center"/>
          </w:tcPr>
          <w:p w14:paraId="370D2B40">
            <w:pPr>
              <w:widowControl/>
              <w:jc w:val="left"/>
              <w:rPr>
                <w:rFonts w:ascii="宋体" w:cs="宋体"/>
                <w:kern w:val="0"/>
                <w:sz w:val="18"/>
                <w:szCs w:val="18"/>
              </w:rPr>
            </w:pPr>
            <w:r>
              <w:rPr>
                <w:rFonts w:ascii="宋体" w:hAnsi="宋体" w:cs="宋体"/>
                <w:kern w:val="0"/>
                <w:sz w:val="18"/>
                <w:szCs w:val="18"/>
              </w:rPr>
              <w:t>100%</w:t>
            </w:r>
          </w:p>
        </w:tc>
        <w:tc>
          <w:tcPr>
            <w:tcW w:w="298" w:type="pct"/>
            <w:tcBorders>
              <w:top w:val="nil"/>
              <w:left w:val="nil"/>
              <w:bottom w:val="single" w:color="auto" w:sz="4" w:space="0"/>
              <w:right w:val="single" w:color="auto" w:sz="4" w:space="0"/>
            </w:tcBorders>
            <w:vAlign w:val="center"/>
          </w:tcPr>
          <w:p w14:paraId="713D2CC8">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298" w:type="pct"/>
            <w:tcBorders>
              <w:top w:val="nil"/>
              <w:left w:val="nil"/>
              <w:bottom w:val="single" w:color="auto" w:sz="4" w:space="0"/>
              <w:right w:val="single" w:color="auto" w:sz="4" w:space="0"/>
            </w:tcBorders>
            <w:vAlign w:val="center"/>
          </w:tcPr>
          <w:p w14:paraId="641821FA">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80%</w:t>
            </w:r>
          </w:p>
        </w:tc>
        <w:tc>
          <w:tcPr>
            <w:tcW w:w="203" w:type="pct"/>
            <w:tcBorders>
              <w:top w:val="nil"/>
              <w:left w:val="nil"/>
              <w:bottom w:val="single" w:color="auto" w:sz="4" w:space="0"/>
              <w:right w:val="single" w:color="auto" w:sz="4" w:space="0"/>
            </w:tcBorders>
            <w:vAlign w:val="center"/>
          </w:tcPr>
          <w:p w14:paraId="5CB31BE2">
            <w:pPr>
              <w:widowControl/>
              <w:jc w:val="left"/>
              <w:rPr>
                <w:rFonts w:ascii="宋体" w:cs="宋体"/>
                <w:kern w:val="0"/>
                <w:sz w:val="18"/>
                <w:szCs w:val="18"/>
              </w:rPr>
            </w:pPr>
            <w:r>
              <w:rPr>
                <w:rFonts w:ascii="宋体" w:hAnsi="宋体" w:cs="宋体"/>
                <w:kern w:val="0"/>
                <w:sz w:val="18"/>
                <w:szCs w:val="18"/>
              </w:rPr>
              <w:t>&lt;80%</w:t>
            </w:r>
          </w:p>
        </w:tc>
      </w:tr>
      <w:tr w14:paraId="5588DCE3">
        <w:tblPrEx>
          <w:tblCellMar>
            <w:top w:w="0" w:type="dxa"/>
            <w:left w:w="108" w:type="dxa"/>
            <w:bottom w:w="0" w:type="dxa"/>
            <w:right w:w="108" w:type="dxa"/>
          </w:tblCellMar>
        </w:tblPrEx>
        <w:trPr>
          <w:trHeight w:val="1080" w:hRule="atLeast"/>
        </w:trPr>
        <w:tc>
          <w:tcPr>
            <w:tcW w:w="204" w:type="pct"/>
            <w:vMerge w:val="continue"/>
            <w:tcBorders>
              <w:top w:val="nil"/>
              <w:left w:val="single" w:color="auto" w:sz="4" w:space="0"/>
              <w:bottom w:val="single" w:color="auto" w:sz="4" w:space="0"/>
              <w:right w:val="single" w:color="auto" w:sz="4" w:space="0"/>
            </w:tcBorders>
            <w:vAlign w:val="center"/>
          </w:tcPr>
          <w:p w14:paraId="17139E8D">
            <w:pPr>
              <w:widowControl/>
              <w:jc w:val="left"/>
              <w:rPr>
                <w:rFonts w:ascii="宋体" w:cs="宋体"/>
                <w:kern w:val="0"/>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52412A44">
            <w:pPr>
              <w:widowControl/>
              <w:jc w:val="left"/>
              <w:rPr>
                <w:rFonts w:ascii="宋体" w:cs="宋体"/>
                <w:kern w:val="0"/>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68F7CCC2">
            <w:pPr>
              <w:widowControl/>
              <w:jc w:val="left"/>
              <w:rPr>
                <w:rFonts w:ascii="宋体" w:cs="宋体"/>
                <w:kern w:val="0"/>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14:paraId="26D56C67">
            <w:pPr>
              <w:widowControl/>
              <w:jc w:val="left"/>
              <w:rPr>
                <w:rFonts w:ascii="宋体" w:cs="宋体"/>
                <w:kern w:val="0"/>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14:paraId="0C245510">
            <w:pPr>
              <w:widowControl/>
              <w:jc w:val="left"/>
              <w:rPr>
                <w:rFonts w:ascii="宋体" w:cs="宋体"/>
                <w:kern w:val="0"/>
                <w:sz w:val="18"/>
                <w:szCs w:val="18"/>
              </w:rPr>
            </w:pPr>
          </w:p>
        </w:tc>
        <w:tc>
          <w:tcPr>
            <w:tcW w:w="631" w:type="pct"/>
            <w:tcBorders>
              <w:top w:val="nil"/>
              <w:left w:val="nil"/>
              <w:bottom w:val="single" w:color="auto" w:sz="4" w:space="0"/>
              <w:right w:val="single" w:color="auto" w:sz="4" w:space="0"/>
            </w:tcBorders>
            <w:vAlign w:val="center"/>
          </w:tcPr>
          <w:p w14:paraId="1FDC85C6">
            <w:pPr>
              <w:widowControl/>
              <w:jc w:val="left"/>
              <w:rPr>
                <w:rFonts w:ascii="宋体" w:cs="宋体"/>
                <w:kern w:val="0"/>
                <w:sz w:val="18"/>
                <w:szCs w:val="18"/>
              </w:rPr>
            </w:pPr>
            <w:r>
              <w:rPr>
                <w:rFonts w:hint="eastAsia" w:ascii="宋体" w:hAnsi="宋体" w:cs="宋体"/>
                <w:kern w:val="0"/>
                <w:sz w:val="18"/>
                <w:szCs w:val="18"/>
              </w:rPr>
              <w:t>公益性岗位补贴到位率</w:t>
            </w:r>
          </w:p>
        </w:tc>
        <w:tc>
          <w:tcPr>
            <w:tcW w:w="901" w:type="pct"/>
            <w:tcBorders>
              <w:top w:val="nil"/>
              <w:left w:val="nil"/>
              <w:bottom w:val="single" w:color="auto" w:sz="4" w:space="0"/>
              <w:right w:val="single" w:color="auto" w:sz="4" w:space="0"/>
            </w:tcBorders>
            <w:vAlign w:val="center"/>
          </w:tcPr>
          <w:p w14:paraId="33AE046A">
            <w:pPr>
              <w:widowControl/>
              <w:jc w:val="left"/>
              <w:rPr>
                <w:rFonts w:ascii="宋体" w:cs="宋体"/>
                <w:kern w:val="0"/>
                <w:sz w:val="18"/>
                <w:szCs w:val="18"/>
              </w:rPr>
            </w:pPr>
            <w:r>
              <w:rPr>
                <w:rFonts w:hint="eastAsia" w:ascii="宋体" w:hAnsi="宋体" w:cs="宋体"/>
                <w:kern w:val="0"/>
                <w:sz w:val="18"/>
                <w:szCs w:val="18"/>
              </w:rPr>
              <w:t>经审核符合领取公益性岗位补贴条件的公益性岗位补贴发放率</w:t>
            </w:r>
          </w:p>
        </w:tc>
        <w:tc>
          <w:tcPr>
            <w:tcW w:w="203" w:type="pct"/>
            <w:tcBorders>
              <w:top w:val="nil"/>
              <w:left w:val="nil"/>
              <w:bottom w:val="single" w:color="auto" w:sz="4" w:space="0"/>
              <w:right w:val="single" w:color="auto" w:sz="4" w:space="0"/>
            </w:tcBorders>
            <w:vAlign w:val="center"/>
          </w:tcPr>
          <w:p w14:paraId="4C3758D2">
            <w:pPr>
              <w:widowControl/>
              <w:jc w:val="left"/>
              <w:rPr>
                <w:rFonts w:ascii="宋体" w:cs="宋体"/>
                <w:kern w:val="0"/>
                <w:sz w:val="18"/>
                <w:szCs w:val="18"/>
              </w:rPr>
            </w:pPr>
            <w:r>
              <w:rPr>
                <w:rFonts w:ascii="宋体" w:hAnsi="宋体" w:cs="宋体"/>
                <w:kern w:val="0"/>
                <w:sz w:val="18"/>
                <w:szCs w:val="18"/>
              </w:rPr>
              <w:t>100%</w:t>
            </w:r>
          </w:p>
        </w:tc>
        <w:tc>
          <w:tcPr>
            <w:tcW w:w="298" w:type="pct"/>
            <w:tcBorders>
              <w:top w:val="nil"/>
              <w:left w:val="nil"/>
              <w:bottom w:val="single" w:color="auto" w:sz="4" w:space="0"/>
              <w:right w:val="single" w:color="auto" w:sz="4" w:space="0"/>
            </w:tcBorders>
            <w:vAlign w:val="center"/>
          </w:tcPr>
          <w:p w14:paraId="3A16B080">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298" w:type="pct"/>
            <w:tcBorders>
              <w:top w:val="nil"/>
              <w:left w:val="nil"/>
              <w:bottom w:val="single" w:color="auto" w:sz="4" w:space="0"/>
              <w:right w:val="single" w:color="auto" w:sz="4" w:space="0"/>
            </w:tcBorders>
            <w:vAlign w:val="center"/>
          </w:tcPr>
          <w:p w14:paraId="440814E5">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80%</w:t>
            </w:r>
          </w:p>
        </w:tc>
        <w:tc>
          <w:tcPr>
            <w:tcW w:w="203" w:type="pct"/>
            <w:tcBorders>
              <w:top w:val="nil"/>
              <w:left w:val="nil"/>
              <w:bottom w:val="single" w:color="auto" w:sz="4" w:space="0"/>
              <w:right w:val="single" w:color="auto" w:sz="4" w:space="0"/>
            </w:tcBorders>
            <w:vAlign w:val="center"/>
          </w:tcPr>
          <w:p w14:paraId="6EA68E86">
            <w:pPr>
              <w:widowControl/>
              <w:jc w:val="left"/>
              <w:rPr>
                <w:rFonts w:ascii="宋体" w:cs="宋体"/>
                <w:kern w:val="0"/>
                <w:sz w:val="18"/>
                <w:szCs w:val="18"/>
              </w:rPr>
            </w:pPr>
            <w:r>
              <w:rPr>
                <w:rFonts w:ascii="宋体" w:hAnsi="宋体" w:cs="宋体"/>
                <w:kern w:val="0"/>
                <w:sz w:val="18"/>
                <w:szCs w:val="18"/>
              </w:rPr>
              <w:t>&lt;80%</w:t>
            </w:r>
          </w:p>
        </w:tc>
      </w:tr>
      <w:tr w14:paraId="4D40D548">
        <w:tblPrEx>
          <w:tblCellMar>
            <w:top w:w="0" w:type="dxa"/>
            <w:left w:w="108" w:type="dxa"/>
            <w:bottom w:w="0" w:type="dxa"/>
            <w:right w:w="108" w:type="dxa"/>
          </w:tblCellMar>
        </w:tblPrEx>
        <w:trPr>
          <w:trHeight w:val="432" w:hRule="atLeast"/>
        </w:trPr>
        <w:tc>
          <w:tcPr>
            <w:tcW w:w="204" w:type="pct"/>
            <w:vMerge w:val="restart"/>
            <w:tcBorders>
              <w:top w:val="nil"/>
              <w:left w:val="single" w:color="auto" w:sz="4" w:space="0"/>
              <w:bottom w:val="single" w:color="auto" w:sz="4" w:space="0"/>
              <w:right w:val="single" w:color="auto" w:sz="4" w:space="0"/>
            </w:tcBorders>
            <w:noWrap/>
            <w:vAlign w:val="center"/>
          </w:tcPr>
          <w:p w14:paraId="58BB0EB2">
            <w:pPr>
              <w:widowControl/>
              <w:jc w:val="center"/>
              <w:rPr>
                <w:rFonts w:ascii="宋体" w:cs="宋体"/>
                <w:kern w:val="0"/>
                <w:sz w:val="18"/>
                <w:szCs w:val="18"/>
              </w:rPr>
            </w:pPr>
            <w:r>
              <w:rPr>
                <w:rFonts w:ascii="宋体" w:hAnsi="宋体" w:cs="宋体"/>
                <w:kern w:val="0"/>
                <w:sz w:val="18"/>
                <w:szCs w:val="18"/>
              </w:rPr>
              <w:t>0102</w:t>
            </w:r>
          </w:p>
        </w:tc>
        <w:tc>
          <w:tcPr>
            <w:tcW w:w="279" w:type="pct"/>
            <w:vMerge w:val="restart"/>
            <w:tcBorders>
              <w:top w:val="nil"/>
              <w:left w:val="single" w:color="auto" w:sz="4" w:space="0"/>
              <w:bottom w:val="single" w:color="auto" w:sz="4" w:space="0"/>
              <w:right w:val="single" w:color="auto" w:sz="4" w:space="0"/>
            </w:tcBorders>
            <w:vAlign w:val="center"/>
          </w:tcPr>
          <w:p w14:paraId="5A38CC41">
            <w:pPr>
              <w:widowControl/>
              <w:jc w:val="left"/>
              <w:rPr>
                <w:rFonts w:ascii="宋体" w:cs="宋体"/>
                <w:kern w:val="0"/>
                <w:sz w:val="18"/>
                <w:szCs w:val="18"/>
              </w:rPr>
            </w:pPr>
            <w:r>
              <w:rPr>
                <w:rFonts w:hint="eastAsia" w:ascii="宋体" w:hAnsi="宋体" w:cs="宋体"/>
                <w:kern w:val="0"/>
                <w:sz w:val="18"/>
                <w:szCs w:val="18"/>
              </w:rPr>
              <w:t>就业服务体系建设</w:t>
            </w:r>
          </w:p>
        </w:tc>
        <w:tc>
          <w:tcPr>
            <w:tcW w:w="1004" w:type="pct"/>
            <w:vMerge w:val="restart"/>
            <w:tcBorders>
              <w:top w:val="nil"/>
              <w:left w:val="single" w:color="auto" w:sz="4" w:space="0"/>
              <w:bottom w:val="single" w:color="auto" w:sz="4" w:space="0"/>
              <w:right w:val="single" w:color="auto" w:sz="4" w:space="0"/>
            </w:tcBorders>
            <w:vAlign w:val="center"/>
          </w:tcPr>
          <w:p w14:paraId="082A4ABD">
            <w:pPr>
              <w:widowControl/>
              <w:jc w:val="left"/>
              <w:rPr>
                <w:rFonts w:ascii="宋体" w:cs="宋体"/>
                <w:kern w:val="0"/>
                <w:sz w:val="18"/>
                <w:szCs w:val="18"/>
              </w:rPr>
            </w:pPr>
            <w:r>
              <w:rPr>
                <w:rFonts w:hint="eastAsia" w:ascii="宋体" w:hAnsi="宋体" w:cs="宋体"/>
                <w:kern w:val="0"/>
                <w:sz w:val="18"/>
                <w:szCs w:val="18"/>
              </w:rPr>
              <w:t>建立健全职业指导、职业介绍、就业创业服务、人力资源市场、毕业生就业等公共就业服务体系，建立基层人力资源和社会保障服务平台，完善人事档案公共服务，开展人力资源服务业、家庭服务业工作、就业服务指导。</w:t>
            </w:r>
          </w:p>
        </w:tc>
        <w:tc>
          <w:tcPr>
            <w:tcW w:w="203" w:type="pct"/>
            <w:tcBorders>
              <w:top w:val="nil"/>
              <w:left w:val="nil"/>
              <w:bottom w:val="single" w:color="auto" w:sz="4" w:space="0"/>
              <w:right w:val="single" w:color="auto" w:sz="4" w:space="0"/>
            </w:tcBorders>
            <w:noWrap/>
            <w:vAlign w:val="center"/>
          </w:tcPr>
          <w:p w14:paraId="5D67D2E6">
            <w:pPr>
              <w:widowControl/>
              <w:jc w:val="right"/>
              <w:rPr>
                <w:rFonts w:ascii="宋体" w:cs="宋体"/>
                <w:kern w:val="0"/>
                <w:sz w:val="18"/>
                <w:szCs w:val="18"/>
              </w:rPr>
            </w:pPr>
            <w:r>
              <w:rPr>
                <w:rFonts w:ascii="宋体" w:hAnsi="宋体" w:cs="宋体"/>
                <w:kern w:val="0"/>
                <w:sz w:val="18"/>
                <w:szCs w:val="18"/>
              </w:rPr>
              <w:t>2022</w:t>
            </w:r>
          </w:p>
        </w:tc>
        <w:tc>
          <w:tcPr>
            <w:tcW w:w="775" w:type="pct"/>
            <w:vMerge w:val="restart"/>
            <w:tcBorders>
              <w:top w:val="nil"/>
              <w:left w:val="single" w:color="auto" w:sz="4" w:space="0"/>
              <w:bottom w:val="single" w:color="auto" w:sz="4" w:space="0"/>
              <w:right w:val="single" w:color="auto" w:sz="4" w:space="0"/>
            </w:tcBorders>
            <w:vAlign w:val="center"/>
          </w:tcPr>
          <w:p w14:paraId="368AC228">
            <w:pPr>
              <w:widowControl/>
              <w:jc w:val="left"/>
              <w:rPr>
                <w:rFonts w:ascii="宋体" w:cs="宋体"/>
                <w:kern w:val="0"/>
                <w:sz w:val="18"/>
                <w:szCs w:val="18"/>
              </w:rPr>
            </w:pPr>
            <w:r>
              <w:rPr>
                <w:rFonts w:hint="eastAsia" w:ascii="宋体" w:hAnsi="宋体" w:cs="宋体"/>
                <w:kern w:val="0"/>
                <w:sz w:val="18"/>
                <w:szCs w:val="18"/>
              </w:rPr>
              <w:t>实施免费的公共就业服务</w:t>
            </w:r>
          </w:p>
        </w:tc>
        <w:tc>
          <w:tcPr>
            <w:tcW w:w="631" w:type="pct"/>
            <w:tcBorders>
              <w:top w:val="nil"/>
              <w:left w:val="nil"/>
              <w:bottom w:val="single" w:color="auto" w:sz="4" w:space="0"/>
              <w:right w:val="single" w:color="auto" w:sz="4" w:space="0"/>
            </w:tcBorders>
            <w:vAlign w:val="center"/>
          </w:tcPr>
          <w:p w14:paraId="20805DF1">
            <w:pPr>
              <w:widowControl/>
              <w:jc w:val="left"/>
              <w:rPr>
                <w:rFonts w:ascii="宋体" w:cs="宋体"/>
                <w:kern w:val="0"/>
                <w:sz w:val="18"/>
                <w:szCs w:val="18"/>
              </w:rPr>
            </w:pPr>
            <w:r>
              <w:rPr>
                <w:rFonts w:hint="eastAsia" w:ascii="宋体" w:hAnsi="宋体" w:cs="宋体"/>
                <w:kern w:val="0"/>
                <w:sz w:val="18"/>
                <w:szCs w:val="18"/>
              </w:rPr>
              <w:t>人事档案公共管理服务工作完成率</w:t>
            </w:r>
          </w:p>
        </w:tc>
        <w:tc>
          <w:tcPr>
            <w:tcW w:w="901" w:type="pct"/>
            <w:tcBorders>
              <w:top w:val="nil"/>
              <w:left w:val="nil"/>
              <w:bottom w:val="single" w:color="auto" w:sz="4" w:space="0"/>
              <w:right w:val="single" w:color="auto" w:sz="4" w:space="0"/>
            </w:tcBorders>
            <w:vAlign w:val="center"/>
          </w:tcPr>
          <w:p w14:paraId="40913BDA">
            <w:pPr>
              <w:widowControl/>
              <w:jc w:val="left"/>
              <w:rPr>
                <w:rFonts w:ascii="宋体" w:cs="宋体"/>
                <w:kern w:val="0"/>
                <w:sz w:val="18"/>
                <w:szCs w:val="18"/>
              </w:rPr>
            </w:pPr>
            <w:r>
              <w:rPr>
                <w:rFonts w:hint="eastAsia" w:ascii="宋体" w:hAnsi="宋体" w:cs="宋体"/>
                <w:kern w:val="0"/>
                <w:sz w:val="18"/>
                <w:szCs w:val="18"/>
              </w:rPr>
              <w:t>当年完成人事档案管理数量占应申请人事档案管理数量的比例</w:t>
            </w:r>
          </w:p>
        </w:tc>
        <w:tc>
          <w:tcPr>
            <w:tcW w:w="203" w:type="pct"/>
            <w:tcBorders>
              <w:top w:val="nil"/>
              <w:left w:val="nil"/>
              <w:bottom w:val="single" w:color="auto" w:sz="4" w:space="0"/>
              <w:right w:val="single" w:color="auto" w:sz="4" w:space="0"/>
            </w:tcBorders>
            <w:vAlign w:val="center"/>
          </w:tcPr>
          <w:p w14:paraId="1B8C1571">
            <w:pPr>
              <w:widowControl/>
              <w:jc w:val="left"/>
              <w:rPr>
                <w:rFonts w:ascii="宋体" w:cs="宋体"/>
                <w:kern w:val="0"/>
                <w:sz w:val="18"/>
                <w:szCs w:val="18"/>
              </w:rPr>
            </w:pPr>
            <w:r>
              <w:rPr>
                <w:rFonts w:ascii="宋体" w:hAnsi="宋体" w:cs="宋体"/>
                <w:kern w:val="0"/>
                <w:sz w:val="18"/>
                <w:szCs w:val="18"/>
              </w:rPr>
              <w:t>100%</w:t>
            </w:r>
          </w:p>
        </w:tc>
        <w:tc>
          <w:tcPr>
            <w:tcW w:w="298" w:type="pct"/>
            <w:tcBorders>
              <w:top w:val="nil"/>
              <w:left w:val="nil"/>
              <w:bottom w:val="single" w:color="auto" w:sz="4" w:space="0"/>
              <w:right w:val="single" w:color="auto" w:sz="4" w:space="0"/>
            </w:tcBorders>
            <w:vAlign w:val="center"/>
          </w:tcPr>
          <w:p w14:paraId="6D218861">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298" w:type="pct"/>
            <w:tcBorders>
              <w:top w:val="nil"/>
              <w:left w:val="nil"/>
              <w:bottom w:val="single" w:color="auto" w:sz="4" w:space="0"/>
              <w:right w:val="single" w:color="auto" w:sz="4" w:space="0"/>
            </w:tcBorders>
            <w:vAlign w:val="center"/>
          </w:tcPr>
          <w:p w14:paraId="103EBD5F">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80%</w:t>
            </w:r>
          </w:p>
        </w:tc>
        <w:tc>
          <w:tcPr>
            <w:tcW w:w="203" w:type="pct"/>
            <w:tcBorders>
              <w:top w:val="nil"/>
              <w:left w:val="nil"/>
              <w:bottom w:val="single" w:color="auto" w:sz="4" w:space="0"/>
              <w:right w:val="single" w:color="auto" w:sz="4" w:space="0"/>
            </w:tcBorders>
            <w:vAlign w:val="center"/>
          </w:tcPr>
          <w:p w14:paraId="7152CF4E">
            <w:pPr>
              <w:widowControl/>
              <w:jc w:val="left"/>
              <w:rPr>
                <w:rFonts w:ascii="宋体" w:cs="宋体"/>
                <w:kern w:val="0"/>
                <w:sz w:val="18"/>
                <w:szCs w:val="18"/>
              </w:rPr>
            </w:pPr>
            <w:r>
              <w:rPr>
                <w:rFonts w:ascii="宋体" w:hAnsi="宋体" w:cs="宋体"/>
                <w:kern w:val="0"/>
                <w:sz w:val="18"/>
                <w:szCs w:val="18"/>
              </w:rPr>
              <w:t>&lt;80%</w:t>
            </w:r>
          </w:p>
        </w:tc>
      </w:tr>
      <w:tr w14:paraId="4A32579A">
        <w:tblPrEx>
          <w:tblCellMar>
            <w:top w:w="0" w:type="dxa"/>
            <w:left w:w="108" w:type="dxa"/>
            <w:bottom w:w="0" w:type="dxa"/>
            <w:right w:w="108" w:type="dxa"/>
          </w:tblCellMar>
        </w:tblPrEx>
        <w:trPr>
          <w:trHeight w:val="492" w:hRule="atLeast"/>
        </w:trPr>
        <w:tc>
          <w:tcPr>
            <w:tcW w:w="204" w:type="pct"/>
            <w:vMerge w:val="continue"/>
            <w:tcBorders>
              <w:top w:val="nil"/>
              <w:left w:val="single" w:color="auto" w:sz="4" w:space="0"/>
              <w:bottom w:val="single" w:color="auto" w:sz="4" w:space="0"/>
              <w:right w:val="single" w:color="auto" w:sz="4" w:space="0"/>
            </w:tcBorders>
            <w:vAlign w:val="center"/>
          </w:tcPr>
          <w:p w14:paraId="01DC45A8">
            <w:pPr>
              <w:widowControl/>
              <w:jc w:val="left"/>
              <w:rPr>
                <w:rFonts w:ascii="宋体" w:cs="宋体"/>
                <w:kern w:val="0"/>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4AC746D7">
            <w:pPr>
              <w:widowControl/>
              <w:jc w:val="left"/>
              <w:rPr>
                <w:rFonts w:ascii="宋体" w:cs="宋体"/>
                <w:kern w:val="0"/>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5351B926">
            <w:pPr>
              <w:widowControl/>
              <w:jc w:val="left"/>
              <w:rPr>
                <w:rFonts w:ascii="宋体" w:cs="宋体"/>
                <w:kern w:val="0"/>
                <w:sz w:val="18"/>
                <w:szCs w:val="18"/>
              </w:rPr>
            </w:pPr>
          </w:p>
        </w:tc>
        <w:tc>
          <w:tcPr>
            <w:tcW w:w="203" w:type="pct"/>
            <w:tcBorders>
              <w:top w:val="nil"/>
              <w:left w:val="nil"/>
              <w:bottom w:val="single" w:color="auto" w:sz="4" w:space="0"/>
              <w:right w:val="single" w:color="auto" w:sz="4" w:space="0"/>
            </w:tcBorders>
            <w:noWrap/>
            <w:vAlign w:val="center"/>
          </w:tcPr>
          <w:p w14:paraId="6DF3CACB">
            <w:pPr>
              <w:widowControl/>
              <w:jc w:val="right"/>
              <w:rPr>
                <w:rFonts w:ascii="宋体" w:cs="宋体"/>
                <w:kern w:val="0"/>
                <w:sz w:val="18"/>
                <w:szCs w:val="18"/>
              </w:rPr>
            </w:pPr>
            <w:r>
              <w:rPr>
                <w:rFonts w:ascii="宋体" w:hAnsi="宋体" w:cs="宋体"/>
                <w:kern w:val="0"/>
                <w:sz w:val="18"/>
                <w:szCs w:val="18"/>
              </w:rPr>
              <w:t>2022</w:t>
            </w:r>
          </w:p>
        </w:tc>
        <w:tc>
          <w:tcPr>
            <w:tcW w:w="775" w:type="pct"/>
            <w:vMerge w:val="continue"/>
            <w:tcBorders>
              <w:top w:val="nil"/>
              <w:left w:val="single" w:color="auto" w:sz="4" w:space="0"/>
              <w:bottom w:val="single" w:color="auto" w:sz="4" w:space="0"/>
              <w:right w:val="single" w:color="auto" w:sz="4" w:space="0"/>
            </w:tcBorders>
            <w:vAlign w:val="center"/>
          </w:tcPr>
          <w:p w14:paraId="6BB2B9C8">
            <w:pPr>
              <w:widowControl/>
              <w:jc w:val="left"/>
              <w:rPr>
                <w:rFonts w:ascii="宋体" w:cs="宋体"/>
                <w:kern w:val="0"/>
                <w:sz w:val="18"/>
                <w:szCs w:val="18"/>
              </w:rPr>
            </w:pPr>
          </w:p>
        </w:tc>
        <w:tc>
          <w:tcPr>
            <w:tcW w:w="631" w:type="pct"/>
            <w:tcBorders>
              <w:top w:val="nil"/>
              <w:left w:val="nil"/>
              <w:bottom w:val="single" w:color="auto" w:sz="4" w:space="0"/>
              <w:right w:val="single" w:color="auto" w:sz="4" w:space="0"/>
            </w:tcBorders>
            <w:vAlign w:val="center"/>
          </w:tcPr>
          <w:p w14:paraId="06413041">
            <w:pPr>
              <w:widowControl/>
              <w:jc w:val="left"/>
              <w:rPr>
                <w:rFonts w:ascii="宋体" w:cs="宋体"/>
                <w:kern w:val="0"/>
                <w:sz w:val="18"/>
                <w:szCs w:val="18"/>
              </w:rPr>
            </w:pPr>
            <w:r>
              <w:rPr>
                <w:rFonts w:hint="eastAsia" w:ascii="宋体" w:hAnsi="宋体" w:cs="宋体"/>
                <w:kern w:val="0"/>
                <w:sz w:val="18"/>
                <w:szCs w:val="18"/>
              </w:rPr>
              <w:t>劳动力资源调查完成率</w:t>
            </w:r>
          </w:p>
        </w:tc>
        <w:tc>
          <w:tcPr>
            <w:tcW w:w="901" w:type="pct"/>
            <w:tcBorders>
              <w:top w:val="nil"/>
              <w:left w:val="nil"/>
              <w:bottom w:val="single" w:color="auto" w:sz="4" w:space="0"/>
              <w:right w:val="single" w:color="auto" w:sz="4" w:space="0"/>
            </w:tcBorders>
            <w:vAlign w:val="center"/>
          </w:tcPr>
          <w:p w14:paraId="38A30F95">
            <w:pPr>
              <w:widowControl/>
              <w:jc w:val="left"/>
              <w:rPr>
                <w:rFonts w:ascii="宋体" w:cs="宋体"/>
                <w:kern w:val="0"/>
                <w:sz w:val="18"/>
                <w:szCs w:val="18"/>
              </w:rPr>
            </w:pPr>
            <w:r>
              <w:rPr>
                <w:rFonts w:hint="eastAsia" w:ascii="宋体" w:hAnsi="宋体" w:cs="宋体"/>
                <w:kern w:val="0"/>
                <w:sz w:val="18"/>
                <w:szCs w:val="18"/>
              </w:rPr>
              <w:t>实际劳动力入户调查有需求人员占计划调查范围比例</w:t>
            </w:r>
          </w:p>
        </w:tc>
        <w:tc>
          <w:tcPr>
            <w:tcW w:w="203" w:type="pct"/>
            <w:tcBorders>
              <w:top w:val="nil"/>
              <w:left w:val="nil"/>
              <w:bottom w:val="single" w:color="auto" w:sz="4" w:space="0"/>
              <w:right w:val="single" w:color="auto" w:sz="4" w:space="0"/>
            </w:tcBorders>
            <w:vAlign w:val="center"/>
          </w:tcPr>
          <w:p w14:paraId="4A4C7DDB">
            <w:pPr>
              <w:widowControl/>
              <w:jc w:val="left"/>
              <w:rPr>
                <w:rFonts w:ascii="宋体" w:cs="宋体"/>
                <w:kern w:val="0"/>
                <w:sz w:val="18"/>
                <w:szCs w:val="18"/>
              </w:rPr>
            </w:pPr>
            <w:r>
              <w:rPr>
                <w:rFonts w:ascii="宋体" w:hAnsi="宋体" w:cs="宋体"/>
                <w:kern w:val="0"/>
                <w:sz w:val="18"/>
                <w:szCs w:val="18"/>
              </w:rPr>
              <w:t>100%</w:t>
            </w:r>
          </w:p>
        </w:tc>
        <w:tc>
          <w:tcPr>
            <w:tcW w:w="298" w:type="pct"/>
            <w:tcBorders>
              <w:top w:val="nil"/>
              <w:left w:val="nil"/>
              <w:bottom w:val="single" w:color="auto" w:sz="4" w:space="0"/>
              <w:right w:val="single" w:color="auto" w:sz="4" w:space="0"/>
            </w:tcBorders>
            <w:vAlign w:val="center"/>
          </w:tcPr>
          <w:p w14:paraId="45086D83">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298" w:type="pct"/>
            <w:tcBorders>
              <w:top w:val="nil"/>
              <w:left w:val="nil"/>
              <w:bottom w:val="single" w:color="auto" w:sz="4" w:space="0"/>
              <w:right w:val="single" w:color="auto" w:sz="4" w:space="0"/>
            </w:tcBorders>
            <w:vAlign w:val="center"/>
          </w:tcPr>
          <w:p w14:paraId="38806151">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80%</w:t>
            </w:r>
          </w:p>
        </w:tc>
        <w:tc>
          <w:tcPr>
            <w:tcW w:w="203" w:type="pct"/>
            <w:tcBorders>
              <w:top w:val="nil"/>
              <w:left w:val="nil"/>
              <w:bottom w:val="single" w:color="auto" w:sz="4" w:space="0"/>
              <w:right w:val="single" w:color="auto" w:sz="4" w:space="0"/>
            </w:tcBorders>
            <w:vAlign w:val="center"/>
          </w:tcPr>
          <w:p w14:paraId="631A1DC9">
            <w:pPr>
              <w:widowControl/>
              <w:jc w:val="left"/>
              <w:rPr>
                <w:rFonts w:ascii="宋体" w:cs="宋体"/>
                <w:kern w:val="0"/>
                <w:sz w:val="18"/>
                <w:szCs w:val="18"/>
              </w:rPr>
            </w:pPr>
            <w:r>
              <w:rPr>
                <w:rFonts w:ascii="宋体" w:hAnsi="宋体" w:cs="宋体"/>
                <w:kern w:val="0"/>
                <w:sz w:val="18"/>
                <w:szCs w:val="18"/>
              </w:rPr>
              <w:t>&lt;80%</w:t>
            </w:r>
          </w:p>
        </w:tc>
      </w:tr>
      <w:tr w14:paraId="253F78A9">
        <w:tblPrEx>
          <w:tblCellMar>
            <w:top w:w="0" w:type="dxa"/>
            <w:left w:w="108" w:type="dxa"/>
            <w:bottom w:w="0" w:type="dxa"/>
            <w:right w:w="108" w:type="dxa"/>
          </w:tblCellMar>
        </w:tblPrEx>
        <w:trPr>
          <w:trHeight w:val="528" w:hRule="atLeast"/>
        </w:trPr>
        <w:tc>
          <w:tcPr>
            <w:tcW w:w="204" w:type="pct"/>
            <w:vMerge w:val="continue"/>
            <w:tcBorders>
              <w:top w:val="nil"/>
              <w:left w:val="single" w:color="auto" w:sz="4" w:space="0"/>
              <w:bottom w:val="single" w:color="auto" w:sz="4" w:space="0"/>
              <w:right w:val="single" w:color="auto" w:sz="4" w:space="0"/>
            </w:tcBorders>
            <w:vAlign w:val="center"/>
          </w:tcPr>
          <w:p w14:paraId="3DAD24C4">
            <w:pPr>
              <w:widowControl/>
              <w:jc w:val="left"/>
              <w:rPr>
                <w:rFonts w:ascii="宋体" w:cs="宋体"/>
                <w:kern w:val="0"/>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0F83B17B">
            <w:pPr>
              <w:widowControl/>
              <w:jc w:val="left"/>
              <w:rPr>
                <w:rFonts w:ascii="宋体" w:cs="宋体"/>
                <w:kern w:val="0"/>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7443044E">
            <w:pPr>
              <w:widowControl/>
              <w:jc w:val="left"/>
              <w:rPr>
                <w:rFonts w:ascii="宋体" w:cs="宋体"/>
                <w:kern w:val="0"/>
                <w:sz w:val="18"/>
                <w:szCs w:val="18"/>
              </w:rPr>
            </w:pPr>
          </w:p>
        </w:tc>
        <w:tc>
          <w:tcPr>
            <w:tcW w:w="203" w:type="pct"/>
            <w:tcBorders>
              <w:top w:val="nil"/>
              <w:left w:val="nil"/>
              <w:bottom w:val="single" w:color="auto" w:sz="4" w:space="0"/>
              <w:right w:val="single" w:color="auto" w:sz="4" w:space="0"/>
            </w:tcBorders>
            <w:noWrap/>
            <w:vAlign w:val="center"/>
          </w:tcPr>
          <w:p w14:paraId="528AE775">
            <w:pPr>
              <w:widowControl/>
              <w:jc w:val="right"/>
              <w:rPr>
                <w:rFonts w:ascii="宋体" w:cs="宋体"/>
                <w:kern w:val="0"/>
                <w:sz w:val="18"/>
                <w:szCs w:val="18"/>
              </w:rPr>
            </w:pPr>
            <w:r>
              <w:rPr>
                <w:rFonts w:ascii="宋体" w:hAnsi="宋体" w:cs="宋体"/>
                <w:kern w:val="0"/>
                <w:sz w:val="18"/>
                <w:szCs w:val="18"/>
              </w:rPr>
              <w:t>2022</w:t>
            </w:r>
          </w:p>
        </w:tc>
        <w:tc>
          <w:tcPr>
            <w:tcW w:w="775" w:type="pct"/>
            <w:vMerge w:val="continue"/>
            <w:tcBorders>
              <w:top w:val="nil"/>
              <w:left w:val="single" w:color="auto" w:sz="4" w:space="0"/>
              <w:bottom w:val="single" w:color="auto" w:sz="4" w:space="0"/>
              <w:right w:val="single" w:color="auto" w:sz="4" w:space="0"/>
            </w:tcBorders>
            <w:vAlign w:val="center"/>
          </w:tcPr>
          <w:p w14:paraId="71043C6C">
            <w:pPr>
              <w:widowControl/>
              <w:jc w:val="left"/>
              <w:rPr>
                <w:rFonts w:ascii="宋体" w:cs="宋体"/>
                <w:kern w:val="0"/>
                <w:sz w:val="18"/>
                <w:szCs w:val="18"/>
              </w:rPr>
            </w:pPr>
          </w:p>
        </w:tc>
        <w:tc>
          <w:tcPr>
            <w:tcW w:w="631" w:type="pct"/>
            <w:tcBorders>
              <w:top w:val="nil"/>
              <w:left w:val="nil"/>
              <w:bottom w:val="single" w:color="auto" w:sz="4" w:space="0"/>
              <w:right w:val="single" w:color="auto" w:sz="4" w:space="0"/>
            </w:tcBorders>
            <w:vAlign w:val="center"/>
          </w:tcPr>
          <w:p w14:paraId="781A3344">
            <w:pPr>
              <w:widowControl/>
              <w:jc w:val="left"/>
              <w:rPr>
                <w:rFonts w:ascii="宋体" w:cs="宋体"/>
                <w:kern w:val="0"/>
                <w:sz w:val="18"/>
                <w:szCs w:val="18"/>
              </w:rPr>
            </w:pPr>
            <w:r>
              <w:rPr>
                <w:rFonts w:hint="eastAsia" w:ascii="宋体" w:hAnsi="宋体" w:cs="宋体"/>
                <w:kern w:val="0"/>
                <w:sz w:val="18"/>
                <w:szCs w:val="18"/>
              </w:rPr>
              <w:t>劳动力资源调查反馈率</w:t>
            </w:r>
          </w:p>
        </w:tc>
        <w:tc>
          <w:tcPr>
            <w:tcW w:w="901" w:type="pct"/>
            <w:tcBorders>
              <w:top w:val="nil"/>
              <w:left w:val="nil"/>
              <w:bottom w:val="single" w:color="auto" w:sz="4" w:space="0"/>
              <w:right w:val="single" w:color="auto" w:sz="4" w:space="0"/>
            </w:tcBorders>
            <w:vAlign w:val="center"/>
          </w:tcPr>
          <w:p w14:paraId="0EBBA318">
            <w:pPr>
              <w:widowControl/>
              <w:jc w:val="left"/>
              <w:rPr>
                <w:rFonts w:ascii="宋体" w:cs="宋体"/>
                <w:kern w:val="0"/>
                <w:sz w:val="18"/>
                <w:szCs w:val="18"/>
              </w:rPr>
            </w:pPr>
            <w:r>
              <w:rPr>
                <w:rFonts w:hint="eastAsia" w:ascii="宋体" w:hAnsi="宋体" w:cs="宋体"/>
                <w:kern w:val="0"/>
                <w:sz w:val="18"/>
                <w:szCs w:val="18"/>
              </w:rPr>
              <w:t>劳动力入户调查信息反馈比例</w:t>
            </w:r>
          </w:p>
        </w:tc>
        <w:tc>
          <w:tcPr>
            <w:tcW w:w="203" w:type="pct"/>
            <w:tcBorders>
              <w:top w:val="nil"/>
              <w:left w:val="nil"/>
              <w:bottom w:val="single" w:color="auto" w:sz="4" w:space="0"/>
              <w:right w:val="single" w:color="auto" w:sz="4" w:space="0"/>
            </w:tcBorders>
            <w:vAlign w:val="center"/>
          </w:tcPr>
          <w:p w14:paraId="305C1044">
            <w:pPr>
              <w:widowControl/>
              <w:jc w:val="left"/>
              <w:rPr>
                <w:rFonts w:ascii="宋体" w:cs="宋体"/>
                <w:kern w:val="0"/>
                <w:sz w:val="18"/>
                <w:szCs w:val="18"/>
              </w:rPr>
            </w:pPr>
            <w:r>
              <w:rPr>
                <w:rFonts w:ascii="宋体" w:hAnsi="宋体" w:cs="宋体"/>
                <w:kern w:val="0"/>
                <w:sz w:val="18"/>
                <w:szCs w:val="18"/>
              </w:rPr>
              <w:t>100%</w:t>
            </w:r>
          </w:p>
        </w:tc>
        <w:tc>
          <w:tcPr>
            <w:tcW w:w="298" w:type="pct"/>
            <w:tcBorders>
              <w:top w:val="nil"/>
              <w:left w:val="nil"/>
              <w:bottom w:val="single" w:color="auto" w:sz="4" w:space="0"/>
              <w:right w:val="single" w:color="auto" w:sz="4" w:space="0"/>
            </w:tcBorders>
            <w:vAlign w:val="center"/>
          </w:tcPr>
          <w:p w14:paraId="6A174227">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298" w:type="pct"/>
            <w:tcBorders>
              <w:top w:val="nil"/>
              <w:left w:val="nil"/>
              <w:bottom w:val="single" w:color="auto" w:sz="4" w:space="0"/>
              <w:right w:val="single" w:color="auto" w:sz="4" w:space="0"/>
            </w:tcBorders>
            <w:vAlign w:val="center"/>
          </w:tcPr>
          <w:p w14:paraId="7A9C07C1">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80%</w:t>
            </w:r>
          </w:p>
        </w:tc>
        <w:tc>
          <w:tcPr>
            <w:tcW w:w="203" w:type="pct"/>
            <w:tcBorders>
              <w:top w:val="nil"/>
              <w:left w:val="nil"/>
              <w:bottom w:val="single" w:color="auto" w:sz="4" w:space="0"/>
              <w:right w:val="single" w:color="auto" w:sz="4" w:space="0"/>
            </w:tcBorders>
            <w:vAlign w:val="center"/>
          </w:tcPr>
          <w:p w14:paraId="1E996490">
            <w:pPr>
              <w:widowControl/>
              <w:jc w:val="left"/>
              <w:rPr>
                <w:rFonts w:ascii="宋体" w:cs="宋体"/>
                <w:kern w:val="0"/>
                <w:sz w:val="18"/>
                <w:szCs w:val="18"/>
              </w:rPr>
            </w:pPr>
            <w:r>
              <w:rPr>
                <w:rFonts w:ascii="宋体" w:hAnsi="宋体" w:cs="宋体"/>
                <w:kern w:val="0"/>
                <w:sz w:val="18"/>
                <w:szCs w:val="18"/>
              </w:rPr>
              <w:t>&lt;80%</w:t>
            </w:r>
          </w:p>
        </w:tc>
      </w:tr>
      <w:tr w14:paraId="5C4575AE">
        <w:tblPrEx>
          <w:tblCellMar>
            <w:top w:w="0" w:type="dxa"/>
            <w:left w:w="108" w:type="dxa"/>
            <w:bottom w:w="0" w:type="dxa"/>
            <w:right w:w="108" w:type="dxa"/>
          </w:tblCellMar>
        </w:tblPrEx>
        <w:trPr>
          <w:trHeight w:val="480" w:hRule="atLeast"/>
        </w:trPr>
        <w:tc>
          <w:tcPr>
            <w:tcW w:w="204" w:type="pct"/>
            <w:vMerge w:val="continue"/>
            <w:tcBorders>
              <w:top w:val="nil"/>
              <w:left w:val="single" w:color="auto" w:sz="4" w:space="0"/>
              <w:bottom w:val="single" w:color="auto" w:sz="4" w:space="0"/>
              <w:right w:val="single" w:color="auto" w:sz="4" w:space="0"/>
            </w:tcBorders>
            <w:vAlign w:val="center"/>
          </w:tcPr>
          <w:p w14:paraId="1C1B9556">
            <w:pPr>
              <w:widowControl/>
              <w:jc w:val="left"/>
              <w:rPr>
                <w:rFonts w:ascii="宋体" w:cs="宋体"/>
                <w:kern w:val="0"/>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4B426D56">
            <w:pPr>
              <w:widowControl/>
              <w:jc w:val="left"/>
              <w:rPr>
                <w:rFonts w:ascii="宋体" w:cs="宋体"/>
                <w:kern w:val="0"/>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226254D3">
            <w:pPr>
              <w:widowControl/>
              <w:jc w:val="left"/>
              <w:rPr>
                <w:rFonts w:ascii="宋体" w:cs="宋体"/>
                <w:kern w:val="0"/>
                <w:sz w:val="18"/>
                <w:szCs w:val="18"/>
              </w:rPr>
            </w:pPr>
          </w:p>
        </w:tc>
        <w:tc>
          <w:tcPr>
            <w:tcW w:w="203" w:type="pct"/>
            <w:tcBorders>
              <w:top w:val="nil"/>
              <w:left w:val="nil"/>
              <w:bottom w:val="single" w:color="auto" w:sz="4" w:space="0"/>
              <w:right w:val="single" w:color="auto" w:sz="4" w:space="0"/>
            </w:tcBorders>
            <w:noWrap/>
            <w:vAlign w:val="center"/>
          </w:tcPr>
          <w:p w14:paraId="1227A10B">
            <w:pPr>
              <w:widowControl/>
              <w:jc w:val="right"/>
              <w:rPr>
                <w:rFonts w:ascii="宋体" w:cs="宋体"/>
                <w:kern w:val="0"/>
                <w:sz w:val="18"/>
                <w:szCs w:val="18"/>
              </w:rPr>
            </w:pPr>
            <w:r>
              <w:rPr>
                <w:rFonts w:ascii="宋体" w:hAnsi="宋体" w:cs="宋体"/>
                <w:kern w:val="0"/>
                <w:sz w:val="18"/>
                <w:szCs w:val="18"/>
              </w:rPr>
              <w:t>2022</w:t>
            </w:r>
          </w:p>
        </w:tc>
        <w:tc>
          <w:tcPr>
            <w:tcW w:w="775" w:type="pct"/>
            <w:vMerge w:val="continue"/>
            <w:tcBorders>
              <w:top w:val="nil"/>
              <w:left w:val="single" w:color="auto" w:sz="4" w:space="0"/>
              <w:bottom w:val="single" w:color="auto" w:sz="4" w:space="0"/>
              <w:right w:val="single" w:color="auto" w:sz="4" w:space="0"/>
            </w:tcBorders>
            <w:vAlign w:val="center"/>
          </w:tcPr>
          <w:p w14:paraId="4C642816">
            <w:pPr>
              <w:widowControl/>
              <w:jc w:val="left"/>
              <w:rPr>
                <w:rFonts w:ascii="宋体" w:cs="宋体"/>
                <w:kern w:val="0"/>
                <w:sz w:val="18"/>
                <w:szCs w:val="18"/>
              </w:rPr>
            </w:pPr>
          </w:p>
        </w:tc>
        <w:tc>
          <w:tcPr>
            <w:tcW w:w="631" w:type="pct"/>
            <w:tcBorders>
              <w:top w:val="nil"/>
              <w:left w:val="nil"/>
              <w:bottom w:val="single" w:color="auto" w:sz="4" w:space="0"/>
              <w:right w:val="single" w:color="auto" w:sz="4" w:space="0"/>
            </w:tcBorders>
            <w:vAlign w:val="center"/>
          </w:tcPr>
          <w:p w14:paraId="2ACB8E85">
            <w:pPr>
              <w:widowControl/>
              <w:jc w:val="left"/>
              <w:rPr>
                <w:rFonts w:ascii="宋体" w:cs="宋体"/>
                <w:kern w:val="0"/>
                <w:sz w:val="18"/>
                <w:szCs w:val="18"/>
              </w:rPr>
            </w:pPr>
            <w:r>
              <w:rPr>
                <w:rFonts w:hint="eastAsia" w:ascii="宋体" w:hAnsi="宋体" w:cs="宋体"/>
                <w:kern w:val="0"/>
                <w:sz w:val="18"/>
                <w:szCs w:val="18"/>
              </w:rPr>
              <w:t>劳动力资源调查及时性</w:t>
            </w:r>
          </w:p>
        </w:tc>
        <w:tc>
          <w:tcPr>
            <w:tcW w:w="901" w:type="pct"/>
            <w:tcBorders>
              <w:top w:val="nil"/>
              <w:left w:val="nil"/>
              <w:bottom w:val="single" w:color="auto" w:sz="4" w:space="0"/>
              <w:right w:val="single" w:color="auto" w:sz="4" w:space="0"/>
            </w:tcBorders>
            <w:vAlign w:val="center"/>
          </w:tcPr>
          <w:p w14:paraId="79ACB32E">
            <w:pPr>
              <w:widowControl/>
              <w:jc w:val="left"/>
              <w:rPr>
                <w:rFonts w:ascii="宋体" w:cs="宋体"/>
                <w:kern w:val="0"/>
                <w:sz w:val="18"/>
                <w:szCs w:val="18"/>
              </w:rPr>
            </w:pPr>
            <w:r>
              <w:rPr>
                <w:rFonts w:hint="eastAsia" w:ascii="宋体" w:hAnsi="宋体" w:cs="宋体"/>
                <w:kern w:val="0"/>
                <w:sz w:val="18"/>
                <w:szCs w:val="18"/>
              </w:rPr>
              <w:t>是否按规定时间入户调查及反馈情况</w:t>
            </w:r>
          </w:p>
        </w:tc>
        <w:tc>
          <w:tcPr>
            <w:tcW w:w="203" w:type="pct"/>
            <w:tcBorders>
              <w:top w:val="nil"/>
              <w:left w:val="nil"/>
              <w:bottom w:val="single" w:color="auto" w:sz="4" w:space="0"/>
              <w:right w:val="single" w:color="auto" w:sz="4" w:space="0"/>
            </w:tcBorders>
            <w:vAlign w:val="center"/>
          </w:tcPr>
          <w:p w14:paraId="4A1D2291">
            <w:pPr>
              <w:widowControl/>
              <w:jc w:val="left"/>
              <w:rPr>
                <w:rFonts w:ascii="宋体" w:cs="宋体"/>
                <w:kern w:val="0"/>
                <w:sz w:val="18"/>
                <w:szCs w:val="18"/>
              </w:rPr>
            </w:pPr>
            <w:r>
              <w:rPr>
                <w:rFonts w:hint="eastAsia" w:ascii="宋体" w:hAnsi="宋体" w:cs="宋体"/>
                <w:kern w:val="0"/>
                <w:sz w:val="18"/>
                <w:szCs w:val="18"/>
              </w:rPr>
              <w:t>及时</w:t>
            </w:r>
          </w:p>
        </w:tc>
        <w:tc>
          <w:tcPr>
            <w:tcW w:w="298" w:type="pct"/>
            <w:tcBorders>
              <w:top w:val="nil"/>
              <w:left w:val="nil"/>
              <w:bottom w:val="single" w:color="auto" w:sz="4" w:space="0"/>
              <w:right w:val="single" w:color="auto" w:sz="4" w:space="0"/>
            </w:tcBorders>
            <w:vAlign w:val="center"/>
          </w:tcPr>
          <w:p w14:paraId="092D2CBB">
            <w:pPr>
              <w:widowControl/>
              <w:jc w:val="left"/>
              <w:rPr>
                <w:rFonts w:ascii="宋体" w:cs="宋体"/>
                <w:kern w:val="0"/>
                <w:sz w:val="18"/>
                <w:szCs w:val="18"/>
              </w:rPr>
            </w:pPr>
            <w:r>
              <w:rPr>
                <w:rFonts w:hint="eastAsia" w:ascii="宋体" w:hAnsi="宋体" w:cs="宋体"/>
                <w:kern w:val="0"/>
                <w:sz w:val="18"/>
                <w:szCs w:val="18"/>
              </w:rPr>
              <w:t>延期一周</w:t>
            </w:r>
          </w:p>
        </w:tc>
        <w:tc>
          <w:tcPr>
            <w:tcW w:w="298" w:type="pct"/>
            <w:tcBorders>
              <w:top w:val="nil"/>
              <w:left w:val="nil"/>
              <w:bottom w:val="single" w:color="auto" w:sz="4" w:space="0"/>
              <w:right w:val="single" w:color="auto" w:sz="4" w:space="0"/>
            </w:tcBorders>
            <w:vAlign w:val="center"/>
          </w:tcPr>
          <w:p w14:paraId="6938F4B8">
            <w:pPr>
              <w:widowControl/>
              <w:jc w:val="left"/>
              <w:rPr>
                <w:rFonts w:ascii="宋体" w:cs="宋体"/>
                <w:kern w:val="0"/>
                <w:sz w:val="18"/>
                <w:szCs w:val="18"/>
              </w:rPr>
            </w:pPr>
            <w:r>
              <w:rPr>
                <w:rFonts w:hint="eastAsia" w:ascii="宋体" w:hAnsi="宋体" w:cs="宋体"/>
                <w:kern w:val="0"/>
                <w:sz w:val="18"/>
                <w:szCs w:val="18"/>
              </w:rPr>
              <w:t>延期两周</w:t>
            </w:r>
          </w:p>
        </w:tc>
        <w:tc>
          <w:tcPr>
            <w:tcW w:w="203" w:type="pct"/>
            <w:tcBorders>
              <w:top w:val="nil"/>
              <w:left w:val="nil"/>
              <w:bottom w:val="single" w:color="auto" w:sz="4" w:space="0"/>
              <w:right w:val="single" w:color="auto" w:sz="4" w:space="0"/>
            </w:tcBorders>
            <w:vAlign w:val="center"/>
          </w:tcPr>
          <w:p w14:paraId="05D548F6">
            <w:pPr>
              <w:widowControl/>
              <w:jc w:val="left"/>
              <w:rPr>
                <w:rFonts w:ascii="宋体" w:cs="宋体"/>
                <w:kern w:val="0"/>
                <w:sz w:val="18"/>
                <w:szCs w:val="18"/>
              </w:rPr>
            </w:pPr>
            <w:r>
              <w:rPr>
                <w:rFonts w:hint="eastAsia" w:ascii="宋体" w:hAnsi="宋体" w:cs="宋体"/>
                <w:kern w:val="0"/>
                <w:sz w:val="18"/>
                <w:szCs w:val="18"/>
              </w:rPr>
              <w:t>延期三周</w:t>
            </w:r>
          </w:p>
        </w:tc>
      </w:tr>
      <w:tr w14:paraId="71E698C4">
        <w:tblPrEx>
          <w:tblCellMar>
            <w:top w:w="0" w:type="dxa"/>
            <w:left w:w="108" w:type="dxa"/>
            <w:bottom w:w="0" w:type="dxa"/>
            <w:right w:w="108" w:type="dxa"/>
          </w:tblCellMar>
        </w:tblPrEx>
        <w:trPr>
          <w:trHeight w:val="480" w:hRule="atLeast"/>
        </w:trPr>
        <w:tc>
          <w:tcPr>
            <w:tcW w:w="204" w:type="pct"/>
            <w:vMerge w:val="continue"/>
            <w:tcBorders>
              <w:top w:val="nil"/>
              <w:left w:val="single" w:color="auto" w:sz="4" w:space="0"/>
              <w:bottom w:val="single" w:color="auto" w:sz="4" w:space="0"/>
              <w:right w:val="single" w:color="auto" w:sz="4" w:space="0"/>
            </w:tcBorders>
            <w:vAlign w:val="center"/>
          </w:tcPr>
          <w:p w14:paraId="5B8E62E8">
            <w:pPr>
              <w:widowControl/>
              <w:jc w:val="left"/>
              <w:rPr>
                <w:rFonts w:ascii="宋体" w:cs="宋体"/>
                <w:kern w:val="0"/>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0AE0BCC4">
            <w:pPr>
              <w:widowControl/>
              <w:jc w:val="left"/>
              <w:rPr>
                <w:rFonts w:ascii="宋体" w:cs="宋体"/>
                <w:kern w:val="0"/>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0A651C30">
            <w:pPr>
              <w:widowControl/>
              <w:jc w:val="left"/>
              <w:rPr>
                <w:rFonts w:ascii="宋体" w:cs="宋体"/>
                <w:kern w:val="0"/>
                <w:sz w:val="18"/>
                <w:szCs w:val="18"/>
              </w:rPr>
            </w:pPr>
          </w:p>
        </w:tc>
        <w:tc>
          <w:tcPr>
            <w:tcW w:w="203" w:type="pct"/>
            <w:tcBorders>
              <w:top w:val="nil"/>
              <w:left w:val="nil"/>
              <w:bottom w:val="single" w:color="auto" w:sz="4" w:space="0"/>
              <w:right w:val="single" w:color="auto" w:sz="4" w:space="0"/>
            </w:tcBorders>
            <w:noWrap/>
            <w:vAlign w:val="center"/>
          </w:tcPr>
          <w:p w14:paraId="79B33379">
            <w:pPr>
              <w:widowControl/>
              <w:jc w:val="right"/>
              <w:rPr>
                <w:rFonts w:ascii="宋体" w:cs="宋体"/>
                <w:kern w:val="0"/>
                <w:sz w:val="18"/>
                <w:szCs w:val="18"/>
              </w:rPr>
            </w:pPr>
            <w:r>
              <w:rPr>
                <w:rFonts w:ascii="宋体" w:hAnsi="宋体" w:cs="宋体"/>
                <w:kern w:val="0"/>
                <w:sz w:val="18"/>
                <w:szCs w:val="18"/>
              </w:rPr>
              <w:t>2022</w:t>
            </w:r>
          </w:p>
        </w:tc>
        <w:tc>
          <w:tcPr>
            <w:tcW w:w="775" w:type="pct"/>
            <w:vMerge w:val="continue"/>
            <w:tcBorders>
              <w:top w:val="nil"/>
              <w:left w:val="single" w:color="auto" w:sz="4" w:space="0"/>
              <w:bottom w:val="single" w:color="auto" w:sz="4" w:space="0"/>
              <w:right w:val="single" w:color="auto" w:sz="4" w:space="0"/>
            </w:tcBorders>
            <w:vAlign w:val="center"/>
          </w:tcPr>
          <w:p w14:paraId="7D6E64EC">
            <w:pPr>
              <w:widowControl/>
              <w:jc w:val="left"/>
              <w:rPr>
                <w:rFonts w:ascii="宋体" w:cs="宋体"/>
                <w:kern w:val="0"/>
                <w:sz w:val="18"/>
                <w:szCs w:val="18"/>
              </w:rPr>
            </w:pPr>
          </w:p>
        </w:tc>
        <w:tc>
          <w:tcPr>
            <w:tcW w:w="631" w:type="pct"/>
            <w:tcBorders>
              <w:top w:val="nil"/>
              <w:left w:val="nil"/>
              <w:bottom w:val="single" w:color="auto" w:sz="4" w:space="0"/>
              <w:right w:val="single" w:color="auto" w:sz="4" w:space="0"/>
            </w:tcBorders>
            <w:vAlign w:val="center"/>
          </w:tcPr>
          <w:p w14:paraId="310119FB">
            <w:pPr>
              <w:widowControl/>
              <w:jc w:val="left"/>
              <w:rPr>
                <w:rFonts w:ascii="宋体" w:cs="宋体"/>
                <w:kern w:val="0"/>
                <w:sz w:val="18"/>
                <w:szCs w:val="18"/>
              </w:rPr>
            </w:pPr>
            <w:r>
              <w:rPr>
                <w:rFonts w:hint="eastAsia" w:ascii="宋体" w:hAnsi="宋体" w:cs="宋体"/>
                <w:kern w:val="0"/>
                <w:sz w:val="18"/>
                <w:szCs w:val="18"/>
              </w:rPr>
              <w:t>招聘单位邀请到场率</w:t>
            </w:r>
          </w:p>
        </w:tc>
        <w:tc>
          <w:tcPr>
            <w:tcW w:w="901" w:type="pct"/>
            <w:tcBorders>
              <w:top w:val="nil"/>
              <w:left w:val="nil"/>
              <w:bottom w:val="single" w:color="auto" w:sz="4" w:space="0"/>
              <w:right w:val="single" w:color="auto" w:sz="4" w:space="0"/>
            </w:tcBorders>
            <w:vAlign w:val="center"/>
          </w:tcPr>
          <w:p w14:paraId="7D44BE97">
            <w:pPr>
              <w:widowControl/>
              <w:jc w:val="left"/>
              <w:rPr>
                <w:rFonts w:ascii="宋体" w:cs="宋体"/>
                <w:kern w:val="0"/>
                <w:sz w:val="18"/>
                <w:szCs w:val="18"/>
              </w:rPr>
            </w:pPr>
            <w:r>
              <w:rPr>
                <w:rFonts w:hint="eastAsia" w:ascii="宋体" w:hAnsi="宋体" w:cs="宋体"/>
                <w:kern w:val="0"/>
                <w:sz w:val="18"/>
                <w:szCs w:val="18"/>
              </w:rPr>
              <w:t>实际到场招聘单位占邀请单位比例</w:t>
            </w:r>
          </w:p>
        </w:tc>
        <w:tc>
          <w:tcPr>
            <w:tcW w:w="203" w:type="pct"/>
            <w:tcBorders>
              <w:top w:val="nil"/>
              <w:left w:val="nil"/>
              <w:bottom w:val="single" w:color="auto" w:sz="4" w:space="0"/>
              <w:right w:val="single" w:color="auto" w:sz="4" w:space="0"/>
            </w:tcBorders>
            <w:vAlign w:val="center"/>
          </w:tcPr>
          <w:p w14:paraId="41CD476B">
            <w:pPr>
              <w:widowControl/>
              <w:jc w:val="left"/>
              <w:rPr>
                <w:rFonts w:ascii="宋体" w:cs="宋体"/>
                <w:kern w:val="0"/>
                <w:sz w:val="18"/>
                <w:szCs w:val="18"/>
              </w:rPr>
            </w:pPr>
            <w:r>
              <w:rPr>
                <w:rFonts w:ascii="宋体" w:hAnsi="宋体" w:cs="宋体"/>
                <w:kern w:val="0"/>
                <w:sz w:val="18"/>
                <w:szCs w:val="18"/>
              </w:rPr>
              <w:t>95%</w:t>
            </w:r>
          </w:p>
        </w:tc>
        <w:tc>
          <w:tcPr>
            <w:tcW w:w="298" w:type="pct"/>
            <w:tcBorders>
              <w:top w:val="nil"/>
              <w:left w:val="nil"/>
              <w:bottom w:val="single" w:color="auto" w:sz="4" w:space="0"/>
              <w:right w:val="single" w:color="auto" w:sz="4" w:space="0"/>
            </w:tcBorders>
            <w:vAlign w:val="center"/>
          </w:tcPr>
          <w:p w14:paraId="35C4BBFB">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85%</w:t>
            </w:r>
          </w:p>
        </w:tc>
        <w:tc>
          <w:tcPr>
            <w:tcW w:w="298" w:type="pct"/>
            <w:tcBorders>
              <w:top w:val="nil"/>
              <w:left w:val="nil"/>
              <w:bottom w:val="single" w:color="auto" w:sz="4" w:space="0"/>
              <w:right w:val="single" w:color="auto" w:sz="4" w:space="0"/>
            </w:tcBorders>
            <w:vAlign w:val="center"/>
          </w:tcPr>
          <w:p w14:paraId="68E2C67A">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75%</w:t>
            </w:r>
          </w:p>
        </w:tc>
        <w:tc>
          <w:tcPr>
            <w:tcW w:w="203" w:type="pct"/>
            <w:tcBorders>
              <w:top w:val="nil"/>
              <w:left w:val="nil"/>
              <w:bottom w:val="single" w:color="auto" w:sz="4" w:space="0"/>
              <w:right w:val="single" w:color="auto" w:sz="4" w:space="0"/>
            </w:tcBorders>
            <w:vAlign w:val="center"/>
          </w:tcPr>
          <w:p w14:paraId="42926FDD">
            <w:pPr>
              <w:widowControl/>
              <w:jc w:val="left"/>
              <w:rPr>
                <w:rFonts w:ascii="宋体" w:cs="宋体"/>
                <w:kern w:val="0"/>
                <w:sz w:val="18"/>
                <w:szCs w:val="18"/>
              </w:rPr>
            </w:pPr>
            <w:r>
              <w:rPr>
                <w:rFonts w:ascii="宋体" w:hAnsi="宋体" w:cs="宋体"/>
                <w:kern w:val="0"/>
                <w:sz w:val="18"/>
                <w:szCs w:val="18"/>
              </w:rPr>
              <w:t>&lt;75%</w:t>
            </w:r>
          </w:p>
        </w:tc>
      </w:tr>
      <w:tr w14:paraId="4491D5B2">
        <w:tblPrEx>
          <w:tblCellMar>
            <w:top w:w="0" w:type="dxa"/>
            <w:left w:w="108" w:type="dxa"/>
            <w:bottom w:w="0" w:type="dxa"/>
            <w:right w:w="108" w:type="dxa"/>
          </w:tblCellMar>
        </w:tblPrEx>
        <w:trPr>
          <w:trHeight w:val="480" w:hRule="atLeast"/>
        </w:trPr>
        <w:tc>
          <w:tcPr>
            <w:tcW w:w="204" w:type="pct"/>
            <w:vMerge w:val="continue"/>
            <w:tcBorders>
              <w:top w:val="nil"/>
              <w:left w:val="single" w:color="auto" w:sz="4" w:space="0"/>
              <w:bottom w:val="single" w:color="auto" w:sz="4" w:space="0"/>
              <w:right w:val="single" w:color="auto" w:sz="4" w:space="0"/>
            </w:tcBorders>
            <w:vAlign w:val="center"/>
          </w:tcPr>
          <w:p w14:paraId="54C21A2A">
            <w:pPr>
              <w:widowControl/>
              <w:jc w:val="left"/>
              <w:rPr>
                <w:rFonts w:ascii="宋体" w:cs="宋体"/>
                <w:kern w:val="0"/>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02480094">
            <w:pPr>
              <w:widowControl/>
              <w:jc w:val="left"/>
              <w:rPr>
                <w:rFonts w:ascii="宋体" w:cs="宋体"/>
                <w:kern w:val="0"/>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25A87612">
            <w:pPr>
              <w:widowControl/>
              <w:jc w:val="left"/>
              <w:rPr>
                <w:rFonts w:ascii="宋体" w:cs="宋体"/>
                <w:kern w:val="0"/>
                <w:sz w:val="18"/>
                <w:szCs w:val="18"/>
              </w:rPr>
            </w:pPr>
          </w:p>
        </w:tc>
        <w:tc>
          <w:tcPr>
            <w:tcW w:w="203" w:type="pct"/>
            <w:tcBorders>
              <w:top w:val="nil"/>
              <w:left w:val="nil"/>
              <w:bottom w:val="single" w:color="auto" w:sz="4" w:space="0"/>
              <w:right w:val="single" w:color="auto" w:sz="4" w:space="0"/>
            </w:tcBorders>
            <w:noWrap/>
            <w:vAlign w:val="center"/>
          </w:tcPr>
          <w:p w14:paraId="5D2E68DE">
            <w:pPr>
              <w:widowControl/>
              <w:jc w:val="right"/>
              <w:rPr>
                <w:rFonts w:ascii="宋体" w:cs="宋体"/>
                <w:kern w:val="0"/>
                <w:sz w:val="18"/>
                <w:szCs w:val="18"/>
              </w:rPr>
            </w:pPr>
            <w:r>
              <w:rPr>
                <w:rFonts w:ascii="宋体" w:hAnsi="宋体" w:cs="宋体"/>
                <w:kern w:val="0"/>
                <w:sz w:val="18"/>
                <w:szCs w:val="18"/>
              </w:rPr>
              <w:t>2022</w:t>
            </w:r>
          </w:p>
        </w:tc>
        <w:tc>
          <w:tcPr>
            <w:tcW w:w="775" w:type="pct"/>
            <w:vMerge w:val="continue"/>
            <w:tcBorders>
              <w:top w:val="nil"/>
              <w:left w:val="single" w:color="auto" w:sz="4" w:space="0"/>
              <w:bottom w:val="single" w:color="auto" w:sz="4" w:space="0"/>
              <w:right w:val="single" w:color="auto" w:sz="4" w:space="0"/>
            </w:tcBorders>
            <w:vAlign w:val="center"/>
          </w:tcPr>
          <w:p w14:paraId="491A0A2B">
            <w:pPr>
              <w:widowControl/>
              <w:jc w:val="left"/>
              <w:rPr>
                <w:rFonts w:ascii="宋体" w:cs="宋体"/>
                <w:kern w:val="0"/>
                <w:sz w:val="18"/>
                <w:szCs w:val="18"/>
              </w:rPr>
            </w:pPr>
          </w:p>
        </w:tc>
        <w:tc>
          <w:tcPr>
            <w:tcW w:w="631" w:type="pct"/>
            <w:tcBorders>
              <w:top w:val="nil"/>
              <w:left w:val="nil"/>
              <w:bottom w:val="single" w:color="auto" w:sz="4" w:space="0"/>
              <w:right w:val="single" w:color="auto" w:sz="4" w:space="0"/>
            </w:tcBorders>
            <w:vAlign w:val="center"/>
          </w:tcPr>
          <w:p w14:paraId="704BBDDD">
            <w:pPr>
              <w:widowControl/>
              <w:jc w:val="left"/>
              <w:rPr>
                <w:rFonts w:ascii="宋体" w:cs="宋体"/>
                <w:kern w:val="0"/>
                <w:sz w:val="18"/>
                <w:szCs w:val="18"/>
              </w:rPr>
            </w:pPr>
            <w:r>
              <w:rPr>
                <w:rFonts w:hint="eastAsia" w:ascii="宋体" w:hAnsi="宋体" w:cs="宋体"/>
                <w:kern w:val="0"/>
                <w:sz w:val="18"/>
                <w:szCs w:val="18"/>
              </w:rPr>
              <w:t>招聘活动开展完成率</w:t>
            </w:r>
          </w:p>
        </w:tc>
        <w:tc>
          <w:tcPr>
            <w:tcW w:w="901" w:type="pct"/>
            <w:tcBorders>
              <w:top w:val="nil"/>
              <w:left w:val="nil"/>
              <w:bottom w:val="single" w:color="auto" w:sz="4" w:space="0"/>
              <w:right w:val="single" w:color="auto" w:sz="4" w:space="0"/>
            </w:tcBorders>
            <w:vAlign w:val="center"/>
          </w:tcPr>
          <w:p w14:paraId="1DF2D8B4">
            <w:pPr>
              <w:widowControl/>
              <w:jc w:val="left"/>
              <w:rPr>
                <w:rFonts w:ascii="宋体" w:cs="宋体"/>
                <w:kern w:val="0"/>
                <w:sz w:val="18"/>
                <w:szCs w:val="18"/>
              </w:rPr>
            </w:pPr>
            <w:r>
              <w:rPr>
                <w:rFonts w:hint="eastAsia" w:ascii="宋体" w:hAnsi="宋体" w:cs="宋体"/>
                <w:kern w:val="0"/>
                <w:sz w:val="18"/>
                <w:szCs w:val="18"/>
              </w:rPr>
              <w:t>实际开展招聘会（专场）次数占计划数的比例</w:t>
            </w:r>
          </w:p>
        </w:tc>
        <w:tc>
          <w:tcPr>
            <w:tcW w:w="203" w:type="pct"/>
            <w:tcBorders>
              <w:top w:val="nil"/>
              <w:left w:val="nil"/>
              <w:bottom w:val="single" w:color="auto" w:sz="4" w:space="0"/>
              <w:right w:val="single" w:color="auto" w:sz="4" w:space="0"/>
            </w:tcBorders>
            <w:vAlign w:val="center"/>
          </w:tcPr>
          <w:p w14:paraId="0152DC3B">
            <w:pPr>
              <w:widowControl/>
              <w:jc w:val="left"/>
              <w:rPr>
                <w:rFonts w:ascii="宋体" w:cs="宋体"/>
                <w:kern w:val="0"/>
                <w:sz w:val="18"/>
                <w:szCs w:val="18"/>
              </w:rPr>
            </w:pPr>
            <w:r>
              <w:rPr>
                <w:rFonts w:ascii="宋体" w:hAnsi="宋体" w:cs="宋体"/>
                <w:kern w:val="0"/>
                <w:sz w:val="18"/>
                <w:szCs w:val="18"/>
              </w:rPr>
              <w:t>100%</w:t>
            </w:r>
          </w:p>
        </w:tc>
        <w:tc>
          <w:tcPr>
            <w:tcW w:w="298" w:type="pct"/>
            <w:tcBorders>
              <w:top w:val="nil"/>
              <w:left w:val="nil"/>
              <w:bottom w:val="single" w:color="auto" w:sz="4" w:space="0"/>
              <w:right w:val="single" w:color="auto" w:sz="4" w:space="0"/>
            </w:tcBorders>
            <w:vAlign w:val="center"/>
          </w:tcPr>
          <w:p w14:paraId="6AB21D2F">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298" w:type="pct"/>
            <w:tcBorders>
              <w:top w:val="nil"/>
              <w:left w:val="nil"/>
              <w:bottom w:val="single" w:color="auto" w:sz="4" w:space="0"/>
              <w:right w:val="single" w:color="auto" w:sz="4" w:space="0"/>
            </w:tcBorders>
            <w:vAlign w:val="center"/>
          </w:tcPr>
          <w:p w14:paraId="06EA32D7">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80%</w:t>
            </w:r>
          </w:p>
        </w:tc>
        <w:tc>
          <w:tcPr>
            <w:tcW w:w="203" w:type="pct"/>
            <w:tcBorders>
              <w:top w:val="nil"/>
              <w:left w:val="nil"/>
              <w:bottom w:val="single" w:color="auto" w:sz="4" w:space="0"/>
              <w:right w:val="single" w:color="auto" w:sz="4" w:space="0"/>
            </w:tcBorders>
            <w:vAlign w:val="center"/>
          </w:tcPr>
          <w:p w14:paraId="2D021321">
            <w:pPr>
              <w:widowControl/>
              <w:jc w:val="left"/>
              <w:rPr>
                <w:rFonts w:ascii="宋体" w:cs="宋体"/>
                <w:kern w:val="0"/>
                <w:sz w:val="18"/>
                <w:szCs w:val="18"/>
              </w:rPr>
            </w:pPr>
            <w:r>
              <w:rPr>
                <w:rFonts w:ascii="宋体" w:hAnsi="宋体" w:cs="宋体"/>
                <w:kern w:val="0"/>
                <w:sz w:val="18"/>
                <w:szCs w:val="18"/>
              </w:rPr>
              <w:t>&lt;80%</w:t>
            </w:r>
          </w:p>
        </w:tc>
      </w:tr>
      <w:tr w14:paraId="4254BABD">
        <w:tblPrEx>
          <w:tblCellMar>
            <w:top w:w="0" w:type="dxa"/>
            <w:left w:w="108" w:type="dxa"/>
            <w:bottom w:w="0" w:type="dxa"/>
            <w:right w:w="108" w:type="dxa"/>
          </w:tblCellMar>
        </w:tblPrEx>
        <w:trPr>
          <w:trHeight w:val="480" w:hRule="atLeast"/>
        </w:trPr>
        <w:tc>
          <w:tcPr>
            <w:tcW w:w="204" w:type="pct"/>
            <w:vMerge w:val="continue"/>
            <w:tcBorders>
              <w:top w:val="nil"/>
              <w:left w:val="single" w:color="auto" w:sz="4" w:space="0"/>
              <w:bottom w:val="single" w:color="auto" w:sz="4" w:space="0"/>
              <w:right w:val="single" w:color="auto" w:sz="4" w:space="0"/>
            </w:tcBorders>
            <w:vAlign w:val="center"/>
          </w:tcPr>
          <w:p w14:paraId="07475131">
            <w:pPr>
              <w:widowControl/>
              <w:jc w:val="left"/>
              <w:rPr>
                <w:rFonts w:ascii="宋体" w:cs="宋体"/>
                <w:kern w:val="0"/>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259720FB">
            <w:pPr>
              <w:widowControl/>
              <w:jc w:val="left"/>
              <w:rPr>
                <w:rFonts w:ascii="宋体" w:cs="宋体"/>
                <w:kern w:val="0"/>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44BD350B">
            <w:pPr>
              <w:widowControl/>
              <w:jc w:val="left"/>
              <w:rPr>
                <w:rFonts w:ascii="宋体" w:cs="宋体"/>
                <w:kern w:val="0"/>
                <w:sz w:val="18"/>
                <w:szCs w:val="18"/>
              </w:rPr>
            </w:pPr>
          </w:p>
        </w:tc>
        <w:tc>
          <w:tcPr>
            <w:tcW w:w="203" w:type="pct"/>
            <w:tcBorders>
              <w:top w:val="nil"/>
              <w:left w:val="nil"/>
              <w:bottom w:val="single" w:color="auto" w:sz="4" w:space="0"/>
              <w:right w:val="single" w:color="auto" w:sz="4" w:space="0"/>
            </w:tcBorders>
            <w:noWrap/>
            <w:vAlign w:val="center"/>
          </w:tcPr>
          <w:p w14:paraId="79C516EE">
            <w:pPr>
              <w:widowControl/>
              <w:jc w:val="right"/>
              <w:rPr>
                <w:rFonts w:ascii="宋体" w:cs="宋体"/>
                <w:kern w:val="0"/>
                <w:sz w:val="18"/>
                <w:szCs w:val="18"/>
              </w:rPr>
            </w:pPr>
            <w:r>
              <w:rPr>
                <w:rFonts w:ascii="宋体" w:hAnsi="宋体" w:cs="宋体"/>
                <w:kern w:val="0"/>
                <w:sz w:val="18"/>
                <w:szCs w:val="18"/>
              </w:rPr>
              <w:t>2022</w:t>
            </w:r>
          </w:p>
        </w:tc>
        <w:tc>
          <w:tcPr>
            <w:tcW w:w="775" w:type="pct"/>
            <w:vMerge w:val="continue"/>
            <w:tcBorders>
              <w:top w:val="nil"/>
              <w:left w:val="single" w:color="auto" w:sz="4" w:space="0"/>
              <w:bottom w:val="single" w:color="auto" w:sz="4" w:space="0"/>
              <w:right w:val="single" w:color="auto" w:sz="4" w:space="0"/>
            </w:tcBorders>
            <w:vAlign w:val="center"/>
          </w:tcPr>
          <w:p w14:paraId="3332E755">
            <w:pPr>
              <w:widowControl/>
              <w:jc w:val="left"/>
              <w:rPr>
                <w:rFonts w:ascii="宋体" w:cs="宋体"/>
                <w:kern w:val="0"/>
                <w:sz w:val="18"/>
                <w:szCs w:val="18"/>
              </w:rPr>
            </w:pPr>
          </w:p>
        </w:tc>
        <w:tc>
          <w:tcPr>
            <w:tcW w:w="631" w:type="pct"/>
            <w:tcBorders>
              <w:top w:val="nil"/>
              <w:left w:val="nil"/>
              <w:bottom w:val="single" w:color="auto" w:sz="4" w:space="0"/>
              <w:right w:val="single" w:color="auto" w:sz="4" w:space="0"/>
            </w:tcBorders>
            <w:vAlign w:val="center"/>
          </w:tcPr>
          <w:p w14:paraId="1053F6A2">
            <w:pPr>
              <w:widowControl/>
              <w:jc w:val="left"/>
              <w:rPr>
                <w:rFonts w:ascii="宋体" w:cs="宋体"/>
                <w:kern w:val="0"/>
                <w:sz w:val="18"/>
                <w:szCs w:val="18"/>
              </w:rPr>
            </w:pPr>
            <w:r>
              <w:rPr>
                <w:rFonts w:hint="eastAsia" w:ascii="宋体" w:hAnsi="宋体" w:cs="宋体"/>
                <w:kern w:val="0"/>
                <w:sz w:val="18"/>
                <w:szCs w:val="18"/>
              </w:rPr>
              <w:t>是否免费提供招聘服务</w:t>
            </w:r>
          </w:p>
        </w:tc>
        <w:tc>
          <w:tcPr>
            <w:tcW w:w="901" w:type="pct"/>
            <w:tcBorders>
              <w:top w:val="nil"/>
              <w:left w:val="nil"/>
              <w:bottom w:val="single" w:color="auto" w:sz="4" w:space="0"/>
              <w:right w:val="single" w:color="auto" w:sz="4" w:space="0"/>
            </w:tcBorders>
            <w:vAlign w:val="center"/>
          </w:tcPr>
          <w:p w14:paraId="3AB0237A">
            <w:pPr>
              <w:widowControl/>
              <w:jc w:val="left"/>
              <w:rPr>
                <w:rFonts w:ascii="宋体" w:cs="宋体"/>
                <w:kern w:val="0"/>
                <w:sz w:val="18"/>
                <w:szCs w:val="18"/>
              </w:rPr>
            </w:pPr>
            <w:r>
              <w:rPr>
                <w:rFonts w:hint="eastAsia" w:ascii="宋体" w:hAnsi="宋体" w:cs="宋体"/>
                <w:kern w:val="0"/>
                <w:sz w:val="18"/>
                <w:szCs w:val="18"/>
              </w:rPr>
              <w:t>是否免费提供招聘服务</w:t>
            </w:r>
          </w:p>
        </w:tc>
        <w:tc>
          <w:tcPr>
            <w:tcW w:w="203" w:type="pct"/>
            <w:tcBorders>
              <w:top w:val="nil"/>
              <w:left w:val="nil"/>
              <w:bottom w:val="single" w:color="auto" w:sz="4" w:space="0"/>
              <w:right w:val="single" w:color="auto" w:sz="4" w:space="0"/>
            </w:tcBorders>
            <w:vAlign w:val="center"/>
          </w:tcPr>
          <w:p w14:paraId="513EEF0C">
            <w:pPr>
              <w:widowControl/>
              <w:jc w:val="left"/>
              <w:rPr>
                <w:rFonts w:ascii="宋体" w:cs="宋体"/>
                <w:kern w:val="0"/>
                <w:sz w:val="18"/>
                <w:szCs w:val="18"/>
              </w:rPr>
            </w:pPr>
            <w:r>
              <w:rPr>
                <w:rFonts w:hint="eastAsia" w:ascii="宋体" w:hAnsi="宋体" w:cs="宋体"/>
                <w:kern w:val="0"/>
                <w:sz w:val="18"/>
                <w:szCs w:val="18"/>
              </w:rPr>
              <w:t>是</w:t>
            </w:r>
          </w:p>
        </w:tc>
        <w:tc>
          <w:tcPr>
            <w:tcW w:w="298" w:type="pct"/>
            <w:tcBorders>
              <w:top w:val="nil"/>
              <w:left w:val="nil"/>
              <w:bottom w:val="single" w:color="auto" w:sz="4" w:space="0"/>
              <w:right w:val="single" w:color="auto" w:sz="4" w:space="0"/>
            </w:tcBorders>
            <w:vAlign w:val="center"/>
          </w:tcPr>
          <w:p w14:paraId="7DE3ACC0">
            <w:pPr>
              <w:widowControl/>
              <w:jc w:val="left"/>
              <w:rPr>
                <w:rFonts w:ascii="宋体" w:cs="宋体"/>
                <w:kern w:val="0"/>
                <w:sz w:val="18"/>
                <w:szCs w:val="18"/>
              </w:rPr>
            </w:pPr>
            <w:r>
              <w:rPr>
                <w:rFonts w:hint="eastAsia" w:ascii="宋体" w:hAnsi="宋体" w:cs="宋体"/>
                <w:kern w:val="0"/>
                <w:sz w:val="18"/>
                <w:szCs w:val="18"/>
              </w:rPr>
              <w:t>基本达到</w:t>
            </w:r>
          </w:p>
        </w:tc>
        <w:tc>
          <w:tcPr>
            <w:tcW w:w="298" w:type="pct"/>
            <w:tcBorders>
              <w:top w:val="nil"/>
              <w:left w:val="nil"/>
              <w:bottom w:val="single" w:color="auto" w:sz="4" w:space="0"/>
              <w:right w:val="single" w:color="auto" w:sz="4" w:space="0"/>
            </w:tcBorders>
            <w:vAlign w:val="center"/>
          </w:tcPr>
          <w:p w14:paraId="0C92C0F1">
            <w:pPr>
              <w:widowControl/>
              <w:jc w:val="left"/>
              <w:rPr>
                <w:rFonts w:ascii="宋体" w:cs="宋体"/>
                <w:kern w:val="0"/>
                <w:sz w:val="18"/>
                <w:szCs w:val="18"/>
              </w:rPr>
            </w:pPr>
            <w:r>
              <w:rPr>
                <w:rFonts w:hint="eastAsia" w:ascii="宋体" w:hAnsi="宋体" w:cs="宋体"/>
                <w:kern w:val="0"/>
                <w:sz w:val="18"/>
                <w:szCs w:val="18"/>
              </w:rPr>
              <w:t>否</w:t>
            </w:r>
          </w:p>
        </w:tc>
        <w:tc>
          <w:tcPr>
            <w:tcW w:w="203" w:type="pct"/>
            <w:tcBorders>
              <w:top w:val="nil"/>
              <w:left w:val="nil"/>
              <w:bottom w:val="single" w:color="auto" w:sz="4" w:space="0"/>
              <w:right w:val="single" w:color="auto" w:sz="4" w:space="0"/>
            </w:tcBorders>
            <w:vAlign w:val="center"/>
          </w:tcPr>
          <w:p w14:paraId="2DC91B12">
            <w:pPr>
              <w:widowControl/>
              <w:jc w:val="left"/>
              <w:rPr>
                <w:rFonts w:ascii="宋体" w:cs="宋体"/>
                <w:kern w:val="0"/>
                <w:sz w:val="18"/>
                <w:szCs w:val="18"/>
              </w:rPr>
            </w:pPr>
            <w:r>
              <w:rPr>
                <w:rFonts w:hint="eastAsia" w:ascii="宋体" w:hAnsi="宋体" w:cs="宋体"/>
                <w:kern w:val="0"/>
                <w:sz w:val="18"/>
                <w:szCs w:val="18"/>
              </w:rPr>
              <w:t>否</w:t>
            </w:r>
          </w:p>
        </w:tc>
      </w:tr>
      <w:tr w14:paraId="525E6635">
        <w:tblPrEx>
          <w:tblCellMar>
            <w:top w:w="0" w:type="dxa"/>
            <w:left w:w="108" w:type="dxa"/>
            <w:bottom w:w="0" w:type="dxa"/>
            <w:right w:w="108" w:type="dxa"/>
          </w:tblCellMar>
        </w:tblPrEx>
        <w:trPr>
          <w:trHeight w:val="480" w:hRule="atLeast"/>
        </w:trPr>
        <w:tc>
          <w:tcPr>
            <w:tcW w:w="204" w:type="pct"/>
            <w:vMerge w:val="continue"/>
            <w:tcBorders>
              <w:top w:val="nil"/>
              <w:left w:val="single" w:color="auto" w:sz="4" w:space="0"/>
              <w:bottom w:val="single" w:color="auto" w:sz="4" w:space="0"/>
              <w:right w:val="single" w:color="auto" w:sz="4" w:space="0"/>
            </w:tcBorders>
            <w:vAlign w:val="center"/>
          </w:tcPr>
          <w:p w14:paraId="6717868B">
            <w:pPr>
              <w:widowControl/>
              <w:jc w:val="left"/>
              <w:rPr>
                <w:rFonts w:ascii="宋体" w:cs="宋体"/>
                <w:kern w:val="0"/>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51810C8F">
            <w:pPr>
              <w:widowControl/>
              <w:jc w:val="left"/>
              <w:rPr>
                <w:rFonts w:ascii="宋体" w:cs="宋体"/>
                <w:kern w:val="0"/>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6647FC1D">
            <w:pPr>
              <w:widowControl/>
              <w:jc w:val="left"/>
              <w:rPr>
                <w:rFonts w:ascii="宋体" w:cs="宋体"/>
                <w:kern w:val="0"/>
                <w:sz w:val="18"/>
                <w:szCs w:val="18"/>
              </w:rPr>
            </w:pPr>
          </w:p>
        </w:tc>
        <w:tc>
          <w:tcPr>
            <w:tcW w:w="203" w:type="pct"/>
            <w:tcBorders>
              <w:top w:val="nil"/>
              <w:left w:val="nil"/>
              <w:bottom w:val="single" w:color="auto" w:sz="4" w:space="0"/>
              <w:right w:val="single" w:color="auto" w:sz="4" w:space="0"/>
            </w:tcBorders>
            <w:noWrap/>
            <w:vAlign w:val="center"/>
          </w:tcPr>
          <w:p w14:paraId="2C3749ED">
            <w:pPr>
              <w:widowControl/>
              <w:jc w:val="right"/>
              <w:rPr>
                <w:rFonts w:ascii="宋体" w:cs="宋体"/>
                <w:kern w:val="0"/>
                <w:sz w:val="18"/>
                <w:szCs w:val="18"/>
              </w:rPr>
            </w:pPr>
            <w:r>
              <w:rPr>
                <w:rFonts w:ascii="宋体" w:hAnsi="宋体" w:cs="宋体"/>
                <w:kern w:val="0"/>
                <w:sz w:val="18"/>
                <w:szCs w:val="18"/>
              </w:rPr>
              <w:t>2022</w:t>
            </w:r>
          </w:p>
        </w:tc>
        <w:tc>
          <w:tcPr>
            <w:tcW w:w="775" w:type="pct"/>
            <w:vMerge w:val="continue"/>
            <w:tcBorders>
              <w:top w:val="nil"/>
              <w:left w:val="single" w:color="auto" w:sz="4" w:space="0"/>
              <w:bottom w:val="single" w:color="auto" w:sz="4" w:space="0"/>
              <w:right w:val="single" w:color="auto" w:sz="4" w:space="0"/>
            </w:tcBorders>
            <w:vAlign w:val="center"/>
          </w:tcPr>
          <w:p w14:paraId="023003E9">
            <w:pPr>
              <w:widowControl/>
              <w:jc w:val="left"/>
              <w:rPr>
                <w:rFonts w:ascii="宋体" w:cs="宋体"/>
                <w:kern w:val="0"/>
                <w:sz w:val="18"/>
                <w:szCs w:val="18"/>
              </w:rPr>
            </w:pPr>
          </w:p>
        </w:tc>
        <w:tc>
          <w:tcPr>
            <w:tcW w:w="631" w:type="pct"/>
            <w:tcBorders>
              <w:top w:val="nil"/>
              <w:left w:val="nil"/>
              <w:bottom w:val="single" w:color="auto" w:sz="4" w:space="0"/>
              <w:right w:val="single" w:color="auto" w:sz="4" w:space="0"/>
            </w:tcBorders>
            <w:vAlign w:val="center"/>
          </w:tcPr>
          <w:p w14:paraId="0E55C3C6">
            <w:pPr>
              <w:widowControl/>
              <w:jc w:val="left"/>
              <w:rPr>
                <w:rFonts w:ascii="宋体" w:cs="宋体"/>
                <w:kern w:val="0"/>
                <w:sz w:val="18"/>
                <w:szCs w:val="18"/>
              </w:rPr>
            </w:pPr>
            <w:r>
              <w:rPr>
                <w:rFonts w:hint="eastAsia" w:ascii="宋体" w:hAnsi="宋体" w:cs="宋体"/>
                <w:kern w:val="0"/>
                <w:sz w:val="18"/>
                <w:szCs w:val="18"/>
              </w:rPr>
              <w:t>招聘完成率</w:t>
            </w:r>
          </w:p>
        </w:tc>
        <w:tc>
          <w:tcPr>
            <w:tcW w:w="901" w:type="pct"/>
            <w:tcBorders>
              <w:top w:val="nil"/>
              <w:left w:val="nil"/>
              <w:bottom w:val="single" w:color="auto" w:sz="4" w:space="0"/>
              <w:right w:val="single" w:color="auto" w:sz="4" w:space="0"/>
            </w:tcBorders>
            <w:vAlign w:val="center"/>
          </w:tcPr>
          <w:p w14:paraId="46869F44">
            <w:pPr>
              <w:widowControl/>
              <w:jc w:val="left"/>
              <w:rPr>
                <w:rFonts w:ascii="宋体" w:cs="宋体"/>
                <w:kern w:val="0"/>
                <w:sz w:val="18"/>
                <w:szCs w:val="18"/>
              </w:rPr>
            </w:pPr>
            <w:r>
              <w:rPr>
                <w:rFonts w:hint="eastAsia" w:ascii="宋体" w:hAnsi="宋体" w:cs="宋体"/>
                <w:kern w:val="0"/>
                <w:sz w:val="18"/>
                <w:szCs w:val="18"/>
              </w:rPr>
              <w:t>按照招聘计划的条件、人数完成比例</w:t>
            </w:r>
          </w:p>
        </w:tc>
        <w:tc>
          <w:tcPr>
            <w:tcW w:w="203" w:type="pct"/>
            <w:tcBorders>
              <w:top w:val="nil"/>
              <w:left w:val="nil"/>
              <w:bottom w:val="single" w:color="auto" w:sz="4" w:space="0"/>
              <w:right w:val="single" w:color="auto" w:sz="4" w:space="0"/>
            </w:tcBorders>
            <w:vAlign w:val="center"/>
          </w:tcPr>
          <w:p w14:paraId="3BD420FF">
            <w:pPr>
              <w:widowControl/>
              <w:jc w:val="left"/>
              <w:rPr>
                <w:rFonts w:ascii="宋体" w:cs="宋体"/>
                <w:kern w:val="0"/>
                <w:sz w:val="18"/>
                <w:szCs w:val="18"/>
              </w:rPr>
            </w:pPr>
            <w:r>
              <w:rPr>
                <w:rFonts w:ascii="宋体" w:hAnsi="宋体" w:cs="宋体"/>
                <w:kern w:val="0"/>
                <w:sz w:val="18"/>
                <w:szCs w:val="18"/>
              </w:rPr>
              <w:t>100%</w:t>
            </w:r>
          </w:p>
        </w:tc>
        <w:tc>
          <w:tcPr>
            <w:tcW w:w="298" w:type="pct"/>
            <w:tcBorders>
              <w:top w:val="nil"/>
              <w:left w:val="nil"/>
              <w:bottom w:val="single" w:color="auto" w:sz="4" w:space="0"/>
              <w:right w:val="single" w:color="auto" w:sz="4" w:space="0"/>
            </w:tcBorders>
            <w:vAlign w:val="center"/>
          </w:tcPr>
          <w:p w14:paraId="15AE6DA3">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298" w:type="pct"/>
            <w:tcBorders>
              <w:top w:val="nil"/>
              <w:left w:val="nil"/>
              <w:bottom w:val="single" w:color="auto" w:sz="4" w:space="0"/>
              <w:right w:val="single" w:color="auto" w:sz="4" w:space="0"/>
            </w:tcBorders>
            <w:vAlign w:val="center"/>
          </w:tcPr>
          <w:p w14:paraId="6490EEA6">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80%</w:t>
            </w:r>
          </w:p>
        </w:tc>
        <w:tc>
          <w:tcPr>
            <w:tcW w:w="203" w:type="pct"/>
            <w:tcBorders>
              <w:top w:val="nil"/>
              <w:left w:val="nil"/>
              <w:bottom w:val="single" w:color="auto" w:sz="4" w:space="0"/>
              <w:right w:val="single" w:color="auto" w:sz="4" w:space="0"/>
            </w:tcBorders>
            <w:vAlign w:val="center"/>
          </w:tcPr>
          <w:p w14:paraId="379E7911">
            <w:pPr>
              <w:widowControl/>
              <w:jc w:val="left"/>
              <w:rPr>
                <w:rFonts w:ascii="宋体" w:cs="宋体"/>
                <w:kern w:val="0"/>
                <w:sz w:val="18"/>
                <w:szCs w:val="18"/>
              </w:rPr>
            </w:pPr>
            <w:r>
              <w:rPr>
                <w:rFonts w:ascii="宋体" w:hAnsi="宋体" w:cs="宋体"/>
                <w:kern w:val="0"/>
                <w:sz w:val="18"/>
                <w:szCs w:val="18"/>
              </w:rPr>
              <w:t>&lt;80%</w:t>
            </w:r>
          </w:p>
        </w:tc>
      </w:tr>
      <w:tr w14:paraId="35D88519">
        <w:tblPrEx>
          <w:tblCellMar>
            <w:top w:w="0" w:type="dxa"/>
            <w:left w:w="108" w:type="dxa"/>
            <w:bottom w:w="0" w:type="dxa"/>
            <w:right w:w="108" w:type="dxa"/>
          </w:tblCellMar>
        </w:tblPrEx>
        <w:trPr>
          <w:trHeight w:val="480" w:hRule="atLeast"/>
        </w:trPr>
        <w:tc>
          <w:tcPr>
            <w:tcW w:w="204" w:type="pct"/>
            <w:vMerge w:val="continue"/>
            <w:tcBorders>
              <w:top w:val="nil"/>
              <w:left w:val="single" w:color="auto" w:sz="4" w:space="0"/>
              <w:bottom w:val="single" w:color="auto" w:sz="4" w:space="0"/>
              <w:right w:val="single" w:color="auto" w:sz="4" w:space="0"/>
            </w:tcBorders>
            <w:vAlign w:val="center"/>
          </w:tcPr>
          <w:p w14:paraId="341246B8">
            <w:pPr>
              <w:widowControl/>
              <w:jc w:val="left"/>
              <w:rPr>
                <w:rFonts w:ascii="宋体" w:cs="宋体"/>
                <w:kern w:val="0"/>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382AD556">
            <w:pPr>
              <w:widowControl/>
              <w:jc w:val="left"/>
              <w:rPr>
                <w:rFonts w:ascii="宋体" w:cs="宋体"/>
                <w:kern w:val="0"/>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3E328544">
            <w:pPr>
              <w:widowControl/>
              <w:jc w:val="left"/>
              <w:rPr>
                <w:rFonts w:ascii="宋体" w:cs="宋体"/>
                <w:kern w:val="0"/>
                <w:sz w:val="18"/>
                <w:szCs w:val="18"/>
              </w:rPr>
            </w:pPr>
          </w:p>
        </w:tc>
        <w:tc>
          <w:tcPr>
            <w:tcW w:w="203" w:type="pct"/>
            <w:tcBorders>
              <w:top w:val="nil"/>
              <w:left w:val="nil"/>
              <w:bottom w:val="single" w:color="auto" w:sz="4" w:space="0"/>
              <w:right w:val="single" w:color="auto" w:sz="4" w:space="0"/>
            </w:tcBorders>
            <w:noWrap/>
            <w:vAlign w:val="center"/>
          </w:tcPr>
          <w:p w14:paraId="16FF4915">
            <w:pPr>
              <w:widowControl/>
              <w:jc w:val="right"/>
              <w:rPr>
                <w:rFonts w:ascii="宋体" w:cs="宋体"/>
                <w:kern w:val="0"/>
                <w:sz w:val="18"/>
                <w:szCs w:val="18"/>
              </w:rPr>
            </w:pPr>
            <w:r>
              <w:rPr>
                <w:rFonts w:ascii="宋体" w:hAnsi="宋体" w:cs="宋体"/>
                <w:kern w:val="0"/>
                <w:sz w:val="18"/>
                <w:szCs w:val="18"/>
              </w:rPr>
              <w:t>2022</w:t>
            </w:r>
          </w:p>
        </w:tc>
        <w:tc>
          <w:tcPr>
            <w:tcW w:w="775" w:type="pct"/>
            <w:vMerge w:val="continue"/>
            <w:tcBorders>
              <w:top w:val="nil"/>
              <w:left w:val="single" w:color="auto" w:sz="4" w:space="0"/>
              <w:bottom w:val="single" w:color="auto" w:sz="4" w:space="0"/>
              <w:right w:val="single" w:color="auto" w:sz="4" w:space="0"/>
            </w:tcBorders>
            <w:vAlign w:val="center"/>
          </w:tcPr>
          <w:p w14:paraId="7F88388D">
            <w:pPr>
              <w:widowControl/>
              <w:jc w:val="left"/>
              <w:rPr>
                <w:rFonts w:ascii="宋体" w:cs="宋体"/>
                <w:kern w:val="0"/>
                <w:sz w:val="18"/>
                <w:szCs w:val="18"/>
              </w:rPr>
            </w:pPr>
          </w:p>
        </w:tc>
        <w:tc>
          <w:tcPr>
            <w:tcW w:w="631" w:type="pct"/>
            <w:tcBorders>
              <w:top w:val="nil"/>
              <w:left w:val="nil"/>
              <w:bottom w:val="single" w:color="auto" w:sz="4" w:space="0"/>
              <w:right w:val="single" w:color="auto" w:sz="4" w:space="0"/>
            </w:tcBorders>
            <w:vAlign w:val="center"/>
          </w:tcPr>
          <w:p w14:paraId="6B6624E2">
            <w:pPr>
              <w:widowControl/>
              <w:jc w:val="left"/>
              <w:rPr>
                <w:rFonts w:ascii="宋体" w:cs="宋体"/>
                <w:kern w:val="0"/>
                <w:sz w:val="18"/>
                <w:szCs w:val="18"/>
              </w:rPr>
            </w:pPr>
            <w:r>
              <w:rPr>
                <w:rFonts w:hint="eastAsia" w:ascii="宋体" w:hAnsi="宋体" w:cs="宋体"/>
                <w:kern w:val="0"/>
                <w:sz w:val="18"/>
                <w:szCs w:val="18"/>
              </w:rPr>
              <w:t>招聘及时性</w:t>
            </w:r>
          </w:p>
        </w:tc>
        <w:tc>
          <w:tcPr>
            <w:tcW w:w="901" w:type="pct"/>
            <w:tcBorders>
              <w:top w:val="nil"/>
              <w:left w:val="nil"/>
              <w:bottom w:val="single" w:color="auto" w:sz="4" w:space="0"/>
              <w:right w:val="single" w:color="auto" w:sz="4" w:space="0"/>
            </w:tcBorders>
            <w:vAlign w:val="center"/>
          </w:tcPr>
          <w:p w14:paraId="032C67EB">
            <w:pPr>
              <w:widowControl/>
              <w:jc w:val="left"/>
              <w:rPr>
                <w:rFonts w:ascii="宋体" w:cs="宋体"/>
                <w:kern w:val="0"/>
                <w:sz w:val="18"/>
                <w:szCs w:val="18"/>
              </w:rPr>
            </w:pPr>
            <w:r>
              <w:rPr>
                <w:rFonts w:hint="eastAsia" w:ascii="宋体" w:hAnsi="宋体" w:cs="宋体"/>
                <w:kern w:val="0"/>
                <w:sz w:val="18"/>
                <w:szCs w:val="18"/>
              </w:rPr>
              <w:t>是否按照计划及时完成招聘</w:t>
            </w:r>
          </w:p>
        </w:tc>
        <w:tc>
          <w:tcPr>
            <w:tcW w:w="203" w:type="pct"/>
            <w:tcBorders>
              <w:top w:val="nil"/>
              <w:left w:val="nil"/>
              <w:bottom w:val="single" w:color="auto" w:sz="4" w:space="0"/>
              <w:right w:val="single" w:color="auto" w:sz="4" w:space="0"/>
            </w:tcBorders>
            <w:vAlign w:val="center"/>
          </w:tcPr>
          <w:p w14:paraId="7E7856C6">
            <w:pPr>
              <w:widowControl/>
              <w:jc w:val="left"/>
              <w:rPr>
                <w:rFonts w:ascii="宋体" w:cs="宋体"/>
                <w:kern w:val="0"/>
                <w:sz w:val="18"/>
                <w:szCs w:val="18"/>
              </w:rPr>
            </w:pPr>
            <w:r>
              <w:rPr>
                <w:rFonts w:hint="eastAsia" w:ascii="宋体" w:hAnsi="宋体" w:cs="宋体"/>
                <w:kern w:val="0"/>
                <w:sz w:val="18"/>
                <w:szCs w:val="18"/>
              </w:rPr>
              <w:t>是</w:t>
            </w:r>
          </w:p>
        </w:tc>
        <w:tc>
          <w:tcPr>
            <w:tcW w:w="298" w:type="pct"/>
            <w:tcBorders>
              <w:top w:val="nil"/>
              <w:left w:val="nil"/>
              <w:bottom w:val="single" w:color="auto" w:sz="4" w:space="0"/>
              <w:right w:val="single" w:color="auto" w:sz="4" w:space="0"/>
            </w:tcBorders>
            <w:vAlign w:val="center"/>
          </w:tcPr>
          <w:p w14:paraId="77F331FA">
            <w:pPr>
              <w:widowControl/>
              <w:jc w:val="left"/>
              <w:rPr>
                <w:rFonts w:ascii="宋体" w:cs="宋体"/>
                <w:kern w:val="0"/>
                <w:sz w:val="18"/>
                <w:szCs w:val="18"/>
              </w:rPr>
            </w:pPr>
            <w:r>
              <w:rPr>
                <w:rFonts w:hint="eastAsia" w:ascii="宋体" w:hAnsi="宋体" w:cs="宋体"/>
                <w:kern w:val="0"/>
                <w:sz w:val="18"/>
                <w:szCs w:val="18"/>
              </w:rPr>
              <w:t>基本达到</w:t>
            </w:r>
          </w:p>
        </w:tc>
        <w:tc>
          <w:tcPr>
            <w:tcW w:w="298" w:type="pct"/>
            <w:tcBorders>
              <w:top w:val="nil"/>
              <w:left w:val="nil"/>
              <w:bottom w:val="single" w:color="auto" w:sz="4" w:space="0"/>
              <w:right w:val="single" w:color="auto" w:sz="4" w:space="0"/>
            </w:tcBorders>
            <w:vAlign w:val="center"/>
          </w:tcPr>
          <w:p w14:paraId="12B460B0">
            <w:pPr>
              <w:widowControl/>
              <w:jc w:val="left"/>
              <w:rPr>
                <w:rFonts w:ascii="宋体" w:cs="宋体"/>
                <w:kern w:val="0"/>
                <w:sz w:val="18"/>
                <w:szCs w:val="18"/>
              </w:rPr>
            </w:pPr>
            <w:r>
              <w:rPr>
                <w:rFonts w:hint="eastAsia" w:ascii="宋体" w:hAnsi="宋体" w:cs="宋体"/>
                <w:kern w:val="0"/>
                <w:sz w:val="18"/>
                <w:szCs w:val="18"/>
              </w:rPr>
              <w:t>否</w:t>
            </w:r>
          </w:p>
        </w:tc>
        <w:tc>
          <w:tcPr>
            <w:tcW w:w="203" w:type="pct"/>
            <w:tcBorders>
              <w:top w:val="nil"/>
              <w:left w:val="nil"/>
              <w:bottom w:val="single" w:color="auto" w:sz="4" w:space="0"/>
              <w:right w:val="single" w:color="auto" w:sz="4" w:space="0"/>
            </w:tcBorders>
            <w:vAlign w:val="center"/>
          </w:tcPr>
          <w:p w14:paraId="487C6DB3">
            <w:pPr>
              <w:widowControl/>
              <w:jc w:val="left"/>
              <w:rPr>
                <w:rFonts w:ascii="宋体" w:cs="宋体"/>
                <w:kern w:val="0"/>
                <w:sz w:val="18"/>
                <w:szCs w:val="18"/>
              </w:rPr>
            </w:pPr>
            <w:r>
              <w:rPr>
                <w:rFonts w:hint="eastAsia" w:ascii="宋体" w:hAnsi="宋体" w:cs="宋体"/>
                <w:kern w:val="0"/>
                <w:sz w:val="18"/>
                <w:szCs w:val="18"/>
              </w:rPr>
              <w:t>否</w:t>
            </w:r>
          </w:p>
        </w:tc>
      </w:tr>
      <w:tr w14:paraId="0FACF072">
        <w:tblPrEx>
          <w:tblCellMar>
            <w:top w:w="0" w:type="dxa"/>
            <w:left w:w="108" w:type="dxa"/>
            <w:bottom w:w="0" w:type="dxa"/>
            <w:right w:w="108" w:type="dxa"/>
          </w:tblCellMar>
        </w:tblPrEx>
        <w:trPr>
          <w:trHeight w:val="480" w:hRule="atLeast"/>
        </w:trPr>
        <w:tc>
          <w:tcPr>
            <w:tcW w:w="204" w:type="pct"/>
            <w:vMerge w:val="continue"/>
            <w:tcBorders>
              <w:top w:val="nil"/>
              <w:left w:val="single" w:color="auto" w:sz="4" w:space="0"/>
              <w:bottom w:val="single" w:color="auto" w:sz="4" w:space="0"/>
              <w:right w:val="single" w:color="auto" w:sz="4" w:space="0"/>
            </w:tcBorders>
            <w:vAlign w:val="center"/>
          </w:tcPr>
          <w:p w14:paraId="3C5B5994">
            <w:pPr>
              <w:widowControl/>
              <w:jc w:val="left"/>
              <w:rPr>
                <w:rFonts w:ascii="宋体" w:cs="宋体"/>
                <w:kern w:val="0"/>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54983B14">
            <w:pPr>
              <w:widowControl/>
              <w:jc w:val="left"/>
              <w:rPr>
                <w:rFonts w:ascii="宋体" w:cs="宋体"/>
                <w:kern w:val="0"/>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282EE86C">
            <w:pPr>
              <w:widowControl/>
              <w:jc w:val="left"/>
              <w:rPr>
                <w:rFonts w:ascii="宋体" w:cs="宋体"/>
                <w:kern w:val="0"/>
                <w:sz w:val="18"/>
                <w:szCs w:val="18"/>
              </w:rPr>
            </w:pPr>
          </w:p>
        </w:tc>
        <w:tc>
          <w:tcPr>
            <w:tcW w:w="203" w:type="pct"/>
            <w:tcBorders>
              <w:top w:val="nil"/>
              <w:left w:val="nil"/>
              <w:bottom w:val="single" w:color="auto" w:sz="4" w:space="0"/>
              <w:right w:val="single" w:color="auto" w:sz="4" w:space="0"/>
            </w:tcBorders>
            <w:noWrap/>
            <w:vAlign w:val="center"/>
          </w:tcPr>
          <w:p w14:paraId="17867745">
            <w:pPr>
              <w:widowControl/>
              <w:jc w:val="right"/>
              <w:rPr>
                <w:rFonts w:ascii="宋体" w:cs="宋体"/>
                <w:kern w:val="0"/>
                <w:sz w:val="18"/>
                <w:szCs w:val="18"/>
              </w:rPr>
            </w:pPr>
            <w:r>
              <w:rPr>
                <w:rFonts w:ascii="宋体" w:hAnsi="宋体" w:cs="宋体"/>
                <w:kern w:val="0"/>
                <w:sz w:val="18"/>
                <w:szCs w:val="18"/>
              </w:rPr>
              <w:t>2022</w:t>
            </w:r>
          </w:p>
        </w:tc>
        <w:tc>
          <w:tcPr>
            <w:tcW w:w="775" w:type="pct"/>
            <w:vMerge w:val="continue"/>
            <w:tcBorders>
              <w:top w:val="nil"/>
              <w:left w:val="single" w:color="auto" w:sz="4" w:space="0"/>
              <w:bottom w:val="single" w:color="auto" w:sz="4" w:space="0"/>
              <w:right w:val="single" w:color="auto" w:sz="4" w:space="0"/>
            </w:tcBorders>
            <w:vAlign w:val="center"/>
          </w:tcPr>
          <w:p w14:paraId="48E224ED">
            <w:pPr>
              <w:widowControl/>
              <w:jc w:val="left"/>
              <w:rPr>
                <w:rFonts w:ascii="宋体" w:cs="宋体"/>
                <w:kern w:val="0"/>
                <w:sz w:val="18"/>
                <w:szCs w:val="18"/>
              </w:rPr>
            </w:pPr>
          </w:p>
        </w:tc>
        <w:tc>
          <w:tcPr>
            <w:tcW w:w="631" w:type="pct"/>
            <w:tcBorders>
              <w:top w:val="nil"/>
              <w:left w:val="nil"/>
              <w:bottom w:val="single" w:color="auto" w:sz="4" w:space="0"/>
              <w:right w:val="single" w:color="auto" w:sz="4" w:space="0"/>
            </w:tcBorders>
            <w:vAlign w:val="center"/>
          </w:tcPr>
          <w:p w14:paraId="53A6ABCD">
            <w:pPr>
              <w:widowControl/>
              <w:jc w:val="left"/>
              <w:rPr>
                <w:rFonts w:ascii="宋体" w:cs="宋体"/>
                <w:kern w:val="0"/>
                <w:sz w:val="18"/>
                <w:szCs w:val="18"/>
              </w:rPr>
            </w:pPr>
            <w:r>
              <w:rPr>
                <w:rFonts w:hint="eastAsia" w:ascii="宋体" w:hAnsi="宋体" w:cs="宋体"/>
                <w:kern w:val="0"/>
                <w:sz w:val="18"/>
                <w:szCs w:val="18"/>
              </w:rPr>
              <w:t>招聘录用人员到位率</w:t>
            </w:r>
          </w:p>
        </w:tc>
        <w:tc>
          <w:tcPr>
            <w:tcW w:w="901" w:type="pct"/>
            <w:tcBorders>
              <w:top w:val="nil"/>
              <w:left w:val="nil"/>
              <w:bottom w:val="single" w:color="auto" w:sz="4" w:space="0"/>
              <w:right w:val="single" w:color="auto" w:sz="4" w:space="0"/>
            </w:tcBorders>
            <w:vAlign w:val="center"/>
          </w:tcPr>
          <w:p w14:paraId="36BCCB7B">
            <w:pPr>
              <w:widowControl/>
              <w:jc w:val="left"/>
              <w:rPr>
                <w:rFonts w:ascii="宋体" w:cs="宋体"/>
                <w:kern w:val="0"/>
                <w:sz w:val="18"/>
                <w:szCs w:val="18"/>
              </w:rPr>
            </w:pPr>
            <w:r>
              <w:rPr>
                <w:rFonts w:hint="eastAsia" w:ascii="宋体" w:hAnsi="宋体" w:cs="宋体"/>
                <w:kern w:val="0"/>
                <w:sz w:val="18"/>
                <w:szCs w:val="18"/>
              </w:rPr>
              <w:t>实际到岗任职人员占录用人员比例</w:t>
            </w:r>
          </w:p>
        </w:tc>
        <w:tc>
          <w:tcPr>
            <w:tcW w:w="203" w:type="pct"/>
            <w:tcBorders>
              <w:top w:val="nil"/>
              <w:left w:val="nil"/>
              <w:bottom w:val="single" w:color="auto" w:sz="4" w:space="0"/>
              <w:right w:val="single" w:color="auto" w:sz="4" w:space="0"/>
            </w:tcBorders>
            <w:vAlign w:val="center"/>
          </w:tcPr>
          <w:p w14:paraId="655C8388">
            <w:pPr>
              <w:widowControl/>
              <w:jc w:val="left"/>
              <w:rPr>
                <w:rFonts w:ascii="宋体" w:cs="宋体"/>
                <w:kern w:val="0"/>
                <w:sz w:val="18"/>
                <w:szCs w:val="18"/>
              </w:rPr>
            </w:pPr>
            <w:r>
              <w:rPr>
                <w:rFonts w:ascii="宋体" w:hAnsi="宋体" w:cs="宋体"/>
                <w:kern w:val="0"/>
                <w:sz w:val="18"/>
                <w:szCs w:val="18"/>
              </w:rPr>
              <w:t>95%</w:t>
            </w:r>
          </w:p>
        </w:tc>
        <w:tc>
          <w:tcPr>
            <w:tcW w:w="298" w:type="pct"/>
            <w:tcBorders>
              <w:top w:val="nil"/>
              <w:left w:val="nil"/>
              <w:bottom w:val="single" w:color="auto" w:sz="4" w:space="0"/>
              <w:right w:val="single" w:color="auto" w:sz="4" w:space="0"/>
            </w:tcBorders>
            <w:vAlign w:val="center"/>
          </w:tcPr>
          <w:p w14:paraId="68AE026D">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298" w:type="pct"/>
            <w:tcBorders>
              <w:top w:val="nil"/>
              <w:left w:val="nil"/>
              <w:bottom w:val="single" w:color="auto" w:sz="4" w:space="0"/>
              <w:right w:val="single" w:color="auto" w:sz="4" w:space="0"/>
            </w:tcBorders>
            <w:vAlign w:val="center"/>
          </w:tcPr>
          <w:p w14:paraId="53492F1F">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80%</w:t>
            </w:r>
          </w:p>
        </w:tc>
        <w:tc>
          <w:tcPr>
            <w:tcW w:w="203" w:type="pct"/>
            <w:tcBorders>
              <w:top w:val="nil"/>
              <w:left w:val="nil"/>
              <w:bottom w:val="single" w:color="auto" w:sz="4" w:space="0"/>
              <w:right w:val="single" w:color="auto" w:sz="4" w:space="0"/>
            </w:tcBorders>
            <w:vAlign w:val="center"/>
          </w:tcPr>
          <w:p w14:paraId="6BF15DE8">
            <w:pPr>
              <w:widowControl/>
              <w:jc w:val="left"/>
              <w:rPr>
                <w:rFonts w:ascii="宋体" w:cs="宋体"/>
                <w:kern w:val="0"/>
                <w:sz w:val="18"/>
                <w:szCs w:val="18"/>
              </w:rPr>
            </w:pPr>
            <w:r>
              <w:rPr>
                <w:rFonts w:ascii="宋体" w:hAnsi="宋体" w:cs="宋体"/>
                <w:kern w:val="0"/>
                <w:sz w:val="18"/>
                <w:szCs w:val="18"/>
              </w:rPr>
              <w:t>&lt;80%</w:t>
            </w:r>
          </w:p>
        </w:tc>
      </w:tr>
      <w:tr w14:paraId="1196E123">
        <w:tblPrEx>
          <w:tblCellMar>
            <w:top w:w="0" w:type="dxa"/>
            <w:left w:w="108" w:type="dxa"/>
            <w:bottom w:w="0" w:type="dxa"/>
            <w:right w:w="108" w:type="dxa"/>
          </w:tblCellMar>
        </w:tblPrEx>
        <w:trPr>
          <w:trHeight w:val="216" w:hRule="atLeast"/>
        </w:trPr>
        <w:tc>
          <w:tcPr>
            <w:tcW w:w="204" w:type="pct"/>
            <w:vMerge w:val="continue"/>
            <w:tcBorders>
              <w:top w:val="nil"/>
              <w:left w:val="single" w:color="auto" w:sz="4" w:space="0"/>
              <w:bottom w:val="single" w:color="auto" w:sz="4" w:space="0"/>
              <w:right w:val="single" w:color="auto" w:sz="4" w:space="0"/>
            </w:tcBorders>
            <w:vAlign w:val="center"/>
          </w:tcPr>
          <w:p w14:paraId="0727B642">
            <w:pPr>
              <w:widowControl/>
              <w:jc w:val="left"/>
              <w:rPr>
                <w:rFonts w:ascii="宋体" w:cs="宋体"/>
                <w:kern w:val="0"/>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7A152E21">
            <w:pPr>
              <w:widowControl/>
              <w:jc w:val="left"/>
              <w:rPr>
                <w:rFonts w:ascii="宋体" w:cs="宋体"/>
                <w:kern w:val="0"/>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495E1A41">
            <w:pPr>
              <w:widowControl/>
              <w:jc w:val="left"/>
              <w:rPr>
                <w:rFonts w:ascii="宋体" w:cs="宋体"/>
                <w:kern w:val="0"/>
                <w:sz w:val="18"/>
                <w:szCs w:val="18"/>
              </w:rPr>
            </w:pPr>
          </w:p>
        </w:tc>
        <w:tc>
          <w:tcPr>
            <w:tcW w:w="203" w:type="pct"/>
            <w:tcBorders>
              <w:top w:val="nil"/>
              <w:left w:val="nil"/>
              <w:bottom w:val="single" w:color="auto" w:sz="4" w:space="0"/>
              <w:right w:val="single" w:color="auto" w:sz="4" w:space="0"/>
            </w:tcBorders>
            <w:noWrap/>
            <w:vAlign w:val="center"/>
          </w:tcPr>
          <w:p w14:paraId="432EBC02">
            <w:pPr>
              <w:widowControl/>
              <w:jc w:val="right"/>
              <w:rPr>
                <w:rFonts w:ascii="宋体" w:cs="宋体"/>
                <w:kern w:val="0"/>
                <w:sz w:val="18"/>
                <w:szCs w:val="18"/>
              </w:rPr>
            </w:pPr>
            <w:r>
              <w:rPr>
                <w:rFonts w:ascii="宋体" w:hAnsi="宋体" w:cs="宋体"/>
                <w:kern w:val="0"/>
                <w:sz w:val="18"/>
                <w:szCs w:val="18"/>
              </w:rPr>
              <w:t>2022</w:t>
            </w:r>
          </w:p>
        </w:tc>
        <w:tc>
          <w:tcPr>
            <w:tcW w:w="775" w:type="pct"/>
            <w:vMerge w:val="continue"/>
            <w:tcBorders>
              <w:top w:val="nil"/>
              <w:left w:val="single" w:color="auto" w:sz="4" w:space="0"/>
              <w:bottom w:val="single" w:color="auto" w:sz="4" w:space="0"/>
              <w:right w:val="single" w:color="auto" w:sz="4" w:space="0"/>
            </w:tcBorders>
            <w:vAlign w:val="center"/>
          </w:tcPr>
          <w:p w14:paraId="11EFC7DC">
            <w:pPr>
              <w:widowControl/>
              <w:jc w:val="left"/>
              <w:rPr>
                <w:rFonts w:ascii="宋体" w:cs="宋体"/>
                <w:kern w:val="0"/>
                <w:sz w:val="18"/>
                <w:szCs w:val="18"/>
              </w:rPr>
            </w:pPr>
          </w:p>
        </w:tc>
        <w:tc>
          <w:tcPr>
            <w:tcW w:w="631" w:type="pct"/>
            <w:tcBorders>
              <w:top w:val="nil"/>
              <w:left w:val="nil"/>
              <w:bottom w:val="single" w:color="auto" w:sz="4" w:space="0"/>
              <w:right w:val="single" w:color="auto" w:sz="4" w:space="0"/>
            </w:tcBorders>
            <w:vAlign w:val="center"/>
          </w:tcPr>
          <w:p w14:paraId="3298717B">
            <w:pPr>
              <w:widowControl/>
              <w:jc w:val="left"/>
              <w:rPr>
                <w:rFonts w:ascii="宋体" w:cs="宋体"/>
                <w:kern w:val="0"/>
                <w:sz w:val="18"/>
                <w:szCs w:val="18"/>
              </w:rPr>
            </w:pPr>
            <w:r>
              <w:rPr>
                <w:rFonts w:hint="eastAsia" w:ascii="宋体" w:hAnsi="宋体" w:cs="宋体"/>
                <w:kern w:val="0"/>
                <w:sz w:val="18"/>
                <w:szCs w:val="18"/>
              </w:rPr>
              <w:t>新增就业人员数量</w:t>
            </w:r>
          </w:p>
        </w:tc>
        <w:tc>
          <w:tcPr>
            <w:tcW w:w="901" w:type="pct"/>
            <w:tcBorders>
              <w:top w:val="nil"/>
              <w:left w:val="nil"/>
              <w:bottom w:val="single" w:color="auto" w:sz="4" w:space="0"/>
              <w:right w:val="single" w:color="auto" w:sz="4" w:space="0"/>
            </w:tcBorders>
            <w:vAlign w:val="center"/>
          </w:tcPr>
          <w:p w14:paraId="2F052FA7">
            <w:pPr>
              <w:widowControl/>
              <w:jc w:val="left"/>
              <w:rPr>
                <w:rFonts w:ascii="宋体" w:cs="宋体"/>
                <w:kern w:val="0"/>
                <w:sz w:val="18"/>
                <w:szCs w:val="18"/>
              </w:rPr>
            </w:pPr>
            <w:r>
              <w:rPr>
                <w:rFonts w:hint="eastAsia" w:ascii="宋体" w:hAnsi="宋体" w:cs="宋体"/>
                <w:kern w:val="0"/>
                <w:sz w:val="18"/>
                <w:szCs w:val="18"/>
              </w:rPr>
              <w:t>年度内新增就业人员数量</w:t>
            </w:r>
          </w:p>
        </w:tc>
        <w:tc>
          <w:tcPr>
            <w:tcW w:w="203" w:type="pct"/>
            <w:tcBorders>
              <w:top w:val="nil"/>
              <w:left w:val="nil"/>
              <w:bottom w:val="single" w:color="auto" w:sz="4" w:space="0"/>
              <w:right w:val="single" w:color="auto" w:sz="4" w:space="0"/>
            </w:tcBorders>
            <w:vAlign w:val="center"/>
          </w:tcPr>
          <w:p w14:paraId="3EDEBF98">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500</w:t>
            </w:r>
          </w:p>
        </w:tc>
        <w:tc>
          <w:tcPr>
            <w:tcW w:w="298" w:type="pct"/>
            <w:tcBorders>
              <w:top w:val="nil"/>
              <w:left w:val="nil"/>
              <w:bottom w:val="single" w:color="auto" w:sz="4" w:space="0"/>
              <w:right w:val="single" w:color="auto" w:sz="4" w:space="0"/>
            </w:tcBorders>
            <w:vAlign w:val="center"/>
          </w:tcPr>
          <w:p w14:paraId="233B03C9">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480</w:t>
            </w:r>
          </w:p>
        </w:tc>
        <w:tc>
          <w:tcPr>
            <w:tcW w:w="298" w:type="pct"/>
            <w:tcBorders>
              <w:top w:val="nil"/>
              <w:left w:val="nil"/>
              <w:bottom w:val="single" w:color="auto" w:sz="4" w:space="0"/>
              <w:right w:val="single" w:color="auto" w:sz="4" w:space="0"/>
            </w:tcBorders>
            <w:vAlign w:val="center"/>
          </w:tcPr>
          <w:p w14:paraId="565448EB">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460</w:t>
            </w:r>
          </w:p>
        </w:tc>
        <w:tc>
          <w:tcPr>
            <w:tcW w:w="203" w:type="pct"/>
            <w:tcBorders>
              <w:top w:val="nil"/>
              <w:left w:val="nil"/>
              <w:bottom w:val="single" w:color="auto" w:sz="4" w:space="0"/>
              <w:right w:val="single" w:color="auto" w:sz="4" w:space="0"/>
            </w:tcBorders>
            <w:vAlign w:val="center"/>
          </w:tcPr>
          <w:p w14:paraId="34C465CF">
            <w:pPr>
              <w:widowControl/>
              <w:jc w:val="left"/>
              <w:rPr>
                <w:rFonts w:ascii="宋体" w:cs="宋体"/>
                <w:kern w:val="0"/>
                <w:sz w:val="18"/>
                <w:szCs w:val="18"/>
              </w:rPr>
            </w:pPr>
            <w:r>
              <w:rPr>
                <w:rFonts w:ascii="宋体" w:hAnsi="宋体" w:cs="宋体"/>
                <w:kern w:val="0"/>
                <w:sz w:val="18"/>
                <w:szCs w:val="18"/>
              </w:rPr>
              <w:t>&lt;460</w:t>
            </w:r>
          </w:p>
        </w:tc>
      </w:tr>
      <w:tr w14:paraId="25C423E9">
        <w:tblPrEx>
          <w:tblCellMar>
            <w:top w:w="0" w:type="dxa"/>
            <w:left w:w="108" w:type="dxa"/>
            <w:bottom w:w="0" w:type="dxa"/>
            <w:right w:w="108" w:type="dxa"/>
          </w:tblCellMar>
        </w:tblPrEx>
        <w:trPr>
          <w:trHeight w:val="432" w:hRule="atLeast"/>
        </w:trPr>
        <w:tc>
          <w:tcPr>
            <w:tcW w:w="204" w:type="pct"/>
            <w:vMerge w:val="continue"/>
            <w:tcBorders>
              <w:top w:val="nil"/>
              <w:left w:val="single" w:color="auto" w:sz="4" w:space="0"/>
              <w:bottom w:val="single" w:color="auto" w:sz="4" w:space="0"/>
              <w:right w:val="single" w:color="auto" w:sz="4" w:space="0"/>
            </w:tcBorders>
            <w:vAlign w:val="center"/>
          </w:tcPr>
          <w:p w14:paraId="0393777E">
            <w:pPr>
              <w:widowControl/>
              <w:jc w:val="left"/>
              <w:rPr>
                <w:rFonts w:ascii="宋体" w:cs="宋体"/>
                <w:kern w:val="0"/>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2EDBB647">
            <w:pPr>
              <w:widowControl/>
              <w:jc w:val="left"/>
              <w:rPr>
                <w:rFonts w:ascii="宋体" w:cs="宋体"/>
                <w:kern w:val="0"/>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33E7EF39">
            <w:pPr>
              <w:widowControl/>
              <w:jc w:val="left"/>
              <w:rPr>
                <w:rFonts w:ascii="宋体" w:cs="宋体"/>
                <w:kern w:val="0"/>
                <w:sz w:val="18"/>
                <w:szCs w:val="18"/>
              </w:rPr>
            </w:pPr>
          </w:p>
        </w:tc>
        <w:tc>
          <w:tcPr>
            <w:tcW w:w="203" w:type="pct"/>
            <w:tcBorders>
              <w:top w:val="nil"/>
              <w:left w:val="nil"/>
              <w:bottom w:val="single" w:color="auto" w:sz="4" w:space="0"/>
              <w:right w:val="single" w:color="auto" w:sz="4" w:space="0"/>
            </w:tcBorders>
            <w:noWrap/>
            <w:vAlign w:val="center"/>
          </w:tcPr>
          <w:p w14:paraId="20528E70">
            <w:pPr>
              <w:widowControl/>
              <w:jc w:val="right"/>
              <w:rPr>
                <w:rFonts w:ascii="宋体" w:cs="宋体"/>
                <w:kern w:val="0"/>
                <w:sz w:val="18"/>
                <w:szCs w:val="18"/>
              </w:rPr>
            </w:pPr>
            <w:r>
              <w:rPr>
                <w:rFonts w:ascii="宋体" w:hAnsi="宋体" w:cs="宋体"/>
                <w:kern w:val="0"/>
                <w:sz w:val="18"/>
                <w:szCs w:val="18"/>
              </w:rPr>
              <w:t>2022</w:t>
            </w:r>
          </w:p>
        </w:tc>
        <w:tc>
          <w:tcPr>
            <w:tcW w:w="775" w:type="pct"/>
            <w:vMerge w:val="continue"/>
            <w:tcBorders>
              <w:top w:val="nil"/>
              <w:left w:val="single" w:color="auto" w:sz="4" w:space="0"/>
              <w:bottom w:val="single" w:color="auto" w:sz="4" w:space="0"/>
              <w:right w:val="single" w:color="auto" w:sz="4" w:space="0"/>
            </w:tcBorders>
            <w:vAlign w:val="center"/>
          </w:tcPr>
          <w:p w14:paraId="66B6E96C">
            <w:pPr>
              <w:widowControl/>
              <w:jc w:val="left"/>
              <w:rPr>
                <w:rFonts w:ascii="宋体" w:cs="宋体"/>
                <w:kern w:val="0"/>
                <w:sz w:val="18"/>
                <w:szCs w:val="18"/>
              </w:rPr>
            </w:pPr>
          </w:p>
        </w:tc>
        <w:tc>
          <w:tcPr>
            <w:tcW w:w="631" w:type="pct"/>
            <w:tcBorders>
              <w:top w:val="nil"/>
              <w:left w:val="nil"/>
              <w:bottom w:val="single" w:color="auto" w:sz="4" w:space="0"/>
              <w:right w:val="single" w:color="auto" w:sz="4" w:space="0"/>
            </w:tcBorders>
            <w:vAlign w:val="center"/>
          </w:tcPr>
          <w:p w14:paraId="42203473">
            <w:pPr>
              <w:widowControl/>
              <w:jc w:val="left"/>
              <w:rPr>
                <w:rFonts w:ascii="宋体" w:cs="宋体"/>
                <w:kern w:val="0"/>
                <w:sz w:val="18"/>
                <w:szCs w:val="18"/>
              </w:rPr>
            </w:pPr>
            <w:r>
              <w:rPr>
                <w:rFonts w:hint="eastAsia" w:ascii="宋体" w:hAnsi="宋体" w:cs="宋体"/>
                <w:kern w:val="0"/>
                <w:sz w:val="18"/>
                <w:szCs w:val="18"/>
              </w:rPr>
              <w:t>就业服务到位率</w:t>
            </w:r>
          </w:p>
        </w:tc>
        <w:tc>
          <w:tcPr>
            <w:tcW w:w="901" w:type="pct"/>
            <w:tcBorders>
              <w:top w:val="nil"/>
              <w:left w:val="nil"/>
              <w:bottom w:val="single" w:color="auto" w:sz="4" w:space="0"/>
              <w:right w:val="single" w:color="auto" w:sz="4" w:space="0"/>
            </w:tcBorders>
            <w:vAlign w:val="center"/>
          </w:tcPr>
          <w:p w14:paraId="028A55FE">
            <w:pPr>
              <w:widowControl/>
              <w:jc w:val="left"/>
              <w:rPr>
                <w:rFonts w:ascii="宋体" w:cs="宋体"/>
                <w:kern w:val="0"/>
                <w:sz w:val="18"/>
                <w:szCs w:val="18"/>
              </w:rPr>
            </w:pPr>
            <w:r>
              <w:rPr>
                <w:rFonts w:hint="eastAsia" w:ascii="宋体" w:hAnsi="宋体" w:cs="宋体"/>
                <w:kern w:val="0"/>
                <w:sz w:val="18"/>
                <w:szCs w:val="18"/>
              </w:rPr>
              <w:t>为失业人员提供免费的公共就业服务人数占失业人员总人数的比例</w:t>
            </w:r>
          </w:p>
        </w:tc>
        <w:tc>
          <w:tcPr>
            <w:tcW w:w="203" w:type="pct"/>
            <w:tcBorders>
              <w:top w:val="nil"/>
              <w:left w:val="nil"/>
              <w:bottom w:val="single" w:color="auto" w:sz="4" w:space="0"/>
              <w:right w:val="single" w:color="auto" w:sz="4" w:space="0"/>
            </w:tcBorders>
            <w:vAlign w:val="center"/>
          </w:tcPr>
          <w:p w14:paraId="7563DB47">
            <w:pPr>
              <w:widowControl/>
              <w:jc w:val="left"/>
              <w:rPr>
                <w:rFonts w:ascii="宋体" w:cs="宋体"/>
                <w:kern w:val="0"/>
                <w:sz w:val="18"/>
                <w:szCs w:val="18"/>
              </w:rPr>
            </w:pPr>
            <w:r>
              <w:rPr>
                <w:rFonts w:ascii="宋体" w:hAnsi="宋体" w:cs="宋体"/>
                <w:kern w:val="0"/>
                <w:sz w:val="18"/>
                <w:szCs w:val="18"/>
              </w:rPr>
              <w:t>100%</w:t>
            </w:r>
          </w:p>
        </w:tc>
        <w:tc>
          <w:tcPr>
            <w:tcW w:w="298" w:type="pct"/>
            <w:tcBorders>
              <w:top w:val="nil"/>
              <w:left w:val="nil"/>
              <w:bottom w:val="single" w:color="auto" w:sz="4" w:space="0"/>
              <w:right w:val="single" w:color="auto" w:sz="4" w:space="0"/>
            </w:tcBorders>
            <w:vAlign w:val="center"/>
          </w:tcPr>
          <w:p w14:paraId="034E9515">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298" w:type="pct"/>
            <w:tcBorders>
              <w:top w:val="nil"/>
              <w:left w:val="nil"/>
              <w:bottom w:val="single" w:color="auto" w:sz="4" w:space="0"/>
              <w:right w:val="single" w:color="auto" w:sz="4" w:space="0"/>
            </w:tcBorders>
            <w:vAlign w:val="center"/>
          </w:tcPr>
          <w:p w14:paraId="3363250D">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80%</w:t>
            </w:r>
          </w:p>
        </w:tc>
        <w:tc>
          <w:tcPr>
            <w:tcW w:w="203" w:type="pct"/>
            <w:tcBorders>
              <w:top w:val="nil"/>
              <w:left w:val="nil"/>
              <w:bottom w:val="single" w:color="auto" w:sz="4" w:space="0"/>
              <w:right w:val="single" w:color="auto" w:sz="4" w:space="0"/>
            </w:tcBorders>
            <w:vAlign w:val="center"/>
          </w:tcPr>
          <w:p w14:paraId="358F821F">
            <w:pPr>
              <w:widowControl/>
              <w:jc w:val="left"/>
              <w:rPr>
                <w:rFonts w:ascii="宋体" w:cs="宋体"/>
                <w:kern w:val="0"/>
                <w:sz w:val="18"/>
                <w:szCs w:val="18"/>
              </w:rPr>
            </w:pPr>
            <w:r>
              <w:rPr>
                <w:rFonts w:ascii="宋体" w:hAnsi="宋体" w:cs="宋体"/>
                <w:kern w:val="0"/>
                <w:sz w:val="18"/>
                <w:szCs w:val="18"/>
              </w:rPr>
              <w:t>&lt;80%</w:t>
            </w:r>
          </w:p>
        </w:tc>
      </w:tr>
      <w:tr w14:paraId="5D66117D">
        <w:tblPrEx>
          <w:tblCellMar>
            <w:top w:w="0" w:type="dxa"/>
            <w:left w:w="108" w:type="dxa"/>
            <w:bottom w:w="0" w:type="dxa"/>
            <w:right w:w="108" w:type="dxa"/>
          </w:tblCellMar>
        </w:tblPrEx>
        <w:trPr>
          <w:trHeight w:val="432" w:hRule="atLeast"/>
        </w:trPr>
        <w:tc>
          <w:tcPr>
            <w:tcW w:w="204" w:type="pct"/>
            <w:vMerge w:val="continue"/>
            <w:tcBorders>
              <w:top w:val="nil"/>
              <w:left w:val="single" w:color="auto" w:sz="4" w:space="0"/>
              <w:bottom w:val="single" w:color="auto" w:sz="4" w:space="0"/>
              <w:right w:val="single" w:color="auto" w:sz="4" w:space="0"/>
            </w:tcBorders>
            <w:vAlign w:val="center"/>
          </w:tcPr>
          <w:p w14:paraId="2F38420E">
            <w:pPr>
              <w:widowControl/>
              <w:jc w:val="left"/>
              <w:rPr>
                <w:rFonts w:ascii="宋体" w:cs="宋体"/>
                <w:kern w:val="0"/>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4338B5CB">
            <w:pPr>
              <w:widowControl/>
              <w:jc w:val="left"/>
              <w:rPr>
                <w:rFonts w:ascii="宋体" w:cs="宋体"/>
                <w:kern w:val="0"/>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25B85628">
            <w:pPr>
              <w:widowControl/>
              <w:jc w:val="left"/>
              <w:rPr>
                <w:rFonts w:ascii="宋体" w:cs="宋体"/>
                <w:kern w:val="0"/>
                <w:sz w:val="18"/>
                <w:szCs w:val="18"/>
              </w:rPr>
            </w:pPr>
          </w:p>
        </w:tc>
        <w:tc>
          <w:tcPr>
            <w:tcW w:w="203" w:type="pct"/>
            <w:tcBorders>
              <w:top w:val="nil"/>
              <w:left w:val="nil"/>
              <w:bottom w:val="single" w:color="auto" w:sz="4" w:space="0"/>
              <w:right w:val="single" w:color="auto" w:sz="4" w:space="0"/>
            </w:tcBorders>
            <w:noWrap/>
            <w:vAlign w:val="center"/>
          </w:tcPr>
          <w:p w14:paraId="5C1BC16C">
            <w:pPr>
              <w:widowControl/>
              <w:jc w:val="right"/>
              <w:rPr>
                <w:rFonts w:ascii="宋体" w:cs="宋体"/>
                <w:kern w:val="0"/>
                <w:sz w:val="18"/>
                <w:szCs w:val="18"/>
              </w:rPr>
            </w:pPr>
            <w:r>
              <w:rPr>
                <w:rFonts w:ascii="宋体" w:hAnsi="宋体" w:cs="宋体"/>
                <w:kern w:val="0"/>
                <w:sz w:val="18"/>
                <w:szCs w:val="18"/>
              </w:rPr>
              <w:t>2022</w:t>
            </w:r>
          </w:p>
        </w:tc>
        <w:tc>
          <w:tcPr>
            <w:tcW w:w="775" w:type="pct"/>
            <w:vMerge w:val="continue"/>
            <w:tcBorders>
              <w:top w:val="nil"/>
              <w:left w:val="single" w:color="auto" w:sz="4" w:space="0"/>
              <w:bottom w:val="single" w:color="auto" w:sz="4" w:space="0"/>
              <w:right w:val="single" w:color="auto" w:sz="4" w:space="0"/>
            </w:tcBorders>
            <w:vAlign w:val="center"/>
          </w:tcPr>
          <w:p w14:paraId="04D77725">
            <w:pPr>
              <w:widowControl/>
              <w:jc w:val="left"/>
              <w:rPr>
                <w:rFonts w:ascii="宋体" w:cs="宋体"/>
                <w:kern w:val="0"/>
                <w:sz w:val="18"/>
                <w:szCs w:val="18"/>
              </w:rPr>
            </w:pPr>
          </w:p>
        </w:tc>
        <w:tc>
          <w:tcPr>
            <w:tcW w:w="631" w:type="pct"/>
            <w:tcBorders>
              <w:top w:val="nil"/>
              <w:left w:val="nil"/>
              <w:bottom w:val="single" w:color="auto" w:sz="4" w:space="0"/>
              <w:right w:val="single" w:color="auto" w:sz="4" w:space="0"/>
            </w:tcBorders>
            <w:vAlign w:val="center"/>
          </w:tcPr>
          <w:p w14:paraId="222325D6">
            <w:pPr>
              <w:widowControl/>
              <w:jc w:val="left"/>
              <w:rPr>
                <w:rFonts w:ascii="宋体" w:cs="宋体"/>
                <w:kern w:val="0"/>
                <w:sz w:val="18"/>
                <w:szCs w:val="18"/>
              </w:rPr>
            </w:pPr>
            <w:r>
              <w:rPr>
                <w:rFonts w:hint="eastAsia" w:ascii="宋体" w:hAnsi="宋体" w:cs="宋体"/>
                <w:kern w:val="0"/>
                <w:sz w:val="18"/>
                <w:szCs w:val="18"/>
              </w:rPr>
              <w:t>开展就业服务指导培训次数</w:t>
            </w:r>
          </w:p>
        </w:tc>
        <w:tc>
          <w:tcPr>
            <w:tcW w:w="901" w:type="pct"/>
            <w:tcBorders>
              <w:top w:val="nil"/>
              <w:left w:val="nil"/>
              <w:bottom w:val="single" w:color="auto" w:sz="4" w:space="0"/>
              <w:right w:val="single" w:color="auto" w:sz="4" w:space="0"/>
            </w:tcBorders>
            <w:vAlign w:val="center"/>
          </w:tcPr>
          <w:p w14:paraId="5E4976EF">
            <w:pPr>
              <w:widowControl/>
              <w:jc w:val="left"/>
              <w:rPr>
                <w:rFonts w:ascii="宋体" w:cs="宋体"/>
                <w:kern w:val="0"/>
                <w:sz w:val="18"/>
                <w:szCs w:val="18"/>
              </w:rPr>
            </w:pPr>
            <w:r>
              <w:rPr>
                <w:rFonts w:hint="eastAsia" w:ascii="宋体" w:hAnsi="宋体" w:cs="宋体"/>
                <w:kern w:val="0"/>
                <w:sz w:val="18"/>
                <w:szCs w:val="18"/>
              </w:rPr>
              <w:t>开展人力资源服务业、家庭服务业工作、就业服务指导等内容培训次数</w:t>
            </w:r>
          </w:p>
        </w:tc>
        <w:tc>
          <w:tcPr>
            <w:tcW w:w="203" w:type="pct"/>
            <w:tcBorders>
              <w:top w:val="nil"/>
              <w:left w:val="nil"/>
              <w:bottom w:val="single" w:color="auto" w:sz="4" w:space="0"/>
              <w:right w:val="single" w:color="auto" w:sz="4" w:space="0"/>
            </w:tcBorders>
            <w:vAlign w:val="center"/>
          </w:tcPr>
          <w:p w14:paraId="28CC6616">
            <w:pPr>
              <w:widowControl/>
              <w:jc w:val="left"/>
              <w:rPr>
                <w:rFonts w:ascii="宋体" w:cs="宋体"/>
                <w:kern w:val="0"/>
                <w:sz w:val="18"/>
                <w:szCs w:val="18"/>
              </w:rPr>
            </w:pPr>
            <w:r>
              <w:rPr>
                <w:rFonts w:ascii="宋体" w:hAnsi="宋体" w:cs="宋体"/>
                <w:kern w:val="0"/>
                <w:sz w:val="18"/>
                <w:szCs w:val="18"/>
              </w:rPr>
              <w:t>&gt;2</w:t>
            </w:r>
          </w:p>
        </w:tc>
        <w:tc>
          <w:tcPr>
            <w:tcW w:w="298" w:type="pct"/>
            <w:tcBorders>
              <w:top w:val="nil"/>
              <w:left w:val="nil"/>
              <w:bottom w:val="single" w:color="auto" w:sz="4" w:space="0"/>
              <w:right w:val="single" w:color="auto" w:sz="4" w:space="0"/>
            </w:tcBorders>
            <w:vAlign w:val="center"/>
          </w:tcPr>
          <w:p w14:paraId="6B8941ED">
            <w:pPr>
              <w:widowControl/>
              <w:jc w:val="left"/>
              <w:rPr>
                <w:rFonts w:ascii="宋体" w:cs="宋体"/>
                <w:kern w:val="0"/>
                <w:sz w:val="18"/>
                <w:szCs w:val="18"/>
              </w:rPr>
            </w:pPr>
            <w:r>
              <w:rPr>
                <w:rFonts w:ascii="宋体" w:hAnsi="宋体" w:cs="宋体"/>
                <w:kern w:val="0"/>
                <w:sz w:val="18"/>
                <w:szCs w:val="18"/>
              </w:rPr>
              <w:t>&lt;2</w:t>
            </w:r>
          </w:p>
        </w:tc>
        <w:tc>
          <w:tcPr>
            <w:tcW w:w="298" w:type="pct"/>
            <w:tcBorders>
              <w:top w:val="nil"/>
              <w:left w:val="nil"/>
              <w:bottom w:val="single" w:color="auto" w:sz="4" w:space="0"/>
              <w:right w:val="single" w:color="auto" w:sz="4" w:space="0"/>
            </w:tcBorders>
            <w:vAlign w:val="center"/>
          </w:tcPr>
          <w:p w14:paraId="5E526A79">
            <w:pPr>
              <w:widowControl/>
              <w:jc w:val="left"/>
              <w:rPr>
                <w:rFonts w:ascii="宋体" w:cs="宋体"/>
                <w:kern w:val="0"/>
                <w:sz w:val="18"/>
                <w:szCs w:val="18"/>
              </w:rPr>
            </w:pPr>
            <w:r>
              <w:rPr>
                <w:rFonts w:hint="eastAsia" w:ascii="宋体" w:hAnsi="宋体" w:cs="宋体"/>
                <w:kern w:val="0"/>
                <w:sz w:val="18"/>
                <w:szCs w:val="18"/>
              </w:rPr>
              <w:t>　</w:t>
            </w:r>
          </w:p>
        </w:tc>
        <w:tc>
          <w:tcPr>
            <w:tcW w:w="203" w:type="pct"/>
            <w:tcBorders>
              <w:top w:val="nil"/>
              <w:left w:val="nil"/>
              <w:bottom w:val="single" w:color="auto" w:sz="4" w:space="0"/>
              <w:right w:val="single" w:color="auto" w:sz="4" w:space="0"/>
            </w:tcBorders>
            <w:vAlign w:val="center"/>
          </w:tcPr>
          <w:p w14:paraId="4581056B">
            <w:pPr>
              <w:widowControl/>
              <w:jc w:val="left"/>
              <w:rPr>
                <w:rFonts w:ascii="宋体" w:cs="宋体"/>
                <w:kern w:val="0"/>
                <w:sz w:val="18"/>
                <w:szCs w:val="18"/>
              </w:rPr>
            </w:pPr>
            <w:r>
              <w:rPr>
                <w:rFonts w:hint="eastAsia" w:ascii="宋体" w:hAnsi="宋体" w:cs="宋体"/>
                <w:kern w:val="0"/>
                <w:sz w:val="18"/>
                <w:szCs w:val="18"/>
              </w:rPr>
              <w:t>　</w:t>
            </w:r>
          </w:p>
        </w:tc>
      </w:tr>
      <w:tr w14:paraId="51D5DB27">
        <w:tblPrEx>
          <w:tblCellMar>
            <w:top w:w="0" w:type="dxa"/>
            <w:left w:w="108" w:type="dxa"/>
            <w:bottom w:w="0" w:type="dxa"/>
            <w:right w:w="108" w:type="dxa"/>
          </w:tblCellMar>
        </w:tblPrEx>
        <w:trPr>
          <w:trHeight w:val="1572" w:hRule="atLeast"/>
        </w:trPr>
        <w:tc>
          <w:tcPr>
            <w:tcW w:w="204" w:type="pct"/>
            <w:tcBorders>
              <w:top w:val="nil"/>
              <w:left w:val="single" w:color="auto" w:sz="4" w:space="0"/>
              <w:bottom w:val="single" w:color="auto" w:sz="4" w:space="0"/>
              <w:right w:val="single" w:color="auto" w:sz="4" w:space="0"/>
            </w:tcBorders>
            <w:noWrap/>
            <w:vAlign w:val="center"/>
          </w:tcPr>
          <w:p w14:paraId="5E00A144">
            <w:pPr>
              <w:widowControl/>
              <w:jc w:val="center"/>
              <w:rPr>
                <w:rFonts w:ascii="宋体" w:cs="宋体"/>
                <w:kern w:val="0"/>
                <w:sz w:val="18"/>
                <w:szCs w:val="18"/>
              </w:rPr>
            </w:pPr>
            <w:r>
              <w:rPr>
                <w:rFonts w:ascii="宋体" w:hAnsi="宋体" w:cs="宋体"/>
                <w:kern w:val="0"/>
                <w:sz w:val="18"/>
                <w:szCs w:val="18"/>
              </w:rPr>
              <w:t>0103</w:t>
            </w:r>
          </w:p>
        </w:tc>
        <w:tc>
          <w:tcPr>
            <w:tcW w:w="279" w:type="pct"/>
            <w:tcBorders>
              <w:top w:val="nil"/>
              <w:left w:val="nil"/>
              <w:bottom w:val="single" w:color="auto" w:sz="4" w:space="0"/>
              <w:right w:val="single" w:color="auto" w:sz="4" w:space="0"/>
            </w:tcBorders>
            <w:vAlign w:val="center"/>
          </w:tcPr>
          <w:p w14:paraId="2EF9C53C">
            <w:pPr>
              <w:widowControl/>
              <w:jc w:val="left"/>
              <w:rPr>
                <w:rFonts w:ascii="宋体" w:cs="宋体"/>
                <w:kern w:val="0"/>
                <w:sz w:val="18"/>
                <w:szCs w:val="18"/>
              </w:rPr>
            </w:pPr>
            <w:r>
              <w:rPr>
                <w:rFonts w:hint="eastAsia" w:ascii="宋体" w:hAnsi="宋体" w:cs="宋体"/>
                <w:kern w:val="0"/>
                <w:sz w:val="18"/>
                <w:szCs w:val="18"/>
              </w:rPr>
              <w:t>职业培训能力建设</w:t>
            </w:r>
          </w:p>
        </w:tc>
        <w:tc>
          <w:tcPr>
            <w:tcW w:w="1004" w:type="pct"/>
            <w:tcBorders>
              <w:top w:val="nil"/>
              <w:left w:val="nil"/>
              <w:bottom w:val="single" w:color="auto" w:sz="4" w:space="0"/>
              <w:right w:val="single" w:color="auto" w:sz="4" w:space="0"/>
            </w:tcBorders>
            <w:vAlign w:val="center"/>
          </w:tcPr>
          <w:p w14:paraId="24733E49">
            <w:pPr>
              <w:widowControl/>
              <w:jc w:val="left"/>
              <w:rPr>
                <w:rFonts w:ascii="宋体" w:cs="宋体"/>
                <w:kern w:val="0"/>
                <w:sz w:val="18"/>
                <w:szCs w:val="18"/>
              </w:rPr>
            </w:pPr>
            <w:r>
              <w:rPr>
                <w:rFonts w:hint="eastAsia" w:ascii="宋体" w:hAnsi="宋体" w:cs="宋体"/>
                <w:kern w:val="0"/>
                <w:sz w:val="18"/>
                <w:szCs w:val="18"/>
              </w:rPr>
              <w:t>落实职业劳动能力鉴定政策，按国家和区政府要求推动职业能力建设，开展职业培训能力建设相关工作。</w:t>
            </w:r>
          </w:p>
        </w:tc>
        <w:tc>
          <w:tcPr>
            <w:tcW w:w="203" w:type="pct"/>
            <w:tcBorders>
              <w:top w:val="nil"/>
              <w:left w:val="nil"/>
              <w:bottom w:val="single" w:color="auto" w:sz="4" w:space="0"/>
              <w:right w:val="single" w:color="auto" w:sz="4" w:space="0"/>
            </w:tcBorders>
            <w:noWrap/>
            <w:vAlign w:val="center"/>
          </w:tcPr>
          <w:p w14:paraId="29B00122">
            <w:pPr>
              <w:widowControl/>
              <w:jc w:val="right"/>
              <w:rPr>
                <w:rFonts w:ascii="宋体" w:cs="宋体"/>
                <w:kern w:val="0"/>
                <w:sz w:val="18"/>
                <w:szCs w:val="18"/>
              </w:rPr>
            </w:pPr>
            <w:r>
              <w:rPr>
                <w:rFonts w:ascii="宋体" w:hAnsi="宋体" w:cs="宋体"/>
                <w:kern w:val="0"/>
                <w:sz w:val="18"/>
                <w:szCs w:val="18"/>
              </w:rPr>
              <w:t>2022</w:t>
            </w:r>
          </w:p>
        </w:tc>
        <w:tc>
          <w:tcPr>
            <w:tcW w:w="775" w:type="pct"/>
            <w:tcBorders>
              <w:top w:val="nil"/>
              <w:left w:val="nil"/>
              <w:bottom w:val="single" w:color="auto" w:sz="4" w:space="0"/>
              <w:right w:val="single" w:color="auto" w:sz="4" w:space="0"/>
            </w:tcBorders>
            <w:vAlign w:val="center"/>
          </w:tcPr>
          <w:p w14:paraId="3ECCEC26">
            <w:pPr>
              <w:widowControl/>
              <w:jc w:val="left"/>
              <w:rPr>
                <w:rFonts w:ascii="宋体" w:cs="宋体"/>
                <w:kern w:val="0"/>
                <w:sz w:val="18"/>
                <w:szCs w:val="18"/>
              </w:rPr>
            </w:pPr>
            <w:r>
              <w:rPr>
                <w:rFonts w:hint="eastAsia" w:ascii="宋体" w:hAnsi="宋体" w:cs="宋体"/>
                <w:kern w:val="0"/>
                <w:sz w:val="18"/>
                <w:szCs w:val="18"/>
              </w:rPr>
              <w:t>提高劳动者素质，打造我区职业技术工人队伍，实现稳定就业</w:t>
            </w:r>
          </w:p>
        </w:tc>
        <w:tc>
          <w:tcPr>
            <w:tcW w:w="631" w:type="pct"/>
            <w:tcBorders>
              <w:top w:val="nil"/>
              <w:left w:val="nil"/>
              <w:bottom w:val="single" w:color="auto" w:sz="4" w:space="0"/>
              <w:right w:val="single" w:color="auto" w:sz="4" w:space="0"/>
            </w:tcBorders>
            <w:vAlign w:val="center"/>
          </w:tcPr>
          <w:p w14:paraId="5638CEC4">
            <w:pPr>
              <w:widowControl/>
              <w:jc w:val="left"/>
              <w:rPr>
                <w:rFonts w:ascii="宋体" w:cs="宋体"/>
                <w:kern w:val="0"/>
                <w:sz w:val="18"/>
                <w:szCs w:val="18"/>
              </w:rPr>
            </w:pPr>
            <w:r>
              <w:rPr>
                <w:rFonts w:hint="eastAsia" w:ascii="宋体" w:hAnsi="宋体" w:cs="宋体"/>
                <w:kern w:val="0"/>
                <w:sz w:val="18"/>
                <w:szCs w:val="18"/>
              </w:rPr>
              <w:t>职业培训人数</w:t>
            </w:r>
          </w:p>
        </w:tc>
        <w:tc>
          <w:tcPr>
            <w:tcW w:w="901" w:type="pct"/>
            <w:tcBorders>
              <w:top w:val="nil"/>
              <w:left w:val="nil"/>
              <w:bottom w:val="single" w:color="auto" w:sz="4" w:space="0"/>
              <w:right w:val="single" w:color="auto" w:sz="4" w:space="0"/>
            </w:tcBorders>
            <w:vAlign w:val="center"/>
          </w:tcPr>
          <w:p w14:paraId="5558DCB6">
            <w:pPr>
              <w:widowControl/>
              <w:jc w:val="left"/>
              <w:rPr>
                <w:rFonts w:ascii="宋体" w:cs="宋体"/>
                <w:kern w:val="0"/>
                <w:sz w:val="18"/>
                <w:szCs w:val="18"/>
              </w:rPr>
            </w:pPr>
            <w:r>
              <w:rPr>
                <w:rFonts w:hint="eastAsia" w:ascii="宋体" w:hAnsi="宋体" w:cs="宋体"/>
                <w:kern w:val="0"/>
                <w:sz w:val="18"/>
                <w:szCs w:val="18"/>
              </w:rPr>
              <w:t>参与各类职业培训人数</w:t>
            </w:r>
          </w:p>
        </w:tc>
        <w:tc>
          <w:tcPr>
            <w:tcW w:w="203" w:type="pct"/>
            <w:tcBorders>
              <w:top w:val="nil"/>
              <w:left w:val="nil"/>
              <w:bottom w:val="single" w:color="auto" w:sz="4" w:space="0"/>
              <w:right w:val="single" w:color="auto" w:sz="4" w:space="0"/>
            </w:tcBorders>
            <w:vAlign w:val="center"/>
          </w:tcPr>
          <w:p w14:paraId="741203C5">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1000</w:t>
            </w:r>
          </w:p>
        </w:tc>
        <w:tc>
          <w:tcPr>
            <w:tcW w:w="298" w:type="pct"/>
            <w:tcBorders>
              <w:top w:val="nil"/>
              <w:left w:val="nil"/>
              <w:bottom w:val="single" w:color="auto" w:sz="4" w:space="0"/>
              <w:right w:val="single" w:color="auto" w:sz="4" w:space="0"/>
            </w:tcBorders>
            <w:vAlign w:val="center"/>
          </w:tcPr>
          <w:p w14:paraId="6889D910">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950</w:t>
            </w:r>
          </w:p>
        </w:tc>
        <w:tc>
          <w:tcPr>
            <w:tcW w:w="298" w:type="pct"/>
            <w:tcBorders>
              <w:top w:val="nil"/>
              <w:left w:val="nil"/>
              <w:bottom w:val="single" w:color="auto" w:sz="4" w:space="0"/>
              <w:right w:val="single" w:color="auto" w:sz="4" w:space="0"/>
            </w:tcBorders>
            <w:vAlign w:val="center"/>
          </w:tcPr>
          <w:p w14:paraId="48D3A54E">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900</w:t>
            </w:r>
          </w:p>
        </w:tc>
        <w:tc>
          <w:tcPr>
            <w:tcW w:w="203" w:type="pct"/>
            <w:tcBorders>
              <w:top w:val="nil"/>
              <w:left w:val="nil"/>
              <w:bottom w:val="single" w:color="auto" w:sz="4" w:space="0"/>
              <w:right w:val="single" w:color="auto" w:sz="4" w:space="0"/>
            </w:tcBorders>
            <w:vAlign w:val="center"/>
          </w:tcPr>
          <w:p w14:paraId="3AFEE911">
            <w:pPr>
              <w:widowControl/>
              <w:jc w:val="left"/>
              <w:rPr>
                <w:rFonts w:ascii="宋体" w:cs="宋体"/>
                <w:kern w:val="0"/>
                <w:sz w:val="18"/>
                <w:szCs w:val="18"/>
              </w:rPr>
            </w:pPr>
            <w:r>
              <w:rPr>
                <w:rFonts w:ascii="宋体" w:hAnsi="宋体" w:cs="宋体"/>
                <w:kern w:val="0"/>
                <w:sz w:val="18"/>
                <w:szCs w:val="18"/>
              </w:rPr>
              <w:t>&lt;900</w:t>
            </w:r>
          </w:p>
        </w:tc>
      </w:tr>
      <w:tr w14:paraId="276F3A6F">
        <w:tblPrEx>
          <w:tblCellMar>
            <w:top w:w="0" w:type="dxa"/>
            <w:left w:w="108" w:type="dxa"/>
            <w:bottom w:w="0" w:type="dxa"/>
            <w:right w:w="108" w:type="dxa"/>
          </w:tblCellMar>
        </w:tblPrEx>
        <w:trPr>
          <w:trHeight w:val="216" w:hRule="atLeast"/>
        </w:trPr>
        <w:tc>
          <w:tcPr>
            <w:tcW w:w="204" w:type="pct"/>
            <w:vMerge w:val="restart"/>
            <w:tcBorders>
              <w:top w:val="nil"/>
              <w:left w:val="single" w:color="auto" w:sz="4" w:space="0"/>
              <w:bottom w:val="single" w:color="auto" w:sz="4" w:space="0"/>
              <w:right w:val="single" w:color="auto" w:sz="4" w:space="0"/>
            </w:tcBorders>
            <w:noWrap/>
            <w:vAlign w:val="center"/>
          </w:tcPr>
          <w:p w14:paraId="53B2C2E3">
            <w:pPr>
              <w:widowControl/>
              <w:jc w:val="center"/>
              <w:rPr>
                <w:rFonts w:ascii="宋体" w:cs="宋体"/>
                <w:kern w:val="0"/>
                <w:sz w:val="18"/>
                <w:szCs w:val="18"/>
              </w:rPr>
            </w:pPr>
            <w:r>
              <w:rPr>
                <w:rFonts w:ascii="宋体" w:hAnsi="宋体" w:cs="宋体"/>
                <w:kern w:val="0"/>
                <w:sz w:val="18"/>
                <w:szCs w:val="18"/>
              </w:rPr>
              <w:t>0201</w:t>
            </w:r>
          </w:p>
        </w:tc>
        <w:tc>
          <w:tcPr>
            <w:tcW w:w="279" w:type="pct"/>
            <w:vMerge w:val="restart"/>
            <w:tcBorders>
              <w:top w:val="nil"/>
              <w:left w:val="single" w:color="auto" w:sz="4" w:space="0"/>
              <w:bottom w:val="single" w:color="auto" w:sz="4" w:space="0"/>
              <w:right w:val="single" w:color="auto" w:sz="4" w:space="0"/>
            </w:tcBorders>
            <w:vAlign w:val="center"/>
          </w:tcPr>
          <w:p w14:paraId="71358B1A">
            <w:pPr>
              <w:widowControl/>
              <w:jc w:val="left"/>
              <w:rPr>
                <w:rFonts w:ascii="宋体" w:cs="宋体"/>
                <w:kern w:val="0"/>
                <w:sz w:val="18"/>
                <w:szCs w:val="18"/>
              </w:rPr>
            </w:pPr>
            <w:r>
              <w:rPr>
                <w:rFonts w:hint="eastAsia" w:ascii="宋体" w:hAnsi="宋体" w:cs="宋体"/>
                <w:kern w:val="0"/>
                <w:sz w:val="18"/>
                <w:szCs w:val="18"/>
              </w:rPr>
              <w:t>养老保险政策实施及管理</w:t>
            </w:r>
          </w:p>
        </w:tc>
        <w:tc>
          <w:tcPr>
            <w:tcW w:w="1004" w:type="pct"/>
            <w:vMerge w:val="restart"/>
            <w:tcBorders>
              <w:top w:val="nil"/>
              <w:left w:val="single" w:color="auto" w:sz="4" w:space="0"/>
              <w:bottom w:val="single" w:color="auto" w:sz="4" w:space="0"/>
              <w:right w:val="single" w:color="auto" w:sz="4" w:space="0"/>
            </w:tcBorders>
            <w:vAlign w:val="center"/>
          </w:tcPr>
          <w:p w14:paraId="3623B93E">
            <w:pPr>
              <w:widowControl/>
              <w:jc w:val="left"/>
              <w:rPr>
                <w:rFonts w:ascii="宋体" w:cs="宋体"/>
                <w:kern w:val="0"/>
                <w:sz w:val="18"/>
                <w:szCs w:val="18"/>
              </w:rPr>
            </w:pPr>
            <w:r>
              <w:rPr>
                <w:rFonts w:hint="eastAsia" w:ascii="宋体" w:hAnsi="宋体" w:cs="宋体"/>
                <w:kern w:val="0"/>
                <w:sz w:val="18"/>
                <w:szCs w:val="18"/>
              </w:rPr>
              <w:t>落实职工基本养老保险政策、城乡居民养老保险政策和机关事业单位人员养老保险制度改革配套政策。</w:t>
            </w:r>
          </w:p>
        </w:tc>
        <w:tc>
          <w:tcPr>
            <w:tcW w:w="203" w:type="pct"/>
            <w:vMerge w:val="restart"/>
            <w:tcBorders>
              <w:top w:val="nil"/>
              <w:left w:val="single" w:color="auto" w:sz="4" w:space="0"/>
              <w:bottom w:val="single" w:color="auto" w:sz="4" w:space="0"/>
              <w:right w:val="single" w:color="auto" w:sz="4" w:space="0"/>
            </w:tcBorders>
            <w:noWrap/>
            <w:vAlign w:val="center"/>
          </w:tcPr>
          <w:p w14:paraId="320DDF7D">
            <w:pPr>
              <w:widowControl/>
              <w:jc w:val="center"/>
              <w:rPr>
                <w:rFonts w:ascii="宋体" w:cs="宋体"/>
                <w:kern w:val="0"/>
                <w:sz w:val="18"/>
                <w:szCs w:val="18"/>
              </w:rPr>
            </w:pPr>
            <w:r>
              <w:rPr>
                <w:rFonts w:ascii="宋体" w:hAnsi="宋体" w:cs="宋体"/>
                <w:kern w:val="0"/>
                <w:sz w:val="18"/>
                <w:szCs w:val="18"/>
              </w:rPr>
              <w:t>2022</w:t>
            </w:r>
          </w:p>
        </w:tc>
        <w:tc>
          <w:tcPr>
            <w:tcW w:w="775" w:type="pct"/>
            <w:vMerge w:val="restart"/>
            <w:tcBorders>
              <w:top w:val="nil"/>
              <w:left w:val="single" w:color="auto" w:sz="4" w:space="0"/>
              <w:bottom w:val="single" w:color="auto" w:sz="4" w:space="0"/>
              <w:right w:val="single" w:color="auto" w:sz="4" w:space="0"/>
            </w:tcBorders>
            <w:vAlign w:val="center"/>
          </w:tcPr>
          <w:p w14:paraId="289D59EC">
            <w:pPr>
              <w:widowControl/>
              <w:jc w:val="left"/>
              <w:rPr>
                <w:rFonts w:ascii="宋体" w:cs="宋体"/>
                <w:kern w:val="0"/>
                <w:sz w:val="18"/>
                <w:szCs w:val="18"/>
              </w:rPr>
            </w:pPr>
            <w:r>
              <w:rPr>
                <w:rFonts w:hint="eastAsia" w:ascii="宋体" w:hAnsi="宋体" w:cs="宋体"/>
                <w:kern w:val="0"/>
                <w:sz w:val="18"/>
                <w:szCs w:val="18"/>
              </w:rPr>
              <w:t>完成养老保险扩面征缴任务，确保养老金按时足额发放，防范基金风险，确保参保人员权益。</w:t>
            </w:r>
          </w:p>
        </w:tc>
        <w:tc>
          <w:tcPr>
            <w:tcW w:w="631" w:type="pct"/>
            <w:tcBorders>
              <w:top w:val="nil"/>
              <w:left w:val="nil"/>
              <w:bottom w:val="single" w:color="auto" w:sz="4" w:space="0"/>
              <w:right w:val="single" w:color="auto" w:sz="4" w:space="0"/>
            </w:tcBorders>
            <w:vAlign w:val="center"/>
          </w:tcPr>
          <w:p w14:paraId="1A21E378">
            <w:pPr>
              <w:widowControl/>
              <w:jc w:val="left"/>
              <w:rPr>
                <w:rFonts w:ascii="宋体" w:cs="宋体"/>
                <w:kern w:val="0"/>
                <w:sz w:val="18"/>
                <w:szCs w:val="18"/>
              </w:rPr>
            </w:pPr>
            <w:r>
              <w:rPr>
                <w:rFonts w:hint="eastAsia" w:ascii="宋体" w:hAnsi="宋体" w:cs="宋体"/>
                <w:kern w:val="0"/>
                <w:sz w:val="18"/>
                <w:szCs w:val="18"/>
              </w:rPr>
              <w:t>养老金征缴任务完成率</w:t>
            </w:r>
          </w:p>
        </w:tc>
        <w:tc>
          <w:tcPr>
            <w:tcW w:w="901" w:type="pct"/>
            <w:tcBorders>
              <w:top w:val="nil"/>
              <w:left w:val="nil"/>
              <w:bottom w:val="single" w:color="auto" w:sz="4" w:space="0"/>
              <w:right w:val="single" w:color="auto" w:sz="4" w:space="0"/>
            </w:tcBorders>
            <w:vAlign w:val="center"/>
          </w:tcPr>
          <w:p w14:paraId="1CA3D485">
            <w:pPr>
              <w:widowControl/>
              <w:jc w:val="left"/>
              <w:rPr>
                <w:rFonts w:ascii="宋体" w:cs="宋体"/>
                <w:kern w:val="0"/>
                <w:sz w:val="18"/>
                <w:szCs w:val="18"/>
              </w:rPr>
            </w:pPr>
            <w:r>
              <w:rPr>
                <w:rFonts w:hint="eastAsia" w:ascii="宋体" w:hAnsi="宋体" w:cs="宋体"/>
                <w:kern w:val="0"/>
                <w:sz w:val="18"/>
                <w:szCs w:val="18"/>
              </w:rPr>
              <w:t>实际征缴收入与征缴计划之间的比率</w:t>
            </w:r>
          </w:p>
        </w:tc>
        <w:tc>
          <w:tcPr>
            <w:tcW w:w="203" w:type="pct"/>
            <w:tcBorders>
              <w:top w:val="nil"/>
              <w:left w:val="nil"/>
              <w:bottom w:val="single" w:color="auto" w:sz="4" w:space="0"/>
              <w:right w:val="single" w:color="auto" w:sz="4" w:space="0"/>
            </w:tcBorders>
            <w:vAlign w:val="center"/>
          </w:tcPr>
          <w:p w14:paraId="6DE7CE93">
            <w:pPr>
              <w:widowControl/>
              <w:jc w:val="left"/>
              <w:rPr>
                <w:rFonts w:ascii="宋体" w:cs="宋体"/>
                <w:kern w:val="0"/>
                <w:sz w:val="18"/>
                <w:szCs w:val="18"/>
              </w:rPr>
            </w:pPr>
            <w:r>
              <w:rPr>
                <w:rFonts w:ascii="宋体" w:hAnsi="宋体" w:cs="宋体"/>
                <w:kern w:val="0"/>
                <w:sz w:val="18"/>
                <w:szCs w:val="18"/>
              </w:rPr>
              <w:t>100%</w:t>
            </w:r>
          </w:p>
        </w:tc>
        <w:tc>
          <w:tcPr>
            <w:tcW w:w="298" w:type="pct"/>
            <w:tcBorders>
              <w:top w:val="nil"/>
              <w:left w:val="nil"/>
              <w:bottom w:val="single" w:color="auto" w:sz="4" w:space="0"/>
              <w:right w:val="single" w:color="auto" w:sz="4" w:space="0"/>
            </w:tcBorders>
            <w:vAlign w:val="center"/>
          </w:tcPr>
          <w:p w14:paraId="07E8F272">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298" w:type="pct"/>
            <w:tcBorders>
              <w:top w:val="nil"/>
              <w:left w:val="nil"/>
              <w:bottom w:val="single" w:color="auto" w:sz="4" w:space="0"/>
              <w:right w:val="single" w:color="auto" w:sz="4" w:space="0"/>
            </w:tcBorders>
            <w:vAlign w:val="center"/>
          </w:tcPr>
          <w:p w14:paraId="22BF3431">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80%</w:t>
            </w:r>
          </w:p>
        </w:tc>
        <w:tc>
          <w:tcPr>
            <w:tcW w:w="203" w:type="pct"/>
            <w:tcBorders>
              <w:top w:val="nil"/>
              <w:left w:val="nil"/>
              <w:bottom w:val="single" w:color="auto" w:sz="4" w:space="0"/>
              <w:right w:val="single" w:color="auto" w:sz="4" w:space="0"/>
            </w:tcBorders>
            <w:vAlign w:val="center"/>
          </w:tcPr>
          <w:p w14:paraId="175C72AB">
            <w:pPr>
              <w:widowControl/>
              <w:jc w:val="left"/>
              <w:rPr>
                <w:rFonts w:ascii="宋体" w:cs="宋体"/>
                <w:kern w:val="0"/>
                <w:sz w:val="18"/>
                <w:szCs w:val="18"/>
              </w:rPr>
            </w:pPr>
            <w:r>
              <w:rPr>
                <w:rFonts w:ascii="宋体" w:hAnsi="宋体" w:cs="宋体"/>
                <w:kern w:val="0"/>
                <w:sz w:val="18"/>
                <w:szCs w:val="18"/>
              </w:rPr>
              <w:t>&lt;80%</w:t>
            </w:r>
          </w:p>
        </w:tc>
      </w:tr>
      <w:tr w14:paraId="409CDFAE">
        <w:tblPrEx>
          <w:tblCellMar>
            <w:top w:w="0" w:type="dxa"/>
            <w:left w:w="108" w:type="dxa"/>
            <w:bottom w:w="0" w:type="dxa"/>
            <w:right w:w="108" w:type="dxa"/>
          </w:tblCellMar>
        </w:tblPrEx>
        <w:trPr>
          <w:trHeight w:val="432" w:hRule="atLeast"/>
        </w:trPr>
        <w:tc>
          <w:tcPr>
            <w:tcW w:w="204" w:type="pct"/>
            <w:vMerge w:val="continue"/>
            <w:tcBorders>
              <w:top w:val="nil"/>
              <w:left w:val="single" w:color="auto" w:sz="4" w:space="0"/>
              <w:bottom w:val="single" w:color="auto" w:sz="4" w:space="0"/>
              <w:right w:val="single" w:color="auto" w:sz="4" w:space="0"/>
            </w:tcBorders>
            <w:vAlign w:val="center"/>
          </w:tcPr>
          <w:p w14:paraId="75803538">
            <w:pPr>
              <w:widowControl/>
              <w:jc w:val="left"/>
              <w:rPr>
                <w:rFonts w:ascii="宋体" w:cs="宋体"/>
                <w:kern w:val="0"/>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579D322C">
            <w:pPr>
              <w:widowControl/>
              <w:jc w:val="left"/>
              <w:rPr>
                <w:rFonts w:ascii="宋体" w:cs="宋体"/>
                <w:kern w:val="0"/>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2CF26942">
            <w:pPr>
              <w:widowControl/>
              <w:jc w:val="left"/>
              <w:rPr>
                <w:rFonts w:ascii="宋体" w:cs="宋体"/>
                <w:kern w:val="0"/>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14:paraId="780C0AE8">
            <w:pPr>
              <w:widowControl/>
              <w:jc w:val="left"/>
              <w:rPr>
                <w:rFonts w:ascii="宋体" w:cs="宋体"/>
                <w:kern w:val="0"/>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14:paraId="5A2D4A32">
            <w:pPr>
              <w:widowControl/>
              <w:jc w:val="left"/>
              <w:rPr>
                <w:rFonts w:ascii="宋体" w:cs="宋体"/>
                <w:kern w:val="0"/>
                <w:sz w:val="18"/>
                <w:szCs w:val="18"/>
              </w:rPr>
            </w:pPr>
          </w:p>
        </w:tc>
        <w:tc>
          <w:tcPr>
            <w:tcW w:w="631" w:type="pct"/>
            <w:tcBorders>
              <w:top w:val="nil"/>
              <w:left w:val="nil"/>
              <w:bottom w:val="single" w:color="auto" w:sz="4" w:space="0"/>
              <w:right w:val="single" w:color="auto" w:sz="4" w:space="0"/>
            </w:tcBorders>
            <w:vAlign w:val="center"/>
          </w:tcPr>
          <w:p w14:paraId="41F6015E">
            <w:pPr>
              <w:widowControl/>
              <w:jc w:val="left"/>
              <w:rPr>
                <w:rFonts w:ascii="宋体" w:cs="宋体"/>
                <w:kern w:val="0"/>
                <w:sz w:val="18"/>
                <w:szCs w:val="18"/>
              </w:rPr>
            </w:pPr>
            <w:r>
              <w:rPr>
                <w:rFonts w:hint="eastAsia" w:ascii="宋体" w:hAnsi="宋体" w:cs="宋体"/>
                <w:kern w:val="0"/>
                <w:sz w:val="18"/>
                <w:szCs w:val="18"/>
              </w:rPr>
              <w:t>养老金发放到位率</w:t>
            </w:r>
          </w:p>
        </w:tc>
        <w:tc>
          <w:tcPr>
            <w:tcW w:w="901" w:type="pct"/>
            <w:tcBorders>
              <w:top w:val="nil"/>
              <w:left w:val="nil"/>
              <w:bottom w:val="single" w:color="auto" w:sz="4" w:space="0"/>
              <w:right w:val="single" w:color="auto" w:sz="4" w:space="0"/>
            </w:tcBorders>
            <w:vAlign w:val="center"/>
          </w:tcPr>
          <w:p w14:paraId="345A3216">
            <w:pPr>
              <w:widowControl/>
              <w:jc w:val="left"/>
              <w:rPr>
                <w:rFonts w:ascii="宋体" w:cs="宋体"/>
                <w:kern w:val="0"/>
                <w:sz w:val="18"/>
                <w:szCs w:val="18"/>
              </w:rPr>
            </w:pPr>
            <w:r>
              <w:rPr>
                <w:rFonts w:hint="eastAsia" w:ascii="宋体" w:hAnsi="宋体" w:cs="宋体"/>
                <w:kern w:val="0"/>
                <w:sz w:val="18"/>
                <w:szCs w:val="18"/>
              </w:rPr>
              <w:t>按时足额发放到位的基本养老金占应发放到位的比例</w:t>
            </w:r>
          </w:p>
        </w:tc>
        <w:tc>
          <w:tcPr>
            <w:tcW w:w="203" w:type="pct"/>
            <w:tcBorders>
              <w:top w:val="nil"/>
              <w:left w:val="nil"/>
              <w:bottom w:val="single" w:color="auto" w:sz="4" w:space="0"/>
              <w:right w:val="single" w:color="auto" w:sz="4" w:space="0"/>
            </w:tcBorders>
            <w:vAlign w:val="center"/>
          </w:tcPr>
          <w:p w14:paraId="51FFA37E">
            <w:pPr>
              <w:widowControl/>
              <w:jc w:val="left"/>
              <w:rPr>
                <w:rFonts w:ascii="宋体" w:cs="宋体"/>
                <w:kern w:val="0"/>
                <w:sz w:val="18"/>
                <w:szCs w:val="18"/>
              </w:rPr>
            </w:pPr>
            <w:r>
              <w:rPr>
                <w:rFonts w:ascii="宋体" w:hAnsi="宋体" w:cs="宋体"/>
                <w:kern w:val="0"/>
                <w:sz w:val="18"/>
                <w:szCs w:val="18"/>
              </w:rPr>
              <w:t>100%</w:t>
            </w:r>
          </w:p>
        </w:tc>
        <w:tc>
          <w:tcPr>
            <w:tcW w:w="298" w:type="pct"/>
            <w:tcBorders>
              <w:top w:val="nil"/>
              <w:left w:val="nil"/>
              <w:bottom w:val="single" w:color="auto" w:sz="4" w:space="0"/>
              <w:right w:val="single" w:color="auto" w:sz="4" w:space="0"/>
            </w:tcBorders>
            <w:vAlign w:val="center"/>
          </w:tcPr>
          <w:p w14:paraId="6DE4B335">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298" w:type="pct"/>
            <w:tcBorders>
              <w:top w:val="nil"/>
              <w:left w:val="nil"/>
              <w:bottom w:val="single" w:color="auto" w:sz="4" w:space="0"/>
              <w:right w:val="single" w:color="auto" w:sz="4" w:space="0"/>
            </w:tcBorders>
            <w:vAlign w:val="center"/>
          </w:tcPr>
          <w:p w14:paraId="6B646EDC">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80%</w:t>
            </w:r>
          </w:p>
        </w:tc>
        <w:tc>
          <w:tcPr>
            <w:tcW w:w="203" w:type="pct"/>
            <w:tcBorders>
              <w:top w:val="nil"/>
              <w:left w:val="nil"/>
              <w:bottom w:val="single" w:color="auto" w:sz="4" w:space="0"/>
              <w:right w:val="single" w:color="auto" w:sz="4" w:space="0"/>
            </w:tcBorders>
            <w:vAlign w:val="center"/>
          </w:tcPr>
          <w:p w14:paraId="355E1057">
            <w:pPr>
              <w:widowControl/>
              <w:jc w:val="left"/>
              <w:rPr>
                <w:rFonts w:ascii="宋体" w:cs="宋体"/>
                <w:kern w:val="0"/>
                <w:sz w:val="18"/>
                <w:szCs w:val="18"/>
              </w:rPr>
            </w:pPr>
            <w:r>
              <w:rPr>
                <w:rFonts w:ascii="宋体" w:hAnsi="宋体" w:cs="宋体"/>
                <w:kern w:val="0"/>
                <w:sz w:val="18"/>
                <w:szCs w:val="18"/>
              </w:rPr>
              <w:t>&lt;80%</w:t>
            </w:r>
          </w:p>
        </w:tc>
      </w:tr>
      <w:tr w14:paraId="68A763BB">
        <w:tblPrEx>
          <w:tblCellMar>
            <w:top w:w="0" w:type="dxa"/>
            <w:left w:w="108" w:type="dxa"/>
            <w:bottom w:w="0" w:type="dxa"/>
            <w:right w:w="108" w:type="dxa"/>
          </w:tblCellMar>
        </w:tblPrEx>
        <w:trPr>
          <w:trHeight w:val="216" w:hRule="atLeast"/>
        </w:trPr>
        <w:tc>
          <w:tcPr>
            <w:tcW w:w="204" w:type="pct"/>
            <w:vMerge w:val="continue"/>
            <w:tcBorders>
              <w:top w:val="nil"/>
              <w:left w:val="single" w:color="auto" w:sz="4" w:space="0"/>
              <w:bottom w:val="single" w:color="auto" w:sz="4" w:space="0"/>
              <w:right w:val="single" w:color="auto" w:sz="4" w:space="0"/>
            </w:tcBorders>
            <w:vAlign w:val="center"/>
          </w:tcPr>
          <w:p w14:paraId="737484AC">
            <w:pPr>
              <w:widowControl/>
              <w:jc w:val="left"/>
              <w:rPr>
                <w:rFonts w:ascii="宋体" w:cs="宋体"/>
                <w:kern w:val="0"/>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69B78D40">
            <w:pPr>
              <w:widowControl/>
              <w:jc w:val="left"/>
              <w:rPr>
                <w:rFonts w:ascii="宋体" w:cs="宋体"/>
                <w:kern w:val="0"/>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01AFE743">
            <w:pPr>
              <w:widowControl/>
              <w:jc w:val="left"/>
              <w:rPr>
                <w:rFonts w:ascii="宋体" w:cs="宋体"/>
                <w:kern w:val="0"/>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14:paraId="2C054D81">
            <w:pPr>
              <w:widowControl/>
              <w:jc w:val="left"/>
              <w:rPr>
                <w:rFonts w:ascii="宋体" w:cs="宋体"/>
                <w:kern w:val="0"/>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14:paraId="522E2514">
            <w:pPr>
              <w:widowControl/>
              <w:jc w:val="left"/>
              <w:rPr>
                <w:rFonts w:ascii="宋体" w:cs="宋体"/>
                <w:kern w:val="0"/>
                <w:sz w:val="18"/>
                <w:szCs w:val="18"/>
              </w:rPr>
            </w:pPr>
          </w:p>
        </w:tc>
        <w:tc>
          <w:tcPr>
            <w:tcW w:w="631" w:type="pct"/>
            <w:tcBorders>
              <w:top w:val="nil"/>
              <w:left w:val="nil"/>
              <w:bottom w:val="single" w:color="auto" w:sz="4" w:space="0"/>
              <w:right w:val="single" w:color="auto" w:sz="4" w:space="0"/>
            </w:tcBorders>
            <w:vAlign w:val="center"/>
          </w:tcPr>
          <w:p w14:paraId="6DF3506E">
            <w:pPr>
              <w:widowControl/>
              <w:jc w:val="left"/>
              <w:rPr>
                <w:rFonts w:ascii="宋体" w:cs="宋体"/>
                <w:kern w:val="0"/>
                <w:sz w:val="18"/>
                <w:szCs w:val="18"/>
              </w:rPr>
            </w:pPr>
            <w:r>
              <w:rPr>
                <w:rFonts w:hint="eastAsia" w:ascii="宋体" w:hAnsi="宋体" w:cs="宋体"/>
                <w:kern w:val="0"/>
                <w:sz w:val="18"/>
                <w:szCs w:val="18"/>
              </w:rPr>
              <w:t>养老金扩面任务完成率</w:t>
            </w:r>
          </w:p>
        </w:tc>
        <w:tc>
          <w:tcPr>
            <w:tcW w:w="901" w:type="pct"/>
            <w:tcBorders>
              <w:top w:val="nil"/>
              <w:left w:val="nil"/>
              <w:bottom w:val="single" w:color="auto" w:sz="4" w:space="0"/>
              <w:right w:val="single" w:color="auto" w:sz="4" w:space="0"/>
            </w:tcBorders>
            <w:vAlign w:val="center"/>
          </w:tcPr>
          <w:p w14:paraId="1AB77707">
            <w:pPr>
              <w:widowControl/>
              <w:jc w:val="left"/>
              <w:rPr>
                <w:rFonts w:ascii="宋体" w:cs="宋体"/>
                <w:kern w:val="0"/>
                <w:sz w:val="18"/>
                <w:szCs w:val="18"/>
              </w:rPr>
            </w:pPr>
            <w:r>
              <w:rPr>
                <w:rFonts w:hint="eastAsia" w:ascii="宋体" w:hAnsi="宋体" w:cs="宋体"/>
                <w:kern w:val="0"/>
                <w:sz w:val="18"/>
                <w:szCs w:val="18"/>
              </w:rPr>
              <w:t>实际扩面人数与扩面计划之间的比率</w:t>
            </w:r>
          </w:p>
        </w:tc>
        <w:tc>
          <w:tcPr>
            <w:tcW w:w="203" w:type="pct"/>
            <w:tcBorders>
              <w:top w:val="nil"/>
              <w:left w:val="nil"/>
              <w:bottom w:val="single" w:color="auto" w:sz="4" w:space="0"/>
              <w:right w:val="single" w:color="auto" w:sz="4" w:space="0"/>
            </w:tcBorders>
            <w:vAlign w:val="center"/>
          </w:tcPr>
          <w:p w14:paraId="0F8C2C38">
            <w:pPr>
              <w:widowControl/>
              <w:jc w:val="left"/>
              <w:rPr>
                <w:rFonts w:ascii="宋体" w:cs="宋体"/>
                <w:kern w:val="0"/>
                <w:sz w:val="18"/>
                <w:szCs w:val="18"/>
              </w:rPr>
            </w:pPr>
            <w:r>
              <w:rPr>
                <w:rFonts w:ascii="宋体" w:hAnsi="宋体" w:cs="宋体"/>
                <w:kern w:val="0"/>
                <w:sz w:val="18"/>
                <w:szCs w:val="18"/>
              </w:rPr>
              <w:t>100%</w:t>
            </w:r>
          </w:p>
        </w:tc>
        <w:tc>
          <w:tcPr>
            <w:tcW w:w="298" w:type="pct"/>
            <w:tcBorders>
              <w:top w:val="nil"/>
              <w:left w:val="nil"/>
              <w:bottom w:val="single" w:color="auto" w:sz="4" w:space="0"/>
              <w:right w:val="single" w:color="auto" w:sz="4" w:space="0"/>
            </w:tcBorders>
            <w:vAlign w:val="center"/>
          </w:tcPr>
          <w:p w14:paraId="042BC22D">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298" w:type="pct"/>
            <w:tcBorders>
              <w:top w:val="nil"/>
              <w:left w:val="nil"/>
              <w:bottom w:val="single" w:color="auto" w:sz="4" w:space="0"/>
              <w:right w:val="single" w:color="auto" w:sz="4" w:space="0"/>
            </w:tcBorders>
            <w:vAlign w:val="center"/>
          </w:tcPr>
          <w:p w14:paraId="2697EF5A">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80%</w:t>
            </w:r>
          </w:p>
        </w:tc>
        <w:tc>
          <w:tcPr>
            <w:tcW w:w="203" w:type="pct"/>
            <w:tcBorders>
              <w:top w:val="nil"/>
              <w:left w:val="nil"/>
              <w:bottom w:val="single" w:color="auto" w:sz="4" w:space="0"/>
              <w:right w:val="single" w:color="auto" w:sz="4" w:space="0"/>
            </w:tcBorders>
            <w:vAlign w:val="center"/>
          </w:tcPr>
          <w:p w14:paraId="0C9468AD">
            <w:pPr>
              <w:widowControl/>
              <w:jc w:val="left"/>
              <w:rPr>
                <w:rFonts w:ascii="宋体" w:cs="宋体"/>
                <w:kern w:val="0"/>
                <w:sz w:val="18"/>
                <w:szCs w:val="18"/>
              </w:rPr>
            </w:pPr>
            <w:r>
              <w:rPr>
                <w:rFonts w:ascii="宋体" w:hAnsi="宋体" w:cs="宋体"/>
                <w:kern w:val="0"/>
                <w:sz w:val="18"/>
                <w:szCs w:val="18"/>
              </w:rPr>
              <w:t>&lt;80%</w:t>
            </w:r>
          </w:p>
        </w:tc>
      </w:tr>
      <w:tr w14:paraId="2FDDDA08">
        <w:tblPrEx>
          <w:tblCellMar>
            <w:top w:w="0" w:type="dxa"/>
            <w:left w:w="108" w:type="dxa"/>
            <w:bottom w:w="0" w:type="dxa"/>
            <w:right w:w="108" w:type="dxa"/>
          </w:tblCellMar>
        </w:tblPrEx>
        <w:trPr>
          <w:trHeight w:val="432" w:hRule="atLeast"/>
        </w:trPr>
        <w:tc>
          <w:tcPr>
            <w:tcW w:w="204" w:type="pct"/>
            <w:vMerge w:val="restart"/>
            <w:tcBorders>
              <w:top w:val="nil"/>
              <w:left w:val="single" w:color="auto" w:sz="4" w:space="0"/>
              <w:bottom w:val="single" w:color="auto" w:sz="4" w:space="0"/>
              <w:right w:val="single" w:color="auto" w:sz="4" w:space="0"/>
            </w:tcBorders>
            <w:noWrap/>
            <w:vAlign w:val="center"/>
          </w:tcPr>
          <w:p w14:paraId="71E935DD">
            <w:pPr>
              <w:widowControl/>
              <w:jc w:val="center"/>
              <w:rPr>
                <w:rFonts w:ascii="宋体" w:cs="宋体"/>
                <w:kern w:val="0"/>
                <w:sz w:val="18"/>
                <w:szCs w:val="18"/>
              </w:rPr>
            </w:pPr>
            <w:r>
              <w:rPr>
                <w:rFonts w:ascii="宋体" w:hAnsi="宋体" w:cs="宋体"/>
                <w:kern w:val="0"/>
                <w:sz w:val="18"/>
                <w:szCs w:val="18"/>
              </w:rPr>
              <w:t>0202</w:t>
            </w:r>
          </w:p>
        </w:tc>
        <w:tc>
          <w:tcPr>
            <w:tcW w:w="279" w:type="pct"/>
            <w:vMerge w:val="restart"/>
            <w:tcBorders>
              <w:top w:val="nil"/>
              <w:left w:val="single" w:color="auto" w:sz="4" w:space="0"/>
              <w:bottom w:val="single" w:color="auto" w:sz="4" w:space="0"/>
              <w:right w:val="single" w:color="auto" w:sz="4" w:space="0"/>
            </w:tcBorders>
            <w:vAlign w:val="center"/>
          </w:tcPr>
          <w:p w14:paraId="7DF8EDD9">
            <w:pPr>
              <w:widowControl/>
              <w:jc w:val="left"/>
              <w:rPr>
                <w:rFonts w:ascii="宋体" w:cs="宋体"/>
                <w:kern w:val="0"/>
                <w:sz w:val="18"/>
                <w:szCs w:val="18"/>
              </w:rPr>
            </w:pPr>
            <w:r>
              <w:rPr>
                <w:rFonts w:hint="eastAsia" w:ascii="宋体" w:hAnsi="宋体" w:cs="宋体"/>
                <w:kern w:val="0"/>
                <w:sz w:val="18"/>
                <w:szCs w:val="18"/>
              </w:rPr>
              <w:t>工伤保险政策实施及管理</w:t>
            </w:r>
          </w:p>
        </w:tc>
        <w:tc>
          <w:tcPr>
            <w:tcW w:w="1004" w:type="pct"/>
            <w:vMerge w:val="restart"/>
            <w:tcBorders>
              <w:top w:val="nil"/>
              <w:left w:val="single" w:color="auto" w:sz="4" w:space="0"/>
              <w:bottom w:val="single" w:color="auto" w:sz="4" w:space="0"/>
              <w:right w:val="single" w:color="auto" w:sz="4" w:space="0"/>
            </w:tcBorders>
            <w:vAlign w:val="center"/>
          </w:tcPr>
          <w:p w14:paraId="5B87900F">
            <w:pPr>
              <w:widowControl/>
              <w:jc w:val="left"/>
              <w:rPr>
                <w:rFonts w:ascii="宋体" w:cs="宋体"/>
                <w:kern w:val="0"/>
                <w:sz w:val="18"/>
                <w:szCs w:val="18"/>
              </w:rPr>
            </w:pPr>
            <w:r>
              <w:rPr>
                <w:rFonts w:hint="eastAsia" w:ascii="宋体" w:hAnsi="宋体" w:cs="宋体"/>
                <w:kern w:val="0"/>
                <w:sz w:val="18"/>
                <w:szCs w:val="18"/>
              </w:rPr>
              <w:t>负责区级工伤保险征缴及赔付工作。</w:t>
            </w:r>
          </w:p>
        </w:tc>
        <w:tc>
          <w:tcPr>
            <w:tcW w:w="203" w:type="pct"/>
            <w:vMerge w:val="restart"/>
            <w:tcBorders>
              <w:top w:val="nil"/>
              <w:left w:val="single" w:color="auto" w:sz="4" w:space="0"/>
              <w:bottom w:val="single" w:color="auto" w:sz="4" w:space="0"/>
              <w:right w:val="single" w:color="auto" w:sz="4" w:space="0"/>
            </w:tcBorders>
            <w:noWrap/>
            <w:vAlign w:val="center"/>
          </w:tcPr>
          <w:p w14:paraId="512043AC">
            <w:pPr>
              <w:widowControl/>
              <w:jc w:val="center"/>
              <w:rPr>
                <w:rFonts w:ascii="宋体" w:cs="宋体"/>
                <w:kern w:val="0"/>
                <w:sz w:val="18"/>
                <w:szCs w:val="18"/>
              </w:rPr>
            </w:pPr>
            <w:r>
              <w:rPr>
                <w:rFonts w:ascii="宋体" w:hAnsi="宋体" w:cs="宋体"/>
                <w:kern w:val="0"/>
                <w:sz w:val="18"/>
                <w:szCs w:val="18"/>
              </w:rPr>
              <w:t>2022</w:t>
            </w:r>
          </w:p>
        </w:tc>
        <w:tc>
          <w:tcPr>
            <w:tcW w:w="775" w:type="pct"/>
            <w:vMerge w:val="restart"/>
            <w:tcBorders>
              <w:top w:val="nil"/>
              <w:left w:val="single" w:color="auto" w:sz="4" w:space="0"/>
              <w:bottom w:val="single" w:color="auto" w:sz="4" w:space="0"/>
              <w:right w:val="single" w:color="auto" w:sz="4" w:space="0"/>
            </w:tcBorders>
            <w:vAlign w:val="center"/>
          </w:tcPr>
          <w:p w14:paraId="1E5E1AFB">
            <w:pPr>
              <w:widowControl/>
              <w:jc w:val="left"/>
              <w:rPr>
                <w:rFonts w:ascii="宋体" w:cs="宋体"/>
                <w:kern w:val="0"/>
                <w:sz w:val="18"/>
                <w:szCs w:val="18"/>
              </w:rPr>
            </w:pPr>
            <w:r>
              <w:rPr>
                <w:rFonts w:hint="eastAsia" w:ascii="宋体" w:hAnsi="宋体" w:cs="宋体"/>
                <w:kern w:val="0"/>
                <w:sz w:val="18"/>
                <w:szCs w:val="18"/>
              </w:rPr>
              <w:t>提高工伤保险参保率，确保工伤保险待遇落实到位</w:t>
            </w:r>
          </w:p>
        </w:tc>
        <w:tc>
          <w:tcPr>
            <w:tcW w:w="631" w:type="pct"/>
            <w:tcBorders>
              <w:top w:val="nil"/>
              <w:left w:val="nil"/>
              <w:bottom w:val="single" w:color="auto" w:sz="4" w:space="0"/>
              <w:right w:val="single" w:color="auto" w:sz="4" w:space="0"/>
            </w:tcBorders>
            <w:vAlign w:val="center"/>
          </w:tcPr>
          <w:p w14:paraId="62949666">
            <w:pPr>
              <w:widowControl/>
              <w:jc w:val="left"/>
              <w:rPr>
                <w:rFonts w:ascii="宋体" w:cs="宋体"/>
                <w:kern w:val="0"/>
                <w:sz w:val="18"/>
                <w:szCs w:val="18"/>
              </w:rPr>
            </w:pPr>
            <w:r>
              <w:rPr>
                <w:rFonts w:hint="eastAsia" w:ascii="宋体" w:hAnsi="宋体" w:cs="宋体"/>
                <w:kern w:val="0"/>
                <w:sz w:val="18"/>
                <w:szCs w:val="18"/>
              </w:rPr>
              <w:t>已参保的工伤保险待遇到位率</w:t>
            </w:r>
          </w:p>
        </w:tc>
        <w:tc>
          <w:tcPr>
            <w:tcW w:w="901" w:type="pct"/>
            <w:tcBorders>
              <w:top w:val="nil"/>
              <w:left w:val="nil"/>
              <w:bottom w:val="single" w:color="auto" w:sz="4" w:space="0"/>
              <w:right w:val="single" w:color="auto" w:sz="4" w:space="0"/>
            </w:tcBorders>
            <w:vAlign w:val="center"/>
          </w:tcPr>
          <w:p w14:paraId="530F7D4A">
            <w:pPr>
              <w:widowControl/>
              <w:jc w:val="left"/>
              <w:rPr>
                <w:rFonts w:ascii="宋体" w:cs="宋体"/>
                <w:kern w:val="0"/>
                <w:sz w:val="18"/>
                <w:szCs w:val="18"/>
              </w:rPr>
            </w:pPr>
            <w:r>
              <w:rPr>
                <w:rFonts w:hint="eastAsia" w:ascii="宋体" w:hAnsi="宋体" w:cs="宋体"/>
                <w:kern w:val="0"/>
                <w:sz w:val="18"/>
                <w:szCs w:val="18"/>
              </w:rPr>
              <w:t>工伤保险享受待遇人数占应享受待遇人数之间的比率</w:t>
            </w:r>
          </w:p>
        </w:tc>
        <w:tc>
          <w:tcPr>
            <w:tcW w:w="203" w:type="pct"/>
            <w:tcBorders>
              <w:top w:val="nil"/>
              <w:left w:val="nil"/>
              <w:bottom w:val="single" w:color="auto" w:sz="4" w:space="0"/>
              <w:right w:val="single" w:color="auto" w:sz="4" w:space="0"/>
            </w:tcBorders>
            <w:vAlign w:val="center"/>
          </w:tcPr>
          <w:p w14:paraId="22633A1A">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298" w:type="pct"/>
            <w:tcBorders>
              <w:top w:val="nil"/>
              <w:left w:val="nil"/>
              <w:bottom w:val="single" w:color="auto" w:sz="4" w:space="0"/>
              <w:right w:val="single" w:color="auto" w:sz="4" w:space="0"/>
            </w:tcBorders>
            <w:vAlign w:val="center"/>
          </w:tcPr>
          <w:p w14:paraId="5C2F64C9">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298" w:type="pct"/>
            <w:tcBorders>
              <w:top w:val="nil"/>
              <w:left w:val="nil"/>
              <w:bottom w:val="single" w:color="auto" w:sz="4" w:space="0"/>
              <w:right w:val="single" w:color="auto" w:sz="4" w:space="0"/>
            </w:tcBorders>
            <w:vAlign w:val="center"/>
          </w:tcPr>
          <w:p w14:paraId="5487FD0B">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80%</w:t>
            </w:r>
          </w:p>
        </w:tc>
        <w:tc>
          <w:tcPr>
            <w:tcW w:w="203" w:type="pct"/>
            <w:tcBorders>
              <w:top w:val="nil"/>
              <w:left w:val="nil"/>
              <w:bottom w:val="single" w:color="auto" w:sz="4" w:space="0"/>
              <w:right w:val="single" w:color="auto" w:sz="4" w:space="0"/>
            </w:tcBorders>
            <w:vAlign w:val="center"/>
          </w:tcPr>
          <w:p w14:paraId="4E4EE55C">
            <w:pPr>
              <w:widowControl/>
              <w:jc w:val="left"/>
              <w:rPr>
                <w:rFonts w:ascii="宋体" w:cs="宋体"/>
                <w:kern w:val="0"/>
                <w:sz w:val="18"/>
                <w:szCs w:val="18"/>
              </w:rPr>
            </w:pPr>
            <w:r>
              <w:rPr>
                <w:rFonts w:ascii="宋体" w:hAnsi="宋体" w:cs="宋体"/>
                <w:kern w:val="0"/>
                <w:sz w:val="18"/>
                <w:szCs w:val="18"/>
              </w:rPr>
              <w:t>&lt;80%</w:t>
            </w:r>
          </w:p>
        </w:tc>
      </w:tr>
      <w:tr w14:paraId="140B2A0A">
        <w:tblPrEx>
          <w:tblCellMar>
            <w:top w:w="0" w:type="dxa"/>
            <w:left w:w="108" w:type="dxa"/>
            <w:bottom w:w="0" w:type="dxa"/>
            <w:right w:w="108" w:type="dxa"/>
          </w:tblCellMar>
        </w:tblPrEx>
        <w:trPr>
          <w:trHeight w:val="216" w:hRule="atLeast"/>
        </w:trPr>
        <w:tc>
          <w:tcPr>
            <w:tcW w:w="204" w:type="pct"/>
            <w:vMerge w:val="continue"/>
            <w:tcBorders>
              <w:top w:val="nil"/>
              <w:left w:val="single" w:color="auto" w:sz="4" w:space="0"/>
              <w:bottom w:val="single" w:color="auto" w:sz="4" w:space="0"/>
              <w:right w:val="single" w:color="auto" w:sz="4" w:space="0"/>
            </w:tcBorders>
            <w:vAlign w:val="center"/>
          </w:tcPr>
          <w:p w14:paraId="0EA9381A">
            <w:pPr>
              <w:widowControl/>
              <w:jc w:val="left"/>
              <w:rPr>
                <w:rFonts w:ascii="宋体" w:cs="宋体"/>
                <w:kern w:val="0"/>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5B943326">
            <w:pPr>
              <w:widowControl/>
              <w:jc w:val="left"/>
              <w:rPr>
                <w:rFonts w:ascii="宋体" w:cs="宋体"/>
                <w:kern w:val="0"/>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1A12E5C1">
            <w:pPr>
              <w:widowControl/>
              <w:jc w:val="left"/>
              <w:rPr>
                <w:rFonts w:ascii="宋体" w:cs="宋体"/>
                <w:kern w:val="0"/>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14:paraId="1C168A0A">
            <w:pPr>
              <w:widowControl/>
              <w:jc w:val="left"/>
              <w:rPr>
                <w:rFonts w:ascii="宋体" w:cs="宋体"/>
                <w:kern w:val="0"/>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14:paraId="2F2DCA11">
            <w:pPr>
              <w:widowControl/>
              <w:jc w:val="left"/>
              <w:rPr>
                <w:rFonts w:ascii="宋体" w:cs="宋体"/>
                <w:kern w:val="0"/>
                <w:sz w:val="18"/>
                <w:szCs w:val="18"/>
              </w:rPr>
            </w:pPr>
          </w:p>
        </w:tc>
        <w:tc>
          <w:tcPr>
            <w:tcW w:w="631" w:type="pct"/>
            <w:tcBorders>
              <w:top w:val="nil"/>
              <w:left w:val="nil"/>
              <w:bottom w:val="single" w:color="auto" w:sz="4" w:space="0"/>
              <w:right w:val="single" w:color="auto" w:sz="4" w:space="0"/>
            </w:tcBorders>
            <w:vAlign w:val="center"/>
          </w:tcPr>
          <w:p w14:paraId="736DA639">
            <w:pPr>
              <w:widowControl/>
              <w:jc w:val="left"/>
              <w:rPr>
                <w:rFonts w:ascii="宋体" w:cs="宋体"/>
                <w:kern w:val="0"/>
                <w:sz w:val="18"/>
                <w:szCs w:val="18"/>
              </w:rPr>
            </w:pPr>
            <w:r>
              <w:rPr>
                <w:rFonts w:hint="eastAsia" w:ascii="宋体" w:hAnsi="宋体" w:cs="宋体"/>
                <w:kern w:val="0"/>
                <w:sz w:val="18"/>
                <w:szCs w:val="18"/>
              </w:rPr>
              <w:t>工伤保险计划完成率</w:t>
            </w:r>
          </w:p>
        </w:tc>
        <w:tc>
          <w:tcPr>
            <w:tcW w:w="901" w:type="pct"/>
            <w:tcBorders>
              <w:top w:val="nil"/>
              <w:left w:val="nil"/>
              <w:bottom w:val="single" w:color="auto" w:sz="4" w:space="0"/>
              <w:right w:val="single" w:color="auto" w:sz="4" w:space="0"/>
            </w:tcBorders>
            <w:vAlign w:val="center"/>
          </w:tcPr>
          <w:p w14:paraId="72224570">
            <w:pPr>
              <w:widowControl/>
              <w:jc w:val="left"/>
              <w:rPr>
                <w:rFonts w:ascii="宋体" w:cs="宋体"/>
                <w:kern w:val="0"/>
                <w:sz w:val="18"/>
                <w:szCs w:val="18"/>
              </w:rPr>
            </w:pPr>
            <w:r>
              <w:rPr>
                <w:rFonts w:hint="eastAsia" w:ascii="宋体" w:hAnsi="宋体" w:cs="宋体"/>
                <w:kern w:val="0"/>
                <w:sz w:val="18"/>
                <w:szCs w:val="18"/>
              </w:rPr>
              <w:t>工伤保险参保人数占计划参保人数之间的比率</w:t>
            </w:r>
          </w:p>
        </w:tc>
        <w:tc>
          <w:tcPr>
            <w:tcW w:w="203" w:type="pct"/>
            <w:tcBorders>
              <w:top w:val="nil"/>
              <w:left w:val="nil"/>
              <w:bottom w:val="single" w:color="auto" w:sz="4" w:space="0"/>
              <w:right w:val="single" w:color="auto" w:sz="4" w:space="0"/>
            </w:tcBorders>
            <w:vAlign w:val="center"/>
          </w:tcPr>
          <w:p w14:paraId="433EDFFC">
            <w:pPr>
              <w:widowControl/>
              <w:jc w:val="left"/>
              <w:rPr>
                <w:rFonts w:ascii="宋体" w:cs="宋体"/>
                <w:kern w:val="0"/>
                <w:sz w:val="18"/>
                <w:szCs w:val="18"/>
              </w:rPr>
            </w:pPr>
            <w:r>
              <w:rPr>
                <w:rFonts w:ascii="宋体" w:hAnsi="宋体" w:cs="宋体"/>
                <w:kern w:val="0"/>
                <w:sz w:val="18"/>
                <w:szCs w:val="18"/>
              </w:rPr>
              <w:t>100%</w:t>
            </w:r>
          </w:p>
        </w:tc>
        <w:tc>
          <w:tcPr>
            <w:tcW w:w="298" w:type="pct"/>
            <w:tcBorders>
              <w:top w:val="nil"/>
              <w:left w:val="nil"/>
              <w:bottom w:val="single" w:color="auto" w:sz="4" w:space="0"/>
              <w:right w:val="single" w:color="auto" w:sz="4" w:space="0"/>
            </w:tcBorders>
            <w:vAlign w:val="center"/>
          </w:tcPr>
          <w:p w14:paraId="6DD9B62F">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298" w:type="pct"/>
            <w:tcBorders>
              <w:top w:val="nil"/>
              <w:left w:val="nil"/>
              <w:bottom w:val="single" w:color="auto" w:sz="4" w:space="0"/>
              <w:right w:val="single" w:color="auto" w:sz="4" w:space="0"/>
            </w:tcBorders>
            <w:vAlign w:val="center"/>
          </w:tcPr>
          <w:p w14:paraId="32418F51">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80%</w:t>
            </w:r>
          </w:p>
        </w:tc>
        <w:tc>
          <w:tcPr>
            <w:tcW w:w="203" w:type="pct"/>
            <w:tcBorders>
              <w:top w:val="nil"/>
              <w:left w:val="nil"/>
              <w:bottom w:val="single" w:color="auto" w:sz="4" w:space="0"/>
              <w:right w:val="single" w:color="auto" w:sz="4" w:space="0"/>
            </w:tcBorders>
            <w:vAlign w:val="center"/>
          </w:tcPr>
          <w:p w14:paraId="2D022024">
            <w:pPr>
              <w:widowControl/>
              <w:jc w:val="left"/>
              <w:rPr>
                <w:rFonts w:ascii="宋体" w:cs="宋体"/>
                <w:kern w:val="0"/>
                <w:sz w:val="18"/>
                <w:szCs w:val="18"/>
              </w:rPr>
            </w:pPr>
            <w:r>
              <w:rPr>
                <w:rFonts w:ascii="宋体" w:hAnsi="宋体" w:cs="宋体"/>
                <w:kern w:val="0"/>
                <w:sz w:val="18"/>
                <w:szCs w:val="18"/>
              </w:rPr>
              <w:t>&lt;80%</w:t>
            </w:r>
          </w:p>
        </w:tc>
      </w:tr>
      <w:tr w14:paraId="3F4A8A4E">
        <w:tblPrEx>
          <w:tblCellMar>
            <w:top w:w="0" w:type="dxa"/>
            <w:left w:w="108" w:type="dxa"/>
            <w:bottom w:w="0" w:type="dxa"/>
            <w:right w:w="108" w:type="dxa"/>
          </w:tblCellMar>
        </w:tblPrEx>
        <w:trPr>
          <w:trHeight w:val="648" w:hRule="atLeast"/>
        </w:trPr>
        <w:tc>
          <w:tcPr>
            <w:tcW w:w="204" w:type="pct"/>
            <w:tcBorders>
              <w:top w:val="nil"/>
              <w:left w:val="single" w:color="auto" w:sz="4" w:space="0"/>
              <w:bottom w:val="single" w:color="auto" w:sz="4" w:space="0"/>
              <w:right w:val="single" w:color="auto" w:sz="4" w:space="0"/>
            </w:tcBorders>
            <w:noWrap/>
            <w:vAlign w:val="center"/>
          </w:tcPr>
          <w:p w14:paraId="5A4D3C3E">
            <w:pPr>
              <w:widowControl/>
              <w:jc w:val="center"/>
              <w:rPr>
                <w:rFonts w:ascii="宋体" w:cs="宋体"/>
                <w:kern w:val="0"/>
                <w:sz w:val="18"/>
                <w:szCs w:val="18"/>
              </w:rPr>
            </w:pPr>
            <w:r>
              <w:rPr>
                <w:rFonts w:ascii="宋体" w:hAnsi="宋体" w:cs="宋体"/>
                <w:kern w:val="0"/>
                <w:sz w:val="18"/>
                <w:szCs w:val="18"/>
              </w:rPr>
              <w:t>0203</w:t>
            </w:r>
          </w:p>
        </w:tc>
        <w:tc>
          <w:tcPr>
            <w:tcW w:w="279" w:type="pct"/>
            <w:tcBorders>
              <w:top w:val="nil"/>
              <w:left w:val="nil"/>
              <w:bottom w:val="single" w:color="auto" w:sz="4" w:space="0"/>
              <w:right w:val="single" w:color="auto" w:sz="4" w:space="0"/>
            </w:tcBorders>
            <w:vAlign w:val="center"/>
          </w:tcPr>
          <w:p w14:paraId="3738038C">
            <w:pPr>
              <w:widowControl/>
              <w:jc w:val="left"/>
              <w:rPr>
                <w:rFonts w:ascii="宋体" w:cs="宋体"/>
                <w:kern w:val="0"/>
                <w:sz w:val="18"/>
                <w:szCs w:val="18"/>
              </w:rPr>
            </w:pPr>
            <w:r>
              <w:rPr>
                <w:rFonts w:hint="eastAsia" w:ascii="宋体" w:hAnsi="宋体" w:cs="宋体"/>
                <w:kern w:val="0"/>
                <w:sz w:val="18"/>
                <w:szCs w:val="18"/>
              </w:rPr>
              <w:t>失业保险政策实施及管理</w:t>
            </w:r>
          </w:p>
        </w:tc>
        <w:tc>
          <w:tcPr>
            <w:tcW w:w="1004" w:type="pct"/>
            <w:tcBorders>
              <w:top w:val="nil"/>
              <w:left w:val="nil"/>
              <w:bottom w:val="single" w:color="auto" w:sz="4" w:space="0"/>
              <w:right w:val="single" w:color="auto" w:sz="4" w:space="0"/>
            </w:tcBorders>
            <w:vAlign w:val="center"/>
          </w:tcPr>
          <w:p w14:paraId="05BD2439">
            <w:pPr>
              <w:widowControl/>
              <w:jc w:val="left"/>
              <w:rPr>
                <w:rFonts w:ascii="宋体" w:cs="宋体"/>
                <w:kern w:val="0"/>
                <w:sz w:val="18"/>
                <w:szCs w:val="18"/>
              </w:rPr>
            </w:pPr>
            <w:r>
              <w:rPr>
                <w:rFonts w:hint="eastAsia" w:ascii="宋体" w:hAnsi="宋体" w:cs="宋体"/>
                <w:kern w:val="0"/>
                <w:sz w:val="18"/>
                <w:szCs w:val="18"/>
              </w:rPr>
              <w:t>制定全区失业保险统一标准、待遇。落实失业保险基金征缴、使用等政策，并组织实施。</w:t>
            </w:r>
          </w:p>
        </w:tc>
        <w:tc>
          <w:tcPr>
            <w:tcW w:w="203" w:type="pct"/>
            <w:tcBorders>
              <w:top w:val="nil"/>
              <w:left w:val="nil"/>
              <w:bottom w:val="single" w:color="auto" w:sz="4" w:space="0"/>
              <w:right w:val="single" w:color="auto" w:sz="4" w:space="0"/>
            </w:tcBorders>
            <w:noWrap/>
            <w:vAlign w:val="center"/>
          </w:tcPr>
          <w:p w14:paraId="140EA009">
            <w:pPr>
              <w:widowControl/>
              <w:jc w:val="right"/>
              <w:rPr>
                <w:rFonts w:ascii="宋体" w:cs="宋体"/>
                <w:kern w:val="0"/>
                <w:sz w:val="18"/>
                <w:szCs w:val="18"/>
              </w:rPr>
            </w:pPr>
            <w:r>
              <w:rPr>
                <w:rFonts w:ascii="宋体" w:hAnsi="宋体" w:cs="宋体"/>
                <w:kern w:val="0"/>
                <w:sz w:val="18"/>
                <w:szCs w:val="18"/>
              </w:rPr>
              <w:t>2022</w:t>
            </w:r>
          </w:p>
        </w:tc>
        <w:tc>
          <w:tcPr>
            <w:tcW w:w="775" w:type="pct"/>
            <w:tcBorders>
              <w:top w:val="nil"/>
              <w:left w:val="nil"/>
              <w:bottom w:val="single" w:color="auto" w:sz="4" w:space="0"/>
              <w:right w:val="single" w:color="auto" w:sz="4" w:space="0"/>
            </w:tcBorders>
            <w:vAlign w:val="center"/>
          </w:tcPr>
          <w:p w14:paraId="1041FCA8">
            <w:pPr>
              <w:widowControl/>
              <w:jc w:val="left"/>
              <w:rPr>
                <w:rFonts w:ascii="宋体" w:cs="宋体"/>
                <w:kern w:val="0"/>
                <w:sz w:val="18"/>
                <w:szCs w:val="18"/>
              </w:rPr>
            </w:pPr>
            <w:r>
              <w:rPr>
                <w:rFonts w:hint="eastAsia" w:ascii="宋体" w:hAnsi="宋体" w:cs="宋体"/>
                <w:kern w:val="0"/>
                <w:sz w:val="18"/>
                <w:szCs w:val="18"/>
              </w:rPr>
              <w:t>失业保险费应收尽收，全区失业人员待遇落实。</w:t>
            </w:r>
          </w:p>
        </w:tc>
        <w:tc>
          <w:tcPr>
            <w:tcW w:w="631" w:type="pct"/>
            <w:tcBorders>
              <w:top w:val="nil"/>
              <w:left w:val="nil"/>
              <w:bottom w:val="single" w:color="auto" w:sz="4" w:space="0"/>
              <w:right w:val="single" w:color="auto" w:sz="4" w:space="0"/>
            </w:tcBorders>
            <w:vAlign w:val="center"/>
          </w:tcPr>
          <w:p w14:paraId="417CE785">
            <w:pPr>
              <w:widowControl/>
              <w:jc w:val="left"/>
              <w:rPr>
                <w:rFonts w:ascii="宋体" w:cs="宋体"/>
                <w:kern w:val="0"/>
                <w:sz w:val="18"/>
                <w:szCs w:val="18"/>
              </w:rPr>
            </w:pPr>
            <w:r>
              <w:rPr>
                <w:rFonts w:hint="eastAsia" w:ascii="宋体" w:hAnsi="宋体" w:cs="宋体"/>
                <w:kern w:val="0"/>
                <w:sz w:val="18"/>
                <w:szCs w:val="18"/>
              </w:rPr>
              <w:t>失业保险费征收任务完成率</w:t>
            </w:r>
          </w:p>
        </w:tc>
        <w:tc>
          <w:tcPr>
            <w:tcW w:w="901" w:type="pct"/>
            <w:tcBorders>
              <w:top w:val="nil"/>
              <w:left w:val="nil"/>
              <w:bottom w:val="single" w:color="auto" w:sz="4" w:space="0"/>
              <w:right w:val="single" w:color="auto" w:sz="4" w:space="0"/>
            </w:tcBorders>
            <w:vAlign w:val="center"/>
          </w:tcPr>
          <w:p w14:paraId="1E120B29">
            <w:pPr>
              <w:widowControl/>
              <w:jc w:val="left"/>
              <w:rPr>
                <w:rFonts w:ascii="宋体" w:cs="宋体"/>
                <w:kern w:val="0"/>
                <w:sz w:val="18"/>
                <w:szCs w:val="18"/>
              </w:rPr>
            </w:pPr>
            <w:r>
              <w:rPr>
                <w:rFonts w:hint="eastAsia" w:ascii="宋体" w:hAnsi="宋体" w:cs="宋体"/>
                <w:kern w:val="0"/>
                <w:sz w:val="18"/>
                <w:szCs w:val="18"/>
              </w:rPr>
              <w:t>实际征收失业保险占征收计划的比率</w:t>
            </w:r>
          </w:p>
        </w:tc>
        <w:tc>
          <w:tcPr>
            <w:tcW w:w="203" w:type="pct"/>
            <w:tcBorders>
              <w:top w:val="nil"/>
              <w:left w:val="nil"/>
              <w:bottom w:val="single" w:color="auto" w:sz="4" w:space="0"/>
              <w:right w:val="single" w:color="auto" w:sz="4" w:space="0"/>
            </w:tcBorders>
            <w:vAlign w:val="center"/>
          </w:tcPr>
          <w:p w14:paraId="7426C41F">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298" w:type="pct"/>
            <w:tcBorders>
              <w:top w:val="nil"/>
              <w:left w:val="nil"/>
              <w:bottom w:val="single" w:color="auto" w:sz="4" w:space="0"/>
              <w:right w:val="single" w:color="auto" w:sz="4" w:space="0"/>
            </w:tcBorders>
            <w:vAlign w:val="center"/>
          </w:tcPr>
          <w:p w14:paraId="7B5B43B4">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298" w:type="pct"/>
            <w:tcBorders>
              <w:top w:val="nil"/>
              <w:left w:val="nil"/>
              <w:bottom w:val="single" w:color="auto" w:sz="4" w:space="0"/>
              <w:right w:val="single" w:color="auto" w:sz="4" w:space="0"/>
            </w:tcBorders>
            <w:vAlign w:val="center"/>
          </w:tcPr>
          <w:p w14:paraId="14137B49">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80%</w:t>
            </w:r>
          </w:p>
        </w:tc>
        <w:tc>
          <w:tcPr>
            <w:tcW w:w="203" w:type="pct"/>
            <w:tcBorders>
              <w:top w:val="nil"/>
              <w:left w:val="nil"/>
              <w:bottom w:val="single" w:color="auto" w:sz="4" w:space="0"/>
              <w:right w:val="single" w:color="auto" w:sz="4" w:space="0"/>
            </w:tcBorders>
            <w:vAlign w:val="center"/>
          </w:tcPr>
          <w:p w14:paraId="1810DAEB">
            <w:pPr>
              <w:widowControl/>
              <w:jc w:val="left"/>
              <w:rPr>
                <w:rFonts w:ascii="宋体" w:cs="宋体"/>
                <w:kern w:val="0"/>
                <w:sz w:val="18"/>
                <w:szCs w:val="18"/>
              </w:rPr>
            </w:pPr>
            <w:r>
              <w:rPr>
                <w:rFonts w:ascii="宋体" w:hAnsi="宋体" w:cs="宋体"/>
                <w:kern w:val="0"/>
                <w:sz w:val="18"/>
                <w:szCs w:val="18"/>
              </w:rPr>
              <w:t>&lt;80%</w:t>
            </w:r>
          </w:p>
        </w:tc>
      </w:tr>
      <w:tr w14:paraId="305AC88B">
        <w:tblPrEx>
          <w:tblCellMar>
            <w:top w:w="0" w:type="dxa"/>
            <w:left w:w="108" w:type="dxa"/>
            <w:bottom w:w="0" w:type="dxa"/>
            <w:right w:w="108" w:type="dxa"/>
          </w:tblCellMar>
        </w:tblPrEx>
        <w:trPr>
          <w:trHeight w:val="648" w:hRule="atLeast"/>
        </w:trPr>
        <w:tc>
          <w:tcPr>
            <w:tcW w:w="204" w:type="pct"/>
            <w:tcBorders>
              <w:top w:val="nil"/>
              <w:left w:val="single" w:color="auto" w:sz="4" w:space="0"/>
              <w:bottom w:val="single" w:color="auto" w:sz="4" w:space="0"/>
              <w:right w:val="single" w:color="auto" w:sz="4" w:space="0"/>
            </w:tcBorders>
            <w:noWrap/>
            <w:vAlign w:val="center"/>
          </w:tcPr>
          <w:p w14:paraId="26F2F846">
            <w:pPr>
              <w:widowControl/>
              <w:jc w:val="center"/>
              <w:rPr>
                <w:rFonts w:ascii="宋体" w:cs="宋体"/>
                <w:kern w:val="0"/>
                <w:sz w:val="18"/>
                <w:szCs w:val="18"/>
              </w:rPr>
            </w:pPr>
            <w:r>
              <w:rPr>
                <w:rFonts w:ascii="宋体" w:hAnsi="宋体" w:cs="宋体"/>
                <w:kern w:val="0"/>
                <w:sz w:val="18"/>
                <w:szCs w:val="18"/>
              </w:rPr>
              <w:t>0301</w:t>
            </w:r>
          </w:p>
        </w:tc>
        <w:tc>
          <w:tcPr>
            <w:tcW w:w="279" w:type="pct"/>
            <w:tcBorders>
              <w:top w:val="nil"/>
              <w:left w:val="nil"/>
              <w:bottom w:val="single" w:color="auto" w:sz="4" w:space="0"/>
              <w:right w:val="single" w:color="auto" w:sz="4" w:space="0"/>
            </w:tcBorders>
            <w:vAlign w:val="center"/>
          </w:tcPr>
          <w:p w14:paraId="73575CA9">
            <w:pPr>
              <w:widowControl/>
              <w:jc w:val="left"/>
              <w:rPr>
                <w:rFonts w:ascii="宋体" w:cs="宋体"/>
                <w:kern w:val="0"/>
                <w:sz w:val="18"/>
                <w:szCs w:val="18"/>
              </w:rPr>
            </w:pPr>
            <w:r>
              <w:rPr>
                <w:rFonts w:hint="eastAsia" w:ascii="宋体" w:hAnsi="宋体" w:cs="宋体"/>
                <w:kern w:val="0"/>
                <w:sz w:val="18"/>
                <w:szCs w:val="18"/>
              </w:rPr>
              <w:t>专业技术人才的培养和管理</w:t>
            </w:r>
          </w:p>
        </w:tc>
        <w:tc>
          <w:tcPr>
            <w:tcW w:w="1004" w:type="pct"/>
            <w:tcBorders>
              <w:top w:val="nil"/>
              <w:left w:val="nil"/>
              <w:bottom w:val="single" w:color="auto" w:sz="4" w:space="0"/>
              <w:right w:val="single" w:color="auto" w:sz="4" w:space="0"/>
            </w:tcBorders>
            <w:vAlign w:val="center"/>
          </w:tcPr>
          <w:p w14:paraId="11C5D1D7">
            <w:pPr>
              <w:widowControl/>
              <w:jc w:val="left"/>
              <w:rPr>
                <w:rFonts w:ascii="宋体" w:cs="宋体"/>
                <w:kern w:val="0"/>
                <w:sz w:val="18"/>
                <w:szCs w:val="18"/>
              </w:rPr>
            </w:pPr>
            <w:r>
              <w:rPr>
                <w:rFonts w:hint="eastAsia" w:ascii="宋体" w:hAnsi="宋体" w:cs="宋体"/>
                <w:kern w:val="0"/>
                <w:sz w:val="18"/>
                <w:szCs w:val="18"/>
              </w:rPr>
              <w:t>组织各类专业技术人才的考试、评审、鉴定、继续教育等。统筹推进全区政府系统人才工作，组织实施我区人才发展规划。</w:t>
            </w:r>
          </w:p>
        </w:tc>
        <w:tc>
          <w:tcPr>
            <w:tcW w:w="203" w:type="pct"/>
            <w:tcBorders>
              <w:top w:val="nil"/>
              <w:left w:val="nil"/>
              <w:bottom w:val="single" w:color="auto" w:sz="4" w:space="0"/>
              <w:right w:val="single" w:color="auto" w:sz="4" w:space="0"/>
            </w:tcBorders>
            <w:noWrap/>
            <w:vAlign w:val="center"/>
          </w:tcPr>
          <w:p w14:paraId="1CEFDBBD">
            <w:pPr>
              <w:widowControl/>
              <w:jc w:val="right"/>
              <w:rPr>
                <w:rFonts w:ascii="宋体" w:cs="宋体"/>
                <w:kern w:val="0"/>
                <w:sz w:val="18"/>
                <w:szCs w:val="18"/>
              </w:rPr>
            </w:pPr>
            <w:r>
              <w:rPr>
                <w:rFonts w:ascii="宋体" w:hAnsi="宋体" w:cs="宋体"/>
                <w:kern w:val="0"/>
                <w:sz w:val="18"/>
                <w:szCs w:val="18"/>
              </w:rPr>
              <w:t>2022</w:t>
            </w:r>
          </w:p>
        </w:tc>
        <w:tc>
          <w:tcPr>
            <w:tcW w:w="775" w:type="pct"/>
            <w:vMerge w:val="restart"/>
            <w:tcBorders>
              <w:top w:val="nil"/>
              <w:left w:val="single" w:color="auto" w:sz="4" w:space="0"/>
              <w:bottom w:val="single" w:color="auto" w:sz="4" w:space="0"/>
              <w:right w:val="single" w:color="auto" w:sz="4" w:space="0"/>
            </w:tcBorders>
            <w:vAlign w:val="center"/>
          </w:tcPr>
          <w:p w14:paraId="4CE40823">
            <w:pPr>
              <w:widowControl/>
              <w:jc w:val="left"/>
              <w:rPr>
                <w:rFonts w:ascii="宋体" w:cs="宋体"/>
                <w:kern w:val="0"/>
                <w:sz w:val="18"/>
                <w:szCs w:val="18"/>
              </w:rPr>
            </w:pPr>
            <w:r>
              <w:rPr>
                <w:rFonts w:hint="eastAsia" w:ascii="宋体" w:hAnsi="宋体" w:cs="宋体"/>
                <w:kern w:val="0"/>
                <w:sz w:val="18"/>
                <w:szCs w:val="18"/>
              </w:rPr>
              <w:t>推进专业技术人才知识更新。</w:t>
            </w:r>
          </w:p>
        </w:tc>
        <w:tc>
          <w:tcPr>
            <w:tcW w:w="631" w:type="pct"/>
            <w:tcBorders>
              <w:top w:val="nil"/>
              <w:left w:val="nil"/>
              <w:bottom w:val="single" w:color="auto" w:sz="4" w:space="0"/>
              <w:right w:val="single" w:color="auto" w:sz="4" w:space="0"/>
            </w:tcBorders>
            <w:vAlign w:val="center"/>
          </w:tcPr>
          <w:p w14:paraId="39767B3F">
            <w:pPr>
              <w:widowControl/>
              <w:jc w:val="left"/>
              <w:rPr>
                <w:rFonts w:ascii="宋体" w:cs="宋体"/>
                <w:kern w:val="0"/>
                <w:sz w:val="18"/>
                <w:szCs w:val="18"/>
              </w:rPr>
            </w:pPr>
            <w:r>
              <w:rPr>
                <w:rFonts w:hint="eastAsia" w:ascii="宋体" w:hAnsi="宋体" w:cs="宋体"/>
                <w:kern w:val="0"/>
                <w:sz w:val="18"/>
                <w:szCs w:val="18"/>
              </w:rPr>
              <w:t>组织专业技术人才考试、选拔次数</w:t>
            </w:r>
          </w:p>
        </w:tc>
        <w:tc>
          <w:tcPr>
            <w:tcW w:w="901" w:type="pct"/>
            <w:tcBorders>
              <w:top w:val="nil"/>
              <w:left w:val="nil"/>
              <w:bottom w:val="single" w:color="auto" w:sz="4" w:space="0"/>
              <w:right w:val="single" w:color="auto" w:sz="4" w:space="0"/>
            </w:tcBorders>
            <w:vAlign w:val="center"/>
          </w:tcPr>
          <w:p w14:paraId="48364FC4">
            <w:pPr>
              <w:widowControl/>
              <w:jc w:val="left"/>
              <w:rPr>
                <w:rFonts w:ascii="宋体" w:cs="宋体"/>
                <w:kern w:val="0"/>
                <w:sz w:val="18"/>
                <w:szCs w:val="18"/>
              </w:rPr>
            </w:pPr>
            <w:r>
              <w:rPr>
                <w:rFonts w:hint="eastAsia" w:ascii="宋体" w:hAnsi="宋体" w:cs="宋体"/>
                <w:kern w:val="0"/>
                <w:sz w:val="18"/>
                <w:szCs w:val="18"/>
              </w:rPr>
              <w:t>组织专业技术人才考试、选拔的场次数</w:t>
            </w:r>
          </w:p>
        </w:tc>
        <w:tc>
          <w:tcPr>
            <w:tcW w:w="203" w:type="pct"/>
            <w:tcBorders>
              <w:top w:val="nil"/>
              <w:left w:val="nil"/>
              <w:bottom w:val="single" w:color="auto" w:sz="4" w:space="0"/>
              <w:right w:val="single" w:color="auto" w:sz="4" w:space="0"/>
            </w:tcBorders>
            <w:vAlign w:val="center"/>
          </w:tcPr>
          <w:p w14:paraId="531083CC">
            <w:pPr>
              <w:widowControl/>
              <w:jc w:val="left"/>
              <w:rPr>
                <w:rFonts w:ascii="宋体" w:cs="宋体"/>
                <w:kern w:val="0"/>
                <w:sz w:val="18"/>
                <w:szCs w:val="18"/>
              </w:rPr>
            </w:pPr>
            <w:r>
              <w:rPr>
                <w:rFonts w:ascii="宋体" w:hAnsi="宋体" w:cs="宋体"/>
                <w:kern w:val="0"/>
                <w:sz w:val="18"/>
                <w:szCs w:val="18"/>
              </w:rPr>
              <w:t>3</w:t>
            </w:r>
          </w:p>
        </w:tc>
        <w:tc>
          <w:tcPr>
            <w:tcW w:w="298" w:type="pct"/>
            <w:tcBorders>
              <w:top w:val="nil"/>
              <w:left w:val="nil"/>
              <w:bottom w:val="single" w:color="auto" w:sz="4" w:space="0"/>
              <w:right w:val="single" w:color="auto" w:sz="4" w:space="0"/>
            </w:tcBorders>
            <w:vAlign w:val="center"/>
          </w:tcPr>
          <w:p w14:paraId="545A8A1A">
            <w:pPr>
              <w:widowControl/>
              <w:jc w:val="left"/>
              <w:rPr>
                <w:rFonts w:ascii="宋体" w:cs="宋体"/>
                <w:kern w:val="0"/>
                <w:sz w:val="18"/>
                <w:szCs w:val="18"/>
              </w:rPr>
            </w:pPr>
            <w:r>
              <w:rPr>
                <w:rFonts w:ascii="宋体" w:hAnsi="宋体" w:cs="宋体"/>
                <w:kern w:val="0"/>
                <w:sz w:val="18"/>
                <w:szCs w:val="18"/>
              </w:rPr>
              <w:t>2</w:t>
            </w:r>
          </w:p>
        </w:tc>
        <w:tc>
          <w:tcPr>
            <w:tcW w:w="298" w:type="pct"/>
            <w:tcBorders>
              <w:top w:val="nil"/>
              <w:left w:val="nil"/>
              <w:bottom w:val="single" w:color="auto" w:sz="4" w:space="0"/>
              <w:right w:val="single" w:color="auto" w:sz="4" w:space="0"/>
            </w:tcBorders>
            <w:vAlign w:val="center"/>
          </w:tcPr>
          <w:p w14:paraId="5E6DF63F">
            <w:pPr>
              <w:widowControl/>
              <w:jc w:val="left"/>
              <w:rPr>
                <w:rFonts w:ascii="宋体" w:cs="宋体"/>
                <w:kern w:val="0"/>
                <w:sz w:val="18"/>
                <w:szCs w:val="18"/>
              </w:rPr>
            </w:pPr>
            <w:r>
              <w:rPr>
                <w:rFonts w:ascii="宋体" w:hAnsi="宋体" w:cs="宋体"/>
                <w:kern w:val="0"/>
                <w:sz w:val="18"/>
                <w:szCs w:val="18"/>
              </w:rPr>
              <w:t>1</w:t>
            </w:r>
          </w:p>
        </w:tc>
        <w:tc>
          <w:tcPr>
            <w:tcW w:w="203" w:type="pct"/>
            <w:tcBorders>
              <w:top w:val="nil"/>
              <w:left w:val="nil"/>
              <w:bottom w:val="single" w:color="auto" w:sz="4" w:space="0"/>
              <w:right w:val="single" w:color="auto" w:sz="4" w:space="0"/>
            </w:tcBorders>
            <w:vAlign w:val="center"/>
          </w:tcPr>
          <w:p w14:paraId="68C5B16B">
            <w:pPr>
              <w:widowControl/>
              <w:jc w:val="left"/>
              <w:rPr>
                <w:rFonts w:ascii="宋体" w:cs="宋体"/>
                <w:kern w:val="0"/>
                <w:sz w:val="18"/>
                <w:szCs w:val="18"/>
              </w:rPr>
            </w:pPr>
            <w:r>
              <w:rPr>
                <w:rFonts w:ascii="宋体" w:cs="宋体"/>
                <w:kern w:val="0"/>
                <w:sz w:val="18"/>
                <w:szCs w:val="18"/>
              </w:rPr>
              <w:t>0</w:t>
            </w:r>
          </w:p>
        </w:tc>
      </w:tr>
      <w:tr w14:paraId="34B1CA14">
        <w:tblPrEx>
          <w:tblCellMar>
            <w:top w:w="0" w:type="dxa"/>
            <w:left w:w="108" w:type="dxa"/>
            <w:bottom w:w="0" w:type="dxa"/>
            <w:right w:w="108" w:type="dxa"/>
          </w:tblCellMar>
        </w:tblPrEx>
        <w:trPr>
          <w:trHeight w:val="648" w:hRule="atLeast"/>
        </w:trPr>
        <w:tc>
          <w:tcPr>
            <w:tcW w:w="204" w:type="pct"/>
            <w:tcBorders>
              <w:top w:val="nil"/>
              <w:left w:val="single" w:color="auto" w:sz="4" w:space="0"/>
              <w:bottom w:val="single" w:color="auto" w:sz="4" w:space="0"/>
              <w:right w:val="single" w:color="auto" w:sz="4" w:space="0"/>
            </w:tcBorders>
            <w:noWrap/>
            <w:vAlign w:val="center"/>
          </w:tcPr>
          <w:p w14:paraId="33787DD9">
            <w:pPr>
              <w:widowControl/>
              <w:jc w:val="center"/>
              <w:rPr>
                <w:rFonts w:ascii="宋体" w:cs="宋体"/>
                <w:kern w:val="0"/>
                <w:sz w:val="18"/>
                <w:szCs w:val="18"/>
              </w:rPr>
            </w:pPr>
            <w:r>
              <w:rPr>
                <w:rFonts w:ascii="宋体" w:hAnsi="宋体" w:cs="宋体"/>
                <w:kern w:val="0"/>
                <w:sz w:val="18"/>
                <w:szCs w:val="18"/>
              </w:rPr>
              <w:t>0302</w:t>
            </w:r>
          </w:p>
        </w:tc>
        <w:tc>
          <w:tcPr>
            <w:tcW w:w="279" w:type="pct"/>
            <w:tcBorders>
              <w:top w:val="nil"/>
              <w:left w:val="nil"/>
              <w:bottom w:val="single" w:color="auto" w:sz="4" w:space="0"/>
              <w:right w:val="single" w:color="auto" w:sz="4" w:space="0"/>
            </w:tcBorders>
            <w:vAlign w:val="center"/>
          </w:tcPr>
          <w:p w14:paraId="294C3FC4">
            <w:pPr>
              <w:widowControl/>
              <w:jc w:val="left"/>
              <w:rPr>
                <w:rFonts w:ascii="宋体" w:cs="宋体"/>
                <w:kern w:val="0"/>
                <w:sz w:val="18"/>
                <w:szCs w:val="18"/>
              </w:rPr>
            </w:pPr>
            <w:r>
              <w:rPr>
                <w:rFonts w:hint="eastAsia" w:ascii="宋体" w:hAnsi="宋体" w:cs="宋体"/>
                <w:kern w:val="0"/>
                <w:sz w:val="18"/>
                <w:szCs w:val="18"/>
              </w:rPr>
              <w:t>专业技术人才的培养和管理</w:t>
            </w:r>
          </w:p>
        </w:tc>
        <w:tc>
          <w:tcPr>
            <w:tcW w:w="1004" w:type="pct"/>
            <w:tcBorders>
              <w:top w:val="nil"/>
              <w:left w:val="nil"/>
              <w:bottom w:val="single" w:color="auto" w:sz="4" w:space="0"/>
              <w:right w:val="single" w:color="auto" w:sz="4" w:space="0"/>
            </w:tcBorders>
            <w:vAlign w:val="center"/>
          </w:tcPr>
          <w:p w14:paraId="20F56695">
            <w:pPr>
              <w:widowControl/>
              <w:jc w:val="left"/>
              <w:rPr>
                <w:rFonts w:ascii="宋体" w:cs="宋体"/>
                <w:kern w:val="0"/>
                <w:sz w:val="18"/>
                <w:szCs w:val="18"/>
              </w:rPr>
            </w:pPr>
            <w:r>
              <w:rPr>
                <w:rFonts w:hint="eastAsia" w:ascii="宋体" w:hAnsi="宋体" w:cs="宋体"/>
                <w:kern w:val="0"/>
                <w:sz w:val="18"/>
                <w:szCs w:val="18"/>
              </w:rPr>
              <w:t>组织各类专业技术人才的考试、评审、鉴定、继续教育等。统筹推进全区政府系统人才工作，组织实施我区人才发展规划。</w:t>
            </w:r>
          </w:p>
        </w:tc>
        <w:tc>
          <w:tcPr>
            <w:tcW w:w="203" w:type="pct"/>
            <w:tcBorders>
              <w:top w:val="nil"/>
              <w:left w:val="nil"/>
              <w:bottom w:val="single" w:color="auto" w:sz="4" w:space="0"/>
              <w:right w:val="single" w:color="auto" w:sz="4" w:space="0"/>
            </w:tcBorders>
            <w:noWrap/>
            <w:vAlign w:val="center"/>
          </w:tcPr>
          <w:p w14:paraId="226E0B84">
            <w:pPr>
              <w:widowControl/>
              <w:jc w:val="right"/>
              <w:rPr>
                <w:rFonts w:ascii="宋体" w:cs="宋体"/>
                <w:kern w:val="0"/>
                <w:sz w:val="18"/>
                <w:szCs w:val="18"/>
              </w:rPr>
            </w:pPr>
            <w:r>
              <w:rPr>
                <w:rFonts w:ascii="宋体" w:hAnsi="宋体" w:cs="宋体"/>
                <w:kern w:val="0"/>
                <w:sz w:val="18"/>
                <w:szCs w:val="18"/>
              </w:rPr>
              <w:t>2022</w:t>
            </w:r>
          </w:p>
        </w:tc>
        <w:tc>
          <w:tcPr>
            <w:tcW w:w="775" w:type="pct"/>
            <w:vMerge w:val="continue"/>
            <w:tcBorders>
              <w:top w:val="nil"/>
              <w:left w:val="single" w:color="auto" w:sz="4" w:space="0"/>
              <w:bottom w:val="single" w:color="auto" w:sz="4" w:space="0"/>
              <w:right w:val="single" w:color="auto" w:sz="4" w:space="0"/>
            </w:tcBorders>
            <w:vAlign w:val="center"/>
          </w:tcPr>
          <w:p w14:paraId="6A21B8A5">
            <w:pPr>
              <w:widowControl/>
              <w:jc w:val="left"/>
              <w:rPr>
                <w:rFonts w:ascii="宋体" w:cs="宋体"/>
                <w:kern w:val="0"/>
                <w:sz w:val="18"/>
                <w:szCs w:val="18"/>
              </w:rPr>
            </w:pPr>
          </w:p>
        </w:tc>
        <w:tc>
          <w:tcPr>
            <w:tcW w:w="631" w:type="pct"/>
            <w:tcBorders>
              <w:top w:val="nil"/>
              <w:left w:val="nil"/>
              <w:bottom w:val="single" w:color="auto" w:sz="4" w:space="0"/>
              <w:right w:val="single" w:color="auto" w:sz="4" w:space="0"/>
            </w:tcBorders>
            <w:vAlign w:val="center"/>
          </w:tcPr>
          <w:p w14:paraId="7B393D47">
            <w:pPr>
              <w:widowControl/>
              <w:jc w:val="left"/>
              <w:rPr>
                <w:rFonts w:ascii="宋体" w:cs="宋体"/>
                <w:kern w:val="0"/>
                <w:sz w:val="18"/>
                <w:szCs w:val="18"/>
              </w:rPr>
            </w:pPr>
            <w:r>
              <w:rPr>
                <w:rFonts w:hint="eastAsia" w:ascii="宋体" w:hAnsi="宋体" w:cs="宋体"/>
                <w:kern w:val="0"/>
                <w:sz w:val="18"/>
                <w:szCs w:val="18"/>
              </w:rPr>
              <w:t>组织专业技术人才评审完成率</w:t>
            </w:r>
          </w:p>
        </w:tc>
        <w:tc>
          <w:tcPr>
            <w:tcW w:w="901" w:type="pct"/>
            <w:tcBorders>
              <w:top w:val="nil"/>
              <w:left w:val="nil"/>
              <w:bottom w:val="single" w:color="auto" w:sz="4" w:space="0"/>
              <w:right w:val="single" w:color="auto" w:sz="4" w:space="0"/>
            </w:tcBorders>
            <w:vAlign w:val="center"/>
          </w:tcPr>
          <w:p w14:paraId="6149636E">
            <w:pPr>
              <w:widowControl/>
              <w:jc w:val="left"/>
              <w:rPr>
                <w:rFonts w:ascii="宋体" w:cs="宋体"/>
                <w:kern w:val="0"/>
                <w:sz w:val="18"/>
                <w:szCs w:val="18"/>
              </w:rPr>
            </w:pPr>
            <w:r>
              <w:rPr>
                <w:rFonts w:hint="eastAsia" w:ascii="宋体" w:hAnsi="宋体" w:cs="宋体"/>
                <w:kern w:val="0"/>
                <w:sz w:val="18"/>
                <w:szCs w:val="18"/>
              </w:rPr>
              <w:t>组织专业技术人才评审完成率</w:t>
            </w:r>
          </w:p>
        </w:tc>
        <w:tc>
          <w:tcPr>
            <w:tcW w:w="203" w:type="pct"/>
            <w:tcBorders>
              <w:top w:val="nil"/>
              <w:left w:val="nil"/>
              <w:bottom w:val="single" w:color="auto" w:sz="4" w:space="0"/>
              <w:right w:val="single" w:color="auto" w:sz="4" w:space="0"/>
            </w:tcBorders>
            <w:vAlign w:val="center"/>
          </w:tcPr>
          <w:p w14:paraId="0D16C022">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298" w:type="pct"/>
            <w:tcBorders>
              <w:top w:val="nil"/>
              <w:left w:val="nil"/>
              <w:bottom w:val="single" w:color="auto" w:sz="4" w:space="0"/>
              <w:right w:val="single" w:color="auto" w:sz="4" w:space="0"/>
            </w:tcBorders>
            <w:vAlign w:val="center"/>
          </w:tcPr>
          <w:p w14:paraId="61BB37D9">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298" w:type="pct"/>
            <w:tcBorders>
              <w:top w:val="nil"/>
              <w:left w:val="nil"/>
              <w:bottom w:val="single" w:color="auto" w:sz="4" w:space="0"/>
              <w:right w:val="single" w:color="auto" w:sz="4" w:space="0"/>
            </w:tcBorders>
            <w:vAlign w:val="center"/>
          </w:tcPr>
          <w:p w14:paraId="54CC72D4">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80%</w:t>
            </w:r>
          </w:p>
        </w:tc>
        <w:tc>
          <w:tcPr>
            <w:tcW w:w="203" w:type="pct"/>
            <w:tcBorders>
              <w:top w:val="nil"/>
              <w:left w:val="nil"/>
              <w:bottom w:val="single" w:color="auto" w:sz="4" w:space="0"/>
              <w:right w:val="single" w:color="auto" w:sz="4" w:space="0"/>
            </w:tcBorders>
            <w:vAlign w:val="center"/>
          </w:tcPr>
          <w:p w14:paraId="3743854E">
            <w:pPr>
              <w:widowControl/>
              <w:jc w:val="left"/>
              <w:rPr>
                <w:rFonts w:ascii="宋体" w:cs="宋体"/>
                <w:kern w:val="0"/>
                <w:sz w:val="18"/>
                <w:szCs w:val="18"/>
              </w:rPr>
            </w:pPr>
            <w:r>
              <w:rPr>
                <w:rFonts w:ascii="宋体" w:hAnsi="宋体" w:cs="宋体"/>
                <w:kern w:val="0"/>
                <w:sz w:val="18"/>
                <w:szCs w:val="18"/>
              </w:rPr>
              <w:t>&lt;80%</w:t>
            </w:r>
          </w:p>
        </w:tc>
      </w:tr>
      <w:tr w14:paraId="5A1037DB">
        <w:tblPrEx>
          <w:tblCellMar>
            <w:top w:w="0" w:type="dxa"/>
            <w:left w:w="108" w:type="dxa"/>
            <w:bottom w:w="0" w:type="dxa"/>
            <w:right w:w="108" w:type="dxa"/>
          </w:tblCellMar>
        </w:tblPrEx>
        <w:trPr>
          <w:trHeight w:val="936" w:hRule="atLeast"/>
        </w:trPr>
        <w:tc>
          <w:tcPr>
            <w:tcW w:w="204" w:type="pct"/>
            <w:vMerge w:val="restart"/>
            <w:tcBorders>
              <w:top w:val="nil"/>
              <w:left w:val="single" w:color="auto" w:sz="4" w:space="0"/>
              <w:bottom w:val="single" w:color="auto" w:sz="4" w:space="0"/>
              <w:right w:val="single" w:color="auto" w:sz="4" w:space="0"/>
            </w:tcBorders>
            <w:noWrap/>
            <w:vAlign w:val="center"/>
          </w:tcPr>
          <w:p w14:paraId="7E7E62AC">
            <w:pPr>
              <w:widowControl/>
              <w:jc w:val="center"/>
              <w:rPr>
                <w:rFonts w:ascii="宋体" w:cs="宋体"/>
                <w:kern w:val="0"/>
                <w:sz w:val="18"/>
                <w:szCs w:val="18"/>
              </w:rPr>
            </w:pPr>
            <w:r>
              <w:rPr>
                <w:rFonts w:ascii="宋体" w:hAnsi="宋体" w:cs="宋体"/>
                <w:kern w:val="0"/>
                <w:sz w:val="18"/>
                <w:szCs w:val="18"/>
              </w:rPr>
              <w:t>0303</w:t>
            </w:r>
          </w:p>
        </w:tc>
        <w:tc>
          <w:tcPr>
            <w:tcW w:w="279" w:type="pct"/>
            <w:vMerge w:val="restart"/>
            <w:tcBorders>
              <w:top w:val="nil"/>
              <w:left w:val="single" w:color="auto" w:sz="4" w:space="0"/>
              <w:bottom w:val="single" w:color="auto" w:sz="4" w:space="0"/>
              <w:right w:val="single" w:color="auto" w:sz="4" w:space="0"/>
            </w:tcBorders>
            <w:vAlign w:val="center"/>
          </w:tcPr>
          <w:p w14:paraId="7A00333E">
            <w:pPr>
              <w:widowControl/>
              <w:jc w:val="center"/>
              <w:rPr>
                <w:rFonts w:ascii="宋体" w:cs="宋体"/>
                <w:kern w:val="0"/>
                <w:sz w:val="18"/>
                <w:szCs w:val="18"/>
              </w:rPr>
            </w:pPr>
            <w:r>
              <w:rPr>
                <w:rFonts w:hint="eastAsia" w:ascii="宋体" w:hAnsi="宋体" w:cs="宋体"/>
                <w:kern w:val="0"/>
                <w:sz w:val="18"/>
                <w:szCs w:val="18"/>
              </w:rPr>
              <w:t>人才政策落实</w:t>
            </w:r>
          </w:p>
        </w:tc>
        <w:tc>
          <w:tcPr>
            <w:tcW w:w="1004" w:type="pct"/>
            <w:vMerge w:val="restart"/>
            <w:tcBorders>
              <w:top w:val="nil"/>
              <w:left w:val="single" w:color="auto" w:sz="4" w:space="0"/>
              <w:bottom w:val="single" w:color="auto" w:sz="4" w:space="0"/>
              <w:right w:val="single" w:color="auto" w:sz="4" w:space="0"/>
            </w:tcBorders>
            <w:vAlign w:val="center"/>
          </w:tcPr>
          <w:p w14:paraId="0D938B94">
            <w:pPr>
              <w:widowControl/>
              <w:jc w:val="center"/>
              <w:rPr>
                <w:rFonts w:ascii="宋体" w:cs="宋体"/>
                <w:kern w:val="0"/>
                <w:sz w:val="18"/>
                <w:szCs w:val="18"/>
              </w:rPr>
            </w:pPr>
            <w:r>
              <w:rPr>
                <w:rFonts w:hint="eastAsia" w:ascii="宋体" w:hAnsi="宋体" w:cs="宋体"/>
                <w:kern w:val="0"/>
                <w:sz w:val="18"/>
                <w:szCs w:val="18"/>
              </w:rPr>
              <w:t>征集高层次人才需求，组织企事业单位参加各类招聘活动，引进人才，对紧缺人才培训</w:t>
            </w:r>
          </w:p>
        </w:tc>
        <w:tc>
          <w:tcPr>
            <w:tcW w:w="203" w:type="pct"/>
            <w:vMerge w:val="restart"/>
            <w:tcBorders>
              <w:top w:val="nil"/>
              <w:left w:val="single" w:color="auto" w:sz="4" w:space="0"/>
              <w:bottom w:val="single" w:color="auto" w:sz="4" w:space="0"/>
              <w:right w:val="single" w:color="auto" w:sz="4" w:space="0"/>
            </w:tcBorders>
            <w:noWrap/>
            <w:vAlign w:val="center"/>
          </w:tcPr>
          <w:p w14:paraId="17BE2E98">
            <w:pPr>
              <w:widowControl/>
              <w:jc w:val="center"/>
              <w:rPr>
                <w:rFonts w:ascii="宋体" w:cs="宋体"/>
                <w:kern w:val="0"/>
                <w:sz w:val="18"/>
                <w:szCs w:val="18"/>
              </w:rPr>
            </w:pPr>
            <w:r>
              <w:rPr>
                <w:rFonts w:ascii="宋体" w:hAnsi="宋体" w:cs="宋体"/>
                <w:kern w:val="0"/>
                <w:sz w:val="18"/>
                <w:szCs w:val="18"/>
              </w:rPr>
              <w:t>2022</w:t>
            </w:r>
          </w:p>
        </w:tc>
        <w:tc>
          <w:tcPr>
            <w:tcW w:w="775" w:type="pct"/>
            <w:vMerge w:val="restart"/>
            <w:tcBorders>
              <w:top w:val="nil"/>
              <w:left w:val="single" w:color="auto" w:sz="4" w:space="0"/>
              <w:bottom w:val="single" w:color="auto" w:sz="4" w:space="0"/>
              <w:right w:val="single" w:color="auto" w:sz="4" w:space="0"/>
            </w:tcBorders>
            <w:vAlign w:val="center"/>
          </w:tcPr>
          <w:p w14:paraId="4D1062D1">
            <w:pPr>
              <w:widowControl/>
              <w:jc w:val="center"/>
              <w:rPr>
                <w:rFonts w:ascii="宋体" w:cs="宋体"/>
                <w:kern w:val="0"/>
                <w:sz w:val="18"/>
                <w:szCs w:val="18"/>
              </w:rPr>
            </w:pPr>
            <w:r>
              <w:rPr>
                <w:rFonts w:hint="eastAsia" w:ascii="宋体" w:hAnsi="宋体" w:cs="宋体"/>
                <w:kern w:val="0"/>
                <w:sz w:val="18"/>
                <w:szCs w:val="18"/>
              </w:rPr>
              <w:t>解决全区企事业单位高层次人才需求、智力需求，为经济社会发展提供人才智力保障。</w:t>
            </w:r>
          </w:p>
        </w:tc>
        <w:tc>
          <w:tcPr>
            <w:tcW w:w="631" w:type="pct"/>
            <w:tcBorders>
              <w:top w:val="nil"/>
              <w:left w:val="nil"/>
              <w:bottom w:val="single" w:color="auto" w:sz="4" w:space="0"/>
              <w:right w:val="single" w:color="auto" w:sz="4" w:space="0"/>
            </w:tcBorders>
            <w:vAlign w:val="center"/>
          </w:tcPr>
          <w:p w14:paraId="72D4AAF7">
            <w:pPr>
              <w:widowControl/>
              <w:jc w:val="left"/>
              <w:rPr>
                <w:rFonts w:ascii="宋体" w:cs="宋体"/>
                <w:kern w:val="0"/>
                <w:sz w:val="18"/>
                <w:szCs w:val="18"/>
              </w:rPr>
            </w:pPr>
            <w:r>
              <w:rPr>
                <w:rFonts w:hint="eastAsia" w:ascii="宋体" w:hAnsi="宋体" w:cs="宋体"/>
                <w:kern w:val="0"/>
                <w:sz w:val="18"/>
                <w:szCs w:val="18"/>
              </w:rPr>
              <w:t>多渠道、多形式引进高层次人才，满足各类单位人才需求覆盖率</w:t>
            </w:r>
          </w:p>
        </w:tc>
        <w:tc>
          <w:tcPr>
            <w:tcW w:w="901" w:type="pct"/>
            <w:tcBorders>
              <w:top w:val="nil"/>
              <w:left w:val="nil"/>
              <w:bottom w:val="single" w:color="auto" w:sz="4" w:space="0"/>
              <w:right w:val="single" w:color="auto" w:sz="4" w:space="0"/>
            </w:tcBorders>
            <w:vAlign w:val="center"/>
          </w:tcPr>
          <w:p w14:paraId="74018DE8">
            <w:pPr>
              <w:widowControl/>
              <w:jc w:val="left"/>
              <w:rPr>
                <w:rFonts w:ascii="宋体" w:cs="宋体"/>
                <w:kern w:val="0"/>
                <w:sz w:val="18"/>
                <w:szCs w:val="18"/>
              </w:rPr>
            </w:pPr>
            <w:r>
              <w:rPr>
                <w:rFonts w:hint="eastAsia" w:ascii="宋体" w:hAnsi="宋体" w:cs="宋体"/>
                <w:kern w:val="0"/>
                <w:sz w:val="18"/>
                <w:szCs w:val="18"/>
              </w:rPr>
              <w:t>根据单位高层次人才需求，积极引进培养，对符合条件的高层次人才，落实扶持政策，兑现补贴</w:t>
            </w:r>
          </w:p>
        </w:tc>
        <w:tc>
          <w:tcPr>
            <w:tcW w:w="203" w:type="pct"/>
            <w:tcBorders>
              <w:top w:val="nil"/>
              <w:left w:val="nil"/>
              <w:bottom w:val="single" w:color="auto" w:sz="4" w:space="0"/>
              <w:right w:val="single" w:color="auto" w:sz="4" w:space="0"/>
            </w:tcBorders>
            <w:vAlign w:val="center"/>
          </w:tcPr>
          <w:p w14:paraId="45AEBDAB">
            <w:pPr>
              <w:widowControl/>
              <w:jc w:val="left"/>
              <w:rPr>
                <w:rFonts w:ascii="宋体" w:cs="宋体"/>
                <w:kern w:val="0"/>
                <w:sz w:val="18"/>
                <w:szCs w:val="18"/>
              </w:rPr>
            </w:pPr>
            <w:r>
              <w:rPr>
                <w:rFonts w:ascii="宋体" w:hAnsi="宋体" w:cs="宋体"/>
                <w:kern w:val="0"/>
                <w:sz w:val="18"/>
                <w:szCs w:val="18"/>
              </w:rPr>
              <w:t>90%</w:t>
            </w:r>
          </w:p>
        </w:tc>
        <w:tc>
          <w:tcPr>
            <w:tcW w:w="298" w:type="pct"/>
            <w:tcBorders>
              <w:top w:val="nil"/>
              <w:left w:val="nil"/>
              <w:bottom w:val="single" w:color="auto" w:sz="4" w:space="0"/>
              <w:right w:val="single" w:color="auto" w:sz="4" w:space="0"/>
            </w:tcBorders>
            <w:vAlign w:val="center"/>
          </w:tcPr>
          <w:p w14:paraId="795DE71B">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80%</w:t>
            </w:r>
          </w:p>
        </w:tc>
        <w:tc>
          <w:tcPr>
            <w:tcW w:w="298" w:type="pct"/>
            <w:tcBorders>
              <w:top w:val="nil"/>
              <w:left w:val="nil"/>
              <w:bottom w:val="single" w:color="auto" w:sz="4" w:space="0"/>
              <w:right w:val="single" w:color="auto" w:sz="4" w:space="0"/>
            </w:tcBorders>
            <w:vAlign w:val="center"/>
          </w:tcPr>
          <w:p w14:paraId="3628F689">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70%</w:t>
            </w:r>
          </w:p>
        </w:tc>
        <w:tc>
          <w:tcPr>
            <w:tcW w:w="203" w:type="pct"/>
            <w:tcBorders>
              <w:top w:val="nil"/>
              <w:left w:val="nil"/>
              <w:bottom w:val="single" w:color="auto" w:sz="4" w:space="0"/>
              <w:right w:val="single" w:color="auto" w:sz="4" w:space="0"/>
            </w:tcBorders>
            <w:vAlign w:val="center"/>
          </w:tcPr>
          <w:p w14:paraId="394A302E">
            <w:pPr>
              <w:widowControl/>
              <w:jc w:val="left"/>
              <w:rPr>
                <w:rFonts w:ascii="宋体" w:cs="宋体"/>
                <w:kern w:val="0"/>
                <w:sz w:val="18"/>
                <w:szCs w:val="18"/>
              </w:rPr>
            </w:pPr>
            <w:r>
              <w:rPr>
                <w:rFonts w:ascii="宋体" w:hAnsi="宋体" w:cs="宋体"/>
                <w:kern w:val="0"/>
                <w:sz w:val="18"/>
                <w:szCs w:val="18"/>
              </w:rPr>
              <w:t>&lt;70%</w:t>
            </w:r>
          </w:p>
        </w:tc>
      </w:tr>
      <w:tr w14:paraId="35E5603D">
        <w:tblPrEx>
          <w:tblCellMar>
            <w:top w:w="0" w:type="dxa"/>
            <w:left w:w="108" w:type="dxa"/>
            <w:bottom w:w="0" w:type="dxa"/>
            <w:right w:w="108" w:type="dxa"/>
          </w:tblCellMar>
        </w:tblPrEx>
        <w:trPr>
          <w:trHeight w:val="780" w:hRule="atLeast"/>
        </w:trPr>
        <w:tc>
          <w:tcPr>
            <w:tcW w:w="204" w:type="pct"/>
            <w:vMerge w:val="continue"/>
            <w:tcBorders>
              <w:top w:val="nil"/>
              <w:left w:val="single" w:color="auto" w:sz="4" w:space="0"/>
              <w:bottom w:val="single" w:color="auto" w:sz="4" w:space="0"/>
              <w:right w:val="single" w:color="auto" w:sz="4" w:space="0"/>
            </w:tcBorders>
            <w:vAlign w:val="center"/>
          </w:tcPr>
          <w:p w14:paraId="7CBAA399">
            <w:pPr>
              <w:widowControl/>
              <w:jc w:val="left"/>
              <w:rPr>
                <w:rFonts w:ascii="宋体" w:cs="宋体"/>
                <w:kern w:val="0"/>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2A1DB866">
            <w:pPr>
              <w:widowControl/>
              <w:jc w:val="left"/>
              <w:rPr>
                <w:rFonts w:ascii="宋体" w:cs="宋体"/>
                <w:kern w:val="0"/>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15FDF288">
            <w:pPr>
              <w:widowControl/>
              <w:jc w:val="left"/>
              <w:rPr>
                <w:rFonts w:ascii="宋体" w:cs="宋体"/>
                <w:kern w:val="0"/>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14:paraId="57F69C30">
            <w:pPr>
              <w:widowControl/>
              <w:jc w:val="left"/>
              <w:rPr>
                <w:rFonts w:ascii="宋体" w:cs="宋体"/>
                <w:kern w:val="0"/>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14:paraId="085336CD">
            <w:pPr>
              <w:widowControl/>
              <w:jc w:val="left"/>
              <w:rPr>
                <w:rFonts w:ascii="宋体" w:cs="宋体"/>
                <w:kern w:val="0"/>
                <w:sz w:val="18"/>
                <w:szCs w:val="18"/>
              </w:rPr>
            </w:pPr>
          </w:p>
        </w:tc>
        <w:tc>
          <w:tcPr>
            <w:tcW w:w="631" w:type="pct"/>
            <w:tcBorders>
              <w:top w:val="nil"/>
              <w:left w:val="nil"/>
              <w:bottom w:val="single" w:color="auto" w:sz="4" w:space="0"/>
              <w:right w:val="single" w:color="auto" w:sz="4" w:space="0"/>
            </w:tcBorders>
            <w:vAlign w:val="center"/>
          </w:tcPr>
          <w:p w14:paraId="33D88EE2">
            <w:pPr>
              <w:widowControl/>
              <w:jc w:val="left"/>
              <w:rPr>
                <w:rFonts w:ascii="宋体" w:cs="宋体"/>
                <w:kern w:val="0"/>
                <w:sz w:val="18"/>
                <w:szCs w:val="18"/>
              </w:rPr>
            </w:pPr>
            <w:r>
              <w:rPr>
                <w:rFonts w:hint="eastAsia" w:ascii="宋体" w:hAnsi="宋体" w:cs="宋体"/>
                <w:kern w:val="0"/>
                <w:sz w:val="18"/>
                <w:szCs w:val="18"/>
              </w:rPr>
              <w:t>补贴经费发放覆盖率</w:t>
            </w:r>
          </w:p>
        </w:tc>
        <w:tc>
          <w:tcPr>
            <w:tcW w:w="901" w:type="pct"/>
            <w:tcBorders>
              <w:top w:val="nil"/>
              <w:left w:val="nil"/>
              <w:bottom w:val="single" w:color="auto" w:sz="4" w:space="0"/>
              <w:right w:val="single" w:color="auto" w:sz="4" w:space="0"/>
            </w:tcBorders>
            <w:vAlign w:val="center"/>
          </w:tcPr>
          <w:p w14:paraId="74D7960B">
            <w:pPr>
              <w:widowControl/>
              <w:jc w:val="left"/>
              <w:rPr>
                <w:rFonts w:ascii="宋体" w:cs="宋体"/>
                <w:kern w:val="0"/>
                <w:sz w:val="18"/>
                <w:szCs w:val="18"/>
              </w:rPr>
            </w:pPr>
            <w:r>
              <w:rPr>
                <w:rFonts w:hint="eastAsia" w:ascii="宋体" w:hAnsi="宋体" w:cs="宋体"/>
                <w:kern w:val="0"/>
                <w:sz w:val="18"/>
                <w:szCs w:val="18"/>
              </w:rPr>
              <w:t>经区委人才工作领导小组认定的特聘专家工作经费、住房补贴、科研经费和工作经费等覆盖率</w:t>
            </w:r>
          </w:p>
        </w:tc>
        <w:tc>
          <w:tcPr>
            <w:tcW w:w="203" w:type="pct"/>
            <w:tcBorders>
              <w:top w:val="nil"/>
              <w:left w:val="nil"/>
              <w:bottom w:val="single" w:color="auto" w:sz="4" w:space="0"/>
              <w:right w:val="single" w:color="auto" w:sz="4" w:space="0"/>
            </w:tcBorders>
            <w:vAlign w:val="center"/>
          </w:tcPr>
          <w:p w14:paraId="2CF1E2D9">
            <w:pPr>
              <w:widowControl/>
              <w:jc w:val="left"/>
              <w:rPr>
                <w:rFonts w:ascii="宋体" w:cs="宋体"/>
                <w:kern w:val="0"/>
                <w:sz w:val="18"/>
                <w:szCs w:val="18"/>
              </w:rPr>
            </w:pPr>
            <w:r>
              <w:rPr>
                <w:rFonts w:ascii="宋体" w:hAnsi="宋体" w:cs="宋体"/>
                <w:kern w:val="0"/>
                <w:sz w:val="18"/>
                <w:szCs w:val="18"/>
              </w:rPr>
              <w:t>100%</w:t>
            </w:r>
          </w:p>
        </w:tc>
        <w:tc>
          <w:tcPr>
            <w:tcW w:w="298" w:type="pct"/>
            <w:tcBorders>
              <w:top w:val="nil"/>
              <w:left w:val="nil"/>
              <w:bottom w:val="single" w:color="auto" w:sz="4" w:space="0"/>
              <w:right w:val="single" w:color="auto" w:sz="4" w:space="0"/>
            </w:tcBorders>
            <w:vAlign w:val="center"/>
          </w:tcPr>
          <w:p w14:paraId="41D9B17B">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298" w:type="pct"/>
            <w:tcBorders>
              <w:top w:val="nil"/>
              <w:left w:val="nil"/>
              <w:bottom w:val="single" w:color="auto" w:sz="4" w:space="0"/>
              <w:right w:val="single" w:color="auto" w:sz="4" w:space="0"/>
            </w:tcBorders>
            <w:vAlign w:val="center"/>
          </w:tcPr>
          <w:p w14:paraId="48C01880">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203" w:type="pct"/>
            <w:tcBorders>
              <w:top w:val="nil"/>
              <w:left w:val="nil"/>
              <w:bottom w:val="single" w:color="auto" w:sz="4" w:space="0"/>
              <w:right w:val="single" w:color="auto" w:sz="4" w:space="0"/>
            </w:tcBorders>
            <w:vAlign w:val="center"/>
          </w:tcPr>
          <w:p w14:paraId="75BC182E">
            <w:pPr>
              <w:widowControl/>
              <w:jc w:val="left"/>
              <w:rPr>
                <w:rFonts w:ascii="宋体" w:cs="宋体"/>
                <w:kern w:val="0"/>
                <w:sz w:val="18"/>
                <w:szCs w:val="18"/>
              </w:rPr>
            </w:pPr>
            <w:r>
              <w:rPr>
                <w:rFonts w:ascii="宋体" w:hAnsi="宋体" w:cs="宋体"/>
                <w:kern w:val="0"/>
                <w:sz w:val="18"/>
                <w:szCs w:val="18"/>
              </w:rPr>
              <w:t>&lt;90%</w:t>
            </w:r>
          </w:p>
        </w:tc>
      </w:tr>
      <w:tr w14:paraId="3A770F5E">
        <w:tblPrEx>
          <w:tblCellMar>
            <w:top w:w="0" w:type="dxa"/>
            <w:left w:w="108" w:type="dxa"/>
            <w:bottom w:w="0" w:type="dxa"/>
            <w:right w:w="108" w:type="dxa"/>
          </w:tblCellMar>
        </w:tblPrEx>
        <w:trPr>
          <w:trHeight w:val="708" w:hRule="atLeast"/>
        </w:trPr>
        <w:tc>
          <w:tcPr>
            <w:tcW w:w="204" w:type="pct"/>
            <w:vMerge w:val="continue"/>
            <w:tcBorders>
              <w:top w:val="nil"/>
              <w:left w:val="single" w:color="auto" w:sz="4" w:space="0"/>
              <w:bottom w:val="single" w:color="auto" w:sz="4" w:space="0"/>
              <w:right w:val="single" w:color="auto" w:sz="4" w:space="0"/>
            </w:tcBorders>
            <w:vAlign w:val="center"/>
          </w:tcPr>
          <w:p w14:paraId="66C69CCD">
            <w:pPr>
              <w:widowControl/>
              <w:jc w:val="left"/>
              <w:rPr>
                <w:rFonts w:ascii="宋体" w:cs="宋体"/>
                <w:kern w:val="0"/>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471E8605">
            <w:pPr>
              <w:widowControl/>
              <w:jc w:val="left"/>
              <w:rPr>
                <w:rFonts w:ascii="宋体" w:cs="宋体"/>
                <w:kern w:val="0"/>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60F2CE7C">
            <w:pPr>
              <w:widowControl/>
              <w:jc w:val="left"/>
              <w:rPr>
                <w:rFonts w:ascii="宋体" w:cs="宋体"/>
                <w:kern w:val="0"/>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14:paraId="4EC4A021">
            <w:pPr>
              <w:widowControl/>
              <w:jc w:val="left"/>
              <w:rPr>
                <w:rFonts w:ascii="宋体" w:cs="宋体"/>
                <w:kern w:val="0"/>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14:paraId="0D25387F">
            <w:pPr>
              <w:widowControl/>
              <w:jc w:val="left"/>
              <w:rPr>
                <w:rFonts w:ascii="宋体" w:cs="宋体"/>
                <w:kern w:val="0"/>
                <w:sz w:val="18"/>
                <w:szCs w:val="18"/>
              </w:rPr>
            </w:pPr>
          </w:p>
        </w:tc>
        <w:tc>
          <w:tcPr>
            <w:tcW w:w="631" w:type="pct"/>
            <w:tcBorders>
              <w:top w:val="nil"/>
              <w:left w:val="nil"/>
              <w:bottom w:val="single" w:color="auto" w:sz="4" w:space="0"/>
              <w:right w:val="single" w:color="auto" w:sz="4" w:space="0"/>
            </w:tcBorders>
            <w:vAlign w:val="center"/>
          </w:tcPr>
          <w:p w14:paraId="21B4F4B8">
            <w:pPr>
              <w:widowControl/>
              <w:jc w:val="left"/>
              <w:rPr>
                <w:rFonts w:ascii="宋体" w:cs="宋体"/>
                <w:kern w:val="0"/>
                <w:sz w:val="18"/>
                <w:szCs w:val="18"/>
              </w:rPr>
            </w:pPr>
            <w:r>
              <w:rPr>
                <w:rFonts w:hint="eastAsia" w:ascii="宋体" w:hAnsi="宋体" w:cs="宋体"/>
                <w:kern w:val="0"/>
                <w:sz w:val="18"/>
                <w:szCs w:val="18"/>
              </w:rPr>
              <w:t>人才工作培训人数</w:t>
            </w:r>
          </w:p>
        </w:tc>
        <w:tc>
          <w:tcPr>
            <w:tcW w:w="901" w:type="pct"/>
            <w:tcBorders>
              <w:top w:val="nil"/>
              <w:left w:val="nil"/>
              <w:bottom w:val="single" w:color="auto" w:sz="4" w:space="0"/>
              <w:right w:val="single" w:color="auto" w:sz="4" w:space="0"/>
            </w:tcBorders>
            <w:vAlign w:val="center"/>
          </w:tcPr>
          <w:p w14:paraId="09060937">
            <w:pPr>
              <w:widowControl/>
              <w:jc w:val="left"/>
              <w:rPr>
                <w:rFonts w:ascii="宋体" w:cs="宋体"/>
                <w:kern w:val="0"/>
                <w:sz w:val="18"/>
                <w:szCs w:val="18"/>
              </w:rPr>
            </w:pPr>
            <w:r>
              <w:rPr>
                <w:rFonts w:hint="eastAsia" w:ascii="宋体" w:hAnsi="宋体" w:cs="宋体"/>
                <w:kern w:val="0"/>
                <w:sz w:val="18"/>
                <w:szCs w:val="18"/>
              </w:rPr>
              <w:t>人才工作培训人数</w:t>
            </w:r>
          </w:p>
        </w:tc>
        <w:tc>
          <w:tcPr>
            <w:tcW w:w="203" w:type="pct"/>
            <w:tcBorders>
              <w:top w:val="nil"/>
              <w:left w:val="nil"/>
              <w:bottom w:val="single" w:color="auto" w:sz="4" w:space="0"/>
              <w:right w:val="single" w:color="auto" w:sz="4" w:space="0"/>
            </w:tcBorders>
            <w:vAlign w:val="center"/>
          </w:tcPr>
          <w:p w14:paraId="07293DAE">
            <w:pPr>
              <w:widowControl/>
              <w:jc w:val="left"/>
              <w:rPr>
                <w:rFonts w:ascii="宋体" w:cs="宋体"/>
                <w:kern w:val="0"/>
                <w:sz w:val="18"/>
                <w:szCs w:val="18"/>
              </w:rPr>
            </w:pPr>
            <w:r>
              <w:rPr>
                <w:rFonts w:ascii="宋体" w:hAnsi="宋体" w:cs="宋体"/>
                <w:kern w:val="0"/>
                <w:sz w:val="18"/>
                <w:szCs w:val="18"/>
              </w:rPr>
              <w:t>400</w:t>
            </w:r>
            <w:r>
              <w:rPr>
                <w:rFonts w:hint="eastAsia" w:ascii="宋体" w:hAnsi="宋体" w:cs="宋体"/>
                <w:kern w:val="0"/>
                <w:sz w:val="18"/>
                <w:szCs w:val="18"/>
              </w:rPr>
              <w:t>人以上</w:t>
            </w:r>
          </w:p>
        </w:tc>
        <w:tc>
          <w:tcPr>
            <w:tcW w:w="298" w:type="pct"/>
            <w:tcBorders>
              <w:top w:val="nil"/>
              <w:left w:val="nil"/>
              <w:bottom w:val="single" w:color="auto" w:sz="4" w:space="0"/>
              <w:right w:val="single" w:color="auto" w:sz="4" w:space="0"/>
            </w:tcBorders>
            <w:vAlign w:val="center"/>
          </w:tcPr>
          <w:p w14:paraId="548CAEE9">
            <w:pPr>
              <w:widowControl/>
              <w:jc w:val="left"/>
              <w:rPr>
                <w:rFonts w:ascii="宋体" w:cs="宋体"/>
                <w:kern w:val="0"/>
                <w:sz w:val="18"/>
                <w:szCs w:val="18"/>
              </w:rPr>
            </w:pPr>
            <w:r>
              <w:rPr>
                <w:rFonts w:ascii="宋体" w:hAnsi="宋体" w:cs="宋体"/>
                <w:kern w:val="0"/>
                <w:sz w:val="18"/>
                <w:szCs w:val="18"/>
              </w:rPr>
              <w:t>360-400</w:t>
            </w:r>
            <w:r>
              <w:rPr>
                <w:rFonts w:hint="eastAsia" w:ascii="宋体" w:hAnsi="宋体" w:cs="宋体"/>
                <w:kern w:val="0"/>
                <w:sz w:val="18"/>
                <w:szCs w:val="18"/>
              </w:rPr>
              <w:t>人</w:t>
            </w:r>
          </w:p>
        </w:tc>
        <w:tc>
          <w:tcPr>
            <w:tcW w:w="298" w:type="pct"/>
            <w:tcBorders>
              <w:top w:val="nil"/>
              <w:left w:val="nil"/>
              <w:bottom w:val="single" w:color="auto" w:sz="4" w:space="0"/>
              <w:right w:val="single" w:color="auto" w:sz="4" w:space="0"/>
            </w:tcBorders>
            <w:vAlign w:val="center"/>
          </w:tcPr>
          <w:p w14:paraId="3D9E78B1">
            <w:pPr>
              <w:widowControl/>
              <w:jc w:val="left"/>
              <w:rPr>
                <w:rFonts w:ascii="宋体" w:cs="宋体"/>
                <w:kern w:val="0"/>
                <w:sz w:val="18"/>
                <w:szCs w:val="18"/>
              </w:rPr>
            </w:pPr>
            <w:r>
              <w:rPr>
                <w:rFonts w:ascii="宋体" w:hAnsi="宋体" w:cs="宋体"/>
                <w:kern w:val="0"/>
                <w:sz w:val="18"/>
                <w:szCs w:val="18"/>
              </w:rPr>
              <w:t>320-360</w:t>
            </w:r>
            <w:r>
              <w:rPr>
                <w:rFonts w:hint="eastAsia" w:ascii="宋体" w:hAnsi="宋体" w:cs="宋体"/>
                <w:kern w:val="0"/>
                <w:sz w:val="18"/>
                <w:szCs w:val="18"/>
              </w:rPr>
              <w:t>人</w:t>
            </w:r>
          </w:p>
        </w:tc>
        <w:tc>
          <w:tcPr>
            <w:tcW w:w="203" w:type="pct"/>
            <w:tcBorders>
              <w:top w:val="nil"/>
              <w:left w:val="nil"/>
              <w:bottom w:val="single" w:color="auto" w:sz="4" w:space="0"/>
              <w:right w:val="single" w:color="auto" w:sz="4" w:space="0"/>
            </w:tcBorders>
            <w:vAlign w:val="center"/>
          </w:tcPr>
          <w:p w14:paraId="055A42B1">
            <w:pPr>
              <w:widowControl/>
              <w:jc w:val="left"/>
              <w:rPr>
                <w:rFonts w:ascii="宋体" w:cs="宋体"/>
                <w:kern w:val="0"/>
                <w:sz w:val="18"/>
                <w:szCs w:val="18"/>
              </w:rPr>
            </w:pPr>
            <w:r>
              <w:rPr>
                <w:rFonts w:ascii="宋体" w:hAnsi="宋体" w:cs="宋体"/>
                <w:kern w:val="0"/>
                <w:sz w:val="18"/>
                <w:szCs w:val="18"/>
              </w:rPr>
              <w:t>320</w:t>
            </w:r>
            <w:r>
              <w:rPr>
                <w:rFonts w:hint="eastAsia" w:ascii="宋体" w:hAnsi="宋体" w:cs="宋体"/>
                <w:kern w:val="0"/>
                <w:sz w:val="18"/>
                <w:szCs w:val="18"/>
              </w:rPr>
              <w:t>以下</w:t>
            </w:r>
          </w:p>
        </w:tc>
      </w:tr>
      <w:tr w14:paraId="5BB1CDA1">
        <w:tblPrEx>
          <w:tblCellMar>
            <w:top w:w="0" w:type="dxa"/>
            <w:left w:w="108" w:type="dxa"/>
            <w:bottom w:w="0" w:type="dxa"/>
            <w:right w:w="108" w:type="dxa"/>
          </w:tblCellMar>
        </w:tblPrEx>
        <w:trPr>
          <w:trHeight w:val="432" w:hRule="atLeast"/>
        </w:trPr>
        <w:tc>
          <w:tcPr>
            <w:tcW w:w="204" w:type="pct"/>
            <w:tcBorders>
              <w:top w:val="nil"/>
              <w:left w:val="single" w:color="auto" w:sz="4" w:space="0"/>
              <w:bottom w:val="single" w:color="auto" w:sz="4" w:space="0"/>
              <w:right w:val="single" w:color="auto" w:sz="4" w:space="0"/>
            </w:tcBorders>
            <w:noWrap/>
            <w:vAlign w:val="center"/>
          </w:tcPr>
          <w:p w14:paraId="299D8B49">
            <w:pPr>
              <w:widowControl/>
              <w:jc w:val="center"/>
              <w:rPr>
                <w:rFonts w:ascii="宋体" w:cs="宋体"/>
                <w:kern w:val="0"/>
                <w:sz w:val="18"/>
                <w:szCs w:val="18"/>
              </w:rPr>
            </w:pPr>
            <w:r>
              <w:rPr>
                <w:rFonts w:ascii="宋体" w:hAnsi="宋体" w:cs="宋体"/>
                <w:kern w:val="0"/>
                <w:sz w:val="18"/>
                <w:szCs w:val="18"/>
              </w:rPr>
              <w:t>0304</w:t>
            </w:r>
          </w:p>
        </w:tc>
        <w:tc>
          <w:tcPr>
            <w:tcW w:w="279" w:type="pct"/>
            <w:tcBorders>
              <w:top w:val="nil"/>
              <w:left w:val="nil"/>
              <w:bottom w:val="single" w:color="auto" w:sz="4" w:space="0"/>
              <w:right w:val="single" w:color="auto" w:sz="4" w:space="0"/>
            </w:tcBorders>
            <w:vAlign w:val="center"/>
          </w:tcPr>
          <w:p w14:paraId="5CDCF3A4">
            <w:pPr>
              <w:widowControl/>
              <w:jc w:val="left"/>
              <w:rPr>
                <w:rFonts w:ascii="宋体" w:cs="宋体"/>
                <w:kern w:val="0"/>
                <w:sz w:val="18"/>
                <w:szCs w:val="18"/>
              </w:rPr>
            </w:pPr>
            <w:r>
              <w:rPr>
                <w:rFonts w:hint="eastAsia" w:ascii="宋体" w:hAnsi="宋体" w:cs="宋体"/>
                <w:kern w:val="0"/>
                <w:sz w:val="18"/>
                <w:szCs w:val="18"/>
              </w:rPr>
              <w:t>高技能人才的管理</w:t>
            </w:r>
          </w:p>
        </w:tc>
        <w:tc>
          <w:tcPr>
            <w:tcW w:w="1004" w:type="pct"/>
            <w:tcBorders>
              <w:top w:val="nil"/>
              <w:left w:val="nil"/>
              <w:bottom w:val="single" w:color="auto" w:sz="4" w:space="0"/>
              <w:right w:val="single" w:color="auto" w:sz="4" w:space="0"/>
            </w:tcBorders>
            <w:vAlign w:val="center"/>
          </w:tcPr>
          <w:p w14:paraId="51B3608E">
            <w:pPr>
              <w:widowControl/>
              <w:jc w:val="left"/>
              <w:rPr>
                <w:rFonts w:ascii="宋体" w:cs="宋体"/>
                <w:kern w:val="0"/>
                <w:sz w:val="18"/>
                <w:szCs w:val="18"/>
              </w:rPr>
            </w:pPr>
            <w:r>
              <w:rPr>
                <w:rFonts w:hint="eastAsia" w:ascii="宋体" w:hAnsi="宋体" w:cs="宋体"/>
                <w:kern w:val="0"/>
                <w:sz w:val="18"/>
                <w:szCs w:val="18"/>
              </w:rPr>
              <w:t>组织高技能人才培训，机关事业单位技术工人职称管理。</w:t>
            </w:r>
          </w:p>
        </w:tc>
        <w:tc>
          <w:tcPr>
            <w:tcW w:w="203" w:type="pct"/>
            <w:tcBorders>
              <w:top w:val="nil"/>
              <w:left w:val="nil"/>
              <w:bottom w:val="single" w:color="auto" w:sz="4" w:space="0"/>
              <w:right w:val="single" w:color="auto" w:sz="4" w:space="0"/>
            </w:tcBorders>
            <w:noWrap/>
            <w:vAlign w:val="center"/>
          </w:tcPr>
          <w:p w14:paraId="44FAD518">
            <w:pPr>
              <w:widowControl/>
              <w:jc w:val="right"/>
              <w:rPr>
                <w:rFonts w:ascii="宋体" w:cs="宋体"/>
                <w:kern w:val="0"/>
                <w:sz w:val="18"/>
                <w:szCs w:val="18"/>
              </w:rPr>
            </w:pPr>
            <w:r>
              <w:rPr>
                <w:rFonts w:ascii="宋体" w:hAnsi="宋体" w:cs="宋体"/>
                <w:kern w:val="0"/>
                <w:sz w:val="18"/>
                <w:szCs w:val="18"/>
              </w:rPr>
              <w:t>2022</w:t>
            </w:r>
          </w:p>
        </w:tc>
        <w:tc>
          <w:tcPr>
            <w:tcW w:w="775" w:type="pct"/>
            <w:tcBorders>
              <w:top w:val="nil"/>
              <w:left w:val="nil"/>
              <w:bottom w:val="single" w:color="auto" w:sz="4" w:space="0"/>
              <w:right w:val="single" w:color="auto" w:sz="4" w:space="0"/>
            </w:tcBorders>
            <w:vAlign w:val="center"/>
          </w:tcPr>
          <w:p w14:paraId="638C0CE2">
            <w:pPr>
              <w:widowControl/>
              <w:jc w:val="left"/>
              <w:rPr>
                <w:rFonts w:ascii="宋体" w:cs="宋体"/>
                <w:kern w:val="0"/>
                <w:sz w:val="18"/>
                <w:szCs w:val="18"/>
              </w:rPr>
            </w:pPr>
            <w:r>
              <w:rPr>
                <w:rFonts w:hint="eastAsia" w:ascii="宋体" w:hAnsi="宋体" w:cs="宋体"/>
                <w:kern w:val="0"/>
                <w:sz w:val="18"/>
                <w:szCs w:val="18"/>
              </w:rPr>
              <w:t>提高我区高技能人才的比例，培养建设高技能人才队伍。</w:t>
            </w:r>
          </w:p>
        </w:tc>
        <w:tc>
          <w:tcPr>
            <w:tcW w:w="631" w:type="pct"/>
            <w:tcBorders>
              <w:top w:val="nil"/>
              <w:left w:val="nil"/>
              <w:bottom w:val="single" w:color="auto" w:sz="4" w:space="0"/>
              <w:right w:val="single" w:color="auto" w:sz="4" w:space="0"/>
            </w:tcBorders>
            <w:vAlign w:val="center"/>
          </w:tcPr>
          <w:p w14:paraId="7B4854A3">
            <w:pPr>
              <w:widowControl/>
              <w:jc w:val="left"/>
              <w:rPr>
                <w:rFonts w:ascii="宋体" w:cs="宋体"/>
                <w:kern w:val="0"/>
                <w:sz w:val="18"/>
                <w:szCs w:val="18"/>
              </w:rPr>
            </w:pPr>
            <w:r>
              <w:rPr>
                <w:rFonts w:hint="eastAsia" w:ascii="宋体" w:hAnsi="宋体" w:cs="宋体"/>
                <w:kern w:val="0"/>
                <w:sz w:val="18"/>
                <w:szCs w:val="18"/>
              </w:rPr>
              <w:t>高技能人才培训完成率</w:t>
            </w:r>
          </w:p>
        </w:tc>
        <w:tc>
          <w:tcPr>
            <w:tcW w:w="901" w:type="pct"/>
            <w:tcBorders>
              <w:top w:val="nil"/>
              <w:left w:val="nil"/>
              <w:bottom w:val="single" w:color="auto" w:sz="4" w:space="0"/>
              <w:right w:val="single" w:color="auto" w:sz="4" w:space="0"/>
            </w:tcBorders>
            <w:vAlign w:val="center"/>
          </w:tcPr>
          <w:p w14:paraId="076D3AD3">
            <w:pPr>
              <w:widowControl/>
              <w:jc w:val="left"/>
              <w:rPr>
                <w:rFonts w:ascii="宋体" w:cs="宋体"/>
                <w:kern w:val="0"/>
                <w:sz w:val="18"/>
                <w:szCs w:val="18"/>
              </w:rPr>
            </w:pPr>
            <w:r>
              <w:rPr>
                <w:rFonts w:hint="eastAsia" w:ascii="宋体" w:hAnsi="宋体" w:cs="宋体"/>
                <w:kern w:val="0"/>
                <w:sz w:val="18"/>
                <w:szCs w:val="18"/>
              </w:rPr>
              <w:t>高技能人才培训完成人次数占计划完成人次数的比例</w:t>
            </w:r>
          </w:p>
        </w:tc>
        <w:tc>
          <w:tcPr>
            <w:tcW w:w="203" w:type="pct"/>
            <w:tcBorders>
              <w:top w:val="nil"/>
              <w:left w:val="nil"/>
              <w:bottom w:val="single" w:color="auto" w:sz="4" w:space="0"/>
              <w:right w:val="single" w:color="auto" w:sz="4" w:space="0"/>
            </w:tcBorders>
            <w:vAlign w:val="center"/>
          </w:tcPr>
          <w:p w14:paraId="15B6F7F0">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298" w:type="pct"/>
            <w:tcBorders>
              <w:top w:val="nil"/>
              <w:left w:val="nil"/>
              <w:bottom w:val="single" w:color="auto" w:sz="4" w:space="0"/>
              <w:right w:val="single" w:color="auto" w:sz="4" w:space="0"/>
            </w:tcBorders>
            <w:vAlign w:val="center"/>
          </w:tcPr>
          <w:p w14:paraId="5665D882">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298" w:type="pct"/>
            <w:tcBorders>
              <w:top w:val="nil"/>
              <w:left w:val="nil"/>
              <w:bottom w:val="single" w:color="auto" w:sz="4" w:space="0"/>
              <w:right w:val="single" w:color="auto" w:sz="4" w:space="0"/>
            </w:tcBorders>
            <w:vAlign w:val="center"/>
          </w:tcPr>
          <w:p w14:paraId="587442A8">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80%</w:t>
            </w:r>
          </w:p>
        </w:tc>
        <w:tc>
          <w:tcPr>
            <w:tcW w:w="203" w:type="pct"/>
            <w:tcBorders>
              <w:top w:val="nil"/>
              <w:left w:val="nil"/>
              <w:bottom w:val="single" w:color="auto" w:sz="4" w:space="0"/>
              <w:right w:val="single" w:color="auto" w:sz="4" w:space="0"/>
            </w:tcBorders>
            <w:vAlign w:val="center"/>
          </w:tcPr>
          <w:p w14:paraId="15F927C5">
            <w:pPr>
              <w:widowControl/>
              <w:jc w:val="left"/>
              <w:rPr>
                <w:rFonts w:ascii="宋体" w:cs="宋体"/>
                <w:kern w:val="0"/>
                <w:sz w:val="18"/>
                <w:szCs w:val="18"/>
              </w:rPr>
            </w:pPr>
            <w:r>
              <w:rPr>
                <w:rFonts w:ascii="宋体" w:hAnsi="宋体" w:cs="宋体"/>
                <w:kern w:val="0"/>
                <w:sz w:val="18"/>
                <w:szCs w:val="18"/>
              </w:rPr>
              <w:t>&lt;80%</w:t>
            </w:r>
          </w:p>
        </w:tc>
      </w:tr>
      <w:tr w14:paraId="46B4CFB1">
        <w:tblPrEx>
          <w:tblCellMar>
            <w:top w:w="0" w:type="dxa"/>
            <w:left w:w="108" w:type="dxa"/>
            <w:bottom w:w="0" w:type="dxa"/>
            <w:right w:w="108" w:type="dxa"/>
          </w:tblCellMar>
        </w:tblPrEx>
        <w:trPr>
          <w:trHeight w:val="432" w:hRule="atLeast"/>
        </w:trPr>
        <w:tc>
          <w:tcPr>
            <w:tcW w:w="204" w:type="pct"/>
            <w:vMerge w:val="restart"/>
            <w:tcBorders>
              <w:top w:val="nil"/>
              <w:left w:val="single" w:color="auto" w:sz="4" w:space="0"/>
              <w:bottom w:val="single" w:color="auto" w:sz="4" w:space="0"/>
              <w:right w:val="single" w:color="auto" w:sz="4" w:space="0"/>
            </w:tcBorders>
            <w:noWrap/>
            <w:vAlign w:val="center"/>
          </w:tcPr>
          <w:p w14:paraId="79FC0843">
            <w:pPr>
              <w:widowControl/>
              <w:jc w:val="center"/>
              <w:rPr>
                <w:rFonts w:ascii="宋体" w:cs="宋体"/>
                <w:kern w:val="0"/>
                <w:sz w:val="18"/>
                <w:szCs w:val="18"/>
              </w:rPr>
            </w:pPr>
            <w:r>
              <w:rPr>
                <w:rFonts w:ascii="宋体" w:hAnsi="宋体" w:cs="宋体"/>
                <w:kern w:val="0"/>
                <w:sz w:val="18"/>
                <w:szCs w:val="18"/>
              </w:rPr>
              <w:t>0401</w:t>
            </w:r>
          </w:p>
        </w:tc>
        <w:tc>
          <w:tcPr>
            <w:tcW w:w="279" w:type="pct"/>
            <w:vMerge w:val="restart"/>
            <w:tcBorders>
              <w:top w:val="nil"/>
              <w:left w:val="single" w:color="auto" w:sz="4" w:space="0"/>
              <w:bottom w:val="single" w:color="auto" w:sz="4" w:space="0"/>
              <w:right w:val="single" w:color="auto" w:sz="4" w:space="0"/>
            </w:tcBorders>
            <w:vAlign w:val="center"/>
          </w:tcPr>
          <w:p w14:paraId="0F6E13BE">
            <w:pPr>
              <w:widowControl/>
              <w:jc w:val="left"/>
              <w:rPr>
                <w:rFonts w:ascii="宋体" w:cs="宋体"/>
                <w:kern w:val="0"/>
                <w:sz w:val="18"/>
                <w:szCs w:val="18"/>
              </w:rPr>
            </w:pPr>
            <w:r>
              <w:rPr>
                <w:rFonts w:hint="eastAsia" w:ascii="宋体" w:hAnsi="宋体" w:cs="宋体"/>
                <w:kern w:val="0"/>
                <w:sz w:val="18"/>
                <w:szCs w:val="18"/>
              </w:rPr>
              <w:t>事业单位及工作人员管理</w:t>
            </w:r>
          </w:p>
        </w:tc>
        <w:tc>
          <w:tcPr>
            <w:tcW w:w="1004" w:type="pct"/>
            <w:vMerge w:val="restart"/>
            <w:tcBorders>
              <w:top w:val="nil"/>
              <w:left w:val="single" w:color="auto" w:sz="4" w:space="0"/>
              <w:bottom w:val="single" w:color="auto" w:sz="4" w:space="0"/>
              <w:right w:val="single" w:color="auto" w:sz="4" w:space="0"/>
            </w:tcBorders>
            <w:vAlign w:val="center"/>
          </w:tcPr>
          <w:p w14:paraId="5A2B65BA">
            <w:pPr>
              <w:widowControl/>
              <w:jc w:val="left"/>
              <w:rPr>
                <w:rFonts w:ascii="宋体" w:cs="宋体"/>
                <w:kern w:val="0"/>
                <w:sz w:val="18"/>
                <w:szCs w:val="18"/>
              </w:rPr>
            </w:pPr>
            <w:r>
              <w:rPr>
                <w:rFonts w:hint="eastAsia" w:ascii="宋体" w:hAnsi="宋体" w:cs="宋体"/>
                <w:kern w:val="0"/>
                <w:sz w:val="18"/>
                <w:szCs w:val="18"/>
              </w:rPr>
              <w:t>继续实行公开招聘公共、教育、卫生等分类考试。全面推行新版聘用合同，做到“应签尽签”。做好事业单位考核、奖惩、申诉控告、岗位统计等工作。</w:t>
            </w:r>
          </w:p>
        </w:tc>
        <w:tc>
          <w:tcPr>
            <w:tcW w:w="203" w:type="pct"/>
            <w:vMerge w:val="restart"/>
            <w:tcBorders>
              <w:top w:val="nil"/>
              <w:left w:val="single" w:color="auto" w:sz="4" w:space="0"/>
              <w:bottom w:val="single" w:color="auto" w:sz="4" w:space="0"/>
              <w:right w:val="single" w:color="auto" w:sz="4" w:space="0"/>
            </w:tcBorders>
            <w:noWrap/>
            <w:vAlign w:val="center"/>
          </w:tcPr>
          <w:p w14:paraId="53225AF1">
            <w:pPr>
              <w:widowControl/>
              <w:jc w:val="center"/>
              <w:rPr>
                <w:rFonts w:ascii="宋体" w:cs="宋体"/>
                <w:kern w:val="0"/>
                <w:sz w:val="18"/>
                <w:szCs w:val="18"/>
              </w:rPr>
            </w:pPr>
            <w:r>
              <w:rPr>
                <w:rFonts w:ascii="宋体" w:hAnsi="宋体" w:cs="宋体"/>
                <w:kern w:val="0"/>
                <w:sz w:val="18"/>
                <w:szCs w:val="18"/>
              </w:rPr>
              <w:t>2022</w:t>
            </w:r>
          </w:p>
        </w:tc>
        <w:tc>
          <w:tcPr>
            <w:tcW w:w="775" w:type="pct"/>
            <w:vMerge w:val="restart"/>
            <w:tcBorders>
              <w:top w:val="nil"/>
              <w:left w:val="single" w:color="auto" w:sz="4" w:space="0"/>
              <w:bottom w:val="single" w:color="auto" w:sz="4" w:space="0"/>
              <w:right w:val="single" w:color="auto" w:sz="4" w:space="0"/>
            </w:tcBorders>
            <w:vAlign w:val="center"/>
          </w:tcPr>
          <w:p w14:paraId="06A58001">
            <w:pPr>
              <w:widowControl/>
              <w:jc w:val="left"/>
              <w:rPr>
                <w:rFonts w:ascii="宋体" w:cs="宋体"/>
                <w:kern w:val="0"/>
                <w:sz w:val="18"/>
                <w:szCs w:val="18"/>
              </w:rPr>
            </w:pPr>
            <w:r>
              <w:rPr>
                <w:rFonts w:hint="eastAsia" w:ascii="宋体" w:hAnsi="宋体" w:cs="宋体"/>
                <w:kern w:val="0"/>
                <w:sz w:val="18"/>
                <w:szCs w:val="18"/>
              </w:rPr>
              <w:t>优化事业单位岗位结构比例，全面推行聘用制度，提高公开招聘科学性，规范事业单位人事管理工作。</w:t>
            </w:r>
          </w:p>
        </w:tc>
        <w:tc>
          <w:tcPr>
            <w:tcW w:w="631" w:type="pct"/>
            <w:tcBorders>
              <w:top w:val="nil"/>
              <w:left w:val="nil"/>
              <w:bottom w:val="single" w:color="auto" w:sz="4" w:space="0"/>
              <w:right w:val="single" w:color="auto" w:sz="4" w:space="0"/>
            </w:tcBorders>
            <w:vAlign w:val="center"/>
          </w:tcPr>
          <w:p w14:paraId="6F6341D5">
            <w:pPr>
              <w:widowControl/>
              <w:jc w:val="left"/>
              <w:rPr>
                <w:rFonts w:ascii="宋体" w:cs="宋体"/>
                <w:kern w:val="0"/>
                <w:sz w:val="18"/>
                <w:szCs w:val="18"/>
              </w:rPr>
            </w:pPr>
            <w:r>
              <w:rPr>
                <w:rFonts w:hint="eastAsia" w:ascii="宋体" w:hAnsi="宋体" w:cs="宋体"/>
                <w:kern w:val="0"/>
                <w:sz w:val="18"/>
                <w:szCs w:val="18"/>
              </w:rPr>
              <w:t>事业单位公开聘用考试完成率</w:t>
            </w:r>
          </w:p>
        </w:tc>
        <w:tc>
          <w:tcPr>
            <w:tcW w:w="901" w:type="pct"/>
            <w:tcBorders>
              <w:top w:val="nil"/>
              <w:left w:val="nil"/>
              <w:bottom w:val="single" w:color="auto" w:sz="4" w:space="0"/>
              <w:right w:val="single" w:color="auto" w:sz="4" w:space="0"/>
            </w:tcBorders>
            <w:vAlign w:val="center"/>
          </w:tcPr>
          <w:p w14:paraId="5C30A65B">
            <w:pPr>
              <w:widowControl/>
              <w:jc w:val="left"/>
              <w:rPr>
                <w:rFonts w:ascii="宋体" w:cs="宋体"/>
                <w:kern w:val="0"/>
                <w:sz w:val="18"/>
                <w:szCs w:val="18"/>
              </w:rPr>
            </w:pPr>
            <w:r>
              <w:rPr>
                <w:rFonts w:hint="eastAsia" w:ascii="宋体" w:hAnsi="宋体" w:cs="宋体"/>
                <w:kern w:val="0"/>
                <w:sz w:val="18"/>
                <w:szCs w:val="18"/>
              </w:rPr>
              <w:t>公共、教育、卫生等类别公开招聘考试完成数量占计划完成数量的比例</w:t>
            </w:r>
          </w:p>
        </w:tc>
        <w:tc>
          <w:tcPr>
            <w:tcW w:w="203" w:type="pct"/>
            <w:tcBorders>
              <w:top w:val="nil"/>
              <w:left w:val="nil"/>
              <w:bottom w:val="single" w:color="auto" w:sz="4" w:space="0"/>
              <w:right w:val="single" w:color="auto" w:sz="4" w:space="0"/>
            </w:tcBorders>
            <w:vAlign w:val="center"/>
          </w:tcPr>
          <w:p w14:paraId="7B0A6CED">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298" w:type="pct"/>
            <w:tcBorders>
              <w:top w:val="nil"/>
              <w:left w:val="nil"/>
              <w:bottom w:val="single" w:color="auto" w:sz="4" w:space="0"/>
              <w:right w:val="single" w:color="auto" w:sz="4" w:space="0"/>
            </w:tcBorders>
            <w:vAlign w:val="center"/>
          </w:tcPr>
          <w:p w14:paraId="0AB20C70">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298" w:type="pct"/>
            <w:tcBorders>
              <w:top w:val="nil"/>
              <w:left w:val="nil"/>
              <w:bottom w:val="single" w:color="auto" w:sz="4" w:space="0"/>
              <w:right w:val="single" w:color="auto" w:sz="4" w:space="0"/>
            </w:tcBorders>
            <w:vAlign w:val="center"/>
          </w:tcPr>
          <w:p w14:paraId="26CF848C">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85%</w:t>
            </w:r>
          </w:p>
        </w:tc>
        <w:tc>
          <w:tcPr>
            <w:tcW w:w="203" w:type="pct"/>
            <w:tcBorders>
              <w:top w:val="nil"/>
              <w:left w:val="nil"/>
              <w:bottom w:val="single" w:color="auto" w:sz="4" w:space="0"/>
              <w:right w:val="single" w:color="auto" w:sz="4" w:space="0"/>
            </w:tcBorders>
            <w:vAlign w:val="center"/>
          </w:tcPr>
          <w:p w14:paraId="763E5182">
            <w:pPr>
              <w:widowControl/>
              <w:jc w:val="left"/>
              <w:rPr>
                <w:rFonts w:ascii="宋体" w:cs="宋体"/>
                <w:kern w:val="0"/>
                <w:sz w:val="18"/>
                <w:szCs w:val="18"/>
              </w:rPr>
            </w:pPr>
            <w:r>
              <w:rPr>
                <w:rFonts w:ascii="宋体" w:hAnsi="宋体" w:cs="宋体"/>
                <w:kern w:val="0"/>
                <w:sz w:val="18"/>
                <w:szCs w:val="18"/>
              </w:rPr>
              <w:t>&lt;85%</w:t>
            </w:r>
          </w:p>
        </w:tc>
      </w:tr>
      <w:tr w14:paraId="11A1F359">
        <w:tblPrEx>
          <w:tblCellMar>
            <w:top w:w="0" w:type="dxa"/>
            <w:left w:w="108" w:type="dxa"/>
            <w:bottom w:w="0" w:type="dxa"/>
            <w:right w:w="108" w:type="dxa"/>
          </w:tblCellMar>
        </w:tblPrEx>
        <w:trPr>
          <w:trHeight w:val="432" w:hRule="atLeast"/>
        </w:trPr>
        <w:tc>
          <w:tcPr>
            <w:tcW w:w="204" w:type="pct"/>
            <w:vMerge w:val="continue"/>
            <w:tcBorders>
              <w:top w:val="nil"/>
              <w:left w:val="single" w:color="auto" w:sz="4" w:space="0"/>
              <w:bottom w:val="single" w:color="auto" w:sz="4" w:space="0"/>
              <w:right w:val="single" w:color="auto" w:sz="4" w:space="0"/>
            </w:tcBorders>
            <w:vAlign w:val="center"/>
          </w:tcPr>
          <w:p w14:paraId="576E8E30">
            <w:pPr>
              <w:widowControl/>
              <w:jc w:val="left"/>
              <w:rPr>
                <w:rFonts w:ascii="宋体" w:cs="宋体"/>
                <w:kern w:val="0"/>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01117DE8">
            <w:pPr>
              <w:widowControl/>
              <w:jc w:val="left"/>
              <w:rPr>
                <w:rFonts w:ascii="宋体" w:cs="宋体"/>
                <w:kern w:val="0"/>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557E260B">
            <w:pPr>
              <w:widowControl/>
              <w:jc w:val="left"/>
              <w:rPr>
                <w:rFonts w:ascii="宋体" w:cs="宋体"/>
                <w:kern w:val="0"/>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14:paraId="50AD80B3">
            <w:pPr>
              <w:widowControl/>
              <w:jc w:val="left"/>
              <w:rPr>
                <w:rFonts w:ascii="宋体" w:cs="宋体"/>
                <w:kern w:val="0"/>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14:paraId="74D4647B">
            <w:pPr>
              <w:widowControl/>
              <w:jc w:val="left"/>
              <w:rPr>
                <w:rFonts w:ascii="宋体" w:cs="宋体"/>
                <w:kern w:val="0"/>
                <w:sz w:val="18"/>
                <w:szCs w:val="18"/>
              </w:rPr>
            </w:pPr>
          </w:p>
        </w:tc>
        <w:tc>
          <w:tcPr>
            <w:tcW w:w="631" w:type="pct"/>
            <w:tcBorders>
              <w:top w:val="nil"/>
              <w:left w:val="nil"/>
              <w:bottom w:val="single" w:color="auto" w:sz="4" w:space="0"/>
              <w:right w:val="single" w:color="auto" w:sz="4" w:space="0"/>
            </w:tcBorders>
            <w:vAlign w:val="center"/>
          </w:tcPr>
          <w:p w14:paraId="76D7E520">
            <w:pPr>
              <w:widowControl/>
              <w:jc w:val="left"/>
              <w:rPr>
                <w:rFonts w:ascii="宋体" w:cs="宋体"/>
                <w:kern w:val="0"/>
                <w:sz w:val="18"/>
                <w:szCs w:val="18"/>
              </w:rPr>
            </w:pPr>
            <w:r>
              <w:rPr>
                <w:rFonts w:hint="eastAsia" w:ascii="宋体" w:hAnsi="宋体" w:cs="宋体"/>
                <w:kern w:val="0"/>
                <w:sz w:val="18"/>
                <w:szCs w:val="18"/>
              </w:rPr>
              <w:t>事业单位考核工作完成情况</w:t>
            </w:r>
          </w:p>
        </w:tc>
        <w:tc>
          <w:tcPr>
            <w:tcW w:w="901" w:type="pct"/>
            <w:tcBorders>
              <w:top w:val="nil"/>
              <w:left w:val="nil"/>
              <w:bottom w:val="single" w:color="auto" w:sz="4" w:space="0"/>
              <w:right w:val="single" w:color="auto" w:sz="4" w:space="0"/>
            </w:tcBorders>
            <w:vAlign w:val="center"/>
          </w:tcPr>
          <w:p w14:paraId="4D9CCB68">
            <w:pPr>
              <w:widowControl/>
              <w:jc w:val="left"/>
              <w:rPr>
                <w:rFonts w:ascii="宋体" w:cs="宋体"/>
                <w:kern w:val="0"/>
                <w:sz w:val="18"/>
                <w:szCs w:val="18"/>
              </w:rPr>
            </w:pPr>
            <w:r>
              <w:rPr>
                <w:rFonts w:hint="eastAsia" w:ascii="宋体" w:hAnsi="宋体" w:cs="宋体"/>
                <w:kern w:val="0"/>
                <w:sz w:val="18"/>
                <w:szCs w:val="18"/>
              </w:rPr>
              <w:t>事业单位考核、奖惩、申诉控告、岗位统计等工作完成情况与计划完成情况相比较</w:t>
            </w:r>
          </w:p>
        </w:tc>
        <w:tc>
          <w:tcPr>
            <w:tcW w:w="203" w:type="pct"/>
            <w:tcBorders>
              <w:top w:val="nil"/>
              <w:left w:val="nil"/>
              <w:bottom w:val="single" w:color="auto" w:sz="4" w:space="0"/>
              <w:right w:val="single" w:color="auto" w:sz="4" w:space="0"/>
            </w:tcBorders>
            <w:vAlign w:val="center"/>
          </w:tcPr>
          <w:p w14:paraId="72F7646A">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298" w:type="pct"/>
            <w:tcBorders>
              <w:top w:val="nil"/>
              <w:left w:val="nil"/>
              <w:bottom w:val="single" w:color="auto" w:sz="4" w:space="0"/>
              <w:right w:val="single" w:color="auto" w:sz="4" w:space="0"/>
            </w:tcBorders>
            <w:vAlign w:val="center"/>
          </w:tcPr>
          <w:p w14:paraId="354FD850">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298" w:type="pct"/>
            <w:tcBorders>
              <w:top w:val="nil"/>
              <w:left w:val="nil"/>
              <w:bottom w:val="single" w:color="auto" w:sz="4" w:space="0"/>
              <w:right w:val="single" w:color="auto" w:sz="4" w:space="0"/>
            </w:tcBorders>
            <w:vAlign w:val="center"/>
          </w:tcPr>
          <w:p w14:paraId="09233867">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85%</w:t>
            </w:r>
          </w:p>
        </w:tc>
        <w:tc>
          <w:tcPr>
            <w:tcW w:w="203" w:type="pct"/>
            <w:tcBorders>
              <w:top w:val="nil"/>
              <w:left w:val="nil"/>
              <w:bottom w:val="single" w:color="auto" w:sz="4" w:space="0"/>
              <w:right w:val="single" w:color="auto" w:sz="4" w:space="0"/>
            </w:tcBorders>
            <w:vAlign w:val="center"/>
          </w:tcPr>
          <w:p w14:paraId="79C742F7">
            <w:pPr>
              <w:widowControl/>
              <w:jc w:val="left"/>
              <w:rPr>
                <w:rFonts w:ascii="宋体" w:cs="宋体"/>
                <w:kern w:val="0"/>
                <w:sz w:val="18"/>
                <w:szCs w:val="18"/>
              </w:rPr>
            </w:pPr>
            <w:r>
              <w:rPr>
                <w:rFonts w:ascii="宋体" w:hAnsi="宋体" w:cs="宋体"/>
                <w:kern w:val="0"/>
                <w:sz w:val="18"/>
                <w:szCs w:val="18"/>
              </w:rPr>
              <w:t>&lt;85%</w:t>
            </w:r>
          </w:p>
        </w:tc>
      </w:tr>
      <w:tr w14:paraId="5D6A7B03">
        <w:tblPrEx>
          <w:tblCellMar>
            <w:top w:w="0" w:type="dxa"/>
            <w:left w:w="108" w:type="dxa"/>
            <w:bottom w:w="0" w:type="dxa"/>
            <w:right w:w="108" w:type="dxa"/>
          </w:tblCellMar>
        </w:tblPrEx>
        <w:trPr>
          <w:trHeight w:val="432" w:hRule="atLeast"/>
        </w:trPr>
        <w:tc>
          <w:tcPr>
            <w:tcW w:w="204" w:type="pct"/>
            <w:vMerge w:val="continue"/>
            <w:tcBorders>
              <w:top w:val="nil"/>
              <w:left w:val="single" w:color="auto" w:sz="4" w:space="0"/>
              <w:bottom w:val="single" w:color="auto" w:sz="4" w:space="0"/>
              <w:right w:val="single" w:color="auto" w:sz="4" w:space="0"/>
            </w:tcBorders>
            <w:vAlign w:val="center"/>
          </w:tcPr>
          <w:p w14:paraId="5379F3DE">
            <w:pPr>
              <w:widowControl/>
              <w:jc w:val="left"/>
              <w:rPr>
                <w:rFonts w:ascii="宋体" w:cs="宋体"/>
                <w:kern w:val="0"/>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10CA7E1D">
            <w:pPr>
              <w:widowControl/>
              <w:jc w:val="left"/>
              <w:rPr>
                <w:rFonts w:ascii="宋体" w:cs="宋体"/>
                <w:kern w:val="0"/>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4F3F054E">
            <w:pPr>
              <w:widowControl/>
              <w:jc w:val="left"/>
              <w:rPr>
                <w:rFonts w:ascii="宋体" w:cs="宋体"/>
                <w:kern w:val="0"/>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14:paraId="1ABEF279">
            <w:pPr>
              <w:widowControl/>
              <w:jc w:val="left"/>
              <w:rPr>
                <w:rFonts w:ascii="宋体" w:cs="宋体"/>
                <w:kern w:val="0"/>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14:paraId="4A562E64">
            <w:pPr>
              <w:widowControl/>
              <w:jc w:val="left"/>
              <w:rPr>
                <w:rFonts w:ascii="宋体" w:cs="宋体"/>
                <w:kern w:val="0"/>
                <w:sz w:val="18"/>
                <w:szCs w:val="18"/>
              </w:rPr>
            </w:pPr>
          </w:p>
        </w:tc>
        <w:tc>
          <w:tcPr>
            <w:tcW w:w="631" w:type="pct"/>
            <w:tcBorders>
              <w:top w:val="nil"/>
              <w:left w:val="nil"/>
              <w:bottom w:val="single" w:color="auto" w:sz="4" w:space="0"/>
              <w:right w:val="single" w:color="auto" w:sz="4" w:space="0"/>
            </w:tcBorders>
            <w:vAlign w:val="center"/>
          </w:tcPr>
          <w:p w14:paraId="0A2BEEA3">
            <w:pPr>
              <w:widowControl/>
              <w:jc w:val="left"/>
              <w:rPr>
                <w:rFonts w:ascii="宋体" w:cs="宋体"/>
                <w:kern w:val="0"/>
                <w:sz w:val="18"/>
                <w:szCs w:val="18"/>
              </w:rPr>
            </w:pPr>
            <w:r>
              <w:rPr>
                <w:rFonts w:hint="eastAsia" w:ascii="宋体" w:hAnsi="宋体" w:cs="宋体"/>
                <w:kern w:val="0"/>
                <w:sz w:val="18"/>
                <w:szCs w:val="18"/>
              </w:rPr>
              <w:t>新版聘用合同推行签订率</w:t>
            </w:r>
          </w:p>
        </w:tc>
        <w:tc>
          <w:tcPr>
            <w:tcW w:w="901" w:type="pct"/>
            <w:tcBorders>
              <w:top w:val="nil"/>
              <w:left w:val="nil"/>
              <w:bottom w:val="single" w:color="auto" w:sz="4" w:space="0"/>
              <w:right w:val="single" w:color="auto" w:sz="4" w:space="0"/>
            </w:tcBorders>
            <w:vAlign w:val="center"/>
          </w:tcPr>
          <w:p w14:paraId="05617C63">
            <w:pPr>
              <w:widowControl/>
              <w:jc w:val="left"/>
              <w:rPr>
                <w:rFonts w:ascii="宋体" w:cs="宋体"/>
                <w:kern w:val="0"/>
                <w:sz w:val="18"/>
                <w:szCs w:val="18"/>
              </w:rPr>
            </w:pPr>
            <w:r>
              <w:rPr>
                <w:rFonts w:hint="eastAsia" w:ascii="宋体" w:hAnsi="宋体" w:cs="宋体"/>
                <w:kern w:val="0"/>
                <w:sz w:val="18"/>
                <w:szCs w:val="18"/>
              </w:rPr>
              <w:t>新版聘用合同推行签订数量占应合同签订总数的比例</w:t>
            </w:r>
          </w:p>
        </w:tc>
        <w:tc>
          <w:tcPr>
            <w:tcW w:w="203" w:type="pct"/>
            <w:tcBorders>
              <w:top w:val="nil"/>
              <w:left w:val="nil"/>
              <w:bottom w:val="single" w:color="auto" w:sz="4" w:space="0"/>
              <w:right w:val="single" w:color="auto" w:sz="4" w:space="0"/>
            </w:tcBorders>
            <w:vAlign w:val="center"/>
          </w:tcPr>
          <w:p w14:paraId="20213DEB">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298" w:type="pct"/>
            <w:tcBorders>
              <w:top w:val="nil"/>
              <w:left w:val="nil"/>
              <w:bottom w:val="single" w:color="auto" w:sz="4" w:space="0"/>
              <w:right w:val="single" w:color="auto" w:sz="4" w:space="0"/>
            </w:tcBorders>
            <w:vAlign w:val="center"/>
          </w:tcPr>
          <w:p w14:paraId="65DB2257">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298" w:type="pct"/>
            <w:tcBorders>
              <w:top w:val="nil"/>
              <w:left w:val="nil"/>
              <w:bottom w:val="single" w:color="auto" w:sz="4" w:space="0"/>
              <w:right w:val="single" w:color="auto" w:sz="4" w:space="0"/>
            </w:tcBorders>
            <w:vAlign w:val="center"/>
          </w:tcPr>
          <w:p w14:paraId="1A2139A0">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85%</w:t>
            </w:r>
          </w:p>
        </w:tc>
        <w:tc>
          <w:tcPr>
            <w:tcW w:w="203" w:type="pct"/>
            <w:tcBorders>
              <w:top w:val="nil"/>
              <w:left w:val="nil"/>
              <w:bottom w:val="single" w:color="auto" w:sz="4" w:space="0"/>
              <w:right w:val="single" w:color="auto" w:sz="4" w:space="0"/>
            </w:tcBorders>
            <w:vAlign w:val="center"/>
          </w:tcPr>
          <w:p w14:paraId="4D986F6B">
            <w:pPr>
              <w:widowControl/>
              <w:jc w:val="left"/>
              <w:rPr>
                <w:rFonts w:ascii="宋体" w:cs="宋体"/>
                <w:kern w:val="0"/>
                <w:sz w:val="18"/>
                <w:szCs w:val="18"/>
              </w:rPr>
            </w:pPr>
            <w:r>
              <w:rPr>
                <w:rFonts w:ascii="宋体" w:hAnsi="宋体" w:cs="宋体"/>
                <w:kern w:val="0"/>
                <w:sz w:val="18"/>
                <w:szCs w:val="18"/>
              </w:rPr>
              <w:t>&lt;85%</w:t>
            </w:r>
          </w:p>
        </w:tc>
      </w:tr>
      <w:tr w14:paraId="02B5A303">
        <w:tblPrEx>
          <w:tblCellMar>
            <w:top w:w="0" w:type="dxa"/>
            <w:left w:w="108" w:type="dxa"/>
            <w:bottom w:w="0" w:type="dxa"/>
            <w:right w:w="108" w:type="dxa"/>
          </w:tblCellMar>
        </w:tblPrEx>
        <w:trPr>
          <w:trHeight w:val="216" w:hRule="atLeast"/>
        </w:trPr>
        <w:tc>
          <w:tcPr>
            <w:tcW w:w="204" w:type="pct"/>
            <w:vMerge w:val="restart"/>
            <w:tcBorders>
              <w:top w:val="nil"/>
              <w:left w:val="single" w:color="auto" w:sz="4" w:space="0"/>
              <w:bottom w:val="single" w:color="auto" w:sz="4" w:space="0"/>
              <w:right w:val="single" w:color="auto" w:sz="4" w:space="0"/>
            </w:tcBorders>
            <w:noWrap/>
            <w:vAlign w:val="center"/>
          </w:tcPr>
          <w:p w14:paraId="2D0A6393">
            <w:pPr>
              <w:widowControl/>
              <w:jc w:val="center"/>
              <w:rPr>
                <w:rFonts w:ascii="宋体" w:cs="宋体"/>
                <w:kern w:val="0"/>
                <w:sz w:val="18"/>
                <w:szCs w:val="18"/>
              </w:rPr>
            </w:pPr>
            <w:r>
              <w:rPr>
                <w:rFonts w:ascii="宋体" w:hAnsi="宋体" w:cs="宋体"/>
                <w:kern w:val="0"/>
                <w:sz w:val="18"/>
                <w:szCs w:val="18"/>
              </w:rPr>
              <w:t>0402</w:t>
            </w:r>
          </w:p>
        </w:tc>
        <w:tc>
          <w:tcPr>
            <w:tcW w:w="279" w:type="pct"/>
            <w:vMerge w:val="restart"/>
            <w:tcBorders>
              <w:top w:val="nil"/>
              <w:left w:val="single" w:color="auto" w:sz="4" w:space="0"/>
              <w:bottom w:val="single" w:color="auto" w:sz="4" w:space="0"/>
              <w:right w:val="single" w:color="auto" w:sz="4" w:space="0"/>
            </w:tcBorders>
            <w:vAlign w:val="center"/>
          </w:tcPr>
          <w:p w14:paraId="03295961">
            <w:pPr>
              <w:widowControl/>
              <w:jc w:val="left"/>
              <w:rPr>
                <w:rFonts w:ascii="宋体" w:cs="宋体"/>
                <w:kern w:val="0"/>
                <w:sz w:val="18"/>
                <w:szCs w:val="18"/>
              </w:rPr>
            </w:pPr>
            <w:r>
              <w:rPr>
                <w:rFonts w:hint="eastAsia" w:ascii="宋体" w:hAnsi="宋体" w:cs="宋体"/>
                <w:kern w:val="0"/>
                <w:sz w:val="18"/>
                <w:szCs w:val="18"/>
              </w:rPr>
              <w:t>工资基金及流动人员管理管理</w:t>
            </w:r>
          </w:p>
        </w:tc>
        <w:tc>
          <w:tcPr>
            <w:tcW w:w="1004" w:type="pct"/>
            <w:vMerge w:val="restart"/>
            <w:tcBorders>
              <w:top w:val="nil"/>
              <w:left w:val="single" w:color="auto" w:sz="4" w:space="0"/>
              <w:bottom w:val="single" w:color="auto" w:sz="4" w:space="0"/>
              <w:right w:val="single" w:color="auto" w:sz="4" w:space="0"/>
            </w:tcBorders>
            <w:vAlign w:val="center"/>
          </w:tcPr>
          <w:p w14:paraId="5E65D2F4">
            <w:pPr>
              <w:widowControl/>
              <w:jc w:val="left"/>
              <w:rPr>
                <w:rFonts w:ascii="宋体" w:cs="宋体"/>
                <w:kern w:val="0"/>
                <w:sz w:val="18"/>
                <w:szCs w:val="18"/>
              </w:rPr>
            </w:pPr>
            <w:r>
              <w:rPr>
                <w:rFonts w:hint="eastAsia" w:ascii="宋体" w:hAnsi="宋体" w:cs="宋体"/>
                <w:kern w:val="0"/>
                <w:sz w:val="18"/>
                <w:szCs w:val="18"/>
              </w:rPr>
              <w:t>落实工资基金管理办法，管理审核工资基金。完成区直机关、企事业单位人员流动调配工作，优化干部到位结构。</w:t>
            </w:r>
          </w:p>
        </w:tc>
        <w:tc>
          <w:tcPr>
            <w:tcW w:w="203" w:type="pct"/>
            <w:vMerge w:val="restart"/>
            <w:tcBorders>
              <w:top w:val="nil"/>
              <w:left w:val="single" w:color="auto" w:sz="4" w:space="0"/>
              <w:bottom w:val="single" w:color="auto" w:sz="4" w:space="0"/>
              <w:right w:val="single" w:color="auto" w:sz="4" w:space="0"/>
            </w:tcBorders>
            <w:noWrap/>
            <w:vAlign w:val="center"/>
          </w:tcPr>
          <w:p w14:paraId="039013AE">
            <w:pPr>
              <w:widowControl/>
              <w:jc w:val="center"/>
              <w:rPr>
                <w:rFonts w:ascii="宋体" w:cs="宋体"/>
                <w:kern w:val="0"/>
                <w:sz w:val="18"/>
                <w:szCs w:val="18"/>
              </w:rPr>
            </w:pPr>
            <w:r>
              <w:rPr>
                <w:rFonts w:ascii="宋体" w:hAnsi="宋体" w:cs="宋体"/>
                <w:kern w:val="0"/>
                <w:sz w:val="18"/>
                <w:szCs w:val="18"/>
              </w:rPr>
              <w:t>2022</w:t>
            </w:r>
          </w:p>
        </w:tc>
        <w:tc>
          <w:tcPr>
            <w:tcW w:w="775" w:type="pct"/>
            <w:vMerge w:val="restart"/>
            <w:tcBorders>
              <w:top w:val="nil"/>
              <w:left w:val="single" w:color="auto" w:sz="4" w:space="0"/>
              <w:bottom w:val="single" w:color="auto" w:sz="4" w:space="0"/>
              <w:right w:val="single" w:color="auto" w:sz="4" w:space="0"/>
            </w:tcBorders>
            <w:vAlign w:val="center"/>
          </w:tcPr>
          <w:p w14:paraId="60D10ACA">
            <w:pPr>
              <w:widowControl/>
              <w:jc w:val="left"/>
              <w:rPr>
                <w:rFonts w:ascii="宋体" w:cs="宋体"/>
                <w:kern w:val="0"/>
                <w:sz w:val="18"/>
                <w:szCs w:val="18"/>
              </w:rPr>
            </w:pPr>
            <w:r>
              <w:rPr>
                <w:rFonts w:hint="eastAsia" w:ascii="宋体" w:hAnsi="宋体" w:cs="宋体"/>
                <w:kern w:val="0"/>
                <w:sz w:val="18"/>
                <w:szCs w:val="18"/>
              </w:rPr>
              <w:t>有效控制机关事业单位机构编制及人员增长。减轻财政负担，促进我区国民经济健康发展。促进人力资源有效流动和合理配置。</w:t>
            </w:r>
          </w:p>
        </w:tc>
        <w:tc>
          <w:tcPr>
            <w:tcW w:w="631" w:type="pct"/>
            <w:tcBorders>
              <w:top w:val="nil"/>
              <w:left w:val="nil"/>
              <w:bottom w:val="single" w:color="auto" w:sz="4" w:space="0"/>
              <w:right w:val="single" w:color="auto" w:sz="4" w:space="0"/>
            </w:tcBorders>
            <w:vAlign w:val="center"/>
          </w:tcPr>
          <w:p w14:paraId="4C03CFA7">
            <w:pPr>
              <w:widowControl/>
              <w:jc w:val="left"/>
              <w:rPr>
                <w:rFonts w:ascii="宋体" w:cs="宋体"/>
                <w:kern w:val="0"/>
                <w:sz w:val="18"/>
                <w:szCs w:val="18"/>
              </w:rPr>
            </w:pPr>
            <w:r>
              <w:rPr>
                <w:rFonts w:hint="eastAsia" w:ascii="宋体" w:hAnsi="宋体" w:cs="宋体"/>
                <w:kern w:val="0"/>
                <w:sz w:val="18"/>
                <w:szCs w:val="18"/>
              </w:rPr>
              <w:t>人员调配档案审核率</w:t>
            </w:r>
          </w:p>
        </w:tc>
        <w:tc>
          <w:tcPr>
            <w:tcW w:w="901" w:type="pct"/>
            <w:tcBorders>
              <w:top w:val="nil"/>
              <w:left w:val="nil"/>
              <w:bottom w:val="single" w:color="auto" w:sz="4" w:space="0"/>
              <w:right w:val="single" w:color="auto" w:sz="4" w:space="0"/>
            </w:tcBorders>
            <w:vAlign w:val="center"/>
          </w:tcPr>
          <w:p w14:paraId="4DDE8B00">
            <w:pPr>
              <w:widowControl/>
              <w:jc w:val="left"/>
              <w:rPr>
                <w:rFonts w:ascii="宋体" w:cs="宋体"/>
                <w:kern w:val="0"/>
                <w:sz w:val="18"/>
                <w:szCs w:val="18"/>
              </w:rPr>
            </w:pPr>
            <w:r>
              <w:rPr>
                <w:rFonts w:hint="eastAsia" w:ascii="宋体" w:hAnsi="宋体" w:cs="宋体"/>
                <w:kern w:val="0"/>
                <w:sz w:val="18"/>
                <w:szCs w:val="18"/>
              </w:rPr>
              <w:t>人员调配档案审核的人数占要求调配的人数的比率</w:t>
            </w:r>
          </w:p>
        </w:tc>
        <w:tc>
          <w:tcPr>
            <w:tcW w:w="203" w:type="pct"/>
            <w:tcBorders>
              <w:top w:val="nil"/>
              <w:left w:val="nil"/>
              <w:bottom w:val="single" w:color="auto" w:sz="4" w:space="0"/>
              <w:right w:val="single" w:color="auto" w:sz="4" w:space="0"/>
            </w:tcBorders>
            <w:vAlign w:val="center"/>
          </w:tcPr>
          <w:p w14:paraId="29E241C6">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298" w:type="pct"/>
            <w:tcBorders>
              <w:top w:val="nil"/>
              <w:left w:val="nil"/>
              <w:bottom w:val="single" w:color="auto" w:sz="4" w:space="0"/>
              <w:right w:val="single" w:color="auto" w:sz="4" w:space="0"/>
            </w:tcBorders>
            <w:vAlign w:val="center"/>
          </w:tcPr>
          <w:p w14:paraId="0B1969F8">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298" w:type="pct"/>
            <w:tcBorders>
              <w:top w:val="nil"/>
              <w:left w:val="nil"/>
              <w:bottom w:val="single" w:color="auto" w:sz="4" w:space="0"/>
              <w:right w:val="single" w:color="auto" w:sz="4" w:space="0"/>
            </w:tcBorders>
            <w:vAlign w:val="center"/>
          </w:tcPr>
          <w:p w14:paraId="53456668">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80%</w:t>
            </w:r>
          </w:p>
        </w:tc>
        <w:tc>
          <w:tcPr>
            <w:tcW w:w="203" w:type="pct"/>
            <w:tcBorders>
              <w:top w:val="nil"/>
              <w:left w:val="nil"/>
              <w:bottom w:val="single" w:color="auto" w:sz="4" w:space="0"/>
              <w:right w:val="single" w:color="auto" w:sz="4" w:space="0"/>
            </w:tcBorders>
            <w:vAlign w:val="center"/>
          </w:tcPr>
          <w:p w14:paraId="4C78959C">
            <w:pPr>
              <w:widowControl/>
              <w:jc w:val="left"/>
              <w:rPr>
                <w:rFonts w:ascii="宋体" w:cs="宋体"/>
                <w:kern w:val="0"/>
                <w:sz w:val="18"/>
                <w:szCs w:val="18"/>
              </w:rPr>
            </w:pPr>
            <w:r>
              <w:rPr>
                <w:rFonts w:ascii="宋体" w:hAnsi="宋体" w:cs="宋体"/>
                <w:kern w:val="0"/>
                <w:sz w:val="18"/>
                <w:szCs w:val="18"/>
              </w:rPr>
              <w:t>&lt;80%</w:t>
            </w:r>
          </w:p>
        </w:tc>
      </w:tr>
      <w:tr w14:paraId="7B49C284">
        <w:tblPrEx>
          <w:tblCellMar>
            <w:top w:w="0" w:type="dxa"/>
            <w:left w:w="108" w:type="dxa"/>
            <w:bottom w:w="0" w:type="dxa"/>
            <w:right w:w="108" w:type="dxa"/>
          </w:tblCellMar>
        </w:tblPrEx>
        <w:trPr>
          <w:trHeight w:val="216" w:hRule="atLeast"/>
        </w:trPr>
        <w:tc>
          <w:tcPr>
            <w:tcW w:w="204" w:type="pct"/>
            <w:vMerge w:val="continue"/>
            <w:tcBorders>
              <w:top w:val="nil"/>
              <w:left w:val="single" w:color="auto" w:sz="4" w:space="0"/>
              <w:bottom w:val="single" w:color="auto" w:sz="4" w:space="0"/>
              <w:right w:val="single" w:color="auto" w:sz="4" w:space="0"/>
            </w:tcBorders>
            <w:vAlign w:val="center"/>
          </w:tcPr>
          <w:p w14:paraId="590BF6BB">
            <w:pPr>
              <w:widowControl/>
              <w:jc w:val="left"/>
              <w:rPr>
                <w:rFonts w:ascii="宋体" w:cs="宋体"/>
                <w:kern w:val="0"/>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2E4C0A95">
            <w:pPr>
              <w:widowControl/>
              <w:jc w:val="left"/>
              <w:rPr>
                <w:rFonts w:ascii="宋体" w:cs="宋体"/>
                <w:kern w:val="0"/>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587AFD64">
            <w:pPr>
              <w:widowControl/>
              <w:jc w:val="left"/>
              <w:rPr>
                <w:rFonts w:ascii="宋体" w:cs="宋体"/>
                <w:kern w:val="0"/>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14:paraId="29082DCB">
            <w:pPr>
              <w:widowControl/>
              <w:jc w:val="left"/>
              <w:rPr>
                <w:rFonts w:ascii="宋体" w:cs="宋体"/>
                <w:kern w:val="0"/>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14:paraId="03745816">
            <w:pPr>
              <w:widowControl/>
              <w:jc w:val="left"/>
              <w:rPr>
                <w:rFonts w:ascii="宋体" w:cs="宋体"/>
                <w:kern w:val="0"/>
                <w:sz w:val="18"/>
                <w:szCs w:val="18"/>
              </w:rPr>
            </w:pPr>
          </w:p>
        </w:tc>
        <w:tc>
          <w:tcPr>
            <w:tcW w:w="631" w:type="pct"/>
            <w:tcBorders>
              <w:top w:val="nil"/>
              <w:left w:val="nil"/>
              <w:bottom w:val="single" w:color="auto" w:sz="4" w:space="0"/>
              <w:right w:val="single" w:color="auto" w:sz="4" w:space="0"/>
            </w:tcBorders>
            <w:vAlign w:val="center"/>
          </w:tcPr>
          <w:p w14:paraId="747DAC57">
            <w:pPr>
              <w:widowControl/>
              <w:jc w:val="left"/>
              <w:rPr>
                <w:rFonts w:ascii="宋体" w:cs="宋体"/>
                <w:kern w:val="0"/>
                <w:sz w:val="18"/>
                <w:szCs w:val="18"/>
              </w:rPr>
            </w:pPr>
            <w:r>
              <w:rPr>
                <w:rFonts w:hint="eastAsia" w:ascii="宋体" w:hAnsi="宋体" w:cs="宋体"/>
                <w:kern w:val="0"/>
                <w:sz w:val="18"/>
                <w:szCs w:val="18"/>
              </w:rPr>
              <w:t>工资基金审核完成率</w:t>
            </w:r>
          </w:p>
        </w:tc>
        <w:tc>
          <w:tcPr>
            <w:tcW w:w="901" w:type="pct"/>
            <w:tcBorders>
              <w:top w:val="nil"/>
              <w:left w:val="nil"/>
              <w:bottom w:val="single" w:color="auto" w:sz="4" w:space="0"/>
              <w:right w:val="single" w:color="auto" w:sz="4" w:space="0"/>
            </w:tcBorders>
            <w:vAlign w:val="center"/>
          </w:tcPr>
          <w:p w14:paraId="572D2E76">
            <w:pPr>
              <w:widowControl/>
              <w:jc w:val="left"/>
              <w:rPr>
                <w:rFonts w:ascii="宋体" w:cs="宋体"/>
                <w:kern w:val="0"/>
                <w:sz w:val="18"/>
                <w:szCs w:val="18"/>
              </w:rPr>
            </w:pPr>
            <w:r>
              <w:rPr>
                <w:rFonts w:hint="eastAsia" w:ascii="宋体" w:hAnsi="宋体" w:cs="宋体"/>
                <w:kern w:val="0"/>
                <w:sz w:val="18"/>
                <w:szCs w:val="18"/>
              </w:rPr>
              <w:t>工资基金审核单位数占应审核单位数的比率</w:t>
            </w:r>
          </w:p>
        </w:tc>
        <w:tc>
          <w:tcPr>
            <w:tcW w:w="203" w:type="pct"/>
            <w:tcBorders>
              <w:top w:val="nil"/>
              <w:left w:val="nil"/>
              <w:bottom w:val="single" w:color="auto" w:sz="4" w:space="0"/>
              <w:right w:val="single" w:color="auto" w:sz="4" w:space="0"/>
            </w:tcBorders>
            <w:vAlign w:val="center"/>
          </w:tcPr>
          <w:p w14:paraId="7253C6E1">
            <w:pPr>
              <w:widowControl/>
              <w:jc w:val="left"/>
              <w:rPr>
                <w:rFonts w:ascii="宋体" w:cs="宋体"/>
                <w:kern w:val="0"/>
                <w:sz w:val="18"/>
                <w:szCs w:val="18"/>
              </w:rPr>
            </w:pPr>
            <w:r>
              <w:rPr>
                <w:rFonts w:ascii="宋体" w:hAnsi="宋体" w:cs="宋体"/>
                <w:kern w:val="0"/>
                <w:sz w:val="18"/>
                <w:szCs w:val="18"/>
              </w:rPr>
              <w:t>100%</w:t>
            </w:r>
          </w:p>
        </w:tc>
        <w:tc>
          <w:tcPr>
            <w:tcW w:w="298" w:type="pct"/>
            <w:tcBorders>
              <w:top w:val="nil"/>
              <w:left w:val="nil"/>
              <w:bottom w:val="single" w:color="auto" w:sz="4" w:space="0"/>
              <w:right w:val="single" w:color="auto" w:sz="4" w:space="0"/>
            </w:tcBorders>
            <w:vAlign w:val="center"/>
          </w:tcPr>
          <w:p w14:paraId="4DAB8247">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298" w:type="pct"/>
            <w:tcBorders>
              <w:top w:val="nil"/>
              <w:left w:val="nil"/>
              <w:bottom w:val="single" w:color="auto" w:sz="4" w:space="0"/>
              <w:right w:val="single" w:color="auto" w:sz="4" w:space="0"/>
            </w:tcBorders>
            <w:vAlign w:val="center"/>
          </w:tcPr>
          <w:p w14:paraId="52DBF810">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80%</w:t>
            </w:r>
          </w:p>
        </w:tc>
        <w:tc>
          <w:tcPr>
            <w:tcW w:w="203" w:type="pct"/>
            <w:tcBorders>
              <w:top w:val="nil"/>
              <w:left w:val="nil"/>
              <w:bottom w:val="single" w:color="auto" w:sz="4" w:space="0"/>
              <w:right w:val="single" w:color="auto" w:sz="4" w:space="0"/>
            </w:tcBorders>
            <w:vAlign w:val="center"/>
          </w:tcPr>
          <w:p w14:paraId="460F50B6">
            <w:pPr>
              <w:widowControl/>
              <w:jc w:val="left"/>
              <w:rPr>
                <w:rFonts w:ascii="宋体" w:cs="宋体"/>
                <w:kern w:val="0"/>
                <w:sz w:val="18"/>
                <w:szCs w:val="18"/>
              </w:rPr>
            </w:pPr>
            <w:r>
              <w:rPr>
                <w:rFonts w:ascii="宋体" w:hAnsi="宋体" w:cs="宋体"/>
                <w:kern w:val="0"/>
                <w:sz w:val="18"/>
                <w:szCs w:val="18"/>
              </w:rPr>
              <w:t>&lt;80%</w:t>
            </w:r>
          </w:p>
        </w:tc>
      </w:tr>
      <w:tr w14:paraId="67A4B282">
        <w:tblPrEx>
          <w:tblCellMar>
            <w:top w:w="0" w:type="dxa"/>
            <w:left w:w="108" w:type="dxa"/>
            <w:bottom w:w="0" w:type="dxa"/>
            <w:right w:w="108" w:type="dxa"/>
          </w:tblCellMar>
        </w:tblPrEx>
        <w:trPr>
          <w:trHeight w:val="648" w:hRule="atLeast"/>
        </w:trPr>
        <w:tc>
          <w:tcPr>
            <w:tcW w:w="204" w:type="pct"/>
            <w:tcBorders>
              <w:top w:val="nil"/>
              <w:left w:val="single" w:color="auto" w:sz="4" w:space="0"/>
              <w:bottom w:val="single" w:color="auto" w:sz="4" w:space="0"/>
              <w:right w:val="single" w:color="auto" w:sz="4" w:space="0"/>
            </w:tcBorders>
            <w:noWrap/>
            <w:vAlign w:val="center"/>
          </w:tcPr>
          <w:p w14:paraId="76A51E2B">
            <w:pPr>
              <w:widowControl/>
              <w:jc w:val="center"/>
              <w:rPr>
                <w:rFonts w:ascii="宋体" w:cs="宋体"/>
                <w:kern w:val="0"/>
                <w:sz w:val="18"/>
                <w:szCs w:val="18"/>
              </w:rPr>
            </w:pPr>
            <w:r>
              <w:rPr>
                <w:rFonts w:ascii="宋体" w:hAnsi="宋体" w:cs="宋体"/>
                <w:kern w:val="0"/>
                <w:sz w:val="18"/>
                <w:szCs w:val="18"/>
              </w:rPr>
              <w:t>0501</w:t>
            </w:r>
          </w:p>
        </w:tc>
        <w:tc>
          <w:tcPr>
            <w:tcW w:w="279" w:type="pct"/>
            <w:tcBorders>
              <w:top w:val="nil"/>
              <w:left w:val="nil"/>
              <w:bottom w:val="single" w:color="auto" w:sz="4" w:space="0"/>
              <w:right w:val="single" w:color="auto" w:sz="4" w:space="0"/>
            </w:tcBorders>
            <w:vAlign w:val="center"/>
          </w:tcPr>
          <w:p w14:paraId="21895E8F">
            <w:pPr>
              <w:widowControl/>
              <w:jc w:val="left"/>
              <w:rPr>
                <w:rFonts w:ascii="宋体" w:cs="宋体"/>
                <w:kern w:val="0"/>
                <w:sz w:val="18"/>
                <w:szCs w:val="18"/>
              </w:rPr>
            </w:pPr>
            <w:r>
              <w:rPr>
                <w:rFonts w:hint="eastAsia" w:ascii="宋体" w:hAnsi="宋体" w:cs="宋体"/>
                <w:kern w:val="0"/>
                <w:sz w:val="18"/>
                <w:szCs w:val="18"/>
              </w:rPr>
              <w:t>企业工资政策和管理</w:t>
            </w:r>
          </w:p>
        </w:tc>
        <w:tc>
          <w:tcPr>
            <w:tcW w:w="1004" w:type="pct"/>
            <w:tcBorders>
              <w:top w:val="nil"/>
              <w:left w:val="nil"/>
              <w:bottom w:val="single" w:color="auto" w:sz="4" w:space="0"/>
              <w:right w:val="single" w:color="auto" w:sz="4" w:space="0"/>
            </w:tcBorders>
            <w:vAlign w:val="center"/>
          </w:tcPr>
          <w:p w14:paraId="1041732C">
            <w:pPr>
              <w:widowControl/>
              <w:jc w:val="left"/>
              <w:rPr>
                <w:rFonts w:ascii="宋体" w:cs="宋体"/>
                <w:kern w:val="0"/>
                <w:sz w:val="18"/>
                <w:szCs w:val="18"/>
              </w:rPr>
            </w:pPr>
            <w:r>
              <w:rPr>
                <w:rFonts w:hint="eastAsia" w:ascii="宋体" w:hAnsi="宋体" w:cs="宋体"/>
                <w:kern w:val="0"/>
                <w:sz w:val="18"/>
                <w:szCs w:val="18"/>
              </w:rPr>
              <w:t>完善全区企业工资调控机制和工资集体协商制度，落实工资指导线。</w:t>
            </w:r>
          </w:p>
        </w:tc>
        <w:tc>
          <w:tcPr>
            <w:tcW w:w="203" w:type="pct"/>
            <w:tcBorders>
              <w:top w:val="nil"/>
              <w:left w:val="nil"/>
              <w:bottom w:val="single" w:color="auto" w:sz="4" w:space="0"/>
              <w:right w:val="single" w:color="auto" w:sz="4" w:space="0"/>
            </w:tcBorders>
            <w:noWrap/>
            <w:vAlign w:val="center"/>
          </w:tcPr>
          <w:p w14:paraId="2CFA74B8">
            <w:pPr>
              <w:widowControl/>
              <w:jc w:val="right"/>
              <w:rPr>
                <w:rFonts w:ascii="宋体" w:cs="宋体"/>
                <w:kern w:val="0"/>
                <w:sz w:val="18"/>
                <w:szCs w:val="18"/>
              </w:rPr>
            </w:pPr>
            <w:r>
              <w:rPr>
                <w:rFonts w:ascii="宋体" w:hAnsi="宋体" w:cs="宋体"/>
                <w:kern w:val="0"/>
                <w:sz w:val="18"/>
                <w:szCs w:val="18"/>
              </w:rPr>
              <w:t>2022</w:t>
            </w:r>
          </w:p>
        </w:tc>
        <w:tc>
          <w:tcPr>
            <w:tcW w:w="775" w:type="pct"/>
            <w:tcBorders>
              <w:top w:val="nil"/>
              <w:left w:val="nil"/>
              <w:bottom w:val="single" w:color="auto" w:sz="4" w:space="0"/>
              <w:right w:val="single" w:color="auto" w:sz="4" w:space="0"/>
            </w:tcBorders>
            <w:vAlign w:val="center"/>
          </w:tcPr>
          <w:p w14:paraId="336648D3">
            <w:pPr>
              <w:widowControl/>
              <w:jc w:val="left"/>
              <w:rPr>
                <w:rFonts w:ascii="宋体" w:cs="宋体"/>
                <w:kern w:val="0"/>
                <w:sz w:val="18"/>
                <w:szCs w:val="18"/>
              </w:rPr>
            </w:pPr>
            <w:r>
              <w:rPr>
                <w:rFonts w:hint="eastAsia" w:ascii="宋体" w:hAnsi="宋体" w:cs="宋体"/>
                <w:kern w:val="0"/>
                <w:sz w:val="18"/>
                <w:szCs w:val="18"/>
              </w:rPr>
              <w:t>加大对企业工资分配的调控力度，合理确定收入分配水平。</w:t>
            </w:r>
          </w:p>
        </w:tc>
        <w:tc>
          <w:tcPr>
            <w:tcW w:w="631" w:type="pct"/>
            <w:tcBorders>
              <w:top w:val="nil"/>
              <w:left w:val="nil"/>
              <w:bottom w:val="single" w:color="auto" w:sz="4" w:space="0"/>
              <w:right w:val="single" w:color="auto" w:sz="4" w:space="0"/>
            </w:tcBorders>
            <w:vAlign w:val="center"/>
          </w:tcPr>
          <w:p w14:paraId="71569993">
            <w:pPr>
              <w:widowControl/>
              <w:jc w:val="left"/>
              <w:rPr>
                <w:rFonts w:ascii="宋体" w:cs="宋体"/>
                <w:kern w:val="0"/>
                <w:sz w:val="18"/>
                <w:szCs w:val="18"/>
              </w:rPr>
            </w:pPr>
            <w:r>
              <w:rPr>
                <w:rFonts w:hint="eastAsia" w:ascii="宋体" w:hAnsi="宋体" w:cs="宋体"/>
                <w:kern w:val="0"/>
                <w:sz w:val="18"/>
                <w:szCs w:val="18"/>
              </w:rPr>
              <w:t>企业工资审核率</w:t>
            </w:r>
          </w:p>
        </w:tc>
        <w:tc>
          <w:tcPr>
            <w:tcW w:w="901" w:type="pct"/>
            <w:tcBorders>
              <w:top w:val="nil"/>
              <w:left w:val="nil"/>
              <w:bottom w:val="single" w:color="auto" w:sz="4" w:space="0"/>
              <w:right w:val="single" w:color="auto" w:sz="4" w:space="0"/>
            </w:tcBorders>
            <w:vAlign w:val="center"/>
          </w:tcPr>
          <w:p w14:paraId="741B49CA">
            <w:pPr>
              <w:widowControl/>
              <w:jc w:val="left"/>
              <w:rPr>
                <w:rFonts w:ascii="宋体" w:cs="宋体"/>
                <w:kern w:val="0"/>
                <w:sz w:val="18"/>
                <w:szCs w:val="18"/>
              </w:rPr>
            </w:pPr>
            <w:r>
              <w:rPr>
                <w:rFonts w:hint="eastAsia" w:ascii="宋体" w:hAnsi="宋体" w:cs="宋体"/>
                <w:kern w:val="0"/>
                <w:sz w:val="18"/>
                <w:szCs w:val="18"/>
              </w:rPr>
              <w:t>企业工资审核单位数占应审核单位数的比率</w:t>
            </w:r>
          </w:p>
        </w:tc>
        <w:tc>
          <w:tcPr>
            <w:tcW w:w="203" w:type="pct"/>
            <w:tcBorders>
              <w:top w:val="nil"/>
              <w:left w:val="nil"/>
              <w:bottom w:val="single" w:color="auto" w:sz="4" w:space="0"/>
              <w:right w:val="single" w:color="auto" w:sz="4" w:space="0"/>
            </w:tcBorders>
            <w:vAlign w:val="center"/>
          </w:tcPr>
          <w:p w14:paraId="67B8861E">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85%</w:t>
            </w:r>
          </w:p>
        </w:tc>
        <w:tc>
          <w:tcPr>
            <w:tcW w:w="298" w:type="pct"/>
            <w:tcBorders>
              <w:top w:val="nil"/>
              <w:left w:val="nil"/>
              <w:bottom w:val="single" w:color="auto" w:sz="4" w:space="0"/>
              <w:right w:val="single" w:color="auto" w:sz="4" w:space="0"/>
            </w:tcBorders>
            <w:vAlign w:val="center"/>
          </w:tcPr>
          <w:p w14:paraId="6FEC0080">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80%</w:t>
            </w:r>
          </w:p>
        </w:tc>
        <w:tc>
          <w:tcPr>
            <w:tcW w:w="298" w:type="pct"/>
            <w:tcBorders>
              <w:top w:val="nil"/>
              <w:left w:val="nil"/>
              <w:bottom w:val="single" w:color="auto" w:sz="4" w:space="0"/>
              <w:right w:val="single" w:color="auto" w:sz="4" w:space="0"/>
            </w:tcBorders>
            <w:vAlign w:val="center"/>
          </w:tcPr>
          <w:p w14:paraId="3D3ED6DA">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75%</w:t>
            </w:r>
          </w:p>
        </w:tc>
        <w:tc>
          <w:tcPr>
            <w:tcW w:w="203" w:type="pct"/>
            <w:tcBorders>
              <w:top w:val="nil"/>
              <w:left w:val="nil"/>
              <w:bottom w:val="single" w:color="auto" w:sz="4" w:space="0"/>
              <w:right w:val="single" w:color="auto" w:sz="4" w:space="0"/>
            </w:tcBorders>
            <w:vAlign w:val="center"/>
          </w:tcPr>
          <w:p w14:paraId="63DFDDCB">
            <w:pPr>
              <w:widowControl/>
              <w:jc w:val="left"/>
              <w:rPr>
                <w:rFonts w:ascii="宋体" w:cs="宋体"/>
                <w:kern w:val="0"/>
                <w:sz w:val="18"/>
                <w:szCs w:val="18"/>
              </w:rPr>
            </w:pPr>
            <w:r>
              <w:rPr>
                <w:rFonts w:ascii="宋体" w:hAnsi="宋体" w:cs="宋体"/>
                <w:kern w:val="0"/>
                <w:sz w:val="18"/>
                <w:szCs w:val="18"/>
              </w:rPr>
              <w:t>&lt;75%</w:t>
            </w:r>
          </w:p>
        </w:tc>
      </w:tr>
      <w:tr w14:paraId="364857C6">
        <w:tblPrEx>
          <w:tblCellMar>
            <w:top w:w="0" w:type="dxa"/>
            <w:left w:w="108" w:type="dxa"/>
            <w:bottom w:w="0" w:type="dxa"/>
            <w:right w:w="108" w:type="dxa"/>
          </w:tblCellMar>
        </w:tblPrEx>
        <w:trPr>
          <w:trHeight w:val="216" w:hRule="atLeast"/>
        </w:trPr>
        <w:tc>
          <w:tcPr>
            <w:tcW w:w="204" w:type="pct"/>
            <w:vMerge w:val="restart"/>
            <w:tcBorders>
              <w:top w:val="nil"/>
              <w:left w:val="single" w:color="auto" w:sz="4" w:space="0"/>
              <w:bottom w:val="single" w:color="auto" w:sz="4" w:space="0"/>
              <w:right w:val="single" w:color="auto" w:sz="4" w:space="0"/>
            </w:tcBorders>
            <w:noWrap/>
            <w:vAlign w:val="center"/>
          </w:tcPr>
          <w:p w14:paraId="69A379AD">
            <w:pPr>
              <w:widowControl/>
              <w:jc w:val="center"/>
              <w:rPr>
                <w:rFonts w:ascii="宋体" w:cs="宋体"/>
                <w:kern w:val="0"/>
                <w:sz w:val="18"/>
                <w:szCs w:val="18"/>
              </w:rPr>
            </w:pPr>
            <w:r>
              <w:rPr>
                <w:rFonts w:ascii="宋体" w:hAnsi="宋体" w:cs="宋体"/>
                <w:kern w:val="0"/>
                <w:sz w:val="18"/>
                <w:szCs w:val="18"/>
              </w:rPr>
              <w:t>0502</w:t>
            </w:r>
          </w:p>
        </w:tc>
        <w:tc>
          <w:tcPr>
            <w:tcW w:w="279" w:type="pct"/>
            <w:vMerge w:val="restart"/>
            <w:tcBorders>
              <w:top w:val="nil"/>
              <w:left w:val="single" w:color="auto" w:sz="4" w:space="0"/>
              <w:bottom w:val="single" w:color="auto" w:sz="4" w:space="0"/>
              <w:right w:val="single" w:color="auto" w:sz="4" w:space="0"/>
            </w:tcBorders>
            <w:vAlign w:val="center"/>
          </w:tcPr>
          <w:p w14:paraId="7B540831">
            <w:pPr>
              <w:widowControl/>
              <w:jc w:val="left"/>
              <w:rPr>
                <w:rFonts w:ascii="宋体" w:cs="宋体"/>
                <w:kern w:val="0"/>
                <w:sz w:val="18"/>
                <w:szCs w:val="18"/>
              </w:rPr>
            </w:pPr>
            <w:r>
              <w:rPr>
                <w:rFonts w:hint="eastAsia" w:ascii="宋体" w:hAnsi="宋体" w:cs="宋体"/>
                <w:kern w:val="0"/>
                <w:sz w:val="18"/>
                <w:szCs w:val="18"/>
              </w:rPr>
              <w:t>机关事业单位工资政策和管理</w:t>
            </w:r>
          </w:p>
        </w:tc>
        <w:tc>
          <w:tcPr>
            <w:tcW w:w="1004" w:type="pct"/>
            <w:vMerge w:val="restart"/>
            <w:tcBorders>
              <w:top w:val="nil"/>
              <w:left w:val="single" w:color="auto" w:sz="4" w:space="0"/>
              <w:bottom w:val="single" w:color="auto" w:sz="4" w:space="0"/>
              <w:right w:val="single" w:color="auto" w:sz="4" w:space="0"/>
            </w:tcBorders>
            <w:vAlign w:val="center"/>
          </w:tcPr>
          <w:p w14:paraId="48CDAC4E">
            <w:pPr>
              <w:widowControl/>
              <w:jc w:val="left"/>
              <w:rPr>
                <w:rFonts w:ascii="宋体" w:cs="宋体"/>
                <w:kern w:val="0"/>
                <w:sz w:val="18"/>
                <w:szCs w:val="18"/>
              </w:rPr>
            </w:pPr>
            <w:r>
              <w:rPr>
                <w:rFonts w:hint="eastAsia" w:ascii="宋体" w:hAnsi="宋体" w:cs="宋体"/>
                <w:kern w:val="0"/>
                <w:sz w:val="18"/>
                <w:szCs w:val="18"/>
              </w:rPr>
              <w:t>落实公务员工资政策，落实事业单位绩效工资政策，为符合退休条件的人员办理退休手续。</w:t>
            </w:r>
          </w:p>
        </w:tc>
        <w:tc>
          <w:tcPr>
            <w:tcW w:w="203" w:type="pct"/>
            <w:vMerge w:val="restart"/>
            <w:tcBorders>
              <w:top w:val="nil"/>
              <w:left w:val="single" w:color="auto" w:sz="4" w:space="0"/>
              <w:bottom w:val="single" w:color="auto" w:sz="4" w:space="0"/>
              <w:right w:val="single" w:color="auto" w:sz="4" w:space="0"/>
            </w:tcBorders>
            <w:noWrap/>
            <w:vAlign w:val="center"/>
          </w:tcPr>
          <w:p w14:paraId="11DAFE7F">
            <w:pPr>
              <w:widowControl/>
              <w:jc w:val="center"/>
              <w:rPr>
                <w:rFonts w:ascii="宋体" w:cs="宋体"/>
                <w:kern w:val="0"/>
                <w:sz w:val="18"/>
                <w:szCs w:val="18"/>
              </w:rPr>
            </w:pPr>
            <w:r>
              <w:rPr>
                <w:rFonts w:ascii="宋体" w:hAnsi="宋体" w:cs="宋体"/>
                <w:kern w:val="0"/>
                <w:sz w:val="18"/>
                <w:szCs w:val="18"/>
              </w:rPr>
              <w:t>2022</w:t>
            </w:r>
          </w:p>
        </w:tc>
        <w:tc>
          <w:tcPr>
            <w:tcW w:w="775" w:type="pct"/>
            <w:vMerge w:val="restart"/>
            <w:tcBorders>
              <w:top w:val="nil"/>
              <w:left w:val="single" w:color="auto" w:sz="4" w:space="0"/>
              <w:bottom w:val="single" w:color="auto" w:sz="4" w:space="0"/>
              <w:right w:val="single" w:color="auto" w:sz="4" w:space="0"/>
            </w:tcBorders>
            <w:vAlign w:val="center"/>
          </w:tcPr>
          <w:p w14:paraId="2B7ABFC3">
            <w:pPr>
              <w:widowControl/>
              <w:jc w:val="left"/>
              <w:rPr>
                <w:rFonts w:ascii="宋体" w:cs="宋体"/>
                <w:kern w:val="0"/>
                <w:sz w:val="18"/>
                <w:szCs w:val="18"/>
              </w:rPr>
            </w:pPr>
            <w:r>
              <w:rPr>
                <w:rFonts w:hint="eastAsia" w:ascii="宋体" w:hAnsi="宋体" w:cs="宋体"/>
                <w:kern w:val="0"/>
                <w:sz w:val="18"/>
                <w:szCs w:val="18"/>
              </w:rPr>
              <w:t>加强工资管理，确保政策落实到位；与预算编制对接，实现高效快捷审核。</w:t>
            </w:r>
          </w:p>
        </w:tc>
        <w:tc>
          <w:tcPr>
            <w:tcW w:w="631" w:type="pct"/>
            <w:tcBorders>
              <w:top w:val="nil"/>
              <w:left w:val="nil"/>
              <w:bottom w:val="single" w:color="auto" w:sz="4" w:space="0"/>
              <w:right w:val="single" w:color="auto" w:sz="4" w:space="0"/>
            </w:tcBorders>
            <w:vAlign w:val="center"/>
          </w:tcPr>
          <w:p w14:paraId="39354EFA">
            <w:pPr>
              <w:widowControl/>
              <w:jc w:val="left"/>
              <w:rPr>
                <w:rFonts w:ascii="宋体" w:cs="宋体"/>
                <w:kern w:val="0"/>
                <w:sz w:val="18"/>
                <w:szCs w:val="18"/>
              </w:rPr>
            </w:pPr>
            <w:r>
              <w:rPr>
                <w:rFonts w:hint="eastAsia" w:ascii="宋体" w:hAnsi="宋体" w:cs="宋体"/>
                <w:kern w:val="0"/>
                <w:sz w:val="18"/>
                <w:szCs w:val="18"/>
              </w:rPr>
              <w:t>工资政策落实率</w:t>
            </w:r>
          </w:p>
        </w:tc>
        <w:tc>
          <w:tcPr>
            <w:tcW w:w="901" w:type="pct"/>
            <w:tcBorders>
              <w:top w:val="nil"/>
              <w:left w:val="nil"/>
              <w:bottom w:val="single" w:color="auto" w:sz="4" w:space="0"/>
              <w:right w:val="single" w:color="auto" w:sz="4" w:space="0"/>
            </w:tcBorders>
            <w:vAlign w:val="center"/>
          </w:tcPr>
          <w:p w14:paraId="7C722E61">
            <w:pPr>
              <w:widowControl/>
              <w:jc w:val="left"/>
              <w:rPr>
                <w:rFonts w:ascii="宋体" w:cs="宋体"/>
                <w:kern w:val="0"/>
                <w:sz w:val="18"/>
                <w:szCs w:val="18"/>
              </w:rPr>
            </w:pPr>
            <w:r>
              <w:rPr>
                <w:rFonts w:hint="eastAsia" w:ascii="宋体" w:hAnsi="宋体" w:cs="宋体"/>
                <w:kern w:val="0"/>
                <w:sz w:val="18"/>
                <w:szCs w:val="18"/>
              </w:rPr>
              <w:t>工资政策落实单位数占应落实单位数的比率</w:t>
            </w:r>
          </w:p>
        </w:tc>
        <w:tc>
          <w:tcPr>
            <w:tcW w:w="203" w:type="pct"/>
            <w:tcBorders>
              <w:top w:val="nil"/>
              <w:left w:val="nil"/>
              <w:bottom w:val="single" w:color="auto" w:sz="4" w:space="0"/>
              <w:right w:val="single" w:color="auto" w:sz="4" w:space="0"/>
            </w:tcBorders>
            <w:vAlign w:val="center"/>
          </w:tcPr>
          <w:p w14:paraId="07249514">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298" w:type="pct"/>
            <w:tcBorders>
              <w:top w:val="nil"/>
              <w:left w:val="nil"/>
              <w:bottom w:val="single" w:color="auto" w:sz="4" w:space="0"/>
              <w:right w:val="single" w:color="auto" w:sz="4" w:space="0"/>
            </w:tcBorders>
            <w:vAlign w:val="center"/>
          </w:tcPr>
          <w:p w14:paraId="72D9604F">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298" w:type="pct"/>
            <w:tcBorders>
              <w:top w:val="nil"/>
              <w:left w:val="nil"/>
              <w:bottom w:val="single" w:color="auto" w:sz="4" w:space="0"/>
              <w:right w:val="single" w:color="auto" w:sz="4" w:space="0"/>
            </w:tcBorders>
            <w:vAlign w:val="center"/>
          </w:tcPr>
          <w:p w14:paraId="009FA782">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80%</w:t>
            </w:r>
          </w:p>
        </w:tc>
        <w:tc>
          <w:tcPr>
            <w:tcW w:w="203" w:type="pct"/>
            <w:tcBorders>
              <w:top w:val="nil"/>
              <w:left w:val="nil"/>
              <w:bottom w:val="single" w:color="auto" w:sz="4" w:space="0"/>
              <w:right w:val="single" w:color="auto" w:sz="4" w:space="0"/>
            </w:tcBorders>
            <w:vAlign w:val="center"/>
          </w:tcPr>
          <w:p w14:paraId="34A2F47B">
            <w:pPr>
              <w:widowControl/>
              <w:jc w:val="left"/>
              <w:rPr>
                <w:rFonts w:ascii="宋体" w:cs="宋体"/>
                <w:kern w:val="0"/>
                <w:sz w:val="18"/>
                <w:szCs w:val="18"/>
              </w:rPr>
            </w:pPr>
            <w:r>
              <w:rPr>
                <w:rFonts w:ascii="宋体" w:hAnsi="宋体" w:cs="宋体"/>
                <w:kern w:val="0"/>
                <w:sz w:val="18"/>
                <w:szCs w:val="18"/>
              </w:rPr>
              <w:t>&lt;80%</w:t>
            </w:r>
          </w:p>
        </w:tc>
      </w:tr>
      <w:tr w14:paraId="796B090F">
        <w:tblPrEx>
          <w:tblCellMar>
            <w:top w:w="0" w:type="dxa"/>
            <w:left w:w="108" w:type="dxa"/>
            <w:bottom w:w="0" w:type="dxa"/>
            <w:right w:w="108" w:type="dxa"/>
          </w:tblCellMar>
        </w:tblPrEx>
        <w:trPr>
          <w:trHeight w:val="216" w:hRule="atLeast"/>
        </w:trPr>
        <w:tc>
          <w:tcPr>
            <w:tcW w:w="204" w:type="pct"/>
            <w:vMerge w:val="continue"/>
            <w:tcBorders>
              <w:top w:val="nil"/>
              <w:left w:val="single" w:color="auto" w:sz="4" w:space="0"/>
              <w:bottom w:val="single" w:color="auto" w:sz="4" w:space="0"/>
              <w:right w:val="single" w:color="auto" w:sz="4" w:space="0"/>
            </w:tcBorders>
            <w:vAlign w:val="center"/>
          </w:tcPr>
          <w:p w14:paraId="57AF2F2C">
            <w:pPr>
              <w:widowControl/>
              <w:jc w:val="left"/>
              <w:rPr>
                <w:rFonts w:ascii="宋体" w:cs="宋体"/>
                <w:kern w:val="0"/>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55E62C33">
            <w:pPr>
              <w:widowControl/>
              <w:jc w:val="left"/>
              <w:rPr>
                <w:rFonts w:ascii="宋体" w:cs="宋体"/>
                <w:kern w:val="0"/>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762AE327">
            <w:pPr>
              <w:widowControl/>
              <w:jc w:val="left"/>
              <w:rPr>
                <w:rFonts w:ascii="宋体" w:cs="宋体"/>
                <w:kern w:val="0"/>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14:paraId="0AFC9FEB">
            <w:pPr>
              <w:widowControl/>
              <w:jc w:val="left"/>
              <w:rPr>
                <w:rFonts w:ascii="宋体" w:cs="宋体"/>
                <w:kern w:val="0"/>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14:paraId="17B1BA49">
            <w:pPr>
              <w:widowControl/>
              <w:jc w:val="left"/>
              <w:rPr>
                <w:rFonts w:ascii="宋体" w:cs="宋体"/>
                <w:kern w:val="0"/>
                <w:sz w:val="18"/>
                <w:szCs w:val="18"/>
              </w:rPr>
            </w:pPr>
          </w:p>
        </w:tc>
        <w:tc>
          <w:tcPr>
            <w:tcW w:w="631" w:type="pct"/>
            <w:tcBorders>
              <w:top w:val="nil"/>
              <w:left w:val="nil"/>
              <w:bottom w:val="single" w:color="auto" w:sz="4" w:space="0"/>
              <w:right w:val="single" w:color="auto" w:sz="4" w:space="0"/>
            </w:tcBorders>
            <w:vAlign w:val="center"/>
          </w:tcPr>
          <w:p w14:paraId="7519991D">
            <w:pPr>
              <w:widowControl/>
              <w:jc w:val="left"/>
              <w:rPr>
                <w:rFonts w:ascii="宋体" w:cs="宋体"/>
                <w:kern w:val="0"/>
                <w:sz w:val="18"/>
                <w:szCs w:val="18"/>
              </w:rPr>
            </w:pPr>
            <w:r>
              <w:rPr>
                <w:rFonts w:hint="eastAsia" w:ascii="宋体" w:hAnsi="宋体" w:cs="宋体"/>
                <w:kern w:val="0"/>
                <w:sz w:val="18"/>
                <w:szCs w:val="18"/>
              </w:rPr>
              <w:t>退休手续办理及时率</w:t>
            </w:r>
          </w:p>
        </w:tc>
        <w:tc>
          <w:tcPr>
            <w:tcW w:w="901" w:type="pct"/>
            <w:tcBorders>
              <w:top w:val="nil"/>
              <w:left w:val="nil"/>
              <w:bottom w:val="single" w:color="auto" w:sz="4" w:space="0"/>
              <w:right w:val="single" w:color="auto" w:sz="4" w:space="0"/>
            </w:tcBorders>
            <w:vAlign w:val="center"/>
          </w:tcPr>
          <w:p w14:paraId="575ED78F">
            <w:pPr>
              <w:widowControl/>
              <w:jc w:val="left"/>
              <w:rPr>
                <w:rFonts w:ascii="宋体" w:cs="宋体"/>
                <w:kern w:val="0"/>
                <w:sz w:val="18"/>
                <w:szCs w:val="18"/>
              </w:rPr>
            </w:pPr>
            <w:r>
              <w:rPr>
                <w:rFonts w:hint="eastAsia" w:ascii="宋体" w:hAnsi="宋体" w:cs="宋体"/>
                <w:kern w:val="0"/>
                <w:sz w:val="18"/>
                <w:szCs w:val="18"/>
              </w:rPr>
              <w:t>在规定时限内办退休手续的数量占办理总数的比例</w:t>
            </w:r>
          </w:p>
        </w:tc>
        <w:tc>
          <w:tcPr>
            <w:tcW w:w="203" w:type="pct"/>
            <w:tcBorders>
              <w:top w:val="nil"/>
              <w:left w:val="nil"/>
              <w:bottom w:val="single" w:color="auto" w:sz="4" w:space="0"/>
              <w:right w:val="single" w:color="auto" w:sz="4" w:space="0"/>
            </w:tcBorders>
            <w:vAlign w:val="center"/>
          </w:tcPr>
          <w:p w14:paraId="315F1F1C">
            <w:pPr>
              <w:widowControl/>
              <w:jc w:val="left"/>
              <w:rPr>
                <w:rFonts w:ascii="宋体" w:cs="宋体"/>
                <w:kern w:val="0"/>
                <w:sz w:val="18"/>
                <w:szCs w:val="18"/>
              </w:rPr>
            </w:pPr>
            <w:r>
              <w:rPr>
                <w:rFonts w:ascii="宋体" w:hAnsi="宋体" w:cs="宋体"/>
                <w:kern w:val="0"/>
                <w:sz w:val="18"/>
                <w:szCs w:val="18"/>
              </w:rPr>
              <w:t>100%</w:t>
            </w:r>
          </w:p>
        </w:tc>
        <w:tc>
          <w:tcPr>
            <w:tcW w:w="298" w:type="pct"/>
            <w:tcBorders>
              <w:top w:val="nil"/>
              <w:left w:val="nil"/>
              <w:bottom w:val="single" w:color="auto" w:sz="4" w:space="0"/>
              <w:right w:val="single" w:color="auto" w:sz="4" w:space="0"/>
            </w:tcBorders>
            <w:vAlign w:val="center"/>
          </w:tcPr>
          <w:p w14:paraId="6C3E8AB1">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298" w:type="pct"/>
            <w:tcBorders>
              <w:top w:val="nil"/>
              <w:left w:val="nil"/>
              <w:bottom w:val="single" w:color="auto" w:sz="4" w:space="0"/>
              <w:right w:val="single" w:color="auto" w:sz="4" w:space="0"/>
            </w:tcBorders>
            <w:vAlign w:val="center"/>
          </w:tcPr>
          <w:p w14:paraId="72502D84">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80%</w:t>
            </w:r>
          </w:p>
        </w:tc>
        <w:tc>
          <w:tcPr>
            <w:tcW w:w="203" w:type="pct"/>
            <w:tcBorders>
              <w:top w:val="nil"/>
              <w:left w:val="nil"/>
              <w:bottom w:val="single" w:color="auto" w:sz="4" w:space="0"/>
              <w:right w:val="single" w:color="auto" w:sz="4" w:space="0"/>
            </w:tcBorders>
            <w:vAlign w:val="center"/>
          </w:tcPr>
          <w:p w14:paraId="112492C1">
            <w:pPr>
              <w:widowControl/>
              <w:jc w:val="left"/>
              <w:rPr>
                <w:rFonts w:ascii="宋体" w:cs="宋体"/>
                <w:kern w:val="0"/>
                <w:sz w:val="18"/>
                <w:szCs w:val="18"/>
              </w:rPr>
            </w:pPr>
            <w:r>
              <w:rPr>
                <w:rFonts w:ascii="宋体" w:hAnsi="宋体" w:cs="宋体"/>
                <w:kern w:val="0"/>
                <w:sz w:val="18"/>
                <w:szCs w:val="18"/>
              </w:rPr>
              <w:t>&lt;80%</w:t>
            </w:r>
          </w:p>
        </w:tc>
      </w:tr>
      <w:tr w14:paraId="0B6AC689">
        <w:tblPrEx>
          <w:tblCellMar>
            <w:top w:w="0" w:type="dxa"/>
            <w:left w:w="108" w:type="dxa"/>
            <w:bottom w:w="0" w:type="dxa"/>
            <w:right w:w="108" w:type="dxa"/>
          </w:tblCellMar>
        </w:tblPrEx>
        <w:trPr>
          <w:trHeight w:val="432" w:hRule="atLeast"/>
        </w:trPr>
        <w:tc>
          <w:tcPr>
            <w:tcW w:w="204" w:type="pct"/>
            <w:tcBorders>
              <w:top w:val="nil"/>
              <w:left w:val="single" w:color="auto" w:sz="4" w:space="0"/>
              <w:bottom w:val="single" w:color="auto" w:sz="4" w:space="0"/>
              <w:right w:val="single" w:color="auto" w:sz="4" w:space="0"/>
            </w:tcBorders>
            <w:noWrap/>
            <w:vAlign w:val="center"/>
          </w:tcPr>
          <w:p w14:paraId="2FE43466">
            <w:pPr>
              <w:widowControl/>
              <w:jc w:val="center"/>
              <w:rPr>
                <w:rFonts w:ascii="宋体" w:cs="宋体"/>
                <w:kern w:val="0"/>
                <w:sz w:val="18"/>
                <w:szCs w:val="18"/>
              </w:rPr>
            </w:pPr>
            <w:r>
              <w:rPr>
                <w:rFonts w:ascii="宋体" w:hAnsi="宋体" w:cs="宋体"/>
                <w:kern w:val="0"/>
                <w:sz w:val="18"/>
                <w:szCs w:val="18"/>
              </w:rPr>
              <w:t>0601</w:t>
            </w:r>
          </w:p>
        </w:tc>
        <w:tc>
          <w:tcPr>
            <w:tcW w:w="279" w:type="pct"/>
            <w:tcBorders>
              <w:top w:val="nil"/>
              <w:left w:val="nil"/>
              <w:bottom w:val="single" w:color="auto" w:sz="4" w:space="0"/>
              <w:right w:val="single" w:color="auto" w:sz="4" w:space="0"/>
            </w:tcBorders>
            <w:vAlign w:val="center"/>
          </w:tcPr>
          <w:p w14:paraId="5741AB76">
            <w:pPr>
              <w:widowControl/>
              <w:jc w:val="left"/>
              <w:rPr>
                <w:rFonts w:ascii="宋体" w:cs="宋体"/>
                <w:kern w:val="0"/>
                <w:sz w:val="18"/>
                <w:szCs w:val="18"/>
              </w:rPr>
            </w:pPr>
            <w:r>
              <w:rPr>
                <w:rFonts w:hint="eastAsia" w:ascii="宋体" w:hAnsi="宋体" w:cs="宋体"/>
                <w:kern w:val="0"/>
                <w:sz w:val="18"/>
                <w:szCs w:val="18"/>
              </w:rPr>
              <w:t>劳动关系政策落实</w:t>
            </w:r>
          </w:p>
        </w:tc>
        <w:tc>
          <w:tcPr>
            <w:tcW w:w="1004" w:type="pct"/>
            <w:tcBorders>
              <w:top w:val="nil"/>
              <w:left w:val="nil"/>
              <w:bottom w:val="single" w:color="auto" w:sz="4" w:space="0"/>
              <w:right w:val="single" w:color="auto" w:sz="4" w:space="0"/>
            </w:tcBorders>
            <w:vAlign w:val="center"/>
          </w:tcPr>
          <w:p w14:paraId="6BFD9D92">
            <w:pPr>
              <w:widowControl/>
              <w:jc w:val="left"/>
              <w:rPr>
                <w:rFonts w:ascii="宋体" w:cs="宋体"/>
                <w:kern w:val="0"/>
                <w:sz w:val="18"/>
                <w:szCs w:val="18"/>
              </w:rPr>
            </w:pPr>
            <w:r>
              <w:rPr>
                <w:rFonts w:hint="eastAsia" w:ascii="宋体" w:hAnsi="宋体" w:cs="宋体"/>
                <w:kern w:val="0"/>
                <w:sz w:val="18"/>
                <w:szCs w:val="18"/>
              </w:rPr>
              <w:t>落实劳动关系政策，建立完善劳动关系协调机制。</w:t>
            </w:r>
          </w:p>
        </w:tc>
        <w:tc>
          <w:tcPr>
            <w:tcW w:w="203" w:type="pct"/>
            <w:tcBorders>
              <w:top w:val="nil"/>
              <w:left w:val="nil"/>
              <w:bottom w:val="single" w:color="auto" w:sz="4" w:space="0"/>
              <w:right w:val="single" w:color="auto" w:sz="4" w:space="0"/>
            </w:tcBorders>
            <w:noWrap/>
            <w:vAlign w:val="center"/>
          </w:tcPr>
          <w:p w14:paraId="5DEBAA92">
            <w:pPr>
              <w:widowControl/>
              <w:jc w:val="right"/>
              <w:rPr>
                <w:rFonts w:ascii="宋体" w:cs="宋体"/>
                <w:kern w:val="0"/>
                <w:sz w:val="18"/>
                <w:szCs w:val="18"/>
              </w:rPr>
            </w:pPr>
            <w:r>
              <w:rPr>
                <w:rFonts w:ascii="宋体" w:hAnsi="宋体" w:cs="宋体"/>
                <w:kern w:val="0"/>
                <w:sz w:val="18"/>
                <w:szCs w:val="18"/>
              </w:rPr>
              <w:t>2022</w:t>
            </w:r>
          </w:p>
        </w:tc>
        <w:tc>
          <w:tcPr>
            <w:tcW w:w="775" w:type="pct"/>
            <w:tcBorders>
              <w:top w:val="nil"/>
              <w:left w:val="nil"/>
              <w:bottom w:val="single" w:color="auto" w:sz="4" w:space="0"/>
              <w:right w:val="single" w:color="auto" w:sz="4" w:space="0"/>
            </w:tcBorders>
            <w:vAlign w:val="center"/>
          </w:tcPr>
          <w:p w14:paraId="6FFA1A77">
            <w:pPr>
              <w:widowControl/>
              <w:jc w:val="left"/>
              <w:rPr>
                <w:rFonts w:ascii="宋体" w:cs="宋体"/>
                <w:kern w:val="0"/>
                <w:sz w:val="18"/>
                <w:szCs w:val="18"/>
              </w:rPr>
            </w:pPr>
            <w:r>
              <w:rPr>
                <w:rFonts w:hint="eastAsia" w:ascii="宋体" w:hAnsi="宋体" w:cs="宋体"/>
                <w:kern w:val="0"/>
                <w:sz w:val="18"/>
                <w:szCs w:val="18"/>
              </w:rPr>
              <w:t>提高劳动合同签订率，建立和谐劳动关系。</w:t>
            </w:r>
          </w:p>
        </w:tc>
        <w:tc>
          <w:tcPr>
            <w:tcW w:w="631" w:type="pct"/>
            <w:tcBorders>
              <w:top w:val="nil"/>
              <w:left w:val="nil"/>
              <w:bottom w:val="single" w:color="auto" w:sz="4" w:space="0"/>
              <w:right w:val="single" w:color="auto" w:sz="4" w:space="0"/>
            </w:tcBorders>
            <w:vAlign w:val="center"/>
          </w:tcPr>
          <w:p w14:paraId="23ED17D5">
            <w:pPr>
              <w:widowControl/>
              <w:jc w:val="left"/>
              <w:rPr>
                <w:rFonts w:ascii="宋体" w:cs="宋体"/>
                <w:kern w:val="0"/>
                <w:sz w:val="18"/>
                <w:szCs w:val="18"/>
              </w:rPr>
            </w:pPr>
            <w:r>
              <w:rPr>
                <w:rFonts w:hint="eastAsia" w:ascii="宋体" w:hAnsi="宋体" w:cs="宋体"/>
                <w:kern w:val="0"/>
                <w:sz w:val="18"/>
                <w:szCs w:val="18"/>
              </w:rPr>
              <w:t>规模以上企业劳动合同签订率</w:t>
            </w:r>
          </w:p>
        </w:tc>
        <w:tc>
          <w:tcPr>
            <w:tcW w:w="901" w:type="pct"/>
            <w:tcBorders>
              <w:top w:val="nil"/>
              <w:left w:val="nil"/>
              <w:bottom w:val="single" w:color="auto" w:sz="4" w:space="0"/>
              <w:right w:val="single" w:color="auto" w:sz="4" w:space="0"/>
            </w:tcBorders>
            <w:vAlign w:val="center"/>
          </w:tcPr>
          <w:p w14:paraId="11D6F1E2">
            <w:pPr>
              <w:widowControl/>
              <w:jc w:val="left"/>
              <w:rPr>
                <w:rFonts w:ascii="宋体" w:cs="宋体"/>
                <w:kern w:val="0"/>
                <w:sz w:val="18"/>
                <w:szCs w:val="18"/>
              </w:rPr>
            </w:pPr>
            <w:r>
              <w:rPr>
                <w:rFonts w:hint="eastAsia" w:ascii="宋体" w:hAnsi="宋体" w:cs="宋体"/>
                <w:kern w:val="0"/>
                <w:sz w:val="18"/>
                <w:szCs w:val="18"/>
              </w:rPr>
              <w:t>规模以上企业劳动合同签订数占应签订数之间的比率</w:t>
            </w:r>
          </w:p>
        </w:tc>
        <w:tc>
          <w:tcPr>
            <w:tcW w:w="203" w:type="pct"/>
            <w:tcBorders>
              <w:top w:val="nil"/>
              <w:left w:val="nil"/>
              <w:bottom w:val="single" w:color="auto" w:sz="4" w:space="0"/>
              <w:right w:val="single" w:color="auto" w:sz="4" w:space="0"/>
            </w:tcBorders>
            <w:vAlign w:val="center"/>
          </w:tcPr>
          <w:p w14:paraId="5759A642">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298" w:type="pct"/>
            <w:tcBorders>
              <w:top w:val="nil"/>
              <w:left w:val="nil"/>
              <w:bottom w:val="single" w:color="auto" w:sz="4" w:space="0"/>
              <w:right w:val="single" w:color="auto" w:sz="4" w:space="0"/>
            </w:tcBorders>
            <w:vAlign w:val="center"/>
          </w:tcPr>
          <w:p w14:paraId="3D3E1B1A">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298" w:type="pct"/>
            <w:tcBorders>
              <w:top w:val="nil"/>
              <w:left w:val="nil"/>
              <w:bottom w:val="single" w:color="auto" w:sz="4" w:space="0"/>
              <w:right w:val="single" w:color="auto" w:sz="4" w:space="0"/>
            </w:tcBorders>
            <w:vAlign w:val="center"/>
          </w:tcPr>
          <w:p w14:paraId="3DBA955B">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80%</w:t>
            </w:r>
          </w:p>
        </w:tc>
        <w:tc>
          <w:tcPr>
            <w:tcW w:w="203" w:type="pct"/>
            <w:tcBorders>
              <w:top w:val="nil"/>
              <w:left w:val="nil"/>
              <w:bottom w:val="single" w:color="auto" w:sz="4" w:space="0"/>
              <w:right w:val="single" w:color="auto" w:sz="4" w:space="0"/>
            </w:tcBorders>
            <w:vAlign w:val="center"/>
          </w:tcPr>
          <w:p w14:paraId="42C6DBF3">
            <w:pPr>
              <w:widowControl/>
              <w:jc w:val="left"/>
              <w:rPr>
                <w:rFonts w:ascii="宋体" w:cs="宋体"/>
                <w:kern w:val="0"/>
                <w:sz w:val="18"/>
                <w:szCs w:val="18"/>
              </w:rPr>
            </w:pPr>
            <w:r>
              <w:rPr>
                <w:rFonts w:ascii="宋体" w:hAnsi="宋体" w:cs="宋体"/>
                <w:kern w:val="0"/>
                <w:sz w:val="18"/>
                <w:szCs w:val="18"/>
              </w:rPr>
              <w:t>&lt;80%</w:t>
            </w:r>
          </w:p>
        </w:tc>
      </w:tr>
      <w:tr w14:paraId="5FB35A5B">
        <w:tblPrEx>
          <w:tblCellMar>
            <w:top w:w="0" w:type="dxa"/>
            <w:left w:w="108" w:type="dxa"/>
            <w:bottom w:w="0" w:type="dxa"/>
            <w:right w:w="108" w:type="dxa"/>
          </w:tblCellMar>
        </w:tblPrEx>
        <w:trPr>
          <w:trHeight w:val="432" w:hRule="atLeast"/>
        </w:trPr>
        <w:tc>
          <w:tcPr>
            <w:tcW w:w="204" w:type="pct"/>
            <w:vMerge w:val="restart"/>
            <w:tcBorders>
              <w:top w:val="nil"/>
              <w:left w:val="single" w:color="auto" w:sz="4" w:space="0"/>
              <w:bottom w:val="single" w:color="auto" w:sz="4" w:space="0"/>
              <w:right w:val="single" w:color="auto" w:sz="4" w:space="0"/>
            </w:tcBorders>
            <w:noWrap/>
            <w:vAlign w:val="center"/>
          </w:tcPr>
          <w:p w14:paraId="58AD56B0">
            <w:pPr>
              <w:widowControl/>
              <w:jc w:val="center"/>
              <w:rPr>
                <w:rFonts w:ascii="宋体" w:cs="宋体"/>
                <w:kern w:val="0"/>
                <w:sz w:val="18"/>
                <w:szCs w:val="18"/>
              </w:rPr>
            </w:pPr>
            <w:r>
              <w:rPr>
                <w:rFonts w:ascii="宋体" w:hAnsi="宋体" w:cs="宋体"/>
                <w:kern w:val="0"/>
                <w:sz w:val="18"/>
                <w:szCs w:val="18"/>
              </w:rPr>
              <w:t>0602</w:t>
            </w:r>
          </w:p>
        </w:tc>
        <w:tc>
          <w:tcPr>
            <w:tcW w:w="279" w:type="pct"/>
            <w:vMerge w:val="restart"/>
            <w:tcBorders>
              <w:top w:val="nil"/>
              <w:left w:val="single" w:color="auto" w:sz="4" w:space="0"/>
              <w:bottom w:val="single" w:color="auto" w:sz="4" w:space="0"/>
              <w:right w:val="single" w:color="auto" w:sz="4" w:space="0"/>
            </w:tcBorders>
            <w:vAlign w:val="center"/>
          </w:tcPr>
          <w:p w14:paraId="7EF14EB3">
            <w:pPr>
              <w:widowControl/>
              <w:jc w:val="left"/>
              <w:rPr>
                <w:rFonts w:ascii="宋体" w:cs="宋体"/>
                <w:kern w:val="0"/>
                <w:sz w:val="18"/>
                <w:szCs w:val="18"/>
              </w:rPr>
            </w:pPr>
            <w:r>
              <w:rPr>
                <w:rFonts w:hint="eastAsia" w:ascii="宋体" w:hAnsi="宋体" w:cs="宋体"/>
                <w:kern w:val="0"/>
                <w:sz w:val="18"/>
                <w:szCs w:val="18"/>
              </w:rPr>
              <w:t>劳动关系调解仲裁事务管理</w:t>
            </w:r>
          </w:p>
        </w:tc>
        <w:tc>
          <w:tcPr>
            <w:tcW w:w="1004" w:type="pct"/>
            <w:vMerge w:val="restart"/>
            <w:tcBorders>
              <w:top w:val="nil"/>
              <w:left w:val="single" w:color="auto" w:sz="4" w:space="0"/>
              <w:bottom w:val="single" w:color="auto" w:sz="4" w:space="0"/>
              <w:right w:val="single" w:color="auto" w:sz="4" w:space="0"/>
            </w:tcBorders>
            <w:vAlign w:val="center"/>
          </w:tcPr>
          <w:p w14:paraId="4E4A7726">
            <w:pPr>
              <w:widowControl/>
              <w:jc w:val="left"/>
              <w:rPr>
                <w:rFonts w:ascii="宋体" w:cs="宋体"/>
                <w:kern w:val="0"/>
                <w:sz w:val="18"/>
                <w:szCs w:val="18"/>
              </w:rPr>
            </w:pPr>
            <w:r>
              <w:rPr>
                <w:rFonts w:hint="eastAsia" w:ascii="宋体" w:hAnsi="宋体" w:cs="宋体"/>
                <w:kern w:val="0"/>
                <w:sz w:val="18"/>
                <w:szCs w:val="18"/>
              </w:rPr>
              <w:t>组织和实施劳动关系的调解、仲裁、信访。</w:t>
            </w:r>
          </w:p>
        </w:tc>
        <w:tc>
          <w:tcPr>
            <w:tcW w:w="203" w:type="pct"/>
            <w:vMerge w:val="restart"/>
            <w:tcBorders>
              <w:top w:val="nil"/>
              <w:left w:val="single" w:color="auto" w:sz="4" w:space="0"/>
              <w:bottom w:val="single" w:color="auto" w:sz="4" w:space="0"/>
              <w:right w:val="single" w:color="auto" w:sz="4" w:space="0"/>
            </w:tcBorders>
            <w:noWrap/>
            <w:vAlign w:val="center"/>
          </w:tcPr>
          <w:p w14:paraId="7641E968">
            <w:pPr>
              <w:widowControl/>
              <w:jc w:val="center"/>
              <w:rPr>
                <w:rFonts w:ascii="宋体" w:cs="宋体"/>
                <w:kern w:val="0"/>
                <w:sz w:val="18"/>
                <w:szCs w:val="18"/>
              </w:rPr>
            </w:pPr>
            <w:r>
              <w:rPr>
                <w:rFonts w:ascii="宋体" w:hAnsi="宋体" w:cs="宋体"/>
                <w:kern w:val="0"/>
                <w:sz w:val="18"/>
                <w:szCs w:val="18"/>
              </w:rPr>
              <w:t>2022</w:t>
            </w:r>
          </w:p>
        </w:tc>
        <w:tc>
          <w:tcPr>
            <w:tcW w:w="775" w:type="pct"/>
            <w:vMerge w:val="restart"/>
            <w:tcBorders>
              <w:top w:val="nil"/>
              <w:left w:val="single" w:color="auto" w:sz="4" w:space="0"/>
              <w:bottom w:val="single" w:color="auto" w:sz="4" w:space="0"/>
              <w:right w:val="single" w:color="auto" w:sz="4" w:space="0"/>
            </w:tcBorders>
            <w:vAlign w:val="center"/>
          </w:tcPr>
          <w:p w14:paraId="49D55647">
            <w:pPr>
              <w:widowControl/>
              <w:jc w:val="left"/>
              <w:rPr>
                <w:rFonts w:ascii="宋体" w:cs="宋体"/>
                <w:kern w:val="0"/>
                <w:sz w:val="18"/>
                <w:szCs w:val="18"/>
              </w:rPr>
            </w:pPr>
            <w:r>
              <w:rPr>
                <w:rFonts w:hint="eastAsia" w:ascii="宋体" w:hAnsi="宋体" w:cs="宋体"/>
                <w:kern w:val="0"/>
                <w:sz w:val="18"/>
                <w:szCs w:val="18"/>
              </w:rPr>
              <w:t>提高调解仲裁办案质量。</w:t>
            </w:r>
          </w:p>
        </w:tc>
        <w:tc>
          <w:tcPr>
            <w:tcW w:w="631" w:type="pct"/>
            <w:tcBorders>
              <w:top w:val="nil"/>
              <w:left w:val="nil"/>
              <w:bottom w:val="single" w:color="auto" w:sz="4" w:space="0"/>
              <w:right w:val="single" w:color="auto" w:sz="4" w:space="0"/>
            </w:tcBorders>
            <w:vAlign w:val="center"/>
          </w:tcPr>
          <w:p w14:paraId="6D7D14EB">
            <w:pPr>
              <w:widowControl/>
              <w:jc w:val="left"/>
              <w:rPr>
                <w:rFonts w:ascii="宋体" w:cs="宋体"/>
                <w:kern w:val="0"/>
                <w:sz w:val="18"/>
                <w:szCs w:val="18"/>
              </w:rPr>
            </w:pPr>
            <w:r>
              <w:rPr>
                <w:rFonts w:hint="eastAsia" w:ascii="宋体" w:hAnsi="宋体" w:cs="宋体"/>
                <w:kern w:val="0"/>
                <w:sz w:val="18"/>
                <w:szCs w:val="18"/>
              </w:rPr>
              <w:t>劳动仲裁到期结案率</w:t>
            </w:r>
          </w:p>
        </w:tc>
        <w:tc>
          <w:tcPr>
            <w:tcW w:w="901" w:type="pct"/>
            <w:tcBorders>
              <w:top w:val="nil"/>
              <w:left w:val="nil"/>
              <w:bottom w:val="single" w:color="auto" w:sz="4" w:space="0"/>
              <w:right w:val="single" w:color="auto" w:sz="4" w:space="0"/>
            </w:tcBorders>
            <w:vAlign w:val="center"/>
          </w:tcPr>
          <w:p w14:paraId="7601F1F9">
            <w:pPr>
              <w:widowControl/>
              <w:jc w:val="left"/>
              <w:rPr>
                <w:rFonts w:ascii="宋体" w:cs="宋体"/>
                <w:kern w:val="0"/>
                <w:sz w:val="18"/>
                <w:szCs w:val="18"/>
              </w:rPr>
            </w:pPr>
            <w:r>
              <w:rPr>
                <w:rFonts w:hint="eastAsia" w:ascii="宋体" w:hAnsi="宋体" w:cs="宋体"/>
                <w:kern w:val="0"/>
                <w:sz w:val="18"/>
                <w:szCs w:val="18"/>
              </w:rPr>
              <w:t>到期已结案的劳动仲裁数占受理仲裁申请总数的比例</w:t>
            </w:r>
          </w:p>
        </w:tc>
        <w:tc>
          <w:tcPr>
            <w:tcW w:w="203" w:type="pct"/>
            <w:tcBorders>
              <w:top w:val="nil"/>
              <w:left w:val="nil"/>
              <w:bottom w:val="single" w:color="auto" w:sz="4" w:space="0"/>
              <w:right w:val="single" w:color="auto" w:sz="4" w:space="0"/>
            </w:tcBorders>
            <w:vAlign w:val="center"/>
          </w:tcPr>
          <w:p w14:paraId="02D680D6">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298" w:type="pct"/>
            <w:tcBorders>
              <w:top w:val="nil"/>
              <w:left w:val="nil"/>
              <w:bottom w:val="single" w:color="auto" w:sz="4" w:space="0"/>
              <w:right w:val="single" w:color="auto" w:sz="4" w:space="0"/>
            </w:tcBorders>
            <w:vAlign w:val="center"/>
          </w:tcPr>
          <w:p w14:paraId="18A1A716">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85%</w:t>
            </w:r>
          </w:p>
        </w:tc>
        <w:tc>
          <w:tcPr>
            <w:tcW w:w="298" w:type="pct"/>
            <w:tcBorders>
              <w:top w:val="nil"/>
              <w:left w:val="nil"/>
              <w:bottom w:val="single" w:color="auto" w:sz="4" w:space="0"/>
              <w:right w:val="single" w:color="auto" w:sz="4" w:space="0"/>
            </w:tcBorders>
            <w:vAlign w:val="center"/>
          </w:tcPr>
          <w:p w14:paraId="3E5B6A88">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80%</w:t>
            </w:r>
          </w:p>
        </w:tc>
        <w:tc>
          <w:tcPr>
            <w:tcW w:w="203" w:type="pct"/>
            <w:tcBorders>
              <w:top w:val="nil"/>
              <w:left w:val="nil"/>
              <w:bottom w:val="single" w:color="auto" w:sz="4" w:space="0"/>
              <w:right w:val="single" w:color="auto" w:sz="4" w:space="0"/>
            </w:tcBorders>
            <w:vAlign w:val="center"/>
          </w:tcPr>
          <w:p w14:paraId="618F2BC1">
            <w:pPr>
              <w:widowControl/>
              <w:jc w:val="left"/>
              <w:rPr>
                <w:rFonts w:ascii="宋体" w:cs="宋体"/>
                <w:kern w:val="0"/>
                <w:sz w:val="18"/>
                <w:szCs w:val="18"/>
              </w:rPr>
            </w:pPr>
            <w:r>
              <w:rPr>
                <w:rFonts w:ascii="宋体" w:hAnsi="宋体" w:cs="宋体"/>
                <w:kern w:val="0"/>
                <w:sz w:val="18"/>
                <w:szCs w:val="18"/>
              </w:rPr>
              <w:t>&lt;80%</w:t>
            </w:r>
          </w:p>
        </w:tc>
      </w:tr>
      <w:tr w14:paraId="0A33AA9F">
        <w:tblPrEx>
          <w:tblCellMar>
            <w:top w:w="0" w:type="dxa"/>
            <w:left w:w="108" w:type="dxa"/>
            <w:bottom w:w="0" w:type="dxa"/>
            <w:right w:w="108" w:type="dxa"/>
          </w:tblCellMar>
        </w:tblPrEx>
        <w:trPr>
          <w:trHeight w:val="432" w:hRule="atLeast"/>
        </w:trPr>
        <w:tc>
          <w:tcPr>
            <w:tcW w:w="204" w:type="pct"/>
            <w:vMerge w:val="continue"/>
            <w:tcBorders>
              <w:top w:val="nil"/>
              <w:left w:val="single" w:color="auto" w:sz="4" w:space="0"/>
              <w:bottom w:val="single" w:color="auto" w:sz="4" w:space="0"/>
              <w:right w:val="single" w:color="auto" w:sz="4" w:space="0"/>
            </w:tcBorders>
            <w:vAlign w:val="center"/>
          </w:tcPr>
          <w:p w14:paraId="0C58B426">
            <w:pPr>
              <w:widowControl/>
              <w:jc w:val="left"/>
              <w:rPr>
                <w:rFonts w:ascii="宋体" w:cs="宋体"/>
                <w:kern w:val="0"/>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0611DAA7">
            <w:pPr>
              <w:widowControl/>
              <w:jc w:val="left"/>
              <w:rPr>
                <w:rFonts w:ascii="宋体" w:cs="宋体"/>
                <w:kern w:val="0"/>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1E43F79A">
            <w:pPr>
              <w:widowControl/>
              <w:jc w:val="left"/>
              <w:rPr>
                <w:rFonts w:ascii="宋体" w:cs="宋体"/>
                <w:kern w:val="0"/>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14:paraId="6E365243">
            <w:pPr>
              <w:widowControl/>
              <w:jc w:val="left"/>
              <w:rPr>
                <w:rFonts w:ascii="宋体" w:cs="宋体"/>
                <w:kern w:val="0"/>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14:paraId="482169FC">
            <w:pPr>
              <w:widowControl/>
              <w:jc w:val="left"/>
              <w:rPr>
                <w:rFonts w:ascii="宋体" w:cs="宋体"/>
                <w:kern w:val="0"/>
                <w:sz w:val="18"/>
                <w:szCs w:val="18"/>
              </w:rPr>
            </w:pPr>
          </w:p>
        </w:tc>
        <w:tc>
          <w:tcPr>
            <w:tcW w:w="631" w:type="pct"/>
            <w:tcBorders>
              <w:top w:val="nil"/>
              <w:left w:val="nil"/>
              <w:bottom w:val="single" w:color="auto" w:sz="4" w:space="0"/>
              <w:right w:val="single" w:color="auto" w:sz="4" w:space="0"/>
            </w:tcBorders>
            <w:vAlign w:val="center"/>
          </w:tcPr>
          <w:p w14:paraId="0F6469A2">
            <w:pPr>
              <w:widowControl/>
              <w:jc w:val="left"/>
              <w:rPr>
                <w:rFonts w:ascii="宋体" w:cs="宋体"/>
                <w:kern w:val="0"/>
                <w:sz w:val="18"/>
                <w:szCs w:val="18"/>
              </w:rPr>
            </w:pPr>
            <w:r>
              <w:rPr>
                <w:rFonts w:hint="eastAsia" w:ascii="宋体" w:hAnsi="宋体" w:cs="宋体"/>
                <w:kern w:val="0"/>
                <w:sz w:val="18"/>
                <w:szCs w:val="18"/>
              </w:rPr>
              <w:t>劳动关系的调解、仲裁、信访完成率</w:t>
            </w:r>
          </w:p>
        </w:tc>
        <w:tc>
          <w:tcPr>
            <w:tcW w:w="901" w:type="pct"/>
            <w:tcBorders>
              <w:top w:val="nil"/>
              <w:left w:val="nil"/>
              <w:bottom w:val="single" w:color="auto" w:sz="4" w:space="0"/>
              <w:right w:val="single" w:color="auto" w:sz="4" w:space="0"/>
            </w:tcBorders>
            <w:vAlign w:val="center"/>
          </w:tcPr>
          <w:p w14:paraId="4B8657E0">
            <w:pPr>
              <w:widowControl/>
              <w:jc w:val="left"/>
              <w:rPr>
                <w:rFonts w:ascii="宋体" w:cs="宋体"/>
                <w:kern w:val="0"/>
                <w:sz w:val="18"/>
                <w:szCs w:val="18"/>
              </w:rPr>
            </w:pPr>
            <w:r>
              <w:rPr>
                <w:rFonts w:hint="eastAsia" w:ascii="宋体" w:hAnsi="宋体" w:cs="宋体"/>
                <w:kern w:val="0"/>
                <w:sz w:val="18"/>
                <w:szCs w:val="18"/>
              </w:rPr>
              <w:t>劳动关系的调解、仲裁、信访工作完成总数占申请调解、仲裁、信访数量的比例</w:t>
            </w:r>
          </w:p>
        </w:tc>
        <w:tc>
          <w:tcPr>
            <w:tcW w:w="203" w:type="pct"/>
            <w:tcBorders>
              <w:top w:val="nil"/>
              <w:left w:val="nil"/>
              <w:bottom w:val="single" w:color="auto" w:sz="4" w:space="0"/>
              <w:right w:val="single" w:color="auto" w:sz="4" w:space="0"/>
            </w:tcBorders>
            <w:vAlign w:val="center"/>
          </w:tcPr>
          <w:p w14:paraId="64A5C8DF">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298" w:type="pct"/>
            <w:tcBorders>
              <w:top w:val="nil"/>
              <w:left w:val="nil"/>
              <w:bottom w:val="single" w:color="auto" w:sz="4" w:space="0"/>
              <w:right w:val="single" w:color="auto" w:sz="4" w:space="0"/>
            </w:tcBorders>
            <w:vAlign w:val="center"/>
          </w:tcPr>
          <w:p w14:paraId="23E73668">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85%</w:t>
            </w:r>
          </w:p>
        </w:tc>
        <w:tc>
          <w:tcPr>
            <w:tcW w:w="298" w:type="pct"/>
            <w:tcBorders>
              <w:top w:val="nil"/>
              <w:left w:val="nil"/>
              <w:bottom w:val="single" w:color="auto" w:sz="4" w:space="0"/>
              <w:right w:val="single" w:color="auto" w:sz="4" w:space="0"/>
            </w:tcBorders>
            <w:vAlign w:val="center"/>
          </w:tcPr>
          <w:p w14:paraId="4F3D077C">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80%</w:t>
            </w:r>
          </w:p>
        </w:tc>
        <w:tc>
          <w:tcPr>
            <w:tcW w:w="203" w:type="pct"/>
            <w:tcBorders>
              <w:top w:val="nil"/>
              <w:left w:val="nil"/>
              <w:bottom w:val="single" w:color="auto" w:sz="4" w:space="0"/>
              <w:right w:val="single" w:color="auto" w:sz="4" w:space="0"/>
            </w:tcBorders>
            <w:vAlign w:val="center"/>
          </w:tcPr>
          <w:p w14:paraId="5A168E35">
            <w:pPr>
              <w:widowControl/>
              <w:jc w:val="left"/>
              <w:rPr>
                <w:rFonts w:ascii="宋体" w:cs="宋体"/>
                <w:kern w:val="0"/>
                <w:sz w:val="18"/>
                <w:szCs w:val="18"/>
              </w:rPr>
            </w:pPr>
            <w:r>
              <w:rPr>
                <w:rFonts w:ascii="宋体" w:hAnsi="宋体" w:cs="宋体"/>
                <w:kern w:val="0"/>
                <w:sz w:val="18"/>
                <w:szCs w:val="18"/>
              </w:rPr>
              <w:t>&lt;80%</w:t>
            </w:r>
          </w:p>
        </w:tc>
      </w:tr>
      <w:tr w14:paraId="0363C3ED">
        <w:tblPrEx>
          <w:tblCellMar>
            <w:top w:w="0" w:type="dxa"/>
            <w:left w:w="108" w:type="dxa"/>
            <w:bottom w:w="0" w:type="dxa"/>
            <w:right w:w="108" w:type="dxa"/>
          </w:tblCellMar>
        </w:tblPrEx>
        <w:trPr>
          <w:trHeight w:val="432" w:hRule="atLeast"/>
        </w:trPr>
        <w:tc>
          <w:tcPr>
            <w:tcW w:w="204" w:type="pct"/>
            <w:tcBorders>
              <w:top w:val="nil"/>
              <w:left w:val="single" w:color="auto" w:sz="4" w:space="0"/>
              <w:bottom w:val="single" w:color="auto" w:sz="4" w:space="0"/>
              <w:right w:val="single" w:color="auto" w:sz="4" w:space="0"/>
            </w:tcBorders>
            <w:noWrap/>
            <w:vAlign w:val="center"/>
          </w:tcPr>
          <w:p w14:paraId="54BA9AC8">
            <w:pPr>
              <w:widowControl/>
              <w:jc w:val="center"/>
              <w:rPr>
                <w:rFonts w:ascii="宋体" w:cs="宋体"/>
                <w:kern w:val="0"/>
                <w:sz w:val="18"/>
                <w:szCs w:val="18"/>
              </w:rPr>
            </w:pPr>
            <w:r>
              <w:rPr>
                <w:rFonts w:ascii="宋体" w:hAnsi="宋体" w:cs="宋体"/>
                <w:kern w:val="0"/>
                <w:sz w:val="18"/>
                <w:szCs w:val="18"/>
              </w:rPr>
              <w:t>0603</w:t>
            </w:r>
          </w:p>
        </w:tc>
        <w:tc>
          <w:tcPr>
            <w:tcW w:w="279" w:type="pct"/>
            <w:tcBorders>
              <w:top w:val="nil"/>
              <w:left w:val="nil"/>
              <w:bottom w:val="single" w:color="auto" w:sz="4" w:space="0"/>
              <w:right w:val="single" w:color="auto" w:sz="4" w:space="0"/>
            </w:tcBorders>
            <w:vAlign w:val="center"/>
          </w:tcPr>
          <w:p w14:paraId="6592495C">
            <w:pPr>
              <w:widowControl/>
              <w:jc w:val="left"/>
              <w:rPr>
                <w:rFonts w:ascii="宋体" w:cs="宋体"/>
                <w:kern w:val="0"/>
                <w:sz w:val="18"/>
                <w:szCs w:val="18"/>
              </w:rPr>
            </w:pPr>
            <w:r>
              <w:rPr>
                <w:rFonts w:hint="eastAsia" w:ascii="宋体" w:hAnsi="宋体" w:cs="宋体"/>
                <w:kern w:val="0"/>
                <w:sz w:val="18"/>
                <w:szCs w:val="18"/>
              </w:rPr>
              <w:t>劳动监察事务管理</w:t>
            </w:r>
          </w:p>
        </w:tc>
        <w:tc>
          <w:tcPr>
            <w:tcW w:w="1004" w:type="pct"/>
            <w:tcBorders>
              <w:top w:val="nil"/>
              <w:left w:val="nil"/>
              <w:bottom w:val="single" w:color="auto" w:sz="4" w:space="0"/>
              <w:right w:val="single" w:color="auto" w:sz="4" w:space="0"/>
            </w:tcBorders>
            <w:vAlign w:val="center"/>
          </w:tcPr>
          <w:p w14:paraId="06CB0D44">
            <w:pPr>
              <w:widowControl/>
              <w:jc w:val="left"/>
              <w:rPr>
                <w:rFonts w:ascii="宋体" w:cs="宋体"/>
                <w:kern w:val="0"/>
                <w:sz w:val="18"/>
                <w:szCs w:val="18"/>
              </w:rPr>
            </w:pPr>
            <w:r>
              <w:rPr>
                <w:rFonts w:hint="eastAsia" w:ascii="宋体" w:hAnsi="宋体" w:cs="宋体"/>
                <w:kern w:val="0"/>
                <w:sz w:val="18"/>
                <w:szCs w:val="18"/>
              </w:rPr>
              <w:t>组织实施劳动保障监察执法，依法查处重大违法案件。</w:t>
            </w:r>
          </w:p>
        </w:tc>
        <w:tc>
          <w:tcPr>
            <w:tcW w:w="203" w:type="pct"/>
            <w:tcBorders>
              <w:top w:val="nil"/>
              <w:left w:val="nil"/>
              <w:bottom w:val="single" w:color="auto" w:sz="4" w:space="0"/>
              <w:right w:val="single" w:color="auto" w:sz="4" w:space="0"/>
            </w:tcBorders>
            <w:noWrap/>
            <w:vAlign w:val="center"/>
          </w:tcPr>
          <w:p w14:paraId="11E8F5AB">
            <w:pPr>
              <w:widowControl/>
              <w:jc w:val="right"/>
              <w:rPr>
                <w:rFonts w:ascii="宋体" w:cs="宋体"/>
                <w:kern w:val="0"/>
                <w:sz w:val="18"/>
                <w:szCs w:val="18"/>
              </w:rPr>
            </w:pPr>
            <w:r>
              <w:rPr>
                <w:rFonts w:ascii="宋体" w:hAnsi="宋体" w:cs="宋体"/>
                <w:kern w:val="0"/>
                <w:sz w:val="18"/>
                <w:szCs w:val="18"/>
              </w:rPr>
              <w:t>2022</w:t>
            </w:r>
          </w:p>
        </w:tc>
        <w:tc>
          <w:tcPr>
            <w:tcW w:w="775" w:type="pct"/>
            <w:tcBorders>
              <w:top w:val="nil"/>
              <w:left w:val="nil"/>
              <w:bottom w:val="single" w:color="auto" w:sz="4" w:space="0"/>
              <w:right w:val="single" w:color="auto" w:sz="4" w:space="0"/>
            </w:tcBorders>
            <w:vAlign w:val="center"/>
          </w:tcPr>
          <w:p w14:paraId="0AB3FEB9">
            <w:pPr>
              <w:widowControl/>
              <w:jc w:val="left"/>
              <w:rPr>
                <w:rFonts w:ascii="宋体" w:cs="宋体"/>
                <w:kern w:val="0"/>
                <w:sz w:val="18"/>
                <w:szCs w:val="18"/>
              </w:rPr>
            </w:pPr>
            <w:r>
              <w:rPr>
                <w:rFonts w:hint="eastAsia" w:ascii="宋体" w:hAnsi="宋体" w:cs="宋体"/>
                <w:kern w:val="0"/>
                <w:sz w:val="18"/>
                <w:szCs w:val="18"/>
              </w:rPr>
              <w:t>提高劳动保障监察案件结案率。</w:t>
            </w:r>
          </w:p>
        </w:tc>
        <w:tc>
          <w:tcPr>
            <w:tcW w:w="631" w:type="pct"/>
            <w:tcBorders>
              <w:top w:val="nil"/>
              <w:left w:val="nil"/>
              <w:bottom w:val="single" w:color="auto" w:sz="4" w:space="0"/>
              <w:right w:val="single" w:color="auto" w:sz="4" w:space="0"/>
            </w:tcBorders>
            <w:vAlign w:val="center"/>
          </w:tcPr>
          <w:p w14:paraId="7F293CD4">
            <w:pPr>
              <w:widowControl/>
              <w:jc w:val="left"/>
              <w:rPr>
                <w:rFonts w:ascii="宋体" w:cs="宋体"/>
                <w:kern w:val="0"/>
                <w:sz w:val="18"/>
                <w:szCs w:val="18"/>
              </w:rPr>
            </w:pPr>
            <w:r>
              <w:rPr>
                <w:rFonts w:hint="eastAsia" w:ascii="宋体" w:hAnsi="宋体" w:cs="宋体"/>
                <w:kern w:val="0"/>
                <w:sz w:val="18"/>
                <w:szCs w:val="18"/>
              </w:rPr>
              <w:t>劳动保障监察案件结案率</w:t>
            </w:r>
          </w:p>
        </w:tc>
        <w:tc>
          <w:tcPr>
            <w:tcW w:w="901" w:type="pct"/>
            <w:tcBorders>
              <w:top w:val="nil"/>
              <w:left w:val="nil"/>
              <w:bottom w:val="single" w:color="auto" w:sz="4" w:space="0"/>
              <w:right w:val="single" w:color="auto" w:sz="4" w:space="0"/>
            </w:tcBorders>
            <w:vAlign w:val="center"/>
          </w:tcPr>
          <w:p w14:paraId="6C1222B8">
            <w:pPr>
              <w:widowControl/>
              <w:jc w:val="left"/>
              <w:rPr>
                <w:rFonts w:ascii="宋体" w:cs="宋体"/>
                <w:kern w:val="0"/>
                <w:sz w:val="18"/>
                <w:szCs w:val="18"/>
              </w:rPr>
            </w:pPr>
            <w:r>
              <w:rPr>
                <w:rFonts w:hint="eastAsia" w:ascii="宋体" w:hAnsi="宋体" w:cs="宋体"/>
                <w:kern w:val="0"/>
                <w:sz w:val="18"/>
                <w:szCs w:val="18"/>
              </w:rPr>
              <w:t>已结案的劳动监察案件占劳动监察案件总数的比例</w:t>
            </w:r>
          </w:p>
        </w:tc>
        <w:tc>
          <w:tcPr>
            <w:tcW w:w="203" w:type="pct"/>
            <w:tcBorders>
              <w:top w:val="nil"/>
              <w:left w:val="nil"/>
              <w:bottom w:val="single" w:color="auto" w:sz="4" w:space="0"/>
              <w:right w:val="single" w:color="auto" w:sz="4" w:space="0"/>
            </w:tcBorders>
            <w:vAlign w:val="center"/>
          </w:tcPr>
          <w:p w14:paraId="1C0B9239">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298" w:type="pct"/>
            <w:tcBorders>
              <w:top w:val="nil"/>
              <w:left w:val="nil"/>
              <w:bottom w:val="single" w:color="auto" w:sz="4" w:space="0"/>
              <w:right w:val="single" w:color="auto" w:sz="4" w:space="0"/>
            </w:tcBorders>
            <w:vAlign w:val="center"/>
          </w:tcPr>
          <w:p w14:paraId="0AA99720">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85%</w:t>
            </w:r>
          </w:p>
        </w:tc>
        <w:tc>
          <w:tcPr>
            <w:tcW w:w="298" w:type="pct"/>
            <w:tcBorders>
              <w:top w:val="nil"/>
              <w:left w:val="nil"/>
              <w:bottom w:val="single" w:color="auto" w:sz="4" w:space="0"/>
              <w:right w:val="single" w:color="auto" w:sz="4" w:space="0"/>
            </w:tcBorders>
            <w:vAlign w:val="center"/>
          </w:tcPr>
          <w:p w14:paraId="63BCCEBB">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80%</w:t>
            </w:r>
          </w:p>
        </w:tc>
        <w:tc>
          <w:tcPr>
            <w:tcW w:w="203" w:type="pct"/>
            <w:tcBorders>
              <w:top w:val="nil"/>
              <w:left w:val="nil"/>
              <w:bottom w:val="single" w:color="auto" w:sz="4" w:space="0"/>
              <w:right w:val="single" w:color="auto" w:sz="4" w:space="0"/>
            </w:tcBorders>
            <w:vAlign w:val="center"/>
          </w:tcPr>
          <w:p w14:paraId="0146B156">
            <w:pPr>
              <w:widowControl/>
              <w:jc w:val="left"/>
              <w:rPr>
                <w:rFonts w:ascii="宋体" w:cs="宋体"/>
                <w:kern w:val="0"/>
                <w:sz w:val="18"/>
                <w:szCs w:val="18"/>
              </w:rPr>
            </w:pPr>
            <w:r>
              <w:rPr>
                <w:rFonts w:ascii="宋体" w:hAnsi="宋体" w:cs="宋体"/>
                <w:kern w:val="0"/>
                <w:sz w:val="18"/>
                <w:szCs w:val="18"/>
              </w:rPr>
              <w:t>&lt;80%</w:t>
            </w:r>
          </w:p>
        </w:tc>
      </w:tr>
      <w:tr w14:paraId="1F5BBD9A">
        <w:tblPrEx>
          <w:tblCellMar>
            <w:top w:w="0" w:type="dxa"/>
            <w:left w:w="108" w:type="dxa"/>
            <w:bottom w:w="0" w:type="dxa"/>
            <w:right w:w="108" w:type="dxa"/>
          </w:tblCellMar>
        </w:tblPrEx>
        <w:trPr>
          <w:trHeight w:val="432" w:hRule="atLeast"/>
        </w:trPr>
        <w:tc>
          <w:tcPr>
            <w:tcW w:w="204" w:type="pct"/>
            <w:vMerge w:val="restart"/>
            <w:tcBorders>
              <w:top w:val="nil"/>
              <w:left w:val="single" w:color="auto" w:sz="4" w:space="0"/>
              <w:bottom w:val="single" w:color="auto" w:sz="4" w:space="0"/>
              <w:right w:val="single" w:color="auto" w:sz="4" w:space="0"/>
            </w:tcBorders>
            <w:noWrap/>
            <w:vAlign w:val="center"/>
          </w:tcPr>
          <w:p w14:paraId="181F2997">
            <w:pPr>
              <w:widowControl/>
              <w:jc w:val="center"/>
              <w:rPr>
                <w:rFonts w:ascii="宋体" w:cs="宋体"/>
                <w:kern w:val="0"/>
                <w:sz w:val="18"/>
                <w:szCs w:val="18"/>
              </w:rPr>
            </w:pPr>
            <w:r>
              <w:rPr>
                <w:rFonts w:ascii="宋体" w:hAnsi="宋体" w:cs="宋体"/>
                <w:kern w:val="0"/>
                <w:sz w:val="18"/>
                <w:szCs w:val="18"/>
              </w:rPr>
              <w:t>0701</w:t>
            </w:r>
          </w:p>
        </w:tc>
        <w:tc>
          <w:tcPr>
            <w:tcW w:w="279" w:type="pct"/>
            <w:vMerge w:val="restart"/>
            <w:tcBorders>
              <w:top w:val="nil"/>
              <w:left w:val="single" w:color="auto" w:sz="4" w:space="0"/>
              <w:bottom w:val="single" w:color="auto" w:sz="4" w:space="0"/>
              <w:right w:val="single" w:color="auto" w:sz="4" w:space="0"/>
            </w:tcBorders>
            <w:vAlign w:val="center"/>
          </w:tcPr>
          <w:p w14:paraId="055E79DB">
            <w:pPr>
              <w:widowControl/>
              <w:jc w:val="left"/>
              <w:rPr>
                <w:rFonts w:ascii="宋体" w:cs="宋体"/>
                <w:kern w:val="0"/>
                <w:sz w:val="18"/>
                <w:szCs w:val="18"/>
              </w:rPr>
            </w:pPr>
            <w:r>
              <w:rPr>
                <w:rFonts w:hint="eastAsia" w:ascii="宋体" w:hAnsi="宋体" w:cs="宋体"/>
                <w:kern w:val="0"/>
                <w:sz w:val="18"/>
                <w:szCs w:val="18"/>
              </w:rPr>
              <w:t>综合业务管理</w:t>
            </w:r>
          </w:p>
        </w:tc>
        <w:tc>
          <w:tcPr>
            <w:tcW w:w="1004" w:type="pct"/>
            <w:vMerge w:val="restart"/>
            <w:tcBorders>
              <w:top w:val="nil"/>
              <w:left w:val="single" w:color="auto" w:sz="4" w:space="0"/>
              <w:bottom w:val="single" w:color="auto" w:sz="4" w:space="0"/>
              <w:right w:val="single" w:color="auto" w:sz="4" w:space="0"/>
            </w:tcBorders>
            <w:vAlign w:val="center"/>
          </w:tcPr>
          <w:p w14:paraId="14D0FBB8">
            <w:pPr>
              <w:widowControl/>
              <w:jc w:val="left"/>
              <w:rPr>
                <w:rFonts w:ascii="宋体" w:cs="宋体"/>
                <w:kern w:val="0"/>
                <w:sz w:val="18"/>
                <w:szCs w:val="18"/>
              </w:rPr>
            </w:pPr>
            <w:r>
              <w:rPr>
                <w:rFonts w:hint="eastAsia" w:ascii="宋体" w:hAnsi="宋体" w:cs="宋体"/>
                <w:kern w:val="0"/>
                <w:sz w:val="18"/>
                <w:szCs w:val="18"/>
              </w:rPr>
              <w:t>制定人力资源和社会保障事业发展规划，政务服务、</w:t>
            </w:r>
            <w:r>
              <w:rPr>
                <w:rFonts w:ascii="宋体" w:hAnsi="宋体" w:cs="宋体"/>
                <w:kern w:val="0"/>
                <w:sz w:val="18"/>
                <w:szCs w:val="18"/>
              </w:rPr>
              <w:t>12333</w:t>
            </w:r>
            <w:r>
              <w:rPr>
                <w:rFonts w:hint="eastAsia" w:ascii="宋体" w:hAnsi="宋体" w:cs="宋体"/>
                <w:kern w:val="0"/>
                <w:sz w:val="18"/>
                <w:szCs w:val="18"/>
              </w:rPr>
              <w:t>电话咨询系统及信息系统建设，编制社会保险基金预决算草案。负责社保基金综合管理。</w:t>
            </w:r>
          </w:p>
        </w:tc>
        <w:tc>
          <w:tcPr>
            <w:tcW w:w="203" w:type="pct"/>
            <w:vMerge w:val="restart"/>
            <w:tcBorders>
              <w:top w:val="nil"/>
              <w:left w:val="single" w:color="auto" w:sz="4" w:space="0"/>
              <w:bottom w:val="single" w:color="auto" w:sz="4" w:space="0"/>
              <w:right w:val="single" w:color="auto" w:sz="4" w:space="0"/>
            </w:tcBorders>
            <w:noWrap/>
            <w:vAlign w:val="center"/>
          </w:tcPr>
          <w:p w14:paraId="1924FDDC">
            <w:pPr>
              <w:widowControl/>
              <w:jc w:val="center"/>
              <w:rPr>
                <w:rFonts w:ascii="宋体" w:cs="宋体"/>
                <w:kern w:val="0"/>
                <w:sz w:val="18"/>
                <w:szCs w:val="18"/>
              </w:rPr>
            </w:pPr>
            <w:r>
              <w:rPr>
                <w:rFonts w:ascii="宋体" w:hAnsi="宋体" w:cs="宋体"/>
                <w:kern w:val="0"/>
                <w:sz w:val="18"/>
                <w:szCs w:val="18"/>
              </w:rPr>
              <w:t>2022</w:t>
            </w:r>
          </w:p>
        </w:tc>
        <w:tc>
          <w:tcPr>
            <w:tcW w:w="775" w:type="pct"/>
            <w:vMerge w:val="restart"/>
            <w:tcBorders>
              <w:top w:val="nil"/>
              <w:left w:val="single" w:color="auto" w:sz="4" w:space="0"/>
              <w:bottom w:val="single" w:color="auto" w:sz="4" w:space="0"/>
              <w:right w:val="single" w:color="auto" w:sz="4" w:space="0"/>
            </w:tcBorders>
            <w:vAlign w:val="center"/>
          </w:tcPr>
          <w:p w14:paraId="251D03E6">
            <w:pPr>
              <w:widowControl/>
              <w:jc w:val="left"/>
              <w:rPr>
                <w:rFonts w:ascii="宋体" w:cs="宋体"/>
                <w:kern w:val="0"/>
                <w:sz w:val="18"/>
                <w:szCs w:val="18"/>
              </w:rPr>
            </w:pPr>
            <w:r>
              <w:rPr>
                <w:rFonts w:hint="eastAsia" w:ascii="宋体" w:hAnsi="宋体" w:cs="宋体"/>
                <w:kern w:val="0"/>
                <w:sz w:val="18"/>
                <w:szCs w:val="18"/>
              </w:rPr>
              <w:t>接受社会监督，为群众提供优质政务服务</w:t>
            </w:r>
          </w:p>
        </w:tc>
        <w:tc>
          <w:tcPr>
            <w:tcW w:w="631" w:type="pct"/>
            <w:tcBorders>
              <w:top w:val="nil"/>
              <w:left w:val="nil"/>
              <w:bottom w:val="single" w:color="auto" w:sz="4" w:space="0"/>
              <w:right w:val="single" w:color="auto" w:sz="4" w:space="0"/>
            </w:tcBorders>
            <w:vAlign w:val="center"/>
          </w:tcPr>
          <w:p w14:paraId="5EBC2D46">
            <w:pPr>
              <w:widowControl/>
              <w:jc w:val="left"/>
              <w:rPr>
                <w:rFonts w:ascii="宋体" w:cs="宋体"/>
                <w:kern w:val="0"/>
                <w:sz w:val="18"/>
                <w:szCs w:val="18"/>
              </w:rPr>
            </w:pPr>
            <w:r>
              <w:rPr>
                <w:rFonts w:hint="eastAsia" w:ascii="宋体" w:hAnsi="宋体" w:cs="宋体"/>
                <w:kern w:val="0"/>
                <w:sz w:val="18"/>
                <w:szCs w:val="18"/>
              </w:rPr>
              <w:t>政务服务、</w:t>
            </w:r>
            <w:r>
              <w:rPr>
                <w:rFonts w:ascii="宋体" w:hAnsi="宋体" w:cs="宋体"/>
                <w:kern w:val="0"/>
                <w:sz w:val="18"/>
                <w:szCs w:val="18"/>
              </w:rPr>
              <w:t>12333</w:t>
            </w:r>
            <w:r>
              <w:rPr>
                <w:rFonts w:hint="eastAsia" w:ascii="宋体" w:hAnsi="宋体" w:cs="宋体"/>
                <w:kern w:val="0"/>
                <w:sz w:val="18"/>
                <w:szCs w:val="18"/>
              </w:rPr>
              <w:t>电话咨询系统及信息系统建设完成情况</w:t>
            </w:r>
          </w:p>
        </w:tc>
        <w:tc>
          <w:tcPr>
            <w:tcW w:w="901" w:type="pct"/>
            <w:tcBorders>
              <w:top w:val="nil"/>
              <w:left w:val="nil"/>
              <w:bottom w:val="single" w:color="auto" w:sz="4" w:space="0"/>
              <w:right w:val="single" w:color="auto" w:sz="4" w:space="0"/>
            </w:tcBorders>
            <w:vAlign w:val="center"/>
          </w:tcPr>
          <w:p w14:paraId="3A2F9B2A">
            <w:pPr>
              <w:widowControl/>
              <w:jc w:val="left"/>
              <w:rPr>
                <w:rFonts w:ascii="宋体" w:cs="宋体"/>
                <w:kern w:val="0"/>
                <w:sz w:val="18"/>
                <w:szCs w:val="18"/>
              </w:rPr>
            </w:pPr>
            <w:r>
              <w:rPr>
                <w:rFonts w:hint="eastAsia" w:ascii="宋体" w:hAnsi="宋体" w:cs="宋体"/>
                <w:kern w:val="0"/>
                <w:sz w:val="18"/>
                <w:szCs w:val="18"/>
              </w:rPr>
              <w:t>年度内政务服务、</w:t>
            </w:r>
            <w:r>
              <w:rPr>
                <w:rFonts w:ascii="宋体" w:hAnsi="宋体" w:cs="宋体"/>
                <w:kern w:val="0"/>
                <w:sz w:val="18"/>
                <w:szCs w:val="18"/>
              </w:rPr>
              <w:t>12333</w:t>
            </w:r>
            <w:r>
              <w:rPr>
                <w:rFonts w:hint="eastAsia" w:ascii="宋体" w:hAnsi="宋体" w:cs="宋体"/>
                <w:kern w:val="0"/>
                <w:sz w:val="18"/>
                <w:szCs w:val="18"/>
              </w:rPr>
              <w:t>电话咨询系统及信息系统建设完成情况</w:t>
            </w:r>
          </w:p>
        </w:tc>
        <w:tc>
          <w:tcPr>
            <w:tcW w:w="203" w:type="pct"/>
            <w:tcBorders>
              <w:top w:val="nil"/>
              <w:left w:val="nil"/>
              <w:bottom w:val="single" w:color="auto" w:sz="4" w:space="0"/>
              <w:right w:val="single" w:color="auto" w:sz="4" w:space="0"/>
            </w:tcBorders>
            <w:vAlign w:val="center"/>
          </w:tcPr>
          <w:p w14:paraId="060304E7">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298" w:type="pct"/>
            <w:tcBorders>
              <w:top w:val="nil"/>
              <w:left w:val="nil"/>
              <w:bottom w:val="single" w:color="auto" w:sz="4" w:space="0"/>
              <w:right w:val="single" w:color="auto" w:sz="4" w:space="0"/>
            </w:tcBorders>
            <w:vAlign w:val="center"/>
          </w:tcPr>
          <w:p w14:paraId="3DC2F1DA">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298" w:type="pct"/>
            <w:tcBorders>
              <w:top w:val="nil"/>
              <w:left w:val="nil"/>
              <w:bottom w:val="single" w:color="auto" w:sz="4" w:space="0"/>
              <w:right w:val="single" w:color="auto" w:sz="4" w:space="0"/>
            </w:tcBorders>
            <w:vAlign w:val="center"/>
          </w:tcPr>
          <w:p w14:paraId="55B1CB66">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85%</w:t>
            </w:r>
          </w:p>
        </w:tc>
        <w:tc>
          <w:tcPr>
            <w:tcW w:w="203" w:type="pct"/>
            <w:tcBorders>
              <w:top w:val="nil"/>
              <w:left w:val="nil"/>
              <w:bottom w:val="single" w:color="auto" w:sz="4" w:space="0"/>
              <w:right w:val="single" w:color="auto" w:sz="4" w:space="0"/>
            </w:tcBorders>
            <w:vAlign w:val="center"/>
          </w:tcPr>
          <w:p w14:paraId="32A91EC2">
            <w:pPr>
              <w:widowControl/>
              <w:jc w:val="left"/>
              <w:rPr>
                <w:rFonts w:ascii="宋体" w:cs="宋体"/>
                <w:kern w:val="0"/>
                <w:sz w:val="18"/>
                <w:szCs w:val="18"/>
              </w:rPr>
            </w:pPr>
            <w:r>
              <w:rPr>
                <w:rFonts w:ascii="宋体" w:hAnsi="宋体" w:cs="宋体"/>
                <w:kern w:val="0"/>
                <w:sz w:val="18"/>
                <w:szCs w:val="18"/>
              </w:rPr>
              <w:t>&lt;85%</w:t>
            </w:r>
          </w:p>
        </w:tc>
      </w:tr>
      <w:tr w14:paraId="54EEA872">
        <w:tblPrEx>
          <w:tblCellMar>
            <w:top w:w="0" w:type="dxa"/>
            <w:left w:w="108" w:type="dxa"/>
            <w:bottom w:w="0" w:type="dxa"/>
            <w:right w:w="108" w:type="dxa"/>
          </w:tblCellMar>
        </w:tblPrEx>
        <w:trPr>
          <w:trHeight w:val="432" w:hRule="atLeast"/>
        </w:trPr>
        <w:tc>
          <w:tcPr>
            <w:tcW w:w="204" w:type="pct"/>
            <w:vMerge w:val="continue"/>
            <w:tcBorders>
              <w:top w:val="nil"/>
              <w:left w:val="single" w:color="auto" w:sz="4" w:space="0"/>
              <w:bottom w:val="single" w:color="auto" w:sz="4" w:space="0"/>
              <w:right w:val="single" w:color="auto" w:sz="4" w:space="0"/>
            </w:tcBorders>
            <w:vAlign w:val="center"/>
          </w:tcPr>
          <w:p w14:paraId="79289E6D">
            <w:pPr>
              <w:widowControl/>
              <w:jc w:val="left"/>
              <w:rPr>
                <w:rFonts w:ascii="宋体" w:cs="宋体"/>
                <w:kern w:val="0"/>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771A7646">
            <w:pPr>
              <w:widowControl/>
              <w:jc w:val="left"/>
              <w:rPr>
                <w:rFonts w:ascii="宋体" w:cs="宋体"/>
                <w:kern w:val="0"/>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77A96D70">
            <w:pPr>
              <w:widowControl/>
              <w:jc w:val="left"/>
              <w:rPr>
                <w:rFonts w:ascii="宋体" w:cs="宋体"/>
                <w:kern w:val="0"/>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14:paraId="08FBD2F4">
            <w:pPr>
              <w:widowControl/>
              <w:jc w:val="left"/>
              <w:rPr>
                <w:rFonts w:ascii="宋体" w:cs="宋体"/>
                <w:kern w:val="0"/>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14:paraId="26B0DFEB">
            <w:pPr>
              <w:widowControl/>
              <w:jc w:val="left"/>
              <w:rPr>
                <w:rFonts w:ascii="宋体" w:cs="宋体"/>
                <w:kern w:val="0"/>
                <w:sz w:val="18"/>
                <w:szCs w:val="18"/>
              </w:rPr>
            </w:pPr>
          </w:p>
        </w:tc>
        <w:tc>
          <w:tcPr>
            <w:tcW w:w="631" w:type="pct"/>
            <w:tcBorders>
              <w:top w:val="nil"/>
              <w:left w:val="nil"/>
              <w:bottom w:val="single" w:color="auto" w:sz="4" w:space="0"/>
              <w:right w:val="single" w:color="auto" w:sz="4" w:space="0"/>
            </w:tcBorders>
            <w:vAlign w:val="center"/>
          </w:tcPr>
          <w:p w14:paraId="6532F626">
            <w:pPr>
              <w:widowControl/>
              <w:jc w:val="left"/>
              <w:rPr>
                <w:rFonts w:ascii="宋体" w:cs="宋体"/>
                <w:kern w:val="0"/>
                <w:sz w:val="18"/>
                <w:szCs w:val="18"/>
              </w:rPr>
            </w:pPr>
            <w:r>
              <w:rPr>
                <w:rFonts w:hint="eastAsia" w:ascii="宋体" w:hAnsi="宋体" w:cs="宋体"/>
                <w:kern w:val="0"/>
                <w:sz w:val="18"/>
                <w:szCs w:val="18"/>
              </w:rPr>
              <w:t>为群众提供优质政务服务完成率</w:t>
            </w:r>
          </w:p>
        </w:tc>
        <w:tc>
          <w:tcPr>
            <w:tcW w:w="901" w:type="pct"/>
            <w:tcBorders>
              <w:top w:val="nil"/>
              <w:left w:val="nil"/>
              <w:bottom w:val="single" w:color="auto" w:sz="4" w:space="0"/>
              <w:right w:val="single" w:color="auto" w:sz="4" w:space="0"/>
            </w:tcBorders>
            <w:vAlign w:val="center"/>
          </w:tcPr>
          <w:p w14:paraId="7D12DF1D">
            <w:pPr>
              <w:widowControl/>
              <w:jc w:val="left"/>
              <w:rPr>
                <w:rFonts w:ascii="宋体" w:cs="宋体"/>
                <w:kern w:val="0"/>
                <w:sz w:val="18"/>
                <w:szCs w:val="18"/>
              </w:rPr>
            </w:pPr>
            <w:r>
              <w:rPr>
                <w:rFonts w:hint="eastAsia" w:ascii="宋体" w:hAnsi="宋体" w:cs="宋体"/>
                <w:kern w:val="0"/>
                <w:sz w:val="18"/>
                <w:szCs w:val="18"/>
              </w:rPr>
              <w:t>为群众提供优质政务服务案件数量占申请政务服务数量的比例</w:t>
            </w:r>
          </w:p>
        </w:tc>
        <w:tc>
          <w:tcPr>
            <w:tcW w:w="203" w:type="pct"/>
            <w:tcBorders>
              <w:top w:val="nil"/>
              <w:left w:val="nil"/>
              <w:bottom w:val="single" w:color="auto" w:sz="4" w:space="0"/>
              <w:right w:val="single" w:color="auto" w:sz="4" w:space="0"/>
            </w:tcBorders>
            <w:vAlign w:val="center"/>
          </w:tcPr>
          <w:p w14:paraId="4664A019">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298" w:type="pct"/>
            <w:tcBorders>
              <w:top w:val="nil"/>
              <w:left w:val="nil"/>
              <w:bottom w:val="single" w:color="auto" w:sz="4" w:space="0"/>
              <w:right w:val="single" w:color="auto" w:sz="4" w:space="0"/>
            </w:tcBorders>
            <w:vAlign w:val="center"/>
          </w:tcPr>
          <w:p w14:paraId="3F601DD6">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298" w:type="pct"/>
            <w:tcBorders>
              <w:top w:val="nil"/>
              <w:left w:val="nil"/>
              <w:bottom w:val="single" w:color="auto" w:sz="4" w:space="0"/>
              <w:right w:val="single" w:color="auto" w:sz="4" w:space="0"/>
            </w:tcBorders>
            <w:vAlign w:val="center"/>
          </w:tcPr>
          <w:p w14:paraId="0301F6CB">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85%</w:t>
            </w:r>
          </w:p>
        </w:tc>
        <w:tc>
          <w:tcPr>
            <w:tcW w:w="203" w:type="pct"/>
            <w:tcBorders>
              <w:top w:val="nil"/>
              <w:left w:val="nil"/>
              <w:bottom w:val="single" w:color="auto" w:sz="4" w:space="0"/>
              <w:right w:val="single" w:color="auto" w:sz="4" w:space="0"/>
            </w:tcBorders>
            <w:vAlign w:val="center"/>
          </w:tcPr>
          <w:p w14:paraId="03091787">
            <w:pPr>
              <w:widowControl/>
              <w:jc w:val="left"/>
              <w:rPr>
                <w:rFonts w:ascii="宋体" w:cs="宋体"/>
                <w:kern w:val="0"/>
                <w:sz w:val="18"/>
                <w:szCs w:val="18"/>
              </w:rPr>
            </w:pPr>
            <w:r>
              <w:rPr>
                <w:rFonts w:ascii="宋体" w:hAnsi="宋体" w:cs="宋体"/>
                <w:kern w:val="0"/>
                <w:sz w:val="18"/>
                <w:szCs w:val="18"/>
              </w:rPr>
              <w:t>&lt;85%</w:t>
            </w:r>
          </w:p>
        </w:tc>
      </w:tr>
      <w:tr w14:paraId="4E875823">
        <w:tblPrEx>
          <w:tblCellMar>
            <w:top w:w="0" w:type="dxa"/>
            <w:left w:w="108" w:type="dxa"/>
            <w:bottom w:w="0" w:type="dxa"/>
            <w:right w:w="108" w:type="dxa"/>
          </w:tblCellMar>
        </w:tblPrEx>
        <w:trPr>
          <w:trHeight w:val="216" w:hRule="atLeast"/>
        </w:trPr>
        <w:tc>
          <w:tcPr>
            <w:tcW w:w="204" w:type="pct"/>
            <w:vMerge w:val="continue"/>
            <w:tcBorders>
              <w:top w:val="nil"/>
              <w:left w:val="single" w:color="auto" w:sz="4" w:space="0"/>
              <w:bottom w:val="single" w:color="auto" w:sz="4" w:space="0"/>
              <w:right w:val="single" w:color="auto" w:sz="4" w:space="0"/>
            </w:tcBorders>
            <w:vAlign w:val="center"/>
          </w:tcPr>
          <w:p w14:paraId="71B72CB0">
            <w:pPr>
              <w:widowControl/>
              <w:jc w:val="left"/>
              <w:rPr>
                <w:rFonts w:ascii="宋体" w:cs="宋体"/>
                <w:kern w:val="0"/>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120FBCBB">
            <w:pPr>
              <w:widowControl/>
              <w:jc w:val="left"/>
              <w:rPr>
                <w:rFonts w:ascii="宋体" w:cs="宋体"/>
                <w:kern w:val="0"/>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01826DBD">
            <w:pPr>
              <w:widowControl/>
              <w:jc w:val="left"/>
              <w:rPr>
                <w:rFonts w:ascii="宋体" w:cs="宋体"/>
                <w:kern w:val="0"/>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14:paraId="4A890B2A">
            <w:pPr>
              <w:widowControl/>
              <w:jc w:val="left"/>
              <w:rPr>
                <w:rFonts w:ascii="宋体" w:cs="宋体"/>
                <w:kern w:val="0"/>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14:paraId="16642A9C">
            <w:pPr>
              <w:widowControl/>
              <w:jc w:val="left"/>
              <w:rPr>
                <w:rFonts w:ascii="宋体" w:cs="宋体"/>
                <w:kern w:val="0"/>
                <w:sz w:val="18"/>
                <w:szCs w:val="18"/>
              </w:rPr>
            </w:pPr>
          </w:p>
        </w:tc>
        <w:tc>
          <w:tcPr>
            <w:tcW w:w="631" w:type="pct"/>
            <w:tcBorders>
              <w:top w:val="nil"/>
              <w:left w:val="nil"/>
              <w:bottom w:val="single" w:color="auto" w:sz="4" w:space="0"/>
              <w:right w:val="single" w:color="auto" w:sz="4" w:space="0"/>
            </w:tcBorders>
            <w:vAlign w:val="center"/>
          </w:tcPr>
          <w:p w14:paraId="1B98932C">
            <w:pPr>
              <w:widowControl/>
              <w:jc w:val="left"/>
              <w:rPr>
                <w:rFonts w:ascii="宋体" w:cs="宋体"/>
                <w:kern w:val="0"/>
                <w:sz w:val="18"/>
                <w:szCs w:val="18"/>
              </w:rPr>
            </w:pPr>
            <w:r>
              <w:rPr>
                <w:rFonts w:hint="eastAsia" w:ascii="宋体" w:hAnsi="宋体" w:cs="宋体"/>
                <w:kern w:val="0"/>
                <w:sz w:val="18"/>
                <w:szCs w:val="18"/>
              </w:rPr>
              <w:t>综合业务管理工作完成率</w:t>
            </w:r>
          </w:p>
        </w:tc>
        <w:tc>
          <w:tcPr>
            <w:tcW w:w="901" w:type="pct"/>
            <w:tcBorders>
              <w:top w:val="nil"/>
              <w:left w:val="nil"/>
              <w:bottom w:val="single" w:color="auto" w:sz="4" w:space="0"/>
              <w:right w:val="single" w:color="auto" w:sz="4" w:space="0"/>
            </w:tcBorders>
            <w:vAlign w:val="center"/>
          </w:tcPr>
          <w:p w14:paraId="1E7A3C87">
            <w:pPr>
              <w:widowControl/>
              <w:jc w:val="left"/>
              <w:rPr>
                <w:rFonts w:ascii="宋体" w:cs="宋体"/>
                <w:kern w:val="0"/>
                <w:sz w:val="18"/>
                <w:szCs w:val="18"/>
              </w:rPr>
            </w:pPr>
            <w:r>
              <w:rPr>
                <w:rFonts w:hint="eastAsia" w:ascii="宋体" w:hAnsi="宋体" w:cs="宋体"/>
                <w:kern w:val="0"/>
                <w:sz w:val="18"/>
                <w:szCs w:val="18"/>
              </w:rPr>
              <w:t>综合业务管理工作完成情况</w:t>
            </w:r>
          </w:p>
        </w:tc>
        <w:tc>
          <w:tcPr>
            <w:tcW w:w="203" w:type="pct"/>
            <w:tcBorders>
              <w:top w:val="nil"/>
              <w:left w:val="nil"/>
              <w:bottom w:val="single" w:color="auto" w:sz="4" w:space="0"/>
              <w:right w:val="single" w:color="auto" w:sz="4" w:space="0"/>
            </w:tcBorders>
            <w:vAlign w:val="center"/>
          </w:tcPr>
          <w:p w14:paraId="0ADCCB9F">
            <w:pPr>
              <w:widowControl/>
              <w:jc w:val="left"/>
              <w:rPr>
                <w:rFonts w:ascii="宋体" w:cs="宋体"/>
                <w:kern w:val="0"/>
                <w:sz w:val="18"/>
                <w:szCs w:val="18"/>
              </w:rPr>
            </w:pPr>
            <w:r>
              <w:rPr>
                <w:rFonts w:ascii="宋体" w:hAnsi="宋体" w:cs="宋体"/>
                <w:kern w:val="0"/>
                <w:sz w:val="18"/>
                <w:szCs w:val="18"/>
              </w:rPr>
              <w:t>100%</w:t>
            </w:r>
          </w:p>
        </w:tc>
        <w:tc>
          <w:tcPr>
            <w:tcW w:w="298" w:type="pct"/>
            <w:tcBorders>
              <w:top w:val="nil"/>
              <w:left w:val="nil"/>
              <w:bottom w:val="single" w:color="auto" w:sz="4" w:space="0"/>
              <w:right w:val="single" w:color="auto" w:sz="4" w:space="0"/>
            </w:tcBorders>
            <w:vAlign w:val="center"/>
          </w:tcPr>
          <w:p w14:paraId="48A9A1EE">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298" w:type="pct"/>
            <w:tcBorders>
              <w:top w:val="nil"/>
              <w:left w:val="nil"/>
              <w:bottom w:val="single" w:color="auto" w:sz="4" w:space="0"/>
              <w:right w:val="single" w:color="auto" w:sz="4" w:space="0"/>
            </w:tcBorders>
            <w:vAlign w:val="center"/>
          </w:tcPr>
          <w:p w14:paraId="78D892FD">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203" w:type="pct"/>
            <w:tcBorders>
              <w:top w:val="nil"/>
              <w:left w:val="nil"/>
              <w:bottom w:val="single" w:color="auto" w:sz="4" w:space="0"/>
              <w:right w:val="single" w:color="auto" w:sz="4" w:space="0"/>
            </w:tcBorders>
            <w:vAlign w:val="center"/>
          </w:tcPr>
          <w:p w14:paraId="4CDA8D5D">
            <w:pPr>
              <w:widowControl/>
              <w:jc w:val="left"/>
              <w:rPr>
                <w:rFonts w:ascii="宋体" w:cs="宋体"/>
                <w:kern w:val="0"/>
                <w:sz w:val="18"/>
                <w:szCs w:val="18"/>
              </w:rPr>
            </w:pPr>
            <w:r>
              <w:rPr>
                <w:rFonts w:ascii="宋体" w:hAnsi="宋体" w:cs="宋体"/>
                <w:kern w:val="0"/>
                <w:sz w:val="18"/>
                <w:szCs w:val="18"/>
              </w:rPr>
              <w:t>&lt;90%</w:t>
            </w:r>
          </w:p>
        </w:tc>
      </w:tr>
      <w:tr w14:paraId="30E4B561">
        <w:tblPrEx>
          <w:tblCellMar>
            <w:top w:w="0" w:type="dxa"/>
            <w:left w:w="108" w:type="dxa"/>
            <w:bottom w:w="0" w:type="dxa"/>
            <w:right w:w="108" w:type="dxa"/>
          </w:tblCellMar>
        </w:tblPrEx>
        <w:trPr>
          <w:trHeight w:val="432" w:hRule="atLeast"/>
        </w:trPr>
        <w:tc>
          <w:tcPr>
            <w:tcW w:w="204" w:type="pct"/>
            <w:vMerge w:val="restart"/>
            <w:tcBorders>
              <w:top w:val="nil"/>
              <w:left w:val="single" w:color="auto" w:sz="4" w:space="0"/>
              <w:bottom w:val="single" w:color="auto" w:sz="4" w:space="0"/>
              <w:right w:val="single" w:color="auto" w:sz="4" w:space="0"/>
            </w:tcBorders>
            <w:noWrap/>
            <w:vAlign w:val="center"/>
          </w:tcPr>
          <w:p w14:paraId="45451118">
            <w:pPr>
              <w:widowControl/>
              <w:jc w:val="center"/>
              <w:rPr>
                <w:rFonts w:ascii="宋体" w:cs="宋体"/>
                <w:kern w:val="0"/>
                <w:sz w:val="18"/>
                <w:szCs w:val="18"/>
              </w:rPr>
            </w:pPr>
            <w:r>
              <w:rPr>
                <w:rFonts w:ascii="宋体" w:hAnsi="宋体" w:cs="宋体"/>
                <w:kern w:val="0"/>
                <w:sz w:val="18"/>
                <w:szCs w:val="18"/>
              </w:rPr>
              <w:t>0702</w:t>
            </w:r>
          </w:p>
        </w:tc>
        <w:tc>
          <w:tcPr>
            <w:tcW w:w="279" w:type="pct"/>
            <w:vMerge w:val="restart"/>
            <w:tcBorders>
              <w:top w:val="nil"/>
              <w:left w:val="single" w:color="auto" w:sz="4" w:space="0"/>
              <w:bottom w:val="single" w:color="auto" w:sz="4" w:space="0"/>
              <w:right w:val="single" w:color="auto" w:sz="4" w:space="0"/>
            </w:tcBorders>
            <w:vAlign w:val="center"/>
          </w:tcPr>
          <w:p w14:paraId="36262DD6">
            <w:pPr>
              <w:widowControl/>
              <w:jc w:val="left"/>
              <w:rPr>
                <w:rFonts w:ascii="宋体" w:cs="宋体"/>
                <w:kern w:val="0"/>
                <w:sz w:val="18"/>
                <w:szCs w:val="18"/>
              </w:rPr>
            </w:pPr>
            <w:r>
              <w:rPr>
                <w:rFonts w:hint="eastAsia" w:ascii="宋体" w:hAnsi="宋体" w:cs="宋体"/>
                <w:kern w:val="0"/>
                <w:sz w:val="18"/>
                <w:szCs w:val="18"/>
              </w:rPr>
              <w:t>综合事务管理</w:t>
            </w:r>
          </w:p>
        </w:tc>
        <w:tc>
          <w:tcPr>
            <w:tcW w:w="1004" w:type="pct"/>
            <w:vMerge w:val="restart"/>
            <w:tcBorders>
              <w:top w:val="nil"/>
              <w:left w:val="single" w:color="auto" w:sz="4" w:space="0"/>
              <w:bottom w:val="single" w:color="auto" w:sz="4" w:space="0"/>
              <w:right w:val="single" w:color="auto" w:sz="4" w:space="0"/>
            </w:tcBorders>
            <w:vAlign w:val="center"/>
          </w:tcPr>
          <w:p w14:paraId="11F4A291">
            <w:pPr>
              <w:widowControl/>
              <w:jc w:val="left"/>
              <w:rPr>
                <w:rFonts w:ascii="宋体" w:cs="宋体"/>
                <w:kern w:val="0"/>
                <w:sz w:val="18"/>
                <w:szCs w:val="18"/>
              </w:rPr>
            </w:pPr>
            <w:r>
              <w:rPr>
                <w:rFonts w:hint="eastAsia" w:ascii="宋体" w:hAnsi="宋体" w:cs="宋体"/>
                <w:kern w:val="0"/>
                <w:sz w:val="18"/>
                <w:szCs w:val="18"/>
              </w:rPr>
              <w:t>办理机关法律事务、行政复议和行政应诉。会议组织管理、信息化建设与维护、财务、统计、科研和资产管理、人力资源和社会保障教育培训等工作。</w:t>
            </w:r>
          </w:p>
        </w:tc>
        <w:tc>
          <w:tcPr>
            <w:tcW w:w="203" w:type="pct"/>
            <w:vMerge w:val="restart"/>
            <w:tcBorders>
              <w:top w:val="nil"/>
              <w:left w:val="single" w:color="auto" w:sz="4" w:space="0"/>
              <w:bottom w:val="single" w:color="auto" w:sz="4" w:space="0"/>
              <w:right w:val="single" w:color="auto" w:sz="4" w:space="0"/>
            </w:tcBorders>
            <w:noWrap/>
            <w:vAlign w:val="center"/>
          </w:tcPr>
          <w:p w14:paraId="10F9E05E">
            <w:pPr>
              <w:widowControl/>
              <w:jc w:val="center"/>
              <w:rPr>
                <w:rFonts w:ascii="宋体" w:cs="宋体"/>
                <w:kern w:val="0"/>
                <w:sz w:val="18"/>
                <w:szCs w:val="18"/>
              </w:rPr>
            </w:pPr>
            <w:r>
              <w:rPr>
                <w:rFonts w:ascii="宋体" w:hAnsi="宋体" w:cs="宋体"/>
                <w:kern w:val="0"/>
                <w:sz w:val="18"/>
                <w:szCs w:val="18"/>
              </w:rPr>
              <w:t>2022</w:t>
            </w:r>
          </w:p>
        </w:tc>
        <w:tc>
          <w:tcPr>
            <w:tcW w:w="775" w:type="pct"/>
            <w:vMerge w:val="restart"/>
            <w:tcBorders>
              <w:top w:val="nil"/>
              <w:left w:val="single" w:color="auto" w:sz="4" w:space="0"/>
              <w:bottom w:val="single" w:color="auto" w:sz="4" w:space="0"/>
              <w:right w:val="single" w:color="auto" w:sz="4" w:space="0"/>
            </w:tcBorders>
            <w:vAlign w:val="center"/>
          </w:tcPr>
          <w:p w14:paraId="5184E253">
            <w:pPr>
              <w:widowControl/>
              <w:jc w:val="left"/>
              <w:rPr>
                <w:rFonts w:ascii="宋体" w:cs="宋体"/>
                <w:kern w:val="0"/>
                <w:sz w:val="18"/>
                <w:szCs w:val="18"/>
              </w:rPr>
            </w:pPr>
            <w:r>
              <w:rPr>
                <w:rFonts w:hint="eastAsia" w:ascii="宋体" w:hAnsi="宋体" w:cs="宋体"/>
                <w:kern w:val="0"/>
                <w:sz w:val="18"/>
                <w:szCs w:val="18"/>
              </w:rPr>
              <w:t>保障机关正常运转</w:t>
            </w:r>
          </w:p>
        </w:tc>
        <w:tc>
          <w:tcPr>
            <w:tcW w:w="631" w:type="pct"/>
            <w:tcBorders>
              <w:top w:val="nil"/>
              <w:left w:val="nil"/>
              <w:bottom w:val="single" w:color="auto" w:sz="4" w:space="0"/>
              <w:right w:val="single" w:color="auto" w:sz="4" w:space="0"/>
            </w:tcBorders>
            <w:vAlign w:val="center"/>
          </w:tcPr>
          <w:p w14:paraId="5D19CF00">
            <w:pPr>
              <w:widowControl/>
              <w:jc w:val="left"/>
              <w:rPr>
                <w:rFonts w:ascii="宋体" w:cs="宋体"/>
                <w:kern w:val="0"/>
                <w:sz w:val="18"/>
                <w:szCs w:val="18"/>
              </w:rPr>
            </w:pPr>
            <w:r>
              <w:rPr>
                <w:rFonts w:hint="eastAsia" w:ascii="宋体" w:hAnsi="宋体" w:cs="宋体"/>
                <w:kern w:val="0"/>
                <w:sz w:val="18"/>
                <w:szCs w:val="18"/>
              </w:rPr>
              <w:t>社会保障信息化保障支撑度</w:t>
            </w:r>
          </w:p>
        </w:tc>
        <w:tc>
          <w:tcPr>
            <w:tcW w:w="901" w:type="pct"/>
            <w:tcBorders>
              <w:top w:val="nil"/>
              <w:left w:val="nil"/>
              <w:bottom w:val="single" w:color="auto" w:sz="4" w:space="0"/>
              <w:right w:val="single" w:color="auto" w:sz="4" w:space="0"/>
            </w:tcBorders>
            <w:vAlign w:val="center"/>
          </w:tcPr>
          <w:p w14:paraId="3A8CF7A9">
            <w:pPr>
              <w:widowControl/>
              <w:jc w:val="left"/>
              <w:rPr>
                <w:rFonts w:ascii="宋体" w:cs="宋体"/>
                <w:kern w:val="0"/>
                <w:sz w:val="18"/>
                <w:szCs w:val="18"/>
              </w:rPr>
            </w:pPr>
            <w:r>
              <w:rPr>
                <w:rFonts w:hint="eastAsia" w:ascii="宋体" w:hAnsi="宋体" w:cs="宋体"/>
                <w:kern w:val="0"/>
                <w:sz w:val="18"/>
                <w:szCs w:val="18"/>
              </w:rPr>
              <w:t>社会保障信息化水平有效支撑社保事务正常开展情况</w:t>
            </w:r>
          </w:p>
        </w:tc>
        <w:tc>
          <w:tcPr>
            <w:tcW w:w="203" w:type="pct"/>
            <w:tcBorders>
              <w:top w:val="nil"/>
              <w:left w:val="nil"/>
              <w:bottom w:val="single" w:color="auto" w:sz="4" w:space="0"/>
              <w:right w:val="single" w:color="auto" w:sz="4" w:space="0"/>
            </w:tcBorders>
            <w:vAlign w:val="center"/>
          </w:tcPr>
          <w:p w14:paraId="584160DA">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298" w:type="pct"/>
            <w:tcBorders>
              <w:top w:val="nil"/>
              <w:left w:val="nil"/>
              <w:bottom w:val="single" w:color="auto" w:sz="4" w:space="0"/>
              <w:right w:val="single" w:color="auto" w:sz="4" w:space="0"/>
            </w:tcBorders>
            <w:vAlign w:val="center"/>
          </w:tcPr>
          <w:p w14:paraId="23DBC46F">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298" w:type="pct"/>
            <w:tcBorders>
              <w:top w:val="nil"/>
              <w:left w:val="nil"/>
              <w:bottom w:val="single" w:color="auto" w:sz="4" w:space="0"/>
              <w:right w:val="single" w:color="auto" w:sz="4" w:space="0"/>
            </w:tcBorders>
            <w:vAlign w:val="center"/>
          </w:tcPr>
          <w:p w14:paraId="2853FA70">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85%</w:t>
            </w:r>
          </w:p>
        </w:tc>
        <w:tc>
          <w:tcPr>
            <w:tcW w:w="203" w:type="pct"/>
            <w:tcBorders>
              <w:top w:val="nil"/>
              <w:left w:val="nil"/>
              <w:bottom w:val="single" w:color="auto" w:sz="4" w:space="0"/>
              <w:right w:val="single" w:color="auto" w:sz="4" w:space="0"/>
            </w:tcBorders>
            <w:vAlign w:val="center"/>
          </w:tcPr>
          <w:p w14:paraId="37B84690">
            <w:pPr>
              <w:widowControl/>
              <w:jc w:val="left"/>
              <w:rPr>
                <w:rFonts w:ascii="宋体" w:cs="宋体"/>
                <w:kern w:val="0"/>
                <w:sz w:val="18"/>
                <w:szCs w:val="18"/>
              </w:rPr>
            </w:pPr>
            <w:r>
              <w:rPr>
                <w:rFonts w:ascii="宋体" w:hAnsi="宋体" w:cs="宋体"/>
                <w:kern w:val="0"/>
                <w:sz w:val="18"/>
                <w:szCs w:val="18"/>
              </w:rPr>
              <w:t>&lt;85%</w:t>
            </w:r>
          </w:p>
        </w:tc>
      </w:tr>
      <w:tr w14:paraId="0FCF05CC">
        <w:tblPrEx>
          <w:tblCellMar>
            <w:top w:w="0" w:type="dxa"/>
            <w:left w:w="108" w:type="dxa"/>
            <w:bottom w:w="0" w:type="dxa"/>
            <w:right w:w="108" w:type="dxa"/>
          </w:tblCellMar>
        </w:tblPrEx>
        <w:trPr>
          <w:trHeight w:val="216" w:hRule="atLeast"/>
        </w:trPr>
        <w:tc>
          <w:tcPr>
            <w:tcW w:w="204" w:type="pct"/>
            <w:vMerge w:val="continue"/>
            <w:tcBorders>
              <w:top w:val="nil"/>
              <w:left w:val="single" w:color="auto" w:sz="4" w:space="0"/>
              <w:bottom w:val="single" w:color="auto" w:sz="4" w:space="0"/>
              <w:right w:val="single" w:color="auto" w:sz="4" w:space="0"/>
            </w:tcBorders>
            <w:vAlign w:val="center"/>
          </w:tcPr>
          <w:p w14:paraId="2F54C000">
            <w:pPr>
              <w:widowControl/>
              <w:jc w:val="left"/>
              <w:rPr>
                <w:rFonts w:ascii="宋体" w:cs="宋体"/>
                <w:kern w:val="0"/>
                <w:sz w:val="18"/>
                <w:szCs w:val="18"/>
              </w:rPr>
            </w:pPr>
          </w:p>
        </w:tc>
        <w:tc>
          <w:tcPr>
            <w:tcW w:w="279" w:type="pct"/>
            <w:vMerge w:val="continue"/>
            <w:tcBorders>
              <w:top w:val="nil"/>
              <w:left w:val="single" w:color="auto" w:sz="4" w:space="0"/>
              <w:bottom w:val="single" w:color="auto" w:sz="4" w:space="0"/>
              <w:right w:val="single" w:color="auto" w:sz="4" w:space="0"/>
            </w:tcBorders>
            <w:vAlign w:val="center"/>
          </w:tcPr>
          <w:p w14:paraId="5AB3413C">
            <w:pPr>
              <w:widowControl/>
              <w:jc w:val="left"/>
              <w:rPr>
                <w:rFonts w:ascii="宋体" w:cs="宋体"/>
                <w:kern w:val="0"/>
                <w:sz w:val="18"/>
                <w:szCs w:val="18"/>
              </w:rPr>
            </w:pPr>
          </w:p>
        </w:tc>
        <w:tc>
          <w:tcPr>
            <w:tcW w:w="1004" w:type="pct"/>
            <w:vMerge w:val="continue"/>
            <w:tcBorders>
              <w:top w:val="nil"/>
              <w:left w:val="single" w:color="auto" w:sz="4" w:space="0"/>
              <w:bottom w:val="single" w:color="auto" w:sz="4" w:space="0"/>
              <w:right w:val="single" w:color="auto" w:sz="4" w:space="0"/>
            </w:tcBorders>
            <w:vAlign w:val="center"/>
          </w:tcPr>
          <w:p w14:paraId="77EF2FC8">
            <w:pPr>
              <w:widowControl/>
              <w:jc w:val="left"/>
              <w:rPr>
                <w:rFonts w:ascii="宋体" w:cs="宋体"/>
                <w:kern w:val="0"/>
                <w:sz w:val="18"/>
                <w:szCs w:val="18"/>
              </w:rPr>
            </w:pPr>
          </w:p>
        </w:tc>
        <w:tc>
          <w:tcPr>
            <w:tcW w:w="203" w:type="pct"/>
            <w:vMerge w:val="continue"/>
            <w:tcBorders>
              <w:top w:val="nil"/>
              <w:left w:val="single" w:color="auto" w:sz="4" w:space="0"/>
              <w:bottom w:val="single" w:color="auto" w:sz="4" w:space="0"/>
              <w:right w:val="single" w:color="auto" w:sz="4" w:space="0"/>
            </w:tcBorders>
            <w:vAlign w:val="center"/>
          </w:tcPr>
          <w:p w14:paraId="43CD8460">
            <w:pPr>
              <w:widowControl/>
              <w:jc w:val="left"/>
              <w:rPr>
                <w:rFonts w:ascii="宋体" w:cs="宋体"/>
                <w:kern w:val="0"/>
                <w:sz w:val="18"/>
                <w:szCs w:val="18"/>
              </w:rPr>
            </w:pPr>
          </w:p>
        </w:tc>
        <w:tc>
          <w:tcPr>
            <w:tcW w:w="775" w:type="pct"/>
            <w:vMerge w:val="continue"/>
            <w:tcBorders>
              <w:top w:val="nil"/>
              <w:left w:val="single" w:color="auto" w:sz="4" w:space="0"/>
              <w:bottom w:val="single" w:color="auto" w:sz="4" w:space="0"/>
              <w:right w:val="single" w:color="auto" w:sz="4" w:space="0"/>
            </w:tcBorders>
            <w:vAlign w:val="center"/>
          </w:tcPr>
          <w:p w14:paraId="7A44F0A8">
            <w:pPr>
              <w:widowControl/>
              <w:jc w:val="left"/>
              <w:rPr>
                <w:rFonts w:ascii="宋体" w:cs="宋体"/>
                <w:kern w:val="0"/>
                <w:sz w:val="18"/>
                <w:szCs w:val="18"/>
              </w:rPr>
            </w:pPr>
          </w:p>
        </w:tc>
        <w:tc>
          <w:tcPr>
            <w:tcW w:w="631" w:type="pct"/>
            <w:tcBorders>
              <w:top w:val="nil"/>
              <w:left w:val="nil"/>
              <w:bottom w:val="single" w:color="auto" w:sz="4" w:space="0"/>
              <w:right w:val="single" w:color="auto" w:sz="4" w:space="0"/>
            </w:tcBorders>
            <w:vAlign w:val="center"/>
          </w:tcPr>
          <w:p w14:paraId="48BF2CE0">
            <w:pPr>
              <w:widowControl/>
              <w:jc w:val="left"/>
              <w:rPr>
                <w:rFonts w:ascii="宋体" w:cs="宋体"/>
                <w:kern w:val="0"/>
                <w:sz w:val="18"/>
                <w:szCs w:val="18"/>
              </w:rPr>
            </w:pPr>
            <w:r>
              <w:rPr>
                <w:rFonts w:hint="eastAsia" w:ascii="宋体" w:hAnsi="宋体" w:cs="宋体"/>
                <w:kern w:val="0"/>
                <w:sz w:val="18"/>
                <w:szCs w:val="18"/>
              </w:rPr>
              <w:t>综合事务管理工作完成率</w:t>
            </w:r>
          </w:p>
        </w:tc>
        <w:tc>
          <w:tcPr>
            <w:tcW w:w="901" w:type="pct"/>
            <w:tcBorders>
              <w:top w:val="nil"/>
              <w:left w:val="nil"/>
              <w:bottom w:val="single" w:color="auto" w:sz="4" w:space="0"/>
              <w:right w:val="single" w:color="auto" w:sz="4" w:space="0"/>
            </w:tcBorders>
            <w:vAlign w:val="center"/>
          </w:tcPr>
          <w:p w14:paraId="53F1DF6E">
            <w:pPr>
              <w:widowControl/>
              <w:jc w:val="left"/>
              <w:rPr>
                <w:rFonts w:ascii="宋体" w:cs="宋体"/>
                <w:kern w:val="0"/>
                <w:sz w:val="18"/>
                <w:szCs w:val="18"/>
              </w:rPr>
            </w:pPr>
            <w:r>
              <w:rPr>
                <w:rFonts w:hint="eastAsia" w:ascii="宋体" w:hAnsi="宋体" w:cs="宋体"/>
                <w:kern w:val="0"/>
                <w:sz w:val="18"/>
                <w:szCs w:val="18"/>
              </w:rPr>
              <w:t>综合事务管理工作完成情况</w:t>
            </w:r>
          </w:p>
        </w:tc>
        <w:tc>
          <w:tcPr>
            <w:tcW w:w="203" w:type="pct"/>
            <w:tcBorders>
              <w:top w:val="nil"/>
              <w:left w:val="nil"/>
              <w:bottom w:val="single" w:color="auto" w:sz="4" w:space="0"/>
              <w:right w:val="single" w:color="auto" w:sz="4" w:space="0"/>
            </w:tcBorders>
            <w:vAlign w:val="center"/>
          </w:tcPr>
          <w:p w14:paraId="08283783">
            <w:pPr>
              <w:widowControl/>
              <w:jc w:val="left"/>
              <w:rPr>
                <w:rFonts w:ascii="宋体" w:cs="宋体"/>
                <w:kern w:val="0"/>
                <w:sz w:val="18"/>
                <w:szCs w:val="18"/>
              </w:rPr>
            </w:pPr>
            <w:r>
              <w:rPr>
                <w:rFonts w:ascii="宋体" w:hAnsi="宋体" w:cs="宋体"/>
                <w:kern w:val="0"/>
                <w:sz w:val="18"/>
                <w:szCs w:val="18"/>
              </w:rPr>
              <w:t>100%</w:t>
            </w:r>
          </w:p>
        </w:tc>
        <w:tc>
          <w:tcPr>
            <w:tcW w:w="298" w:type="pct"/>
            <w:tcBorders>
              <w:top w:val="nil"/>
              <w:left w:val="nil"/>
              <w:bottom w:val="single" w:color="auto" w:sz="4" w:space="0"/>
              <w:right w:val="single" w:color="auto" w:sz="4" w:space="0"/>
            </w:tcBorders>
            <w:vAlign w:val="center"/>
          </w:tcPr>
          <w:p w14:paraId="05F2B5CC">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298" w:type="pct"/>
            <w:tcBorders>
              <w:top w:val="nil"/>
              <w:left w:val="nil"/>
              <w:bottom w:val="single" w:color="auto" w:sz="4" w:space="0"/>
              <w:right w:val="single" w:color="auto" w:sz="4" w:space="0"/>
            </w:tcBorders>
            <w:vAlign w:val="center"/>
          </w:tcPr>
          <w:p w14:paraId="5B3A8115">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203" w:type="pct"/>
            <w:tcBorders>
              <w:top w:val="nil"/>
              <w:left w:val="nil"/>
              <w:bottom w:val="single" w:color="auto" w:sz="4" w:space="0"/>
              <w:right w:val="single" w:color="auto" w:sz="4" w:space="0"/>
            </w:tcBorders>
            <w:vAlign w:val="center"/>
          </w:tcPr>
          <w:p w14:paraId="7251F1AA">
            <w:pPr>
              <w:widowControl/>
              <w:jc w:val="left"/>
              <w:rPr>
                <w:rFonts w:ascii="宋体" w:cs="宋体"/>
                <w:kern w:val="0"/>
                <w:sz w:val="18"/>
                <w:szCs w:val="18"/>
              </w:rPr>
            </w:pPr>
            <w:r>
              <w:rPr>
                <w:rFonts w:ascii="宋体" w:hAnsi="宋体" w:cs="宋体"/>
                <w:kern w:val="0"/>
                <w:sz w:val="18"/>
                <w:szCs w:val="18"/>
              </w:rPr>
              <w:t>&lt;90%</w:t>
            </w:r>
          </w:p>
        </w:tc>
      </w:tr>
    </w:tbl>
    <w:p w14:paraId="3A62471E">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14:paraId="087B07C3">
      <w:pPr>
        <w:outlineLvl w:val="0"/>
        <w:rPr>
          <w:rFonts w:ascii="Times New Roman" w:hAnsi="Times New Roman" w:eastAsia="方正仿宋_GBK" w:cs="Times New Roman"/>
          <w:sz w:val="32"/>
          <w:szCs w:val="24"/>
        </w:rPr>
      </w:pPr>
      <w:r>
        <w:rPr>
          <w:rFonts w:ascii="Times New Roman" w:hAnsi="Times New Roman" w:eastAsia="方正仿宋_GBK" w:cs="Times New Roman"/>
          <w:sz w:val="32"/>
          <w:szCs w:val="24"/>
        </w:rPr>
        <w:t xml:space="preserve">   2022</w:t>
      </w:r>
      <w:r>
        <w:rPr>
          <w:rFonts w:hint="eastAsia" w:ascii="Times New Roman" w:hAnsi="Times New Roman" w:eastAsia="方正仿宋_GBK" w:cs="Times New Roman"/>
          <w:sz w:val="32"/>
          <w:szCs w:val="24"/>
        </w:rPr>
        <w:t>年，安排政府采购预算</w:t>
      </w:r>
      <w:r>
        <w:rPr>
          <w:rFonts w:ascii="Times New Roman" w:hAnsi="Times New Roman" w:eastAsia="方正仿宋_GBK" w:cs="Times New Roman"/>
          <w:sz w:val="32"/>
          <w:szCs w:val="24"/>
        </w:rPr>
        <w:t>70</w:t>
      </w:r>
      <w:r>
        <w:rPr>
          <w:rFonts w:hint="eastAsia" w:ascii="Times New Roman" w:hAnsi="Times New Roman" w:eastAsia="方正仿宋_GBK" w:cs="Times New Roman"/>
          <w:sz w:val="32"/>
          <w:szCs w:val="24"/>
        </w:rPr>
        <w:t>万元。</w:t>
      </w:r>
    </w:p>
    <w:p w14:paraId="5455D2B9">
      <w:pPr>
        <w:outlineLvl w:val="0"/>
        <w:rPr>
          <w:rFonts w:ascii="Times New Roman" w:hAnsi="Times New Roman" w:eastAsia="方正仿宋_GBK" w:cs="Times New Roman"/>
          <w:sz w:val="32"/>
          <w:szCs w:val="24"/>
        </w:rPr>
      </w:pPr>
    </w:p>
    <w:p w14:paraId="64FEE6C4">
      <w:pPr>
        <w:outlineLvl w:val="0"/>
        <w:rPr>
          <w:rFonts w:ascii="Times New Roman" w:hAnsi="Times New Roman" w:eastAsia="方正仿宋_GBK" w:cs="Times New Roman"/>
          <w:sz w:val="32"/>
          <w:szCs w:val="24"/>
        </w:rPr>
      </w:pPr>
    </w:p>
    <w:tbl>
      <w:tblPr>
        <w:tblStyle w:val="9"/>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98"/>
        <w:gridCol w:w="1026"/>
        <w:gridCol w:w="908"/>
        <w:gridCol w:w="952"/>
        <w:gridCol w:w="740"/>
        <w:gridCol w:w="740"/>
        <w:gridCol w:w="847"/>
        <w:gridCol w:w="897"/>
        <w:gridCol w:w="897"/>
        <w:gridCol w:w="897"/>
        <w:gridCol w:w="897"/>
        <w:gridCol w:w="899"/>
        <w:gridCol w:w="899"/>
        <w:gridCol w:w="855"/>
      </w:tblGrid>
      <w:tr w14:paraId="69C14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31" w:type="pct"/>
            <w:gridSpan w:val="7"/>
            <w:tcBorders>
              <w:top w:val="single" w:color="FFFFFF" w:sz="6" w:space="0"/>
              <w:left w:val="single" w:color="FFFFFF" w:sz="6" w:space="0"/>
              <w:right w:val="single" w:color="FFFFFF" w:sz="6" w:space="0"/>
            </w:tcBorders>
            <w:vAlign w:val="center"/>
          </w:tcPr>
          <w:p w14:paraId="09EC1825">
            <w:pPr>
              <w:spacing w:line="300" w:lineRule="exact"/>
              <w:jc w:val="left"/>
              <w:rPr>
                <w:rFonts w:ascii="方正小标宋_GBK" w:eastAsia="方正小标宋_GBK"/>
                <w:sz w:val="24"/>
              </w:rPr>
            </w:pPr>
          </w:p>
          <w:p w14:paraId="1F8B7958">
            <w:pPr>
              <w:spacing w:line="300" w:lineRule="exact"/>
              <w:jc w:val="left"/>
              <w:rPr>
                <w:rFonts w:ascii="方正小标宋_GBK" w:eastAsia="方正小标宋_GBK"/>
                <w:sz w:val="24"/>
              </w:rPr>
            </w:pPr>
            <w:r>
              <w:rPr>
                <w:rFonts w:ascii="方正小标宋_GBK" w:eastAsia="方正小标宋_GBK"/>
                <w:sz w:val="24"/>
              </w:rPr>
              <w:t>323</w:t>
            </w:r>
            <w:r>
              <w:rPr>
                <w:rFonts w:hint="eastAsia" w:ascii="方正小标宋_GBK" w:eastAsia="方正小标宋_GBK"/>
                <w:sz w:val="24"/>
              </w:rPr>
              <w:t>曹妃甸区人力资源和社会保障局</w:t>
            </w:r>
          </w:p>
        </w:tc>
        <w:tc>
          <w:tcPr>
            <w:tcW w:w="2269" w:type="pct"/>
            <w:gridSpan w:val="7"/>
            <w:tcBorders>
              <w:top w:val="single" w:color="FFFFFF" w:sz="6" w:space="0"/>
              <w:left w:val="single" w:color="FFFFFF" w:sz="6" w:space="0"/>
              <w:right w:val="single" w:color="FFFFFF" w:sz="6" w:space="0"/>
            </w:tcBorders>
            <w:vAlign w:val="center"/>
          </w:tcPr>
          <w:p w14:paraId="31A5CAD5">
            <w:pPr>
              <w:spacing w:line="300" w:lineRule="exact"/>
              <w:jc w:val="right"/>
              <w:rPr>
                <w:rFonts w:ascii="方正书宋_GBK" w:eastAsia="方正书宋_GBK"/>
                <w:sz w:val="24"/>
              </w:rPr>
            </w:pPr>
            <w:r>
              <w:rPr>
                <w:rFonts w:hint="eastAsia" w:ascii="方正书宋_GBK" w:eastAsia="方正书宋_GBK"/>
                <w:sz w:val="24"/>
              </w:rPr>
              <w:t>单位：万元</w:t>
            </w:r>
          </w:p>
        </w:tc>
      </w:tr>
      <w:tr w14:paraId="533A3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09" w:type="pct"/>
            <w:gridSpan w:val="2"/>
            <w:vAlign w:val="center"/>
          </w:tcPr>
          <w:p w14:paraId="7F26131D">
            <w:pPr>
              <w:spacing w:line="300" w:lineRule="exact"/>
              <w:jc w:val="center"/>
              <w:rPr>
                <w:rFonts w:ascii="方正书宋_GBK" w:eastAsia="方正书宋_GBK"/>
                <w:b/>
              </w:rPr>
            </w:pPr>
            <w:r>
              <w:rPr>
                <w:rFonts w:hint="eastAsia" w:ascii="方正书宋_GBK" w:eastAsia="方正书宋_GBK"/>
                <w:b/>
              </w:rPr>
              <w:t>政府采购项目来源</w:t>
            </w:r>
          </w:p>
        </w:tc>
        <w:tc>
          <w:tcPr>
            <w:tcW w:w="330" w:type="pct"/>
            <w:vMerge w:val="restart"/>
            <w:vAlign w:val="center"/>
          </w:tcPr>
          <w:p w14:paraId="74A52077">
            <w:pPr>
              <w:spacing w:line="300" w:lineRule="exact"/>
              <w:jc w:val="center"/>
              <w:rPr>
                <w:rFonts w:ascii="方正书宋_GBK" w:eastAsia="方正书宋_GBK"/>
                <w:b/>
              </w:rPr>
            </w:pPr>
            <w:r>
              <w:rPr>
                <w:rFonts w:hint="eastAsia" w:ascii="方正书宋_GBK" w:eastAsia="方正书宋_GBK"/>
                <w:b/>
              </w:rPr>
              <w:t>采购物品名称</w:t>
            </w:r>
          </w:p>
        </w:tc>
        <w:tc>
          <w:tcPr>
            <w:tcW w:w="346" w:type="pct"/>
            <w:vMerge w:val="restart"/>
            <w:vAlign w:val="center"/>
          </w:tcPr>
          <w:p w14:paraId="0F8DE223">
            <w:pPr>
              <w:spacing w:line="300" w:lineRule="exact"/>
              <w:jc w:val="center"/>
              <w:rPr>
                <w:rFonts w:ascii="方正书宋_GBK" w:eastAsia="方正书宋_GBK"/>
                <w:b/>
              </w:rPr>
            </w:pPr>
            <w:r>
              <w:rPr>
                <w:rFonts w:hint="eastAsia" w:ascii="方正书宋_GBK" w:eastAsia="方正书宋_GBK"/>
                <w:b/>
              </w:rPr>
              <w:t>政府采购目录序号</w:t>
            </w:r>
          </w:p>
        </w:tc>
        <w:tc>
          <w:tcPr>
            <w:tcW w:w="269" w:type="pct"/>
            <w:vMerge w:val="restart"/>
            <w:vAlign w:val="center"/>
          </w:tcPr>
          <w:p w14:paraId="407AB641">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269" w:type="pct"/>
            <w:vMerge w:val="restart"/>
            <w:vAlign w:val="center"/>
          </w:tcPr>
          <w:p w14:paraId="784C32DA">
            <w:pPr>
              <w:spacing w:line="300" w:lineRule="exact"/>
              <w:jc w:val="center"/>
              <w:rPr>
                <w:rFonts w:ascii="方正书宋_GBK" w:eastAsia="方正书宋_GBK"/>
                <w:b/>
              </w:rPr>
            </w:pPr>
            <w:r>
              <w:rPr>
                <w:rFonts w:hint="eastAsia" w:ascii="方正书宋_GBK" w:eastAsia="方正书宋_GBK"/>
                <w:b/>
              </w:rPr>
              <w:t>数量</w:t>
            </w:r>
          </w:p>
        </w:tc>
        <w:tc>
          <w:tcPr>
            <w:tcW w:w="308" w:type="pct"/>
            <w:vMerge w:val="restart"/>
            <w:vAlign w:val="center"/>
          </w:tcPr>
          <w:p w14:paraId="6CAFACB6">
            <w:pPr>
              <w:spacing w:line="300" w:lineRule="exact"/>
              <w:jc w:val="center"/>
              <w:rPr>
                <w:rFonts w:ascii="方正书宋_GBK" w:eastAsia="方正书宋_GBK"/>
                <w:b/>
              </w:rPr>
            </w:pPr>
            <w:r>
              <w:rPr>
                <w:rFonts w:hint="eastAsia" w:ascii="方正书宋_GBK" w:eastAsia="方正书宋_GBK"/>
                <w:b/>
              </w:rPr>
              <w:t>单价</w:t>
            </w:r>
          </w:p>
        </w:tc>
        <w:tc>
          <w:tcPr>
            <w:tcW w:w="2269" w:type="pct"/>
            <w:gridSpan w:val="7"/>
            <w:vAlign w:val="center"/>
          </w:tcPr>
          <w:p w14:paraId="7D2AD110">
            <w:pPr>
              <w:spacing w:line="300" w:lineRule="exact"/>
              <w:jc w:val="center"/>
              <w:rPr>
                <w:rFonts w:ascii="方正书宋_GBK" w:eastAsia="方正书宋_GBK"/>
                <w:b/>
              </w:rPr>
            </w:pPr>
            <w:r>
              <w:rPr>
                <w:rFonts w:hint="eastAsia" w:ascii="方正书宋_GBK" w:eastAsia="方正书宋_GBK"/>
                <w:b/>
              </w:rPr>
              <w:t>政府采购金额</w:t>
            </w:r>
          </w:p>
        </w:tc>
      </w:tr>
      <w:tr w14:paraId="20ACA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36" w:type="pct"/>
            <w:vMerge w:val="restart"/>
            <w:vAlign w:val="center"/>
          </w:tcPr>
          <w:p w14:paraId="2452A453">
            <w:pPr>
              <w:spacing w:line="300" w:lineRule="exact"/>
              <w:jc w:val="center"/>
              <w:rPr>
                <w:rFonts w:ascii="方正书宋_GBK" w:eastAsia="方正书宋_GBK"/>
                <w:b/>
              </w:rPr>
            </w:pPr>
            <w:r>
              <w:rPr>
                <w:rFonts w:hint="eastAsia" w:ascii="方正书宋_GBK" w:eastAsia="方正书宋_GBK"/>
                <w:b/>
              </w:rPr>
              <w:t>项目名称</w:t>
            </w:r>
          </w:p>
        </w:tc>
        <w:tc>
          <w:tcPr>
            <w:tcW w:w="373" w:type="pct"/>
            <w:vMerge w:val="restart"/>
            <w:vAlign w:val="center"/>
          </w:tcPr>
          <w:p w14:paraId="21322558">
            <w:pPr>
              <w:spacing w:line="300" w:lineRule="exact"/>
              <w:jc w:val="center"/>
              <w:rPr>
                <w:rFonts w:ascii="方正书宋_GBK" w:eastAsia="方正书宋_GBK"/>
                <w:b/>
              </w:rPr>
            </w:pPr>
            <w:r>
              <w:rPr>
                <w:rFonts w:hint="eastAsia" w:ascii="方正书宋_GBK" w:eastAsia="方正书宋_GBK"/>
                <w:b/>
              </w:rPr>
              <w:t>预算资金</w:t>
            </w:r>
          </w:p>
        </w:tc>
        <w:tc>
          <w:tcPr>
            <w:tcW w:w="330" w:type="pct"/>
            <w:vMerge w:val="continue"/>
            <w:vAlign w:val="center"/>
          </w:tcPr>
          <w:p w14:paraId="399D5D7C">
            <w:pPr>
              <w:spacing w:line="300" w:lineRule="exact"/>
              <w:jc w:val="left"/>
              <w:outlineLvl w:val="0"/>
            </w:pPr>
          </w:p>
        </w:tc>
        <w:tc>
          <w:tcPr>
            <w:tcW w:w="346" w:type="pct"/>
            <w:vMerge w:val="continue"/>
            <w:vAlign w:val="center"/>
          </w:tcPr>
          <w:p w14:paraId="5F7FE436">
            <w:pPr>
              <w:spacing w:line="300" w:lineRule="exact"/>
              <w:jc w:val="left"/>
              <w:outlineLvl w:val="0"/>
            </w:pPr>
          </w:p>
        </w:tc>
        <w:tc>
          <w:tcPr>
            <w:tcW w:w="269" w:type="pct"/>
            <w:vMerge w:val="continue"/>
            <w:vAlign w:val="center"/>
          </w:tcPr>
          <w:p w14:paraId="1A7C8CA4">
            <w:pPr>
              <w:spacing w:line="300" w:lineRule="exact"/>
              <w:jc w:val="left"/>
              <w:outlineLvl w:val="0"/>
            </w:pPr>
          </w:p>
        </w:tc>
        <w:tc>
          <w:tcPr>
            <w:tcW w:w="269" w:type="pct"/>
            <w:vMerge w:val="continue"/>
            <w:vAlign w:val="center"/>
          </w:tcPr>
          <w:p w14:paraId="46720722">
            <w:pPr>
              <w:spacing w:line="300" w:lineRule="exact"/>
              <w:jc w:val="left"/>
              <w:outlineLvl w:val="0"/>
            </w:pPr>
          </w:p>
        </w:tc>
        <w:tc>
          <w:tcPr>
            <w:tcW w:w="308" w:type="pct"/>
            <w:vMerge w:val="continue"/>
            <w:vAlign w:val="center"/>
          </w:tcPr>
          <w:p w14:paraId="4DA8AF38">
            <w:pPr>
              <w:spacing w:line="300" w:lineRule="exact"/>
              <w:jc w:val="left"/>
              <w:outlineLvl w:val="0"/>
            </w:pPr>
          </w:p>
        </w:tc>
        <w:tc>
          <w:tcPr>
            <w:tcW w:w="326" w:type="pct"/>
            <w:vMerge w:val="restart"/>
            <w:vAlign w:val="center"/>
          </w:tcPr>
          <w:p w14:paraId="58606302">
            <w:pPr>
              <w:spacing w:line="300" w:lineRule="exact"/>
              <w:jc w:val="center"/>
              <w:rPr>
                <w:rFonts w:ascii="方正书宋_GBK" w:eastAsia="方正书宋_GBK"/>
                <w:b/>
              </w:rPr>
            </w:pPr>
            <w:r>
              <w:rPr>
                <w:rFonts w:hint="eastAsia" w:ascii="方正书宋_GBK" w:eastAsia="方正书宋_GBK"/>
                <w:b/>
              </w:rPr>
              <w:t>总计</w:t>
            </w:r>
          </w:p>
        </w:tc>
        <w:tc>
          <w:tcPr>
            <w:tcW w:w="1632" w:type="pct"/>
            <w:gridSpan w:val="5"/>
            <w:vAlign w:val="center"/>
          </w:tcPr>
          <w:p w14:paraId="2A3B1A54">
            <w:pPr>
              <w:spacing w:line="300" w:lineRule="exact"/>
              <w:jc w:val="center"/>
              <w:rPr>
                <w:rFonts w:ascii="方正书宋_GBK" w:eastAsia="方正书宋_GBK"/>
                <w:b/>
              </w:rPr>
            </w:pPr>
            <w:r>
              <w:rPr>
                <w:rFonts w:hint="eastAsia" w:ascii="方正书宋_GBK" w:eastAsia="方正书宋_GBK"/>
                <w:b/>
              </w:rPr>
              <w:t>当年部门预算安排资金</w:t>
            </w:r>
          </w:p>
        </w:tc>
        <w:tc>
          <w:tcPr>
            <w:tcW w:w="311" w:type="pct"/>
            <w:vMerge w:val="restart"/>
            <w:vAlign w:val="center"/>
          </w:tcPr>
          <w:p w14:paraId="46711726">
            <w:pPr>
              <w:spacing w:line="300" w:lineRule="exact"/>
              <w:jc w:val="center"/>
              <w:rPr>
                <w:rFonts w:ascii="方正书宋_GBK" w:eastAsia="方正书宋_GBK"/>
                <w:b/>
              </w:rPr>
            </w:pPr>
            <w:r>
              <w:rPr>
                <w:rFonts w:hint="eastAsia" w:ascii="方正书宋_GBK" w:eastAsia="方正书宋_GBK"/>
                <w:b/>
              </w:rPr>
              <w:t>其他渠道资金</w:t>
            </w:r>
          </w:p>
        </w:tc>
      </w:tr>
      <w:tr w14:paraId="64D87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36" w:type="pct"/>
            <w:vMerge w:val="continue"/>
            <w:vAlign w:val="center"/>
          </w:tcPr>
          <w:p w14:paraId="452D68E0">
            <w:pPr>
              <w:spacing w:line="300" w:lineRule="exact"/>
              <w:jc w:val="left"/>
              <w:outlineLvl w:val="0"/>
            </w:pPr>
          </w:p>
        </w:tc>
        <w:tc>
          <w:tcPr>
            <w:tcW w:w="373" w:type="pct"/>
            <w:vMerge w:val="continue"/>
            <w:vAlign w:val="center"/>
          </w:tcPr>
          <w:p w14:paraId="7F266D49">
            <w:pPr>
              <w:spacing w:line="300" w:lineRule="exact"/>
              <w:jc w:val="left"/>
              <w:outlineLvl w:val="0"/>
            </w:pPr>
          </w:p>
        </w:tc>
        <w:tc>
          <w:tcPr>
            <w:tcW w:w="330" w:type="pct"/>
            <w:vMerge w:val="continue"/>
            <w:vAlign w:val="center"/>
          </w:tcPr>
          <w:p w14:paraId="77ABCDFF">
            <w:pPr>
              <w:spacing w:line="300" w:lineRule="exact"/>
              <w:jc w:val="left"/>
              <w:outlineLvl w:val="0"/>
            </w:pPr>
          </w:p>
        </w:tc>
        <w:tc>
          <w:tcPr>
            <w:tcW w:w="346" w:type="pct"/>
            <w:vMerge w:val="continue"/>
            <w:vAlign w:val="center"/>
          </w:tcPr>
          <w:p w14:paraId="17C8C968">
            <w:pPr>
              <w:spacing w:line="300" w:lineRule="exact"/>
              <w:jc w:val="left"/>
              <w:outlineLvl w:val="0"/>
            </w:pPr>
          </w:p>
        </w:tc>
        <w:tc>
          <w:tcPr>
            <w:tcW w:w="269" w:type="pct"/>
            <w:vMerge w:val="continue"/>
            <w:vAlign w:val="center"/>
          </w:tcPr>
          <w:p w14:paraId="36F9147F">
            <w:pPr>
              <w:spacing w:line="300" w:lineRule="exact"/>
              <w:jc w:val="left"/>
              <w:outlineLvl w:val="0"/>
            </w:pPr>
          </w:p>
        </w:tc>
        <w:tc>
          <w:tcPr>
            <w:tcW w:w="269" w:type="pct"/>
            <w:vMerge w:val="continue"/>
            <w:vAlign w:val="center"/>
          </w:tcPr>
          <w:p w14:paraId="269CF19F">
            <w:pPr>
              <w:spacing w:line="300" w:lineRule="exact"/>
              <w:jc w:val="left"/>
              <w:outlineLvl w:val="0"/>
            </w:pPr>
          </w:p>
        </w:tc>
        <w:tc>
          <w:tcPr>
            <w:tcW w:w="308" w:type="pct"/>
            <w:vMerge w:val="continue"/>
            <w:vAlign w:val="center"/>
          </w:tcPr>
          <w:p w14:paraId="4D6E7B21">
            <w:pPr>
              <w:spacing w:line="300" w:lineRule="exact"/>
              <w:jc w:val="left"/>
              <w:outlineLvl w:val="0"/>
            </w:pPr>
          </w:p>
        </w:tc>
        <w:tc>
          <w:tcPr>
            <w:tcW w:w="326" w:type="pct"/>
            <w:vMerge w:val="continue"/>
            <w:vAlign w:val="center"/>
          </w:tcPr>
          <w:p w14:paraId="7794F12D">
            <w:pPr>
              <w:spacing w:line="300" w:lineRule="exact"/>
              <w:jc w:val="left"/>
              <w:outlineLvl w:val="0"/>
            </w:pPr>
          </w:p>
        </w:tc>
        <w:tc>
          <w:tcPr>
            <w:tcW w:w="326" w:type="pct"/>
            <w:vAlign w:val="center"/>
          </w:tcPr>
          <w:p w14:paraId="0831D695">
            <w:pPr>
              <w:spacing w:line="300" w:lineRule="exact"/>
              <w:jc w:val="center"/>
              <w:rPr>
                <w:rFonts w:ascii="方正书宋_GBK" w:eastAsia="方正书宋_GBK"/>
                <w:b/>
              </w:rPr>
            </w:pPr>
            <w:r>
              <w:rPr>
                <w:rFonts w:hint="eastAsia" w:ascii="方正书宋_GBK" w:eastAsia="方正书宋_GBK"/>
                <w:b/>
              </w:rPr>
              <w:t>合计</w:t>
            </w:r>
          </w:p>
        </w:tc>
        <w:tc>
          <w:tcPr>
            <w:tcW w:w="326" w:type="pct"/>
            <w:vAlign w:val="center"/>
          </w:tcPr>
          <w:p w14:paraId="6E779B9D">
            <w:pPr>
              <w:spacing w:line="300" w:lineRule="exact"/>
              <w:jc w:val="center"/>
              <w:rPr>
                <w:rFonts w:ascii="方正书宋_GBK" w:eastAsia="方正书宋_GBK"/>
                <w:b/>
              </w:rPr>
            </w:pPr>
            <w:r>
              <w:rPr>
                <w:rFonts w:hint="eastAsia" w:ascii="方正书宋_GBK" w:eastAsia="方正书宋_GBK"/>
                <w:b/>
              </w:rPr>
              <w:t>一般公共预算拨款</w:t>
            </w:r>
          </w:p>
        </w:tc>
        <w:tc>
          <w:tcPr>
            <w:tcW w:w="326" w:type="pct"/>
            <w:vAlign w:val="center"/>
          </w:tcPr>
          <w:p w14:paraId="5CB0BD39">
            <w:pPr>
              <w:spacing w:line="300" w:lineRule="exact"/>
              <w:jc w:val="center"/>
              <w:rPr>
                <w:rFonts w:ascii="方正书宋_GBK" w:eastAsia="方正书宋_GBK"/>
                <w:b/>
              </w:rPr>
            </w:pPr>
            <w:r>
              <w:rPr>
                <w:rFonts w:hint="eastAsia" w:ascii="方正书宋_GBK" w:eastAsia="方正书宋_GBK"/>
                <w:b/>
              </w:rPr>
              <w:t>基金预算拨款</w:t>
            </w:r>
          </w:p>
        </w:tc>
        <w:tc>
          <w:tcPr>
            <w:tcW w:w="327" w:type="pct"/>
            <w:vAlign w:val="center"/>
          </w:tcPr>
          <w:p w14:paraId="199CC495">
            <w:pPr>
              <w:spacing w:line="300" w:lineRule="exact"/>
              <w:jc w:val="center"/>
              <w:rPr>
                <w:rFonts w:ascii="方正书宋_GBK" w:eastAsia="方正书宋_GBK"/>
                <w:b/>
              </w:rPr>
            </w:pPr>
            <w:r>
              <w:rPr>
                <w:rFonts w:hint="eastAsia" w:ascii="方正书宋_GBK" w:eastAsia="方正书宋_GBK"/>
                <w:b/>
              </w:rPr>
              <w:t>财政专户核拨</w:t>
            </w:r>
          </w:p>
        </w:tc>
        <w:tc>
          <w:tcPr>
            <w:tcW w:w="327" w:type="pct"/>
            <w:vAlign w:val="center"/>
          </w:tcPr>
          <w:p w14:paraId="13D108D8">
            <w:pPr>
              <w:spacing w:line="300" w:lineRule="exact"/>
              <w:jc w:val="center"/>
              <w:rPr>
                <w:rFonts w:ascii="方正书宋_GBK" w:eastAsia="方正书宋_GBK"/>
                <w:b/>
              </w:rPr>
            </w:pPr>
            <w:r>
              <w:rPr>
                <w:rFonts w:hint="eastAsia" w:ascii="方正书宋_GBK" w:eastAsia="方正书宋_GBK"/>
                <w:b/>
              </w:rPr>
              <w:t>其他来源收入</w:t>
            </w:r>
          </w:p>
        </w:tc>
        <w:tc>
          <w:tcPr>
            <w:tcW w:w="311" w:type="pct"/>
            <w:vMerge w:val="continue"/>
            <w:vAlign w:val="center"/>
          </w:tcPr>
          <w:p w14:paraId="44E95B0B">
            <w:pPr>
              <w:spacing w:line="300" w:lineRule="exact"/>
              <w:jc w:val="left"/>
              <w:outlineLvl w:val="0"/>
            </w:pPr>
          </w:p>
        </w:tc>
      </w:tr>
      <w:tr w14:paraId="45F3D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vAlign w:val="center"/>
          </w:tcPr>
          <w:p w14:paraId="037CE18B">
            <w:pPr>
              <w:spacing w:line="300" w:lineRule="exact"/>
              <w:jc w:val="center"/>
              <w:rPr>
                <w:rFonts w:ascii="方正书宋_GBK" w:eastAsia="方正书宋_GBK"/>
                <w:b/>
              </w:rPr>
            </w:pPr>
            <w:r>
              <w:rPr>
                <w:rFonts w:hint="eastAsia" w:ascii="方正书宋_GBK" w:eastAsia="方正书宋_GBK"/>
                <w:b/>
              </w:rPr>
              <w:t>合　计</w:t>
            </w:r>
          </w:p>
        </w:tc>
        <w:tc>
          <w:tcPr>
            <w:tcW w:w="373" w:type="pct"/>
            <w:vAlign w:val="center"/>
          </w:tcPr>
          <w:p w14:paraId="3652FFD3">
            <w:pPr>
              <w:spacing w:line="300" w:lineRule="exact"/>
              <w:jc w:val="right"/>
              <w:rPr>
                <w:rFonts w:ascii="方正书宋_GBK" w:eastAsia="方正书宋_GBK"/>
                <w:b/>
              </w:rPr>
            </w:pPr>
            <w:r>
              <w:rPr>
                <w:rFonts w:ascii="方正书宋_GBK" w:eastAsia="方正书宋_GBK"/>
                <w:b/>
              </w:rPr>
              <w:t>114.54</w:t>
            </w:r>
          </w:p>
        </w:tc>
        <w:tc>
          <w:tcPr>
            <w:tcW w:w="330" w:type="pct"/>
            <w:vAlign w:val="center"/>
          </w:tcPr>
          <w:p w14:paraId="7EEF4EA0">
            <w:pPr>
              <w:spacing w:line="300" w:lineRule="exact"/>
              <w:jc w:val="left"/>
              <w:rPr>
                <w:rFonts w:ascii="方正书宋_GBK" w:eastAsia="方正书宋_GBK"/>
                <w:b/>
              </w:rPr>
            </w:pPr>
          </w:p>
        </w:tc>
        <w:tc>
          <w:tcPr>
            <w:tcW w:w="346" w:type="pct"/>
            <w:vAlign w:val="center"/>
          </w:tcPr>
          <w:p w14:paraId="1894C516">
            <w:pPr>
              <w:spacing w:line="300" w:lineRule="exact"/>
              <w:jc w:val="left"/>
              <w:rPr>
                <w:rFonts w:ascii="方正书宋_GBK" w:eastAsia="方正书宋_GBK"/>
                <w:b/>
              </w:rPr>
            </w:pPr>
          </w:p>
        </w:tc>
        <w:tc>
          <w:tcPr>
            <w:tcW w:w="269" w:type="pct"/>
            <w:vAlign w:val="center"/>
          </w:tcPr>
          <w:p w14:paraId="3D8E001F">
            <w:pPr>
              <w:spacing w:line="300" w:lineRule="exact"/>
              <w:jc w:val="left"/>
              <w:rPr>
                <w:rFonts w:ascii="方正书宋_GBK" w:eastAsia="方正书宋_GBK"/>
                <w:b/>
              </w:rPr>
            </w:pPr>
          </w:p>
        </w:tc>
        <w:tc>
          <w:tcPr>
            <w:tcW w:w="269" w:type="pct"/>
            <w:vAlign w:val="center"/>
          </w:tcPr>
          <w:p w14:paraId="1737FB6B">
            <w:pPr>
              <w:spacing w:line="300" w:lineRule="exact"/>
              <w:jc w:val="right"/>
              <w:rPr>
                <w:rFonts w:ascii="方正书宋_GBK" w:eastAsia="方正书宋_GBK"/>
                <w:b/>
              </w:rPr>
            </w:pPr>
            <w:r>
              <w:rPr>
                <w:rFonts w:ascii="方正书宋_GBK" w:eastAsia="方正书宋_GBK"/>
                <w:b/>
              </w:rPr>
              <w:t>1</w:t>
            </w:r>
          </w:p>
        </w:tc>
        <w:tc>
          <w:tcPr>
            <w:tcW w:w="308" w:type="pct"/>
            <w:vAlign w:val="center"/>
          </w:tcPr>
          <w:p w14:paraId="28478DDB">
            <w:pPr>
              <w:spacing w:line="300" w:lineRule="exact"/>
              <w:jc w:val="right"/>
              <w:rPr>
                <w:rFonts w:ascii="方正书宋_GBK" w:eastAsia="方正书宋_GBK"/>
                <w:b/>
              </w:rPr>
            </w:pPr>
            <w:r>
              <w:rPr>
                <w:rFonts w:ascii="方正书宋_GBK" w:eastAsia="方正书宋_GBK"/>
                <w:b/>
              </w:rPr>
              <w:t>70</w:t>
            </w:r>
          </w:p>
        </w:tc>
        <w:tc>
          <w:tcPr>
            <w:tcW w:w="326" w:type="pct"/>
            <w:vAlign w:val="center"/>
          </w:tcPr>
          <w:p w14:paraId="41ACD3D6">
            <w:pPr>
              <w:spacing w:line="300" w:lineRule="exact"/>
              <w:jc w:val="right"/>
              <w:rPr>
                <w:rFonts w:ascii="方正书宋_GBK" w:eastAsia="方正书宋_GBK"/>
                <w:b/>
              </w:rPr>
            </w:pPr>
            <w:r>
              <w:rPr>
                <w:rFonts w:ascii="方正书宋_GBK" w:eastAsia="方正书宋_GBK"/>
                <w:b/>
              </w:rPr>
              <w:t>70</w:t>
            </w:r>
          </w:p>
        </w:tc>
        <w:tc>
          <w:tcPr>
            <w:tcW w:w="326" w:type="pct"/>
            <w:vAlign w:val="center"/>
          </w:tcPr>
          <w:p w14:paraId="546FF777">
            <w:pPr>
              <w:spacing w:line="300" w:lineRule="exact"/>
              <w:jc w:val="right"/>
              <w:rPr>
                <w:rFonts w:ascii="方正书宋_GBK" w:eastAsia="方正书宋_GBK"/>
                <w:b/>
              </w:rPr>
            </w:pPr>
            <w:r>
              <w:rPr>
                <w:rFonts w:ascii="方正书宋_GBK" w:eastAsia="方正书宋_GBK"/>
                <w:b/>
              </w:rPr>
              <w:t>70</w:t>
            </w:r>
          </w:p>
        </w:tc>
        <w:tc>
          <w:tcPr>
            <w:tcW w:w="326" w:type="pct"/>
            <w:vAlign w:val="center"/>
          </w:tcPr>
          <w:p w14:paraId="5D2405E1">
            <w:pPr>
              <w:spacing w:line="300" w:lineRule="exact"/>
              <w:jc w:val="right"/>
              <w:rPr>
                <w:rFonts w:ascii="方正书宋_GBK" w:eastAsia="方正书宋_GBK"/>
                <w:b/>
              </w:rPr>
            </w:pPr>
            <w:r>
              <w:rPr>
                <w:rFonts w:ascii="方正书宋_GBK" w:eastAsia="方正书宋_GBK"/>
                <w:b/>
              </w:rPr>
              <w:t>70</w:t>
            </w:r>
          </w:p>
        </w:tc>
        <w:tc>
          <w:tcPr>
            <w:tcW w:w="326" w:type="pct"/>
            <w:vAlign w:val="center"/>
          </w:tcPr>
          <w:p w14:paraId="726C5721">
            <w:pPr>
              <w:spacing w:line="300" w:lineRule="exact"/>
              <w:jc w:val="right"/>
              <w:rPr>
                <w:rFonts w:ascii="方正书宋_GBK" w:eastAsia="方正书宋_GBK"/>
                <w:b/>
              </w:rPr>
            </w:pPr>
          </w:p>
        </w:tc>
        <w:tc>
          <w:tcPr>
            <w:tcW w:w="327" w:type="pct"/>
            <w:vAlign w:val="center"/>
          </w:tcPr>
          <w:p w14:paraId="298D34E6">
            <w:pPr>
              <w:spacing w:line="300" w:lineRule="exact"/>
              <w:jc w:val="right"/>
              <w:rPr>
                <w:rFonts w:ascii="方正书宋_GBK" w:eastAsia="方正书宋_GBK"/>
                <w:b/>
              </w:rPr>
            </w:pPr>
          </w:p>
        </w:tc>
        <w:tc>
          <w:tcPr>
            <w:tcW w:w="327" w:type="pct"/>
            <w:vAlign w:val="center"/>
          </w:tcPr>
          <w:p w14:paraId="1C905186">
            <w:pPr>
              <w:spacing w:line="300" w:lineRule="exact"/>
              <w:jc w:val="right"/>
              <w:rPr>
                <w:rFonts w:ascii="方正书宋_GBK" w:eastAsia="方正书宋_GBK"/>
                <w:b/>
              </w:rPr>
            </w:pPr>
          </w:p>
        </w:tc>
        <w:tc>
          <w:tcPr>
            <w:tcW w:w="311" w:type="pct"/>
            <w:vAlign w:val="center"/>
          </w:tcPr>
          <w:p w14:paraId="7C2C17E3">
            <w:pPr>
              <w:spacing w:line="300" w:lineRule="exact"/>
              <w:jc w:val="right"/>
              <w:rPr>
                <w:rFonts w:ascii="方正书宋_GBK" w:eastAsia="方正书宋_GBK"/>
                <w:b/>
              </w:rPr>
            </w:pPr>
          </w:p>
        </w:tc>
      </w:tr>
      <w:tr w14:paraId="5BE34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vAlign w:val="center"/>
          </w:tcPr>
          <w:p w14:paraId="48A1FA39">
            <w:pPr>
              <w:spacing w:line="300" w:lineRule="exact"/>
              <w:jc w:val="center"/>
              <w:rPr>
                <w:rFonts w:ascii="方正书宋_GBK" w:eastAsia="方正书宋_GBK"/>
                <w:b/>
              </w:rPr>
            </w:pPr>
            <w:r>
              <w:rPr>
                <w:rFonts w:hint="eastAsia" w:ascii="方正书宋_GBK" w:eastAsia="方正书宋_GBK"/>
                <w:b/>
              </w:rPr>
              <w:t>劳动力市场基础设施维护维修专项经费</w:t>
            </w:r>
          </w:p>
        </w:tc>
        <w:tc>
          <w:tcPr>
            <w:tcW w:w="373" w:type="pct"/>
            <w:vAlign w:val="center"/>
          </w:tcPr>
          <w:p w14:paraId="28CFD940">
            <w:pPr>
              <w:spacing w:line="300" w:lineRule="exact"/>
              <w:jc w:val="right"/>
              <w:rPr>
                <w:rFonts w:ascii="方正书宋_GBK" w:eastAsia="方正书宋_GBK"/>
                <w:b/>
              </w:rPr>
            </w:pPr>
            <w:r>
              <w:rPr>
                <w:rFonts w:ascii="方正书宋_GBK" w:eastAsia="方正书宋_GBK"/>
                <w:b/>
              </w:rPr>
              <w:t>114.54</w:t>
            </w:r>
          </w:p>
        </w:tc>
        <w:tc>
          <w:tcPr>
            <w:tcW w:w="330" w:type="pct"/>
            <w:vAlign w:val="center"/>
          </w:tcPr>
          <w:p w14:paraId="7432A94B">
            <w:pPr>
              <w:spacing w:line="300" w:lineRule="exact"/>
              <w:jc w:val="left"/>
              <w:rPr>
                <w:rFonts w:ascii="方正书宋_GBK" w:eastAsia="方正书宋_GBK"/>
                <w:b/>
              </w:rPr>
            </w:pPr>
            <w:r>
              <w:rPr>
                <w:rFonts w:hint="eastAsia" w:ascii="方正书宋_GBK" w:eastAsia="方正书宋_GBK"/>
                <w:b/>
              </w:rPr>
              <w:t>供暖改造工程</w:t>
            </w:r>
          </w:p>
        </w:tc>
        <w:tc>
          <w:tcPr>
            <w:tcW w:w="346" w:type="pct"/>
            <w:vAlign w:val="center"/>
          </w:tcPr>
          <w:p w14:paraId="6B5E0C65">
            <w:pPr>
              <w:spacing w:line="300" w:lineRule="exact"/>
              <w:jc w:val="left"/>
              <w:rPr>
                <w:rFonts w:ascii="方正书宋_GBK" w:eastAsia="方正书宋_GBK"/>
                <w:b/>
              </w:rPr>
            </w:pPr>
            <w:r>
              <w:rPr>
                <w:rFonts w:ascii="方正书宋_GBK" w:eastAsia="方正书宋_GBK"/>
                <w:b/>
              </w:rPr>
              <w:t>B99</w:t>
            </w:r>
          </w:p>
        </w:tc>
        <w:tc>
          <w:tcPr>
            <w:tcW w:w="269" w:type="pct"/>
            <w:vAlign w:val="center"/>
          </w:tcPr>
          <w:p w14:paraId="5D6A9750">
            <w:pPr>
              <w:spacing w:line="300" w:lineRule="exact"/>
              <w:jc w:val="left"/>
              <w:rPr>
                <w:rFonts w:ascii="方正书宋_GBK" w:eastAsia="方正书宋_GBK"/>
                <w:b/>
              </w:rPr>
            </w:pPr>
            <w:r>
              <w:rPr>
                <w:rFonts w:hint="eastAsia" w:ascii="方正书宋_GBK" w:eastAsia="方正书宋_GBK"/>
                <w:b/>
              </w:rPr>
              <w:t>个</w:t>
            </w:r>
          </w:p>
        </w:tc>
        <w:tc>
          <w:tcPr>
            <w:tcW w:w="269" w:type="pct"/>
            <w:vAlign w:val="center"/>
          </w:tcPr>
          <w:p w14:paraId="12FCE780">
            <w:pPr>
              <w:spacing w:line="300" w:lineRule="exact"/>
              <w:jc w:val="right"/>
              <w:rPr>
                <w:rFonts w:ascii="方正书宋_GBK" w:eastAsia="方正书宋_GBK"/>
                <w:b/>
              </w:rPr>
            </w:pPr>
            <w:r>
              <w:rPr>
                <w:rFonts w:ascii="方正书宋_GBK" w:eastAsia="方正书宋_GBK"/>
                <w:b/>
              </w:rPr>
              <w:t>1</w:t>
            </w:r>
          </w:p>
        </w:tc>
        <w:tc>
          <w:tcPr>
            <w:tcW w:w="308" w:type="pct"/>
            <w:vAlign w:val="center"/>
          </w:tcPr>
          <w:p w14:paraId="2514C4B9">
            <w:pPr>
              <w:spacing w:line="300" w:lineRule="exact"/>
              <w:jc w:val="right"/>
              <w:rPr>
                <w:rFonts w:ascii="方正书宋_GBK" w:eastAsia="方正书宋_GBK"/>
                <w:b/>
              </w:rPr>
            </w:pPr>
            <w:r>
              <w:rPr>
                <w:rFonts w:ascii="方正书宋_GBK" w:eastAsia="方正书宋_GBK"/>
                <w:b/>
              </w:rPr>
              <w:t>70</w:t>
            </w:r>
          </w:p>
        </w:tc>
        <w:tc>
          <w:tcPr>
            <w:tcW w:w="326" w:type="pct"/>
            <w:vAlign w:val="center"/>
          </w:tcPr>
          <w:p w14:paraId="10364B84">
            <w:pPr>
              <w:spacing w:line="300" w:lineRule="exact"/>
              <w:jc w:val="right"/>
              <w:rPr>
                <w:rFonts w:ascii="方正书宋_GBK" w:eastAsia="方正书宋_GBK"/>
                <w:b/>
              </w:rPr>
            </w:pPr>
            <w:r>
              <w:rPr>
                <w:rFonts w:ascii="方正书宋_GBK" w:eastAsia="方正书宋_GBK"/>
                <w:b/>
              </w:rPr>
              <w:t>70</w:t>
            </w:r>
          </w:p>
        </w:tc>
        <w:tc>
          <w:tcPr>
            <w:tcW w:w="326" w:type="pct"/>
            <w:vAlign w:val="center"/>
          </w:tcPr>
          <w:p w14:paraId="422576B3">
            <w:pPr>
              <w:spacing w:line="300" w:lineRule="exact"/>
              <w:jc w:val="right"/>
              <w:rPr>
                <w:rFonts w:ascii="方正书宋_GBK" w:eastAsia="方正书宋_GBK"/>
                <w:b/>
              </w:rPr>
            </w:pPr>
            <w:r>
              <w:rPr>
                <w:rFonts w:ascii="方正书宋_GBK" w:eastAsia="方正书宋_GBK"/>
                <w:b/>
              </w:rPr>
              <w:t>70</w:t>
            </w:r>
          </w:p>
        </w:tc>
        <w:tc>
          <w:tcPr>
            <w:tcW w:w="326" w:type="pct"/>
            <w:vAlign w:val="center"/>
          </w:tcPr>
          <w:p w14:paraId="6561A69D">
            <w:pPr>
              <w:spacing w:line="300" w:lineRule="exact"/>
              <w:jc w:val="right"/>
              <w:rPr>
                <w:rFonts w:ascii="方正书宋_GBK" w:eastAsia="方正书宋_GBK"/>
                <w:b/>
              </w:rPr>
            </w:pPr>
            <w:r>
              <w:rPr>
                <w:rFonts w:ascii="方正书宋_GBK" w:eastAsia="方正书宋_GBK"/>
                <w:b/>
              </w:rPr>
              <w:t>70</w:t>
            </w:r>
          </w:p>
        </w:tc>
        <w:tc>
          <w:tcPr>
            <w:tcW w:w="326" w:type="pct"/>
            <w:vAlign w:val="center"/>
          </w:tcPr>
          <w:p w14:paraId="1750A723">
            <w:pPr>
              <w:spacing w:line="300" w:lineRule="exact"/>
              <w:jc w:val="right"/>
              <w:rPr>
                <w:rFonts w:ascii="方正书宋_GBK" w:eastAsia="方正书宋_GBK"/>
                <w:b/>
              </w:rPr>
            </w:pPr>
          </w:p>
        </w:tc>
        <w:tc>
          <w:tcPr>
            <w:tcW w:w="327" w:type="pct"/>
            <w:vAlign w:val="center"/>
          </w:tcPr>
          <w:p w14:paraId="576E2CE8">
            <w:pPr>
              <w:spacing w:line="300" w:lineRule="exact"/>
              <w:jc w:val="right"/>
              <w:rPr>
                <w:rFonts w:ascii="方正书宋_GBK" w:eastAsia="方正书宋_GBK"/>
                <w:b/>
              </w:rPr>
            </w:pPr>
          </w:p>
        </w:tc>
        <w:tc>
          <w:tcPr>
            <w:tcW w:w="327" w:type="pct"/>
            <w:vAlign w:val="center"/>
          </w:tcPr>
          <w:p w14:paraId="1C908106">
            <w:pPr>
              <w:spacing w:line="300" w:lineRule="exact"/>
              <w:jc w:val="right"/>
              <w:rPr>
                <w:rFonts w:ascii="方正书宋_GBK" w:eastAsia="方正书宋_GBK"/>
                <w:b/>
              </w:rPr>
            </w:pPr>
          </w:p>
        </w:tc>
        <w:tc>
          <w:tcPr>
            <w:tcW w:w="311" w:type="pct"/>
            <w:vAlign w:val="center"/>
          </w:tcPr>
          <w:p w14:paraId="371C4545">
            <w:pPr>
              <w:spacing w:line="300" w:lineRule="exact"/>
              <w:jc w:val="right"/>
              <w:rPr>
                <w:rFonts w:ascii="方正书宋_GBK" w:eastAsia="方正书宋_GBK"/>
                <w:b/>
              </w:rPr>
            </w:pPr>
          </w:p>
        </w:tc>
      </w:tr>
    </w:tbl>
    <w:p w14:paraId="7DCE2530">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rPr>
        <w:t>七、国有资产信息</w:t>
      </w:r>
    </w:p>
    <w:p w14:paraId="3A514666">
      <w:pPr>
        <w:ind w:firstLine="640"/>
        <w:rPr>
          <w:rFonts w:ascii="??_GB2312" w:hAnsi="黑体" w:cs="Times New Roman"/>
          <w:sz w:val="32"/>
          <w:szCs w:val="32"/>
          <w:highlight w:val="cyan"/>
        </w:rPr>
      </w:pPr>
      <w:r>
        <w:rPr>
          <w:rFonts w:ascii="??_GB2312" w:hAnsi="黑体" w:eastAsia="Times New Roman" w:cs="Times New Roman"/>
          <w:sz w:val="32"/>
          <w:szCs w:val="32"/>
        </w:rPr>
        <w:t>上年末固定资产金额为</w:t>
      </w:r>
      <w:r>
        <w:rPr>
          <w:rFonts w:ascii="??_GB2312" w:hAnsi="黑体" w:cs="Times New Roman"/>
          <w:sz w:val="32"/>
          <w:szCs w:val="32"/>
        </w:rPr>
        <w:t>2335.73</w:t>
      </w:r>
      <w:r>
        <w:rPr>
          <w:rFonts w:ascii="??_GB2312" w:hAnsi="黑体" w:eastAsia="Times New Roman" w:cs="Times New Roman"/>
          <w:sz w:val="32"/>
          <w:szCs w:val="32"/>
        </w:rPr>
        <w:t>万元（详见下表</w:t>
      </w:r>
      <w:r>
        <w:rPr>
          <w:rFonts w:ascii="??_GB2312" w:hAnsi="黑体" w:cs="Times New Roman"/>
          <w:sz w:val="32"/>
          <w:szCs w:val="32"/>
        </w:rPr>
        <w:t>,</w:t>
      </w:r>
      <w:r>
        <w:rPr>
          <w:rFonts w:hint="eastAsia" w:ascii="??_GB2312" w:hAnsi="黑体" w:cs="Times New Roman"/>
          <w:sz w:val="32"/>
          <w:szCs w:val="32"/>
        </w:rPr>
        <w:t>均为</w:t>
      </w:r>
      <w:r>
        <w:rPr>
          <w:rFonts w:ascii="??_GB2312" w:hAnsi="黑体" w:cs="Times New Roman"/>
          <w:sz w:val="32"/>
          <w:szCs w:val="32"/>
        </w:rPr>
        <w:t>20</w:t>
      </w:r>
      <w:r>
        <w:rPr>
          <w:rFonts w:hint="eastAsia" w:ascii="??_GB2312" w:hAnsi="黑体" w:cs="Times New Roman"/>
          <w:sz w:val="32"/>
          <w:szCs w:val="32"/>
        </w:rPr>
        <w:t>万元以下设备</w:t>
      </w:r>
      <w:r>
        <w:rPr>
          <w:rFonts w:ascii="??_GB2312" w:hAnsi="黑体" w:eastAsia="Times New Roman" w:cs="Times New Roman"/>
          <w:sz w:val="32"/>
          <w:szCs w:val="32"/>
        </w:rPr>
        <w:t>），本年度拟购置固定资产共计</w:t>
      </w:r>
      <w:r>
        <w:rPr>
          <w:rFonts w:ascii="??_GB2312" w:hAnsi="黑体" w:cs="Times New Roman"/>
          <w:sz w:val="32"/>
          <w:szCs w:val="32"/>
        </w:rPr>
        <w:t>19.05</w:t>
      </w:r>
      <w:r>
        <w:rPr>
          <w:rFonts w:ascii="??_GB2312" w:hAnsi="黑体" w:eastAsia="Times New Roman" w:cs="Times New Roman"/>
          <w:sz w:val="32"/>
          <w:szCs w:val="32"/>
        </w:rPr>
        <w:t>万元。</w:t>
      </w:r>
    </w:p>
    <w:tbl>
      <w:tblPr>
        <w:tblStyle w:val="9"/>
        <w:tblW w:w="13482" w:type="dxa"/>
        <w:jc w:val="center"/>
        <w:tblLayout w:type="fixed"/>
        <w:tblCellMar>
          <w:top w:w="0" w:type="dxa"/>
          <w:left w:w="108" w:type="dxa"/>
          <w:bottom w:w="0" w:type="dxa"/>
          <w:right w:w="108" w:type="dxa"/>
        </w:tblCellMar>
      </w:tblPr>
      <w:tblGrid>
        <w:gridCol w:w="5224"/>
        <w:gridCol w:w="3155"/>
        <w:gridCol w:w="5103"/>
      </w:tblGrid>
      <w:tr w14:paraId="2FF2F6BC">
        <w:tblPrEx>
          <w:tblCellMar>
            <w:top w:w="0" w:type="dxa"/>
            <w:left w:w="108" w:type="dxa"/>
            <w:bottom w:w="0" w:type="dxa"/>
            <w:right w:w="108" w:type="dxa"/>
          </w:tblCellMar>
        </w:tblPrEx>
        <w:trPr>
          <w:trHeight w:val="705" w:hRule="atLeast"/>
          <w:jc w:val="center"/>
        </w:trPr>
        <w:tc>
          <w:tcPr>
            <w:tcW w:w="13482" w:type="dxa"/>
            <w:gridSpan w:val="3"/>
            <w:tcBorders>
              <w:top w:val="nil"/>
              <w:left w:val="nil"/>
              <w:bottom w:val="nil"/>
              <w:right w:val="nil"/>
            </w:tcBorders>
            <w:vAlign w:val="center"/>
          </w:tcPr>
          <w:p w14:paraId="4D34C489">
            <w:pPr>
              <w:widowControl/>
              <w:jc w:val="center"/>
              <w:rPr>
                <w:rFonts w:ascii="宋体" w:cs="宋体"/>
                <w:b/>
                <w:bCs/>
                <w:kern w:val="0"/>
                <w:sz w:val="32"/>
                <w:szCs w:val="32"/>
              </w:rPr>
            </w:pPr>
            <w:r>
              <w:rPr>
                <w:rFonts w:hint="eastAsia" w:ascii="宋体" w:hAnsi="宋体" w:cs="宋体"/>
                <w:b/>
                <w:bCs/>
                <w:kern w:val="0"/>
                <w:sz w:val="32"/>
                <w:szCs w:val="32"/>
              </w:rPr>
              <w:t>唐山市曹妃甸区人力资源和社会保障局部门固定资产占用情况表</w:t>
            </w:r>
          </w:p>
        </w:tc>
      </w:tr>
      <w:tr w14:paraId="550EC80B">
        <w:tblPrEx>
          <w:tblCellMar>
            <w:top w:w="0" w:type="dxa"/>
            <w:left w:w="108" w:type="dxa"/>
            <w:bottom w:w="0" w:type="dxa"/>
            <w:right w:w="108" w:type="dxa"/>
          </w:tblCellMar>
        </w:tblPrEx>
        <w:trPr>
          <w:trHeight w:val="510" w:hRule="atLeast"/>
          <w:jc w:val="center"/>
        </w:trPr>
        <w:tc>
          <w:tcPr>
            <w:tcW w:w="8379" w:type="dxa"/>
            <w:gridSpan w:val="2"/>
            <w:tcBorders>
              <w:top w:val="nil"/>
              <w:left w:val="nil"/>
              <w:bottom w:val="nil"/>
              <w:right w:val="nil"/>
            </w:tcBorders>
            <w:vAlign w:val="center"/>
          </w:tcPr>
          <w:p w14:paraId="7B560604">
            <w:pPr>
              <w:widowControl/>
              <w:jc w:val="left"/>
              <w:rPr>
                <w:rFonts w:ascii="宋体" w:cs="宋体"/>
                <w:kern w:val="0"/>
                <w:sz w:val="22"/>
              </w:rPr>
            </w:pPr>
            <w:r>
              <w:rPr>
                <w:rFonts w:hint="eastAsia" w:ascii="宋体" w:hAnsi="宋体" w:cs="宋体"/>
                <w:kern w:val="0"/>
                <w:sz w:val="22"/>
              </w:rPr>
              <w:t>编制部门：唐山市曹妃甸区人力资源和社会保障局</w:t>
            </w:r>
          </w:p>
        </w:tc>
        <w:tc>
          <w:tcPr>
            <w:tcW w:w="5103" w:type="dxa"/>
            <w:tcBorders>
              <w:top w:val="nil"/>
              <w:left w:val="nil"/>
              <w:bottom w:val="nil"/>
              <w:right w:val="nil"/>
            </w:tcBorders>
            <w:vAlign w:val="center"/>
          </w:tcPr>
          <w:p w14:paraId="26E293A3">
            <w:pPr>
              <w:widowControl/>
              <w:jc w:val="right"/>
              <w:rPr>
                <w:rFonts w:ascii="宋体" w:cs="宋体"/>
                <w:kern w:val="0"/>
                <w:sz w:val="22"/>
              </w:rPr>
            </w:pPr>
            <w:r>
              <w:rPr>
                <w:rFonts w:hint="eastAsia" w:ascii="宋体" w:hAnsi="宋体" w:cs="宋体"/>
                <w:kern w:val="0"/>
                <w:sz w:val="22"/>
              </w:rPr>
              <w:t>截止时间：</w:t>
            </w:r>
            <w:r>
              <w:rPr>
                <w:rFonts w:ascii="宋体" w:hAnsi="宋体" w:cs="宋体"/>
                <w:kern w:val="0"/>
                <w:sz w:val="22"/>
              </w:rPr>
              <w:t>2021</w:t>
            </w:r>
            <w:r>
              <w:rPr>
                <w:rFonts w:hint="eastAsia" w:ascii="宋体" w:hAnsi="宋体" w:cs="宋体"/>
                <w:kern w:val="0"/>
                <w:sz w:val="22"/>
              </w:rPr>
              <w:t>年</w:t>
            </w:r>
            <w:r>
              <w:rPr>
                <w:rFonts w:ascii="宋体" w:hAnsi="宋体" w:cs="宋体"/>
                <w:kern w:val="0"/>
                <w:sz w:val="22"/>
              </w:rPr>
              <w:t>12</w:t>
            </w:r>
            <w:r>
              <w:rPr>
                <w:rFonts w:hint="eastAsia" w:ascii="宋体" w:hAnsi="宋体" w:cs="宋体"/>
                <w:kern w:val="0"/>
                <w:sz w:val="22"/>
              </w:rPr>
              <w:t>月</w:t>
            </w:r>
            <w:r>
              <w:rPr>
                <w:rFonts w:ascii="宋体" w:hAnsi="宋体" w:cs="宋体"/>
                <w:kern w:val="0"/>
                <w:sz w:val="22"/>
              </w:rPr>
              <w:t>31</w:t>
            </w:r>
            <w:r>
              <w:rPr>
                <w:rFonts w:hint="eastAsia" w:ascii="宋体" w:hAnsi="宋体" w:cs="宋体"/>
                <w:kern w:val="0"/>
                <w:sz w:val="22"/>
              </w:rPr>
              <w:t>日</w:t>
            </w:r>
            <w:r>
              <w:rPr>
                <w:rFonts w:ascii="宋体" w:hAnsi="宋体" w:cs="宋体"/>
                <w:kern w:val="0"/>
                <w:sz w:val="22"/>
              </w:rPr>
              <w:t xml:space="preserve">  </w:t>
            </w:r>
          </w:p>
        </w:tc>
      </w:tr>
      <w:tr w14:paraId="13D28605">
        <w:tblPrEx>
          <w:tblCellMar>
            <w:top w:w="0" w:type="dxa"/>
            <w:left w:w="108" w:type="dxa"/>
            <w:bottom w:w="0" w:type="dxa"/>
            <w:right w:w="108" w:type="dxa"/>
          </w:tblCellMar>
        </w:tblPrEx>
        <w:trPr>
          <w:trHeight w:val="645" w:hRule="atLeast"/>
          <w:jc w:val="center"/>
        </w:trPr>
        <w:tc>
          <w:tcPr>
            <w:tcW w:w="5224" w:type="dxa"/>
            <w:tcBorders>
              <w:top w:val="single" w:color="auto" w:sz="4" w:space="0"/>
              <w:left w:val="single" w:color="auto" w:sz="4" w:space="0"/>
              <w:bottom w:val="single" w:color="auto" w:sz="4" w:space="0"/>
              <w:right w:val="single" w:color="auto" w:sz="4" w:space="0"/>
            </w:tcBorders>
            <w:vAlign w:val="center"/>
          </w:tcPr>
          <w:p w14:paraId="5A634AF9">
            <w:pPr>
              <w:widowControl/>
              <w:jc w:val="center"/>
              <w:rPr>
                <w:rFonts w:ascii="宋体" w:cs="宋体"/>
                <w:b/>
                <w:bCs/>
                <w:kern w:val="0"/>
                <w:sz w:val="22"/>
              </w:rPr>
            </w:pPr>
            <w:r>
              <w:rPr>
                <w:rFonts w:hint="eastAsia" w:ascii="宋体" w:hAnsi="宋体" w:cs="宋体"/>
                <w:b/>
                <w:bCs/>
                <w:kern w:val="0"/>
                <w:sz w:val="22"/>
              </w:rPr>
              <w:t>项</w:t>
            </w:r>
            <w:r>
              <w:rPr>
                <w:rFonts w:ascii="宋体" w:hAnsi="宋体" w:cs="宋体"/>
                <w:b/>
                <w:bCs/>
                <w:kern w:val="0"/>
                <w:sz w:val="22"/>
              </w:rPr>
              <w:t xml:space="preserve">   </w:t>
            </w:r>
            <w:r>
              <w:rPr>
                <w:rFonts w:hint="eastAsia" w:ascii="宋体" w:hAnsi="宋体" w:cs="宋体"/>
                <w:b/>
                <w:bCs/>
                <w:kern w:val="0"/>
                <w:sz w:val="22"/>
              </w:rPr>
              <w:t>目</w:t>
            </w:r>
          </w:p>
        </w:tc>
        <w:tc>
          <w:tcPr>
            <w:tcW w:w="3155" w:type="dxa"/>
            <w:tcBorders>
              <w:top w:val="single" w:color="auto" w:sz="4" w:space="0"/>
              <w:left w:val="nil"/>
              <w:bottom w:val="single" w:color="auto" w:sz="4" w:space="0"/>
              <w:right w:val="single" w:color="auto" w:sz="4" w:space="0"/>
            </w:tcBorders>
            <w:vAlign w:val="center"/>
          </w:tcPr>
          <w:p w14:paraId="0A29B879">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14:paraId="222660B6">
            <w:pPr>
              <w:widowControl/>
              <w:jc w:val="center"/>
              <w:rPr>
                <w:rFonts w:ascii="宋体" w:cs="宋体"/>
                <w:b/>
                <w:bCs/>
                <w:kern w:val="0"/>
                <w:sz w:val="22"/>
              </w:rPr>
            </w:pPr>
            <w:r>
              <w:rPr>
                <w:rFonts w:hint="eastAsia" w:ascii="宋体" w:hAnsi="宋体" w:cs="宋体"/>
                <w:b/>
                <w:bCs/>
                <w:kern w:val="0"/>
                <w:sz w:val="22"/>
              </w:rPr>
              <w:t>价值（金额单位：万元）</w:t>
            </w:r>
          </w:p>
        </w:tc>
      </w:tr>
      <w:tr w14:paraId="5941ED8E">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vAlign w:val="center"/>
          </w:tcPr>
          <w:p w14:paraId="4E571CAA">
            <w:pPr>
              <w:widowControl/>
              <w:jc w:val="center"/>
              <w:rPr>
                <w:rFonts w:asci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vAlign w:val="center"/>
          </w:tcPr>
          <w:p w14:paraId="604D20CF">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color="auto" w:sz="4" w:space="0"/>
              <w:right w:val="single" w:color="auto" w:sz="4" w:space="0"/>
            </w:tcBorders>
            <w:vAlign w:val="center"/>
          </w:tcPr>
          <w:p w14:paraId="51ED9843">
            <w:pPr>
              <w:widowControl/>
              <w:jc w:val="center"/>
              <w:rPr>
                <w:rFonts w:ascii="宋体" w:cs="宋体"/>
                <w:kern w:val="0"/>
                <w:sz w:val="22"/>
              </w:rPr>
            </w:pPr>
            <w:r>
              <w:rPr>
                <w:rFonts w:ascii="宋体" w:hAnsi="宋体" w:cs="宋体"/>
                <w:kern w:val="0"/>
                <w:sz w:val="22"/>
              </w:rPr>
              <w:t>2</w:t>
            </w:r>
            <w:r>
              <w:rPr>
                <w:rFonts w:ascii="宋体" w:cs="宋体"/>
                <w:kern w:val="0"/>
                <w:sz w:val="22"/>
              </w:rPr>
              <w:t>,</w:t>
            </w:r>
            <w:r>
              <w:rPr>
                <w:rFonts w:ascii="宋体" w:hAnsi="宋体" w:cs="宋体"/>
                <w:kern w:val="0"/>
                <w:sz w:val="22"/>
              </w:rPr>
              <w:t>335.73</w:t>
            </w:r>
          </w:p>
        </w:tc>
      </w:tr>
      <w:tr w14:paraId="10CA7C23">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vAlign w:val="center"/>
          </w:tcPr>
          <w:p w14:paraId="1B671002">
            <w:pPr>
              <w:widowControl/>
              <w:jc w:val="left"/>
              <w:rPr>
                <w:rFonts w:ascii="宋体" w:cs="宋体"/>
                <w:kern w:val="0"/>
                <w:sz w:val="22"/>
              </w:rPr>
            </w:pPr>
            <w:r>
              <w:rPr>
                <w:rFonts w:ascii="宋体" w:hAnsi="宋体" w:cs="宋体"/>
                <w:kern w:val="0"/>
                <w:sz w:val="22"/>
              </w:rPr>
              <w:t>1</w:t>
            </w:r>
            <w:r>
              <w:rPr>
                <w:rFonts w:hint="eastAsia" w:ascii="宋体" w:hAnsi="宋体" w:cs="宋体"/>
                <w:kern w:val="0"/>
                <w:sz w:val="22"/>
              </w:rPr>
              <w:t>、房屋（平方米）</w:t>
            </w:r>
          </w:p>
        </w:tc>
        <w:tc>
          <w:tcPr>
            <w:tcW w:w="3155" w:type="dxa"/>
            <w:tcBorders>
              <w:top w:val="nil"/>
              <w:left w:val="nil"/>
              <w:bottom w:val="single" w:color="auto" w:sz="4" w:space="0"/>
              <w:right w:val="single" w:color="auto" w:sz="4" w:space="0"/>
            </w:tcBorders>
            <w:vAlign w:val="center"/>
          </w:tcPr>
          <w:p w14:paraId="0375F70D">
            <w:pPr>
              <w:widowControl/>
              <w:jc w:val="center"/>
              <w:rPr>
                <w:rFonts w:ascii="宋体" w:cs="宋体"/>
                <w:kern w:val="0"/>
                <w:sz w:val="22"/>
              </w:rPr>
            </w:pPr>
            <w:r>
              <w:rPr>
                <w:rFonts w:ascii="宋体" w:cs="宋体"/>
                <w:kern w:val="0"/>
                <w:sz w:val="22"/>
              </w:rPr>
              <w:t>5,212.24</w:t>
            </w:r>
          </w:p>
        </w:tc>
        <w:tc>
          <w:tcPr>
            <w:tcW w:w="5103" w:type="dxa"/>
            <w:tcBorders>
              <w:top w:val="nil"/>
              <w:left w:val="nil"/>
              <w:bottom w:val="single" w:color="auto" w:sz="4" w:space="0"/>
              <w:right w:val="single" w:color="auto" w:sz="4" w:space="0"/>
            </w:tcBorders>
            <w:vAlign w:val="center"/>
          </w:tcPr>
          <w:p w14:paraId="06E0BA06">
            <w:pPr>
              <w:widowControl/>
              <w:jc w:val="center"/>
              <w:rPr>
                <w:rFonts w:ascii="宋体" w:cs="宋体"/>
                <w:kern w:val="0"/>
                <w:sz w:val="22"/>
              </w:rPr>
            </w:pPr>
            <w:r>
              <w:rPr>
                <w:rFonts w:ascii="宋体" w:cs="宋体"/>
                <w:kern w:val="0"/>
                <w:sz w:val="22"/>
              </w:rPr>
              <w:t>1,712.53</w:t>
            </w:r>
          </w:p>
        </w:tc>
      </w:tr>
      <w:tr w14:paraId="7F823916">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vAlign w:val="center"/>
          </w:tcPr>
          <w:p w14:paraId="0FFB9868">
            <w:pPr>
              <w:widowControl/>
              <w:jc w:val="left"/>
              <w:rPr>
                <w:rFonts w:ascii="宋体" w:cs="宋体"/>
                <w:kern w:val="0"/>
                <w:sz w:val="22"/>
              </w:rPr>
            </w:pPr>
            <w:r>
              <w:rPr>
                <w:rFonts w:ascii="宋体" w:hAnsi="宋体" w:cs="宋体"/>
                <w:kern w:val="0"/>
                <w:sz w:val="22"/>
              </w:rPr>
              <w:t xml:space="preserve">  </w:t>
            </w:r>
            <w:r>
              <w:rPr>
                <w:rFonts w:hint="eastAsia" w:ascii="宋体" w:hAnsi="宋体" w:cs="宋体"/>
                <w:kern w:val="0"/>
                <w:sz w:val="22"/>
              </w:rPr>
              <w:t>其中：办公用房（平方米）</w:t>
            </w:r>
          </w:p>
        </w:tc>
        <w:tc>
          <w:tcPr>
            <w:tcW w:w="3155" w:type="dxa"/>
            <w:tcBorders>
              <w:top w:val="nil"/>
              <w:left w:val="nil"/>
              <w:bottom w:val="single" w:color="auto" w:sz="4" w:space="0"/>
              <w:right w:val="single" w:color="auto" w:sz="4" w:space="0"/>
            </w:tcBorders>
            <w:vAlign w:val="center"/>
          </w:tcPr>
          <w:p w14:paraId="2819BC9E">
            <w:pPr>
              <w:widowControl/>
              <w:jc w:val="center"/>
              <w:rPr>
                <w:rFonts w:ascii="宋体" w:cs="宋体"/>
                <w:kern w:val="0"/>
                <w:sz w:val="22"/>
              </w:rPr>
            </w:pPr>
            <w:r>
              <w:rPr>
                <w:rFonts w:ascii="宋体" w:cs="宋体"/>
                <w:kern w:val="0"/>
                <w:sz w:val="22"/>
              </w:rPr>
              <w:t>5,212.24</w:t>
            </w:r>
          </w:p>
        </w:tc>
        <w:tc>
          <w:tcPr>
            <w:tcW w:w="5103" w:type="dxa"/>
            <w:tcBorders>
              <w:top w:val="nil"/>
              <w:left w:val="nil"/>
              <w:bottom w:val="single" w:color="auto" w:sz="4" w:space="0"/>
              <w:right w:val="single" w:color="auto" w:sz="4" w:space="0"/>
            </w:tcBorders>
            <w:vAlign w:val="center"/>
          </w:tcPr>
          <w:p w14:paraId="1588C947">
            <w:pPr>
              <w:widowControl/>
              <w:jc w:val="center"/>
              <w:rPr>
                <w:rFonts w:ascii="宋体" w:cs="宋体"/>
                <w:kern w:val="0"/>
                <w:sz w:val="22"/>
              </w:rPr>
            </w:pPr>
            <w:r>
              <w:rPr>
                <w:rFonts w:ascii="宋体" w:cs="宋体"/>
                <w:kern w:val="0"/>
                <w:sz w:val="22"/>
              </w:rPr>
              <w:t>1,712.53</w:t>
            </w:r>
          </w:p>
        </w:tc>
      </w:tr>
      <w:tr w14:paraId="07866F4C">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vAlign w:val="center"/>
          </w:tcPr>
          <w:p w14:paraId="74B5A7A2">
            <w:pPr>
              <w:widowControl/>
              <w:jc w:val="left"/>
              <w:rPr>
                <w:rFonts w:ascii="宋体" w:cs="宋体"/>
                <w:kern w:val="0"/>
                <w:sz w:val="22"/>
              </w:rPr>
            </w:pPr>
            <w:r>
              <w:rPr>
                <w:rFonts w:ascii="宋体" w:hAnsi="宋体" w:cs="宋体"/>
                <w:kern w:val="0"/>
                <w:sz w:val="22"/>
              </w:rPr>
              <w:t>2</w:t>
            </w:r>
            <w:r>
              <w:rPr>
                <w:rFonts w:hint="eastAsia" w:ascii="宋体" w:hAnsi="宋体" w:cs="宋体"/>
                <w:kern w:val="0"/>
                <w:sz w:val="22"/>
              </w:rPr>
              <w:t>、车辆（台、辆）</w:t>
            </w:r>
          </w:p>
        </w:tc>
        <w:tc>
          <w:tcPr>
            <w:tcW w:w="3155" w:type="dxa"/>
            <w:tcBorders>
              <w:top w:val="nil"/>
              <w:left w:val="nil"/>
              <w:bottom w:val="single" w:color="auto" w:sz="4" w:space="0"/>
              <w:right w:val="single" w:color="auto" w:sz="4" w:space="0"/>
            </w:tcBorders>
            <w:vAlign w:val="center"/>
          </w:tcPr>
          <w:p w14:paraId="207EA632">
            <w:pPr>
              <w:widowControl/>
              <w:jc w:val="center"/>
              <w:rPr>
                <w:rFonts w:ascii="宋体" w:cs="宋体"/>
                <w:kern w:val="0"/>
                <w:sz w:val="22"/>
              </w:rPr>
            </w:pPr>
            <w:r>
              <w:rPr>
                <w:rFonts w:ascii="宋体" w:cs="宋体"/>
                <w:kern w:val="0"/>
                <w:sz w:val="22"/>
              </w:rPr>
              <w:t>4</w:t>
            </w:r>
          </w:p>
        </w:tc>
        <w:tc>
          <w:tcPr>
            <w:tcW w:w="5103" w:type="dxa"/>
            <w:tcBorders>
              <w:top w:val="nil"/>
              <w:left w:val="nil"/>
              <w:bottom w:val="single" w:color="auto" w:sz="4" w:space="0"/>
              <w:right w:val="single" w:color="auto" w:sz="4" w:space="0"/>
            </w:tcBorders>
            <w:vAlign w:val="center"/>
          </w:tcPr>
          <w:p w14:paraId="7AA46147">
            <w:pPr>
              <w:widowControl/>
              <w:jc w:val="center"/>
              <w:rPr>
                <w:rFonts w:ascii="宋体" w:cs="宋体"/>
                <w:kern w:val="0"/>
                <w:sz w:val="22"/>
              </w:rPr>
            </w:pPr>
            <w:r>
              <w:rPr>
                <w:rFonts w:ascii="宋体" w:hAnsi="宋体" w:cs="宋体"/>
                <w:kern w:val="0"/>
                <w:sz w:val="22"/>
              </w:rPr>
              <w:t>41.17</w:t>
            </w:r>
          </w:p>
        </w:tc>
      </w:tr>
      <w:tr w14:paraId="2F0EEB26">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vAlign w:val="center"/>
          </w:tcPr>
          <w:p w14:paraId="321577BE">
            <w:pPr>
              <w:widowControl/>
              <w:jc w:val="left"/>
              <w:rPr>
                <w:rFonts w:ascii="宋体" w:cs="宋体"/>
                <w:kern w:val="0"/>
                <w:sz w:val="22"/>
              </w:rPr>
            </w:pPr>
            <w:r>
              <w:rPr>
                <w:rFonts w:ascii="宋体" w:hAnsi="宋体" w:cs="宋体"/>
                <w:kern w:val="0"/>
                <w:sz w:val="22"/>
              </w:rPr>
              <w:t>3</w:t>
            </w:r>
            <w:r>
              <w:rPr>
                <w:rFonts w:hint="eastAsia" w:ascii="宋体" w:hAnsi="宋体" w:cs="宋体"/>
                <w:kern w:val="0"/>
                <w:sz w:val="22"/>
              </w:rPr>
              <w:t>、单价在</w:t>
            </w:r>
            <w:r>
              <w:rPr>
                <w:rFonts w:ascii="宋体" w:hAnsi="宋体" w:cs="宋体"/>
                <w:kern w:val="0"/>
                <w:sz w:val="22"/>
              </w:rPr>
              <w:t>20</w:t>
            </w:r>
            <w:r>
              <w:rPr>
                <w:rFonts w:hint="eastAsia" w:ascii="宋体" w:hAnsi="宋体" w:cs="宋体"/>
                <w:kern w:val="0"/>
                <w:sz w:val="22"/>
              </w:rPr>
              <w:t>万元以上设备</w:t>
            </w:r>
          </w:p>
        </w:tc>
        <w:tc>
          <w:tcPr>
            <w:tcW w:w="3155" w:type="dxa"/>
            <w:tcBorders>
              <w:top w:val="nil"/>
              <w:left w:val="nil"/>
              <w:bottom w:val="single" w:color="auto" w:sz="4" w:space="0"/>
              <w:right w:val="single" w:color="auto" w:sz="4" w:space="0"/>
            </w:tcBorders>
            <w:vAlign w:val="center"/>
          </w:tcPr>
          <w:p w14:paraId="4DC06DCD">
            <w:pPr>
              <w:widowControl/>
              <w:jc w:val="center"/>
              <w:rPr>
                <w:rFonts w:ascii="宋体" w:cs="宋体"/>
                <w:kern w:val="0"/>
                <w:sz w:val="22"/>
              </w:rPr>
            </w:pPr>
          </w:p>
        </w:tc>
        <w:tc>
          <w:tcPr>
            <w:tcW w:w="5103" w:type="dxa"/>
            <w:tcBorders>
              <w:top w:val="nil"/>
              <w:left w:val="nil"/>
              <w:bottom w:val="single" w:color="auto" w:sz="4" w:space="0"/>
              <w:right w:val="single" w:color="auto" w:sz="4" w:space="0"/>
            </w:tcBorders>
            <w:vAlign w:val="center"/>
          </w:tcPr>
          <w:p w14:paraId="5B209F6C">
            <w:pPr>
              <w:widowControl/>
              <w:jc w:val="center"/>
              <w:rPr>
                <w:rFonts w:ascii="宋体" w:cs="宋体"/>
                <w:kern w:val="0"/>
                <w:sz w:val="22"/>
              </w:rPr>
            </w:pPr>
          </w:p>
        </w:tc>
      </w:tr>
      <w:tr w14:paraId="12F77BFF">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vAlign w:val="center"/>
          </w:tcPr>
          <w:p w14:paraId="4D7D1801">
            <w:pPr>
              <w:widowControl/>
              <w:jc w:val="left"/>
              <w:rPr>
                <w:rFonts w:ascii="宋体" w:cs="宋体"/>
                <w:kern w:val="0"/>
                <w:sz w:val="22"/>
              </w:rPr>
            </w:pPr>
            <w:r>
              <w:rPr>
                <w:rFonts w:ascii="宋体" w:hAnsi="宋体" w:cs="宋体"/>
                <w:kern w:val="0"/>
                <w:sz w:val="22"/>
              </w:rPr>
              <w:t>4</w:t>
            </w:r>
            <w:r>
              <w:rPr>
                <w:rFonts w:hint="eastAsia" w:ascii="宋体" w:hAnsi="宋体" w:cs="宋体"/>
                <w:kern w:val="0"/>
                <w:sz w:val="22"/>
              </w:rPr>
              <w:t>、其他固定资产</w:t>
            </w:r>
          </w:p>
        </w:tc>
        <w:tc>
          <w:tcPr>
            <w:tcW w:w="3155" w:type="dxa"/>
            <w:tcBorders>
              <w:top w:val="nil"/>
              <w:left w:val="nil"/>
              <w:bottom w:val="single" w:color="auto" w:sz="4" w:space="0"/>
              <w:right w:val="single" w:color="auto" w:sz="4" w:space="0"/>
            </w:tcBorders>
            <w:vAlign w:val="center"/>
          </w:tcPr>
          <w:p w14:paraId="54FDCCA6">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color="auto" w:sz="4" w:space="0"/>
              <w:right w:val="single" w:color="auto" w:sz="4" w:space="0"/>
            </w:tcBorders>
            <w:vAlign w:val="center"/>
          </w:tcPr>
          <w:p w14:paraId="0C017B85">
            <w:pPr>
              <w:widowControl/>
              <w:jc w:val="center"/>
              <w:rPr>
                <w:rFonts w:ascii="宋体" w:cs="宋体"/>
                <w:kern w:val="0"/>
                <w:sz w:val="22"/>
              </w:rPr>
            </w:pPr>
            <w:r>
              <w:rPr>
                <w:rFonts w:ascii="宋体" w:cs="宋体"/>
                <w:kern w:val="0"/>
                <w:sz w:val="22"/>
              </w:rPr>
              <w:t>582.03</w:t>
            </w:r>
          </w:p>
        </w:tc>
      </w:tr>
    </w:tbl>
    <w:p w14:paraId="61ABAEEB">
      <w:pPr>
        <w:numPr>
          <w:ilvl w:val="0"/>
          <w:numId w:val="4"/>
        </w:num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名词解释</w:t>
      </w:r>
    </w:p>
    <w:p w14:paraId="438E040D">
      <w:pPr>
        <w:autoSpaceDE w:val="0"/>
        <w:autoSpaceDN w:val="0"/>
        <w:adjustRightInd w:val="0"/>
        <w:ind w:left="420" w:leftChars="200" w:firstLine="640" w:firstLineChars="200"/>
        <w:jc w:val="left"/>
        <w:rPr>
          <w:rFonts w:ascii="??_GB2312" w:hAnsi="??_GB2312" w:cs="??_GB2312"/>
          <w:sz w:val="32"/>
          <w:szCs w:val="32"/>
        </w:rPr>
      </w:pPr>
      <w:r>
        <w:rPr>
          <w:rFonts w:ascii="??_GB2312" w:hAnsi="??_GB2312" w:cs="??_GB2312"/>
          <w:sz w:val="32"/>
          <w:szCs w:val="32"/>
        </w:rPr>
        <w:t>1</w:t>
      </w:r>
      <w:r>
        <w:rPr>
          <w:rFonts w:hint="eastAsia" w:ascii="宋体" w:hAnsi="宋体" w:cs="宋体"/>
          <w:sz w:val="32"/>
          <w:szCs w:val="32"/>
        </w:rPr>
        <w:t>、一般预算收入：区级财政当年拨付的资金。</w:t>
      </w:r>
    </w:p>
    <w:p w14:paraId="20F1F431">
      <w:pPr>
        <w:autoSpaceDE w:val="0"/>
        <w:autoSpaceDN w:val="0"/>
        <w:adjustRightInd w:val="0"/>
        <w:ind w:left="420" w:leftChars="200" w:firstLine="640" w:firstLineChars="200"/>
        <w:jc w:val="left"/>
        <w:rPr>
          <w:rFonts w:ascii="??_GB2312" w:hAnsi="??_GB2312" w:cs="??_GB2312"/>
          <w:sz w:val="32"/>
          <w:szCs w:val="32"/>
        </w:rPr>
      </w:pPr>
      <w:r>
        <w:rPr>
          <w:rFonts w:ascii="??_GB2312" w:hAnsi="??_GB2312" w:cs="??_GB2312"/>
          <w:sz w:val="32"/>
          <w:szCs w:val="32"/>
        </w:rPr>
        <w:t>2</w:t>
      </w:r>
      <w:r>
        <w:rPr>
          <w:rFonts w:hint="eastAsia" w:ascii="宋体" w:hAnsi="宋体" w:cs="宋体"/>
          <w:sz w:val="32"/>
          <w:szCs w:val="32"/>
        </w:rPr>
        <w:t>、基本支出：为保障机构正常运转，完成日常工作任务，而发生的人员支出和公用支出。</w:t>
      </w:r>
    </w:p>
    <w:p w14:paraId="072912C8">
      <w:pPr>
        <w:autoSpaceDE w:val="0"/>
        <w:autoSpaceDN w:val="0"/>
        <w:adjustRightInd w:val="0"/>
        <w:ind w:left="420" w:leftChars="200" w:firstLine="640" w:firstLineChars="200"/>
        <w:jc w:val="left"/>
        <w:rPr>
          <w:rFonts w:ascii="??_GB2312" w:hAnsi="??_GB2312" w:cs="??_GB2312"/>
          <w:sz w:val="32"/>
          <w:szCs w:val="32"/>
        </w:rPr>
      </w:pPr>
      <w:r>
        <w:rPr>
          <w:rFonts w:ascii="??_GB2312" w:hAnsi="??_GB2312" w:cs="??_GB2312"/>
          <w:sz w:val="32"/>
          <w:szCs w:val="32"/>
        </w:rPr>
        <w:t>3</w:t>
      </w:r>
      <w:r>
        <w:rPr>
          <w:rFonts w:hint="eastAsia" w:ascii="宋体" w:hAnsi="宋体" w:cs="宋体"/>
          <w:sz w:val="32"/>
          <w:szCs w:val="32"/>
        </w:rPr>
        <w:t>、项目支出：是指在基本支出之外，为完成特定行政任务和事业发展目标，而发生的支出。</w:t>
      </w:r>
    </w:p>
    <w:p w14:paraId="12243E54">
      <w:pPr>
        <w:autoSpaceDE w:val="0"/>
        <w:autoSpaceDN w:val="0"/>
        <w:adjustRightInd w:val="0"/>
        <w:ind w:left="420" w:leftChars="200" w:firstLine="640" w:firstLineChars="200"/>
        <w:jc w:val="left"/>
        <w:rPr>
          <w:rFonts w:ascii="宋体" w:cs="宋体"/>
          <w:sz w:val="32"/>
          <w:szCs w:val="32"/>
        </w:rPr>
      </w:pPr>
      <w:r>
        <w:rPr>
          <w:rFonts w:ascii="??_GB2312" w:hAnsi="??_GB2312" w:cs="??_GB2312"/>
          <w:sz w:val="32"/>
          <w:szCs w:val="32"/>
        </w:rPr>
        <w:t>4</w:t>
      </w:r>
      <w:r>
        <w:rPr>
          <w:rFonts w:hint="eastAsia" w:ascii="宋体" w:hAnsi="宋体" w:cs="宋体"/>
          <w:sz w:val="32"/>
          <w:szCs w:val="32"/>
        </w:rPr>
        <w:t>、机关运行费：是指单位的用于购买货物和服务的各项公用经费，包括办公及印刷费、邮电费、差旅费、会议费、福利费、日常维修费、办公用房水电费、办公用房取暖费、办公物业服务费、公务车运行维护费以及其他费用等。</w:t>
      </w:r>
    </w:p>
    <w:p w14:paraId="3A0BAB30">
      <w:pPr>
        <w:autoSpaceDE w:val="0"/>
        <w:autoSpaceDN w:val="0"/>
        <w:adjustRightInd w:val="0"/>
        <w:ind w:left="420" w:leftChars="200" w:firstLine="643" w:firstLineChars="200"/>
        <w:jc w:val="left"/>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14:paraId="4AE3D92D">
      <w:pPr>
        <w:autoSpaceDE w:val="0"/>
        <w:autoSpaceDN w:val="0"/>
        <w:adjustRightInd w:val="0"/>
        <w:ind w:left="420" w:leftChars="200" w:firstLine="640" w:firstLineChars="200"/>
        <w:jc w:val="left"/>
        <w:rPr>
          <w:rFonts w:ascii="??_GB2312" w:hAnsi="??_GB2312" w:cs="??_GB2312"/>
          <w:sz w:val="32"/>
          <w:szCs w:val="32"/>
        </w:rPr>
      </w:pPr>
      <w:r>
        <w:rPr>
          <w:rFonts w:hint="eastAsia" w:ascii="??_GB2312" w:hAnsi="??_GB2312" w:cs="??_GB2312"/>
          <w:sz w:val="32"/>
          <w:szCs w:val="32"/>
        </w:rPr>
        <w:t>无。</w:t>
      </w:r>
    </w:p>
    <w:sectPr>
      <w:headerReference r:id="rId3" w:type="default"/>
      <w:footerReference r:id="rId4" w:type="default"/>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altName w:val="宋体"/>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86"/>
    <w:family w:val="auto"/>
    <w:pitch w:val="default"/>
    <w:sig w:usb0="00000000" w:usb1="00000000" w:usb2="0000001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_GB2312">
    <w:altName w:val="Times New Roman"/>
    <w:panose1 w:val="00000000000000000000"/>
    <w:charset w:val="00"/>
    <w:family w:val="auto"/>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方正楷体_GBK">
    <w:altName w:val="宋体"/>
    <w:panose1 w:val="00000000000000000000"/>
    <w:charset w:val="86"/>
    <w:family w:val="auto"/>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宋体-方正超大字符集">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CF131">
    <w:pPr>
      <w:pStyle w:val="3"/>
      <w:jc w:val="center"/>
    </w:pPr>
    <w:r>
      <w:rPr>
        <w:rFonts w:hint="eastAsia"/>
      </w:rPr>
      <w:t>第</w:t>
    </w:r>
    <w:r>
      <w:t xml:space="preserve"> </w:t>
    </w:r>
    <w:r>
      <w:fldChar w:fldCharType="begin"/>
    </w:r>
    <w:r>
      <w:instrText xml:space="preserve">Page \* MERGEFORMAT</w:instrText>
    </w:r>
    <w:r>
      <w:fldChar w:fldCharType="separate"/>
    </w:r>
    <w:r>
      <w:t>7</w:t>
    </w:r>
    <w:r>
      <w:fldChar w:fldCharType="end"/>
    </w:r>
    <w:r>
      <w:t xml:space="preserve"> </w:t>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1C19E">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decimal"/>
      <w:suff w:val="nothing"/>
      <w:lvlText w:val="%1、"/>
      <w:lvlJc w:val="left"/>
      <w:rPr>
        <w:rFonts w:cs="Times New Roman"/>
      </w:rPr>
    </w:lvl>
  </w:abstractNum>
  <w:abstractNum w:abstractNumId="1">
    <w:nsid w:val="0000000B"/>
    <w:multiLevelType w:val="singleLevel"/>
    <w:tmpl w:val="0000000B"/>
    <w:lvl w:ilvl="0" w:tentative="0">
      <w:start w:val="8"/>
      <w:numFmt w:val="chineseCounting"/>
      <w:suff w:val="nothing"/>
      <w:lvlText w:val="%1、"/>
      <w:lvlJc w:val="left"/>
      <w:rPr>
        <w:rFonts w:cs="Times New Roman"/>
      </w:rPr>
    </w:lvl>
  </w:abstractNum>
  <w:abstractNum w:abstractNumId="2">
    <w:nsid w:val="5909A0EE"/>
    <w:multiLevelType w:val="singleLevel"/>
    <w:tmpl w:val="5909A0EE"/>
    <w:lvl w:ilvl="0" w:tentative="0">
      <w:start w:val="1"/>
      <w:numFmt w:val="chineseCounting"/>
      <w:suff w:val="nothing"/>
      <w:lvlText w:val="%1、"/>
      <w:lvlJc w:val="left"/>
      <w:rPr>
        <w:rFonts w:cs="Times New Roman"/>
      </w:rPr>
    </w:lvl>
  </w:abstractNum>
  <w:abstractNum w:abstractNumId="3">
    <w:nsid w:val="5909A57E"/>
    <w:multiLevelType w:val="singleLevel"/>
    <w:tmpl w:val="5909A57E"/>
    <w:lvl w:ilvl="0" w:tentative="0">
      <w:start w:val="3"/>
      <w:numFmt w:val="chineseCounting"/>
      <w:suff w:val="nothing"/>
      <w:lvlText w:val="%1、"/>
      <w:lvlJc w:val="left"/>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9"/>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Q4ZTkyMmE5MTBlMDFmNzljOTMzNDFkMTQzMmUxZjIifQ=="/>
  </w:docVars>
  <w:rsids>
    <w:rsidRoot w:val="00172A27"/>
    <w:rsid w:val="0000067F"/>
    <w:rsid w:val="00004186"/>
    <w:rsid w:val="0000543E"/>
    <w:rsid w:val="000147CA"/>
    <w:rsid w:val="0002411B"/>
    <w:rsid w:val="00043113"/>
    <w:rsid w:val="000459D6"/>
    <w:rsid w:val="00047053"/>
    <w:rsid w:val="00064962"/>
    <w:rsid w:val="000741CF"/>
    <w:rsid w:val="00077383"/>
    <w:rsid w:val="000815AA"/>
    <w:rsid w:val="0008428D"/>
    <w:rsid w:val="000B66D5"/>
    <w:rsid w:val="000D2574"/>
    <w:rsid w:val="000D618B"/>
    <w:rsid w:val="000F4F8C"/>
    <w:rsid w:val="00124BCC"/>
    <w:rsid w:val="00130A2D"/>
    <w:rsid w:val="00133D13"/>
    <w:rsid w:val="001532C6"/>
    <w:rsid w:val="00154E11"/>
    <w:rsid w:val="00157ECB"/>
    <w:rsid w:val="00172A27"/>
    <w:rsid w:val="00181AB8"/>
    <w:rsid w:val="0019050D"/>
    <w:rsid w:val="001A3F33"/>
    <w:rsid w:val="001C0F56"/>
    <w:rsid w:val="001C222D"/>
    <w:rsid w:val="001C3603"/>
    <w:rsid w:val="001C4CBB"/>
    <w:rsid w:val="001D69B9"/>
    <w:rsid w:val="001E7FB3"/>
    <w:rsid w:val="00204240"/>
    <w:rsid w:val="002075F4"/>
    <w:rsid w:val="0021279F"/>
    <w:rsid w:val="002213D8"/>
    <w:rsid w:val="00233FF6"/>
    <w:rsid w:val="0023629E"/>
    <w:rsid w:val="0025112B"/>
    <w:rsid w:val="00271FB1"/>
    <w:rsid w:val="00285812"/>
    <w:rsid w:val="0029223A"/>
    <w:rsid w:val="002975A1"/>
    <w:rsid w:val="002B4AF3"/>
    <w:rsid w:val="002D4F58"/>
    <w:rsid w:val="002D6218"/>
    <w:rsid w:val="002E3ECF"/>
    <w:rsid w:val="002F3E4D"/>
    <w:rsid w:val="00302302"/>
    <w:rsid w:val="0030284A"/>
    <w:rsid w:val="00302E2D"/>
    <w:rsid w:val="003276EC"/>
    <w:rsid w:val="00344179"/>
    <w:rsid w:val="00345810"/>
    <w:rsid w:val="00345A0F"/>
    <w:rsid w:val="003759A2"/>
    <w:rsid w:val="00377D9F"/>
    <w:rsid w:val="003B25B3"/>
    <w:rsid w:val="003C068E"/>
    <w:rsid w:val="003C4442"/>
    <w:rsid w:val="003D0805"/>
    <w:rsid w:val="003E0E95"/>
    <w:rsid w:val="003E4A1E"/>
    <w:rsid w:val="003F3C24"/>
    <w:rsid w:val="00407D5C"/>
    <w:rsid w:val="0041442B"/>
    <w:rsid w:val="00416E30"/>
    <w:rsid w:val="004349B8"/>
    <w:rsid w:val="00454413"/>
    <w:rsid w:val="0045499D"/>
    <w:rsid w:val="00455328"/>
    <w:rsid w:val="00465462"/>
    <w:rsid w:val="004712E5"/>
    <w:rsid w:val="00490F0A"/>
    <w:rsid w:val="00492E21"/>
    <w:rsid w:val="004A2BA2"/>
    <w:rsid w:val="004C4567"/>
    <w:rsid w:val="004D0526"/>
    <w:rsid w:val="004E71A7"/>
    <w:rsid w:val="004F4C9B"/>
    <w:rsid w:val="005022F4"/>
    <w:rsid w:val="0050321A"/>
    <w:rsid w:val="005167A4"/>
    <w:rsid w:val="005224BC"/>
    <w:rsid w:val="00534FBD"/>
    <w:rsid w:val="00537DFB"/>
    <w:rsid w:val="005408E6"/>
    <w:rsid w:val="00552DD2"/>
    <w:rsid w:val="00554D37"/>
    <w:rsid w:val="005559B2"/>
    <w:rsid w:val="00562B8F"/>
    <w:rsid w:val="00592581"/>
    <w:rsid w:val="005A1E6D"/>
    <w:rsid w:val="005B3F73"/>
    <w:rsid w:val="005C734A"/>
    <w:rsid w:val="005D4D85"/>
    <w:rsid w:val="005D7B92"/>
    <w:rsid w:val="005E1A3A"/>
    <w:rsid w:val="005E1F7C"/>
    <w:rsid w:val="005E5827"/>
    <w:rsid w:val="00602FD4"/>
    <w:rsid w:val="0061310B"/>
    <w:rsid w:val="006170BD"/>
    <w:rsid w:val="006401F3"/>
    <w:rsid w:val="00640DF4"/>
    <w:rsid w:val="006606EA"/>
    <w:rsid w:val="00660C54"/>
    <w:rsid w:val="00663012"/>
    <w:rsid w:val="006641CB"/>
    <w:rsid w:val="006661AF"/>
    <w:rsid w:val="00666CD2"/>
    <w:rsid w:val="006928CC"/>
    <w:rsid w:val="006A5594"/>
    <w:rsid w:val="006D4540"/>
    <w:rsid w:val="006E30BE"/>
    <w:rsid w:val="006F26EC"/>
    <w:rsid w:val="007003DE"/>
    <w:rsid w:val="00733407"/>
    <w:rsid w:val="0073615E"/>
    <w:rsid w:val="00737852"/>
    <w:rsid w:val="00753E2F"/>
    <w:rsid w:val="00755329"/>
    <w:rsid w:val="007605BA"/>
    <w:rsid w:val="007616DA"/>
    <w:rsid w:val="00770208"/>
    <w:rsid w:val="00772F02"/>
    <w:rsid w:val="00773C2D"/>
    <w:rsid w:val="007823FC"/>
    <w:rsid w:val="007933DF"/>
    <w:rsid w:val="007B5ABF"/>
    <w:rsid w:val="007C317B"/>
    <w:rsid w:val="007C75D8"/>
    <w:rsid w:val="007E72B5"/>
    <w:rsid w:val="007E7831"/>
    <w:rsid w:val="00807839"/>
    <w:rsid w:val="00814D2C"/>
    <w:rsid w:val="008232B8"/>
    <w:rsid w:val="00826569"/>
    <w:rsid w:val="0083218B"/>
    <w:rsid w:val="00835149"/>
    <w:rsid w:val="008573BE"/>
    <w:rsid w:val="0086635B"/>
    <w:rsid w:val="008811BD"/>
    <w:rsid w:val="00893E78"/>
    <w:rsid w:val="008C70FE"/>
    <w:rsid w:val="008D7F5A"/>
    <w:rsid w:val="008E5F49"/>
    <w:rsid w:val="008E742E"/>
    <w:rsid w:val="008F2589"/>
    <w:rsid w:val="00925A58"/>
    <w:rsid w:val="00934184"/>
    <w:rsid w:val="0095023E"/>
    <w:rsid w:val="00965627"/>
    <w:rsid w:val="009731ED"/>
    <w:rsid w:val="009843FF"/>
    <w:rsid w:val="00985E06"/>
    <w:rsid w:val="009B2BF4"/>
    <w:rsid w:val="009C4D46"/>
    <w:rsid w:val="009E74DB"/>
    <w:rsid w:val="009F2985"/>
    <w:rsid w:val="009F30DA"/>
    <w:rsid w:val="009F3B15"/>
    <w:rsid w:val="00A1619C"/>
    <w:rsid w:val="00A225C0"/>
    <w:rsid w:val="00A25FED"/>
    <w:rsid w:val="00A30F77"/>
    <w:rsid w:val="00A4525F"/>
    <w:rsid w:val="00A55382"/>
    <w:rsid w:val="00A570AB"/>
    <w:rsid w:val="00A6322C"/>
    <w:rsid w:val="00A7154C"/>
    <w:rsid w:val="00A9706A"/>
    <w:rsid w:val="00AA4632"/>
    <w:rsid w:val="00AC3A9C"/>
    <w:rsid w:val="00AD094E"/>
    <w:rsid w:val="00AD328A"/>
    <w:rsid w:val="00B12AEB"/>
    <w:rsid w:val="00B346DE"/>
    <w:rsid w:val="00B37A50"/>
    <w:rsid w:val="00B41A68"/>
    <w:rsid w:val="00B649F6"/>
    <w:rsid w:val="00B9491B"/>
    <w:rsid w:val="00B95213"/>
    <w:rsid w:val="00B95C04"/>
    <w:rsid w:val="00B961C0"/>
    <w:rsid w:val="00B962C6"/>
    <w:rsid w:val="00B97C57"/>
    <w:rsid w:val="00BA7A4D"/>
    <w:rsid w:val="00BE1989"/>
    <w:rsid w:val="00BE2370"/>
    <w:rsid w:val="00BF565F"/>
    <w:rsid w:val="00C0177B"/>
    <w:rsid w:val="00C1498D"/>
    <w:rsid w:val="00C17B1B"/>
    <w:rsid w:val="00C26018"/>
    <w:rsid w:val="00C359A9"/>
    <w:rsid w:val="00C375B9"/>
    <w:rsid w:val="00C40690"/>
    <w:rsid w:val="00C5361D"/>
    <w:rsid w:val="00C55AE6"/>
    <w:rsid w:val="00C606CB"/>
    <w:rsid w:val="00C8639D"/>
    <w:rsid w:val="00C94C65"/>
    <w:rsid w:val="00C9781D"/>
    <w:rsid w:val="00CB3A83"/>
    <w:rsid w:val="00CB3F6B"/>
    <w:rsid w:val="00CB7113"/>
    <w:rsid w:val="00CD0ADA"/>
    <w:rsid w:val="00D03DD7"/>
    <w:rsid w:val="00D04981"/>
    <w:rsid w:val="00D26C20"/>
    <w:rsid w:val="00D37E7D"/>
    <w:rsid w:val="00D415AD"/>
    <w:rsid w:val="00D64250"/>
    <w:rsid w:val="00D66D16"/>
    <w:rsid w:val="00D67E8B"/>
    <w:rsid w:val="00D96B76"/>
    <w:rsid w:val="00DA260E"/>
    <w:rsid w:val="00DB0696"/>
    <w:rsid w:val="00DB1B44"/>
    <w:rsid w:val="00DC7524"/>
    <w:rsid w:val="00DD6941"/>
    <w:rsid w:val="00DD7A3E"/>
    <w:rsid w:val="00DE483C"/>
    <w:rsid w:val="00E02285"/>
    <w:rsid w:val="00E027CA"/>
    <w:rsid w:val="00E07624"/>
    <w:rsid w:val="00E13FBB"/>
    <w:rsid w:val="00E24237"/>
    <w:rsid w:val="00E4240B"/>
    <w:rsid w:val="00E47882"/>
    <w:rsid w:val="00E52BDD"/>
    <w:rsid w:val="00E52E7F"/>
    <w:rsid w:val="00E56A46"/>
    <w:rsid w:val="00E606F8"/>
    <w:rsid w:val="00E61FE9"/>
    <w:rsid w:val="00E672D6"/>
    <w:rsid w:val="00E7166C"/>
    <w:rsid w:val="00E804F6"/>
    <w:rsid w:val="00E82833"/>
    <w:rsid w:val="00E8620C"/>
    <w:rsid w:val="00EA2AF3"/>
    <w:rsid w:val="00EB5A33"/>
    <w:rsid w:val="00EC7C9C"/>
    <w:rsid w:val="00ED0EB7"/>
    <w:rsid w:val="00ED19A6"/>
    <w:rsid w:val="00EE0F74"/>
    <w:rsid w:val="00EE37CB"/>
    <w:rsid w:val="00F03D8B"/>
    <w:rsid w:val="00F06BA8"/>
    <w:rsid w:val="00F14943"/>
    <w:rsid w:val="00F17316"/>
    <w:rsid w:val="00F333A2"/>
    <w:rsid w:val="00F3773A"/>
    <w:rsid w:val="00F527D0"/>
    <w:rsid w:val="00F53B16"/>
    <w:rsid w:val="00F623D2"/>
    <w:rsid w:val="00F630A4"/>
    <w:rsid w:val="00F632FF"/>
    <w:rsid w:val="00F72F84"/>
    <w:rsid w:val="00F81BC0"/>
    <w:rsid w:val="00FA072F"/>
    <w:rsid w:val="00FB0782"/>
    <w:rsid w:val="00FB4336"/>
    <w:rsid w:val="00FC1C76"/>
    <w:rsid w:val="00FE3202"/>
    <w:rsid w:val="00FE48FC"/>
    <w:rsid w:val="00FE62E4"/>
    <w:rsid w:val="02335EF2"/>
    <w:rsid w:val="081465EC"/>
    <w:rsid w:val="08B872E5"/>
    <w:rsid w:val="0D3D7863"/>
    <w:rsid w:val="11B14DCE"/>
    <w:rsid w:val="11BD51BB"/>
    <w:rsid w:val="13FE75A2"/>
    <w:rsid w:val="16317A5F"/>
    <w:rsid w:val="173E1959"/>
    <w:rsid w:val="17B27C12"/>
    <w:rsid w:val="182B5206"/>
    <w:rsid w:val="18E406CF"/>
    <w:rsid w:val="19D756C2"/>
    <w:rsid w:val="1A6C0E84"/>
    <w:rsid w:val="1A7C3068"/>
    <w:rsid w:val="1B6C046B"/>
    <w:rsid w:val="1C6D28A3"/>
    <w:rsid w:val="1CC5044C"/>
    <w:rsid w:val="1DC43078"/>
    <w:rsid w:val="1F436A91"/>
    <w:rsid w:val="20490F69"/>
    <w:rsid w:val="20880B42"/>
    <w:rsid w:val="20D06600"/>
    <w:rsid w:val="253476E6"/>
    <w:rsid w:val="2573511A"/>
    <w:rsid w:val="26A175C9"/>
    <w:rsid w:val="26B55F79"/>
    <w:rsid w:val="2B2D036C"/>
    <w:rsid w:val="2C343CEB"/>
    <w:rsid w:val="2C973BA3"/>
    <w:rsid w:val="2CD91EE1"/>
    <w:rsid w:val="2D3D47D0"/>
    <w:rsid w:val="2D9F209F"/>
    <w:rsid w:val="2DFA07EA"/>
    <w:rsid w:val="2FAF2DC0"/>
    <w:rsid w:val="37346343"/>
    <w:rsid w:val="376059F1"/>
    <w:rsid w:val="39B624A1"/>
    <w:rsid w:val="3B9D05E2"/>
    <w:rsid w:val="3B9D3F7B"/>
    <w:rsid w:val="3BC06A63"/>
    <w:rsid w:val="3F675A63"/>
    <w:rsid w:val="417B1318"/>
    <w:rsid w:val="42646472"/>
    <w:rsid w:val="460974D0"/>
    <w:rsid w:val="477E5776"/>
    <w:rsid w:val="47E52DBD"/>
    <w:rsid w:val="4D667939"/>
    <w:rsid w:val="4F762266"/>
    <w:rsid w:val="507B57E7"/>
    <w:rsid w:val="516D3442"/>
    <w:rsid w:val="525A132C"/>
    <w:rsid w:val="52F74406"/>
    <w:rsid w:val="53934B54"/>
    <w:rsid w:val="56412769"/>
    <w:rsid w:val="56A439CF"/>
    <w:rsid w:val="588958A6"/>
    <w:rsid w:val="5C5C3E00"/>
    <w:rsid w:val="5CF32068"/>
    <w:rsid w:val="67C9021A"/>
    <w:rsid w:val="6BDC690F"/>
    <w:rsid w:val="6BF81301"/>
    <w:rsid w:val="6F123BFA"/>
    <w:rsid w:val="712552E9"/>
    <w:rsid w:val="779F354D"/>
    <w:rsid w:val="7944331F"/>
    <w:rsid w:val="7AEC23D6"/>
    <w:rsid w:val="7BBC722B"/>
    <w:rsid w:val="7C9A7756"/>
    <w:rsid w:val="7F752A3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semiHidden="0" w:name="toc 1"/>
    <w:lsdException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2"/>
    <w:qFormat/>
    <w:uiPriority w:val="99"/>
    <w:pPr>
      <w:keepNext/>
      <w:keepLines/>
      <w:spacing w:before="340" w:after="330" w:line="578" w:lineRule="auto"/>
      <w:outlineLvl w:val="0"/>
    </w:pPr>
    <w:rPr>
      <w:b/>
      <w:bCs/>
      <w:kern w:val="44"/>
      <w:sz w:val="44"/>
      <w:szCs w:val="44"/>
    </w:rPr>
  </w:style>
  <w:style w:type="character" w:default="1" w:styleId="10">
    <w:name w:val="Default Paragraph Font"/>
    <w:semiHidden/>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uiPriority w:val="99"/>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4"/>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uiPriority w:val="99"/>
    <w:rPr>
      <w:rFonts w:ascii="Times New Roman" w:hAnsi="Times New Roman" w:cs="Times New Roman"/>
      <w:szCs w:val="24"/>
    </w:rPr>
  </w:style>
  <w:style w:type="paragraph" w:styleId="6">
    <w:name w:val="toc 2"/>
    <w:basedOn w:val="1"/>
    <w:next w:val="1"/>
    <w:uiPriority w:val="99"/>
    <w:pPr>
      <w:ind w:left="420" w:leftChars="200"/>
    </w:pPr>
    <w:rPr>
      <w:rFonts w:ascii="Times New Roman" w:hAnsi="Times New Roman" w:cs="Times New Roman"/>
      <w:szCs w:val="24"/>
    </w:rPr>
  </w:style>
  <w:style w:type="paragraph" w:styleId="7">
    <w:name w:val="Normal (Web)"/>
    <w:basedOn w:val="1"/>
    <w:uiPriority w:val="99"/>
    <w:pPr>
      <w:widowControl/>
      <w:spacing w:before="100" w:beforeAutospacing="1" w:after="100" w:afterAutospacing="1"/>
      <w:jc w:val="left"/>
    </w:pPr>
    <w:rPr>
      <w:rFonts w:ascii="宋体" w:hAnsi="宋体" w:cs="宋体"/>
      <w:kern w:val="0"/>
      <w:sz w:val="24"/>
      <w:szCs w:val="24"/>
    </w:rPr>
  </w:style>
  <w:style w:type="paragraph" w:styleId="8">
    <w:name w:val="Title"/>
    <w:basedOn w:val="1"/>
    <w:next w:val="1"/>
    <w:link w:val="15"/>
    <w:qFormat/>
    <w:uiPriority w:val="99"/>
    <w:pPr>
      <w:spacing w:before="240" w:after="60"/>
      <w:jc w:val="center"/>
      <w:outlineLvl w:val="0"/>
    </w:pPr>
    <w:rPr>
      <w:rFonts w:ascii="Cambria" w:hAnsi="Cambria" w:cs="Times New Roman"/>
      <w:b/>
      <w:bCs/>
      <w:sz w:val="32"/>
      <w:szCs w:val="32"/>
    </w:rPr>
  </w:style>
  <w:style w:type="character" w:styleId="11">
    <w:name w:val="Hyperlink"/>
    <w:basedOn w:val="10"/>
    <w:uiPriority w:val="99"/>
    <w:rPr>
      <w:rFonts w:cs="Times New Roman"/>
      <w:color w:val="0000FF"/>
      <w:u w:val="single"/>
    </w:rPr>
  </w:style>
  <w:style w:type="character" w:customStyle="1" w:styleId="12">
    <w:name w:val="Heading 1 Char"/>
    <w:basedOn w:val="10"/>
    <w:link w:val="2"/>
    <w:locked/>
    <w:uiPriority w:val="99"/>
    <w:rPr>
      <w:rFonts w:ascii="Calibri" w:hAnsi="Calibri" w:cs="黑体"/>
      <w:b/>
      <w:bCs/>
      <w:kern w:val="44"/>
      <w:sz w:val="44"/>
      <w:szCs w:val="44"/>
    </w:rPr>
  </w:style>
  <w:style w:type="character" w:customStyle="1" w:styleId="13">
    <w:name w:val="Footer Char"/>
    <w:basedOn w:val="10"/>
    <w:link w:val="3"/>
    <w:semiHidden/>
    <w:locked/>
    <w:uiPriority w:val="99"/>
    <w:rPr>
      <w:rFonts w:ascii="Times New Roman" w:hAnsi="Times New Roman" w:eastAsia="宋体" w:cs="Times New Roman"/>
      <w:sz w:val="18"/>
      <w:szCs w:val="18"/>
    </w:rPr>
  </w:style>
  <w:style w:type="character" w:customStyle="1" w:styleId="14">
    <w:name w:val="Header Char"/>
    <w:basedOn w:val="10"/>
    <w:link w:val="4"/>
    <w:semiHidden/>
    <w:locked/>
    <w:uiPriority w:val="99"/>
    <w:rPr>
      <w:rFonts w:ascii="Times New Roman" w:hAnsi="Times New Roman" w:eastAsia="宋体" w:cs="Times New Roman"/>
      <w:sz w:val="18"/>
      <w:szCs w:val="18"/>
    </w:rPr>
  </w:style>
  <w:style w:type="character" w:customStyle="1" w:styleId="15">
    <w:name w:val="Title Char"/>
    <w:basedOn w:val="10"/>
    <w:link w:val="8"/>
    <w:locked/>
    <w:uiPriority w:val="99"/>
    <w:rPr>
      <w:rFonts w:ascii="Cambria" w:hAnsi="Cambria" w:cs="Times New Roman"/>
      <w:b/>
      <w:bCs/>
      <w:sz w:val="32"/>
      <w:szCs w:val="32"/>
    </w:rPr>
  </w:style>
  <w:style w:type="character" w:customStyle="1" w:styleId="16">
    <w:name w:val="Page Number1"/>
    <w:basedOn w:val="10"/>
    <w:uiPriority w:val="99"/>
    <w:rPr>
      <w:rFonts w:cs="Times New Roman"/>
    </w:rPr>
  </w:style>
  <w:style w:type="character" w:customStyle="1" w:styleId="17">
    <w:name w:val="font11"/>
    <w:basedOn w:val="10"/>
    <w:uiPriority w:val="99"/>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16</Pages>
  <Words>2699</Words>
  <Characters>2841</Characters>
  <Lines>0</Lines>
  <Paragraphs>0</Paragraphs>
  <TotalTime>129</TotalTime>
  <ScaleCrop>false</ScaleCrop>
  <LinksUpToDate>false</LinksUpToDate>
  <CharactersWithSpaces>2856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2021-03-09T01:13:00Z</dcterms:created>
  <dc:creator>guest</dc:creator>
  <cp:lastModifiedBy>张家铭</cp:lastModifiedBy>
  <cp:lastPrinted>2022-03-16T01:00:00Z</cp:lastPrinted>
  <dcterms:modified xsi:type="dcterms:W3CDTF">2024-12-12T08:05:26Z</dcterms:modified>
  <dc:title>Administrator</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AF1A7CE0E57A4ECC935C47B97066D4A1_12</vt:lpwstr>
  </property>
</Properties>
</file>