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238A4">
      <w:pPr>
        <w:sectPr>
          <w:headerReference r:id="rId3" w:type="default"/>
          <w:pgSz w:w="11906" w:h="16838"/>
          <w:pgMar w:top="0" w:right="0" w:bottom="0" w:left="0" w:header="851" w:footer="992" w:gutter="0"/>
          <w:cols w:space="425" w:num="1"/>
          <w:titlePg/>
          <w:docGrid w:type="lines" w:linePitch="312" w:charSpace="0"/>
        </w:sectPr>
      </w:pPr>
      <w:bookmarkStart w:id="0" w:name="_GoBack"/>
      <w:bookmarkEnd w:id="0"/>
      <w:r>
        <mc:AlternateContent>
          <mc:Choice Requires="wps">
            <w:drawing>
              <wp:anchor distT="0" distB="0" distL="114300" distR="114300" simplePos="0" relativeHeight="251664384"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1"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wps:spPr>
                      <wps:txbx>
                        <w:txbxContent>
                          <w:p w14:paraId="209CEA7A">
                            <w:pPr>
                              <w:jc w:val="center"/>
                              <w:rPr>
                                <w:rFonts w:hint="eastAsia" w:ascii="楷体_GB2312" w:hAnsi="楷体_GB2312" w:eastAsia="楷体_GB2312" w:cs="楷体_GB2312"/>
                                <w:color w:val="000000" w:themeColor="text1"/>
                                <w:kern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二〇二〇年七月</w:t>
                            </w: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9lks2QAAAA4BAAAPAAAAAAAAAAEAIAAAACIAAABkcnMvZG93bnJldi54bWxQSwEC&#10;FAAUAAAACACHTuJAVbBkcboBAABfAwAADgAAAAAAAAABACAAAAAoAQAAZHJzL2Uyb0RvYy54bWxQ&#10;SwUGAAAAAAYABgBZAQAAVAUAAAAA&#10;">
                <v:fill on="f" focussize="0,0"/>
                <v:stroke on="f"/>
                <v:imagedata o:title=""/>
                <o:lock v:ext="edit" aspectratio="f"/>
                <v:textbox style="mso-fit-shape-to-text:t;">
                  <w:txbxContent>
                    <w:p w14:paraId="209CEA7A">
                      <w:pPr>
                        <w:jc w:val="center"/>
                        <w:rPr>
                          <w:rFonts w:hint="eastAsia" w:ascii="楷体_GB2312" w:hAnsi="楷体_GB2312" w:eastAsia="楷体_GB2312" w:cs="楷体_GB2312"/>
                          <w:color w:val="000000" w:themeColor="text1"/>
                          <w:kern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二〇二〇年七月</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679450</wp:posOffset>
                </wp:positionH>
                <wp:positionV relativeFrom="paragraph">
                  <wp:posOffset>2952115</wp:posOffset>
                </wp:positionV>
                <wp:extent cx="1548765" cy="1548765"/>
                <wp:effectExtent l="0" t="0" r="13335" b="13335"/>
                <wp:wrapNone/>
                <wp:docPr id="9"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0F1E7">
                            <w:pPr>
                              <w:jc w:val="center"/>
                            </w:pPr>
                          </w:p>
                        </w:txbxContent>
                      </wps:txbx>
                      <wps:bodyPr rtlCol="0" anchor="ctr"/>
                    </wps:wsp>
                  </a:graphicData>
                </a:graphic>
              </wp:anchor>
            </w:drawing>
          </mc:Choice>
          <mc:Fallback>
            <w:pict>
              <v:shape id="椭圆 8" o:spid="_x0000_s1026" o:spt="3" type="#_x0000_t3" style="position:absolute;left:0pt;margin-left:53.5pt;margin-top:232.45pt;height:121.95pt;width:121.95pt;z-index:251661312;v-text-anchor:middle;mso-width-relative:page;mso-height-relative:page;" fillcolor="#FFFFFF [3212]"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lzntkAAAALAQAADwAAAAAAAAABACAAAAAiAAAAZHJzL2Rvd25yZXYueG1sUEsBAhQA&#10;FAAAAAgAh07iQKby8CnxAQAA1QMAAA4AAAAAAAAAAQAgAAAAKAEAAGRycy9lMm9Eb2MueG1sUEsF&#10;BgAAAAAGAAYAWQEAAIsFAAAAAA==&#10;">
                <v:fill on="t" focussize="0,0"/>
                <v:stroke on="f" weight="1pt" miterlimit="8" joinstyle="miter"/>
                <v:imagedata o:title=""/>
                <o:lock v:ext="edit" aspectratio="f"/>
                <v:textbox>
                  <w:txbxContent>
                    <w:p w14:paraId="4880F1E7">
                      <w:pPr>
                        <w:jc w:val="cente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15"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wps:spPr>
                      <wps:txbx>
                        <w:txbxContent>
                          <w:p w14:paraId="40842A34">
                            <w:pPr>
                              <w:spacing w:line="360" w:lineRule="auto"/>
                              <w:jc w:val="center"/>
                              <w:rPr>
                                <w:rFonts w:hint="default" w:eastAsiaTheme="minorEastAsia"/>
                                <w:kern w:val="0"/>
                                <w:sz w:val="28"/>
                                <w:szCs w:val="28"/>
                                <w:lang w:val="en-US" w:eastAsia="zh-CN"/>
                              </w:rPr>
                            </w:pPr>
                            <w:r>
                              <w:rPr>
                                <w:rFonts w:hint="eastAsia" w:ascii="Yu Gothic UI Semibold" w:hAnsi="Yu Gothic UI Semibold" w:eastAsia="宋体"/>
                                <w:color w:val="FFFFFF" w:themeColor="background1"/>
                                <w:kern w:val="24"/>
                                <w:sz w:val="72"/>
                                <w:szCs w:val="72"/>
                                <w:lang w:val="en-US" w:eastAsia="zh-CN"/>
                                <w14:textFill>
                                  <w14:solidFill>
                                    <w14:schemeClr w14:val="bg1"/>
                                  </w14:solidFill>
                                </w14:textFill>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pV&#10;qbnZAAAACgEAAA8AAAAAAAAAAQAgAAAAIgAAAGRycy9kb3ducmV2LnhtbFBLAQIUABQAAAAIAIdO&#10;4kAgpHqbsAEAAEcDAAAOAAAAAAAAAAEAIAAAACgBAABkcnMvZTJvRG9jLnhtbFBLBQYAAAAABgAG&#10;AFkBAABKBQAAAAA=&#10;">
                <v:fill on="f" focussize="0,0"/>
                <v:stroke on="f"/>
                <v:imagedata o:title=""/>
                <o:lock v:ext="edit" aspectratio="f"/>
                <v:textbox style="mso-fit-shape-to-text:t;">
                  <w:txbxContent>
                    <w:p w14:paraId="40842A34">
                      <w:pPr>
                        <w:spacing w:line="360" w:lineRule="auto"/>
                        <w:jc w:val="center"/>
                        <w:rPr>
                          <w:rFonts w:hint="default" w:eastAsiaTheme="minorEastAsia"/>
                          <w:kern w:val="0"/>
                          <w:sz w:val="28"/>
                          <w:szCs w:val="28"/>
                          <w:lang w:val="en-US" w:eastAsia="zh-CN"/>
                        </w:rPr>
                      </w:pPr>
                      <w:r>
                        <w:rPr>
                          <w:rFonts w:hint="eastAsia" w:ascii="Yu Gothic UI Semibold" w:hAnsi="Yu Gothic UI Semibold" w:eastAsia="宋体"/>
                          <w:color w:val="FFFFFF" w:themeColor="background1"/>
                          <w:kern w:val="24"/>
                          <w:sz w:val="72"/>
                          <w:szCs w:val="72"/>
                          <w:lang w:val="en-US" w:eastAsia="zh-CN"/>
                          <w14:textFill>
                            <w14:solidFill>
                              <w14:schemeClr w14:val="bg1"/>
                            </w14:solidFill>
                          </w14:textFill>
                        </w:rPr>
                        <w:t>2019</w:t>
                      </w:r>
                    </w:p>
                  </w:txbxContent>
                </v:textbox>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789940</wp:posOffset>
                </wp:positionH>
                <wp:positionV relativeFrom="paragraph">
                  <wp:posOffset>3082925</wp:posOffset>
                </wp:positionV>
                <wp:extent cx="1313815" cy="1313815"/>
                <wp:effectExtent l="0" t="0" r="635" b="635"/>
                <wp:wrapNone/>
                <wp:docPr id="10"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C77EE">
                            <w:pPr>
                              <w:jc w:val="center"/>
                            </w:pPr>
                          </w:p>
                        </w:txbxContent>
                      </wps:txbx>
                      <wps:bodyPr rtlCol="0" anchor="ctr"/>
                    </wps:wsp>
                  </a:graphicData>
                </a:graphic>
              </wp:anchor>
            </w:drawing>
          </mc:Choice>
          <mc:Fallback>
            <w:pict>
              <v:shape id="椭圆 9" o:spid="_x0000_s1026"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Chgu2AAAAAsBAAAPAAAAAAAAAAEAIAAAACIAAABkcnMvZG93&#10;bnJldi54bWxQSwECFAAUAAAACACHTuJAVqRzUQACAADhAwAADgAAAAAAAAABACAAAAAnAQAAZHJz&#10;L2Uyb0RvYy54bWxQSwUGAAAAAAYABgBZAQAAmQUAAAAA&#10;">
                <v:fill on="t" focussize="0,0"/>
                <v:stroke on="f" weight="1pt" miterlimit="8" joinstyle="miter"/>
                <v:imagedata o:title=""/>
                <o:lock v:ext="edit" aspectratio="f"/>
                <v:textbox>
                  <w:txbxContent>
                    <w:p w14:paraId="365C77EE">
                      <w:pPr>
                        <w:jc w:val="center"/>
                      </w:pPr>
                    </w:p>
                  </w:txbxContent>
                </v:textbox>
              </v:shape>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10435590</wp:posOffset>
                </wp:positionV>
                <wp:extent cx="7559675" cy="272415"/>
                <wp:effectExtent l="0" t="0" r="3175" b="13335"/>
                <wp:wrapNone/>
                <wp:docPr id="13" name="组合 13"/>
                <wp:cNvGraphicFramePr/>
                <a:graphic xmlns:a="http://schemas.openxmlformats.org/drawingml/2006/main">
                  <a:graphicData uri="http://schemas.microsoft.com/office/word/2010/wordprocessingGroup">
                    <wpg:wgp>
                      <wpg:cNvGrpSpPr/>
                      <wpg:grpSpPr>
                        <a:xfrm>
                          <a:off x="0" y="0"/>
                          <a:ext cx="7559675" cy="272415"/>
                          <a:chOff x="1483" y="16692"/>
                          <a:chExt cx="11905" cy="429"/>
                        </a:xfrm>
                      </wpg:grpSpPr>
                      <wps:wsp>
                        <wps:cNvPr id="7" name="矩形 6"/>
                        <wps:cNvSpPr/>
                        <wps:spPr>
                          <a:xfrm>
                            <a:off x="1483" y="16692"/>
                            <a:ext cx="1125" cy="428"/>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矩形 7"/>
                        <wps:cNvSpPr/>
                        <wps:spPr>
                          <a:xfrm>
                            <a:off x="2608" y="16693"/>
                            <a:ext cx="10780" cy="428"/>
                          </a:xfrm>
                          <a:prstGeom prst="rect">
                            <a:avLst/>
                          </a:prstGeom>
                          <a:solidFill>
                            <a:srgbClr val="1F295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Nc&#10;nyXaAAAADAEAAA8AAAAAAAAAAQAgAAAAIgAAAGRycy9kb3ducmV2LnhtbFBLAQIUABQAAAAIAIdO&#10;4kDMoU7HkwIAAOQGAAAOAAAAAAAAAAEAIAAAACkBAABkcnMvZTJvRG9jLnhtbFBLBQYAAAAABgAG&#10;AFkBAAAuBg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w:rPr>
          <w:sz w:val="21"/>
        </w:rPr>
        <mc:AlternateContent>
          <mc:Choice Requires="wpg">
            <w:drawing>
              <wp:anchor distT="0" distB="0" distL="114300" distR="114300" simplePos="0" relativeHeight="251659264" behindDoc="1" locked="0" layoutInCell="1" allowOverlap="1">
                <wp:simplePos x="0" y="0"/>
                <wp:positionH relativeFrom="column">
                  <wp:posOffset>-31750</wp:posOffset>
                </wp:positionH>
                <wp:positionV relativeFrom="paragraph">
                  <wp:posOffset>0</wp:posOffset>
                </wp:positionV>
                <wp:extent cx="7623175" cy="4090670"/>
                <wp:effectExtent l="0" t="0" r="15875" b="0"/>
                <wp:wrapNone/>
                <wp:docPr id="4" name="组合 4"/>
                <wp:cNvGraphicFramePr/>
                <a:graphic xmlns:a="http://schemas.openxmlformats.org/drawingml/2006/main">
                  <a:graphicData uri="http://schemas.microsoft.com/office/word/2010/wordprocessingGroup">
                    <wpg:wgp>
                      <wpg:cNvGrpSpPr/>
                      <wpg:grpSpPr>
                        <a:xfrm>
                          <a:off x="0" y="0"/>
                          <a:ext cx="7623175" cy="4090670"/>
                          <a:chOff x="13622" y="283"/>
                          <a:chExt cx="12005" cy="6442"/>
                        </a:xfrm>
                      </wpg:grpSpPr>
                      <wps:wsp>
                        <wps:cNvPr id="6" name="矩形 5"/>
                        <wps:cNvSpPr/>
                        <wps:spPr>
                          <a:xfrm>
                            <a:off x="13622" y="283"/>
                            <a:ext cx="12005" cy="6170"/>
                          </a:xfrm>
                          <a:prstGeom prst="rect">
                            <a:avLst/>
                          </a:prstGeom>
                          <a:solidFill>
                            <a:srgbClr val="FDBC1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文本框 10"/>
                        <wps:cNvSpPr txBox="1"/>
                        <wps:spPr>
                          <a:xfrm>
                            <a:off x="17229" y="5021"/>
                            <a:ext cx="8083" cy="1704"/>
                          </a:xfrm>
                          <a:prstGeom prst="rect">
                            <a:avLst/>
                          </a:prstGeom>
                          <a:noFill/>
                        </wps:spPr>
                        <wps:txbx>
                          <w:txbxContent>
                            <w:p w14:paraId="0F45B0C4">
                              <w:pPr>
                                <w:jc w:val="left"/>
                                <w:rPr>
                                  <w:rFonts w:hint="default" w:eastAsiaTheme="minorEastAsia"/>
                                  <w:color w:val="000000" w:themeColor="text1"/>
                                  <w:kern w:val="0"/>
                                  <w:sz w:val="92"/>
                                  <w:szCs w:val="9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思源黑体 HW Bold" w:hAnsi="思源黑体 HW Bold" w:eastAsia="思源黑体 HW Bold"/>
                                  <w:color w:val="000000" w:themeColor="text1"/>
                                  <w:kern w:val="24"/>
                                  <w:sz w:val="92"/>
                                  <w:szCs w:val="9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部门决算公开文本</w:t>
                              </w:r>
                            </w:p>
                          </w:txbxContent>
                        </wps:txbx>
                        <wps:bodyPr wrap="square" rtlCol="0">
                          <a:spAutoFit/>
                        </wps:bodyPr>
                      </wps:wsp>
                    </wpg:wgp>
                  </a:graphicData>
                </a:graphic>
              </wp:anchor>
            </w:drawing>
          </mc:Choice>
          <mc:Fallback>
            <w:pict>
              <v:group id="_x0000_s1026" o:spid="_x0000_s1026" o:spt="203" style="position:absolute;left:0pt;margin-left:-2.5pt;margin-top:0pt;height:322.1pt;width:600.25pt;z-index:-251657216;mso-width-relative:page;mso-height-relative:page;" coordorigin="13622,283" coordsize="12005,6442"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REfdfZ&#10;AAAACAEAAA8AAAAAAAAAAQAgAAAAIgAAAGRycy9kb3ducmV2LnhtbFBLAQIUABQAAAAIAIdO4kDQ&#10;ds0XygIAAH0GAAAOAAAAAAAAAAEAIAAAACgBAABkcnMvZTJvRG9jLnhtbFBLBQYAAAAABgAGAFkB&#10;AABkBg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1704;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0F45B0C4">
                        <w:pPr>
                          <w:jc w:val="left"/>
                          <w:rPr>
                            <w:rFonts w:hint="default" w:eastAsiaTheme="minorEastAsia"/>
                            <w:color w:val="000000" w:themeColor="text1"/>
                            <w:kern w:val="0"/>
                            <w:sz w:val="92"/>
                            <w:szCs w:val="9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思源黑体 HW Bold" w:hAnsi="思源黑体 HW Bold" w:eastAsia="思源黑体 HW Bold"/>
                            <w:color w:val="000000" w:themeColor="text1"/>
                            <w:kern w:val="24"/>
                            <w:sz w:val="92"/>
                            <w:szCs w:val="9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部门决算公开文本</w:t>
                        </w:r>
                      </w:p>
                    </w:txbxContent>
                  </v:textbox>
                </v:shape>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2" name="矩形 11"/>
                <wp:cNvGraphicFramePr/>
                <a:graphic xmlns:a="http://schemas.openxmlformats.org/drawingml/2006/main">
                  <a:graphicData uri="http://schemas.microsoft.com/office/word/2010/wordprocessingShape">
                    <wps:wsp>
                      <wps:cNvSpPr/>
                      <wps:spPr>
                        <a:xfrm>
                          <a:off x="0" y="0"/>
                          <a:ext cx="4313555" cy="396875"/>
                        </a:xfrm>
                        <a:prstGeom prst="rect">
                          <a:avLst/>
                        </a:prstGeom>
                      </wps:spPr>
                      <wps:txbx>
                        <w:txbxContent>
                          <w:p w14:paraId="71632706"/>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WZBfR2wAAAAwBAAAP&#10;AAAAAAAAAAEAIAAAACIAAABkcnMvZG93bnJldi54bWxQSwECFAAUAAAACACHTuJABWT5JKMBAAA6&#10;AwAADgAAAAAAAAABACAAAAAqAQAAZHJzL2Uyb0RvYy54bWxQSwUGAAAAAAYABgBZAQAAPwUAAAAA&#10;">
                <v:fill on="f" focussize="0,0"/>
                <v:stroke on="f"/>
                <v:imagedata o:title=""/>
                <o:lock v:ext="edit" aspectratio="f"/>
                <v:textbox style="mso-fit-shape-to-text:t;">
                  <w:txbxContent>
                    <w:p w14:paraId="71632706"/>
                  </w:txbxContent>
                </v:textbox>
              </v:rect>
            </w:pict>
          </mc:Fallback>
        </mc:AlternateContent>
      </w:r>
    </w:p>
    <w:p w14:paraId="45459E86"/>
    <w:p w14:paraId="612E7257">
      <w:pPr>
        <w:jc w:val="center"/>
        <w:rPr>
          <w:rFonts w:hint="default" w:ascii="黑体" w:hAnsi="黑体" w:eastAsia="黑体" w:cs="黑体"/>
          <w:sz w:val="56"/>
          <w:szCs w:val="72"/>
          <w:lang w:val="en-US" w:eastAsia="zh-CN"/>
        </w:rPr>
      </w:pPr>
    </w:p>
    <w:p w14:paraId="732CBB08">
      <w:pPr>
        <w:jc w:val="center"/>
        <w:rPr>
          <w:rFonts w:hint="default" w:ascii="黑体" w:hAnsi="黑体" w:eastAsia="黑体" w:cs="黑体"/>
          <w:sz w:val="56"/>
          <w:szCs w:val="72"/>
          <w:lang w:val="en-US" w:eastAsia="zh-CN"/>
        </w:rPr>
      </w:pPr>
    </w:p>
    <w:p w14:paraId="3F8F119E">
      <w:pPr>
        <w:rPr>
          <w:rFonts w:hint="eastAsia" w:ascii="黑体" w:hAnsi="Times New Roman" w:eastAsia="黑体" w:cs="Times New Roman"/>
          <w:sz w:val="48"/>
          <w:szCs w:val="48"/>
        </w:rPr>
      </w:pPr>
      <w:r>
        <w:rPr>
          <w:rFonts w:hint="eastAsia" w:ascii="黑体" w:hAnsi="Times New Roman" w:eastAsia="黑体" w:cs="Times New Roman"/>
          <w:sz w:val="48"/>
          <w:szCs w:val="48"/>
        </w:rPr>
        <w:br w:type="page"/>
      </w:r>
    </w:p>
    <w:p w14:paraId="2760F850">
      <w:pPr>
        <w:tabs>
          <w:tab w:val="left" w:pos="2728"/>
        </w:tabs>
        <w:rPr>
          <w:rFonts w:hint="eastAsia" w:ascii="黑体" w:hAnsi="Times New Roman" w:eastAsia="黑体" w:cs="Times New Roman"/>
          <w:sz w:val="48"/>
          <w:szCs w:val="48"/>
          <w:lang w:eastAsia="zh-CN"/>
        </w:rPr>
      </w:pPr>
      <w:r>
        <w:rPr>
          <w:rFonts w:hint="eastAsia" w:ascii="黑体" w:hAnsi="Times New Roman" w:eastAsia="黑体" w:cs="Times New Roman"/>
          <w:sz w:val="48"/>
          <w:szCs w:val="48"/>
          <w:lang w:eastAsia="zh-CN"/>
        </w:rPr>
        <w:tab/>
      </w:r>
    </w:p>
    <w:p w14:paraId="3C9F39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Times New Roman" w:eastAsia="黑体" w:cs="Times New Roman"/>
          <w:sz w:val="48"/>
          <w:szCs w:val="48"/>
        </w:rPr>
      </w:pPr>
      <w:r>
        <w:rPr>
          <w:rFonts w:hint="eastAsia" w:ascii="黑体" w:hAnsi="黑体" w:eastAsia="黑体" w:cs="黑体"/>
          <w:sz w:val="56"/>
          <w:szCs w:val="72"/>
          <w:lang w:val="en-US" w:eastAsia="zh-CN"/>
        </w:rPr>
        <w:drawing>
          <wp:inline distT="0" distB="0" distL="114300" distR="114300">
            <wp:extent cx="5562600" cy="7410450"/>
            <wp:effectExtent l="0" t="0" r="0" b="0"/>
            <wp:docPr id="23" name="图片 23" descr="决算文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决算文本1"/>
                    <pic:cNvPicPr>
                      <a:picLocks noChangeAspect="1"/>
                    </pic:cNvPicPr>
                  </pic:nvPicPr>
                  <pic:blipFill>
                    <a:blip r:embed="rId22"/>
                    <a:stretch>
                      <a:fillRect/>
                    </a:stretch>
                  </pic:blipFill>
                  <pic:spPr>
                    <a:xfrm>
                      <a:off x="0" y="0"/>
                      <a:ext cx="5562600" cy="7410450"/>
                    </a:xfrm>
                    <a:prstGeom prst="rect">
                      <a:avLst/>
                    </a:prstGeom>
                  </pic:spPr>
                </pic:pic>
              </a:graphicData>
            </a:graphic>
          </wp:inline>
        </w:drawing>
      </w:r>
    </w:p>
    <w:p w14:paraId="745A5658">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w:t>
      </w:r>
      <w:r>
        <w:rPr>
          <w:rFonts w:hint="eastAsia" w:ascii="黑体" w:hAnsi="Times New Roman" w:eastAsia="黑体" w:cs="Times New Roman"/>
          <w:sz w:val="48"/>
          <w:szCs w:val="48"/>
          <w:lang w:val="en-US" w:eastAsia="zh-CN"/>
        </w:rPr>
        <w:t xml:space="preserve">    </w:t>
      </w:r>
      <w:r>
        <w:rPr>
          <w:rFonts w:hint="eastAsia" w:ascii="黑体" w:hAnsi="Times New Roman" w:eastAsia="黑体" w:cs="Times New Roman"/>
          <w:sz w:val="48"/>
          <w:szCs w:val="48"/>
        </w:rPr>
        <w:t>录</w:t>
      </w:r>
    </w:p>
    <w:p w14:paraId="482F6E50">
      <w:pPr>
        <w:widowControl/>
        <w:spacing w:after="160" w:line="580" w:lineRule="exact"/>
        <w:ind w:firstLine="640" w:firstLineChars="200"/>
        <w:rPr>
          <w:rFonts w:ascii="Times New Roman" w:hAnsi="Times New Roman" w:eastAsia="黑体" w:cs="Times New Roman"/>
          <w:sz w:val="32"/>
          <w:szCs w:val="32"/>
        </w:rPr>
      </w:pPr>
    </w:p>
    <w:p w14:paraId="518F69CE">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70D6810D">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40858747">
      <w:pPr>
        <w:widowControl/>
        <w:spacing w:after="160" w:line="580" w:lineRule="exact"/>
        <w:ind w:firstLine="1273" w:firstLineChars="398"/>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lang w:val="en-US" w:eastAsia="zh-CN"/>
        </w:rPr>
        <w:t>机构设置</w:t>
      </w:r>
    </w:p>
    <w:p w14:paraId="25D49550">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   201</w:t>
      </w:r>
      <w:r>
        <w:rPr>
          <w:rFonts w:hint="eastAsia" w:ascii="Times New Roman" w:hAnsi="Times New Roman" w:eastAsia="黑体" w:cs="Times New Roman"/>
          <w:sz w:val="32"/>
          <w:szCs w:val="32"/>
          <w:lang w:val="en-US" w:eastAsia="zh-CN"/>
        </w:rPr>
        <w:t>9</w:t>
      </w:r>
      <w:r>
        <w:rPr>
          <w:rFonts w:ascii="Times New Roman" w:hAnsi="Times New Roman" w:eastAsia="黑体" w:cs="Times New Roman"/>
          <w:sz w:val="32"/>
          <w:szCs w:val="32"/>
        </w:rPr>
        <w:t>年部门决算情况说明</w:t>
      </w:r>
    </w:p>
    <w:p w14:paraId="67C61A4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一、收入支出决算总体情况说明</w:t>
      </w:r>
    </w:p>
    <w:p w14:paraId="2AD9CE6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2F5A844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B26BD3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四、财政拨款收入支出决算总体情况说明</w:t>
      </w:r>
    </w:p>
    <w:p w14:paraId="3EE545F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五、一般公共预算</w:t>
      </w:r>
      <w:r>
        <w:rPr>
          <w:rFonts w:ascii="Times New Roman" w:hAnsi="Times New Roman" w:eastAsia="仿宋_GB2312" w:cs="Times New Roman"/>
          <w:sz w:val="32"/>
          <w:szCs w:val="32"/>
        </w:rPr>
        <w:t>“三公”经费支出决算情况说明</w:t>
      </w:r>
    </w:p>
    <w:p w14:paraId="00CA2E6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六</w:t>
      </w:r>
      <w:r>
        <w:rPr>
          <w:rFonts w:ascii="Times New Roman" w:hAnsi="Times New Roman" w:eastAsia="仿宋_GB2312" w:cs="Times New Roman"/>
          <w:sz w:val="32"/>
          <w:szCs w:val="32"/>
        </w:rPr>
        <w:t>、预算绩效情况说明</w:t>
      </w:r>
    </w:p>
    <w:p w14:paraId="7EE88C3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七</w:t>
      </w:r>
      <w:r>
        <w:rPr>
          <w:rFonts w:ascii="Times New Roman" w:hAnsi="Times New Roman" w:eastAsia="仿宋_GB2312" w:cs="Times New Roman"/>
          <w:sz w:val="32"/>
          <w:szCs w:val="32"/>
        </w:rPr>
        <w:t>、其他重要事项的说明</w:t>
      </w:r>
    </w:p>
    <w:p w14:paraId="4A3F5A5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名词解释</w:t>
      </w:r>
    </w:p>
    <w:p w14:paraId="2BE61E8C">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lang w:val="en-US" w:eastAsia="zh-CN"/>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201</w:t>
      </w:r>
      <w:r>
        <w:rPr>
          <w:rFonts w:hint="eastAsia" w:ascii="Times New Roman" w:hAnsi="Times New Roman" w:eastAsia="黑体" w:cs="Times New Roman"/>
          <w:sz w:val="32"/>
          <w:szCs w:val="32"/>
          <w:lang w:val="en-US" w:eastAsia="zh-CN"/>
        </w:rPr>
        <w:t>9</w:t>
      </w:r>
      <w:r>
        <w:rPr>
          <w:rFonts w:ascii="Times New Roman" w:hAnsi="Times New Roman" w:eastAsia="黑体" w:cs="Times New Roman"/>
          <w:sz w:val="32"/>
          <w:szCs w:val="32"/>
        </w:rPr>
        <w:t>年度部门决算报表</w:t>
      </w:r>
    </w:p>
    <w:p w14:paraId="4E66CF2D">
      <w:pPr>
        <w:widowControl/>
        <w:spacing w:after="160" w:line="580" w:lineRule="exact"/>
        <w:rPr>
          <w:rFonts w:ascii="Times New Roman" w:hAnsi="Times New Roman" w:eastAsia="黑体" w:cs="Times New Roman"/>
          <w:sz w:val="32"/>
          <w:szCs w:val="32"/>
        </w:rPr>
        <w:sectPr>
          <w:headerReference r:id="rId5" w:type="first"/>
          <w:footerReference r:id="rId7" w:type="first"/>
          <w:headerReference r:id="rId4" w:type="default"/>
          <w:footerReference r:id="rId6" w:type="default"/>
          <w:type w:val="continuous"/>
          <w:pgSz w:w="11906" w:h="16838"/>
          <w:pgMar w:top="2041" w:right="1531" w:bottom="2041" w:left="1531" w:header="851" w:footer="992" w:gutter="0"/>
          <w:cols w:space="0" w:num="1"/>
          <w:titlePg/>
          <w:rtlGutter w:val="0"/>
          <w:docGrid w:type="lines" w:linePitch="312" w:charSpace="0"/>
        </w:sectPr>
      </w:pPr>
    </w:p>
    <w:p w14:paraId="122DD89E">
      <w:pPr>
        <w:widowControl/>
        <w:spacing w:line="580" w:lineRule="exact"/>
        <w:ind w:firstLine="640" w:firstLineChars="200"/>
        <w:rPr>
          <w:rFonts w:eastAsia="黑体"/>
          <w:sz w:val="32"/>
          <w:szCs w:val="32"/>
        </w:rPr>
      </w:pPr>
    </w:p>
    <w:p w14:paraId="5CFEB401">
      <w:pPr>
        <w:widowControl/>
        <w:spacing w:line="580" w:lineRule="exact"/>
        <w:ind w:firstLine="640" w:firstLineChars="200"/>
        <w:rPr>
          <w:rFonts w:eastAsia="黑体"/>
          <w:sz w:val="32"/>
          <w:szCs w:val="32"/>
        </w:rPr>
      </w:pPr>
    </w:p>
    <w:p w14:paraId="47E6772E">
      <w:r>
        <w:rPr>
          <w:sz w:val="72"/>
        </w:rPr>
        <mc:AlternateContent>
          <mc:Choice Requires="wps">
            <w:drawing>
              <wp:anchor distT="0" distB="0" distL="114300" distR="114300" simplePos="0" relativeHeight="251667456" behindDoc="0" locked="0" layoutInCell="1" allowOverlap="1">
                <wp:simplePos x="0" y="0"/>
                <wp:positionH relativeFrom="column">
                  <wp:posOffset>-1088390</wp:posOffset>
                </wp:positionH>
                <wp:positionV relativeFrom="paragraph">
                  <wp:posOffset>1024890</wp:posOffset>
                </wp:positionV>
                <wp:extent cx="7793355" cy="3341370"/>
                <wp:effectExtent l="6350" t="6350" r="10795" b="2413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12700" cmpd="sng">
                          <a:solidFill>
                            <a:srgbClr val="FFD966"/>
                          </a:solidFill>
                          <a:prstDash val="solid"/>
                        </a:ln>
                      </wps:spPr>
                      <wps:style>
                        <a:lnRef idx="0">
                          <a:schemeClr val="accent1"/>
                        </a:lnRef>
                        <a:fillRef idx="0">
                          <a:schemeClr val="accent1"/>
                        </a:fillRef>
                        <a:effectRef idx="0">
                          <a:schemeClr val="accent1"/>
                        </a:effectRef>
                        <a:fontRef idx="minor">
                          <a:schemeClr val="dk1"/>
                        </a:fontRef>
                      </wps:style>
                      <wps:txbx>
                        <w:txbxContent>
                          <w:p w14:paraId="68C29573">
                            <w:pPr>
                              <w:widowControl/>
                              <w:jc w:val="center"/>
                              <w:rPr>
                                <w:rFonts w:hint="eastAsia" w:ascii="黑体" w:hAnsi="黑体" w:eastAsia="黑体" w:cs="黑体"/>
                                <w:color w:val="000000" w:themeColor="text1"/>
                                <w:sz w:val="96"/>
                                <w:szCs w:val="96"/>
                                <w:lang w:val="en-US"/>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7456;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dhMyncAAAADQEA&#10;AA8AAAAAAAAAAQAgAAAAIgAAAGRycy9kb3ducmV2LnhtbFBLAQIUABQAAAAIAIdO4kAGP3EtiAIA&#10;AC0FAAAOAAAAAAAAAAEAIAAAACsBAABkcnMvZTJvRG9jLnhtbFBLBQYAAAAABgAGAFkBAAAlBgAA&#10;AAA=&#10;">
                <v:fill type="pattern" on="t" color2="#FFFFFF [3212]" o:title="5%" focussize="0,0" r:id="rId23"/>
                <v:stroke weight="1pt" color="#FFD966 [3204]" joinstyle="round"/>
                <v:imagedata o:title=""/>
                <o:lock v:ext="edit" aspectratio="f"/>
                <v:textbox>
                  <w:txbxContent>
                    <w:p w14:paraId="68C29573">
                      <w:pPr>
                        <w:widowControl/>
                        <w:jc w:val="center"/>
                        <w:rPr>
                          <w:rFonts w:hint="eastAsia" w:ascii="黑体" w:hAnsi="黑体" w:eastAsia="黑体" w:cs="黑体"/>
                          <w:color w:val="000000" w:themeColor="text1"/>
                          <w:sz w:val="96"/>
                          <w:szCs w:val="96"/>
                          <w:lang w:val="en-US"/>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第一部分  部门概况</w:t>
                      </w:r>
                    </w:p>
                  </w:txbxContent>
                </v:textbox>
              </v:shape>
            </w:pict>
          </mc:Fallback>
        </mc:AlternateContent>
      </w:r>
    </w:p>
    <w:p w14:paraId="739D9D65">
      <w:pPr>
        <w:pStyle w:val="2"/>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hint="eastAsia" w:ascii="黑体" w:eastAsia="黑体" w:cs="黑体" w:hAnsiTheme="minorHAnsi"/>
          <w:b w:val="0"/>
          <w:bCs w:val="0"/>
          <w:kern w:val="0"/>
          <w:sz w:val="32"/>
          <w:szCs w:val="32"/>
        </w:rPr>
      </w:pPr>
    </w:p>
    <w:p w14:paraId="753625D7">
      <w:pPr>
        <w:pStyle w:val="2"/>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14:paraId="34A2885E">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一）起草并组织实施全区国民经济和社会发展战略、中长期规划和年度计划。牵头组织统一规划体系建设。负责区级专项规划、区域规划、空间规划与全区发展规划的统筹衔接。起草国民经济和社会发展、经济体制改革和对外开放的有关规范性文件。</w:t>
      </w:r>
    </w:p>
    <w:p w14:paraId="58995CB1">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（二）提出加快建设全区现代化经济体系、推动高质量发展的总体目标、重大任务以及相关政策。组织开展重大战略规划、重大政策、重大工程等的评估督导，提出相关调整建议。</w:t>
      </w:r>
    </w:p>
    <w:p w14:paraId="6B6930EE">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三）贯彻落实国家宏观调控政策，统筹提出全区国民经济和社会发展主要目标，监测预测预警宏观经济和社会发展态势趋势，提出经济调节政策建议。综合协调经济调节政策，牵头研究应对措施。调节经济运行，协调解决经济运行中的重大问题。起草并组织实施有关价格政策，组织起草由区级管理的重要商品、服务价格和重要收费标准。参与贯彻落实国家财政政策、货币政策和土地政策。</w:t>
      </w:r>
    </w:p>
    <w:p w14:paraId="4F3B6C6E">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四）指导推进和综合协调经济体制改革有关工作，提出相关改革建议。牵头推进供给侧结构性改革。协调推进产权制度和要素市场化配置改革。落实国家完善基本经济制度政策，推动现代化市场体系建设，会同有关部门组织实施市场准入负面清单制度。牵头推进优化营商环境工作。</w:t>
      </w:r>
    </w:p>
    <w:p w14:paraId="6EFCAE2E">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五）提出全区利用外资和境外投资的战略、规划、总量平衡和结构优化政策。牵头推进实施全区“一带一路”建设有关工作。承担统筹协调走出去有关工作。会同有关部门贯彻落实国家外商投资准入负面清单。负责全区全口径外的总量控制、结构优化和监测工作。</w:t>
      </w:r>
    </w:p>
    <w:p w14:paraId="12D9DE52">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六）负责全区投资综合管理。起草全区固定资产投资总规模、结构调控目标和政策。安排区级预算内基本建设资金和有关发展性专项资金，负责固定资产投资项目管理。规划全区重点建设项目和生产力布局，组织推动重点建设项目。起草并推动落实鼓励民间投资政策措施。</w:t>
      </w:r>
    </w:p>
    <w:p w14:paraId="42C84C83">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七）推进落实区域协调发展战略、新型城镇化战略和重大政策，组织起草相关区域规划和政策。推进实施京津冀协同发展等区域发展战略。组织落实老少边穷及其他特殊困难地区发展规划和政策，组织实施易地扶贫搬迁等。统筹协调区域合作和对口支援工作。组织编制并推动实施新型城镇化规划。</w:t>
      </w:r>
    </w:p>
    <w:p w14:paraId="4D8F689C">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八）组织贯彻实施国家产业政策，起草全区综合性产业政策。协调一二三产业发展重大问题并统筹衔接相关发展规划和重大政策。协调推进重大基础设施建设发展，组织起草并推动实施服务业及现代物流业战略规划和重大政策。综合研判消费变动趋势，起草实施促进消费的综合性政策措施。</w:t>
      </w:r>
    </w:p>
    <w:p w14:paraId="5E1BCDAE">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九）推动实施全区创新驱动发展战略。会同相关部门起草全区推进创新创业的规划和政策，提出创新发展和培育经济发展新动能的政策。会同相关部门规划布局区级重大科技基础设施。组织起草并推动实施高技术产业和战略性新兴产业及数字经济发展规划政策，协调产业升级、重大技术装备推广应用等方面的重大问题。</w:t>
      </w:r>
    </w:p>
    <w:p w14:paraId="7A1A5F1A">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十）跟踪研判涉及经济安全、生态安全、资源安全、科技安全、社会安全等各类风险隐患，提出相关工作建议。协调落实重要工业品、原材料和重要农产品进出口调控措施。会同有关部门起草全区储备物资品种目录、总体发展规划。</w:t>
      </w:r>
    </w:p>
    <w:p w14:paraId="3120EC4F">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十ー）负责全区社会发展与国民经济发展的政策衔接，协调有关重大问题。组织起草社会发展战略、总体规划，统筹推进基本公共服务体系建设和收入分配制度改革，提出促进就业、完善社会保障与经济协调发展的政策建议。</w:t>
      </w:r>
    </w:p>
    <w:p w14:paraId="303DECF5">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十二）推进实施可持续发展战略，推动生态文明建设和改革，协调生态环境保护与修复、能源资源节约和综合利用等工作。提出健全生态保护补偿机制的政策措施，综合协调环保产业和清洁生产促进有关工作。推进落实能源消费控制目标、任务并组织实施。</w:t>
      </w:r>
    </w:p>
    <w:p w14:paraId="04CF7CFC">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（十三）组织起草推进全区经济建设与国防建设协调发展的战略和规划，组织推进经济建设项目贯彻国防要求。</w:t>
      </w:r>
    </w:p>
    <w:p w14:paraId="7BFC5803">
      <w:pPr>
        <w:keepNext/>
        <w:keepLines/>
        <w:pageBreakBefore w:val="0"/>
        <w:widowControl w:val="0"/>
        <w:kinsoku/>
        <w:wordWrap/>
        <w:overflowPunct/>
        <w:topLinePunct w:val="0"/>
        <w:autoSpaceDE/>
        <w:autoSpaceDN/>
        <w:bidi w:val="0"/>
        <w:adjustRightInd/>
        <w:snapToGrid/>
        <w:spacing w:before="0" w:after="0" w:line="580" w:lineRule="exact"/>
        <w:ind w:left="638" w:leftChars="304" w:firstLine="0" w:firstLineChars="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（十四）负责全区粮食物资和能源管理工作。</w:t>
      </w:r>
      <w:r>
        <w:rPr>
          <w:rFonts w:hint="eastAsia" w:ascii="仿宋_GB2312" w:eastAsia="仿宋_GB2312" w:cs="ArialUnicodeMS"/>
          <w:kern w:val="0"/>
          <w:sz w:val="32"/>
          <w:szCs w:val="32"/>
          <w:highlight w:val="none"/>
          <w:lang w:val="en-US" w:eastAsia="zh-CN"/>
        </w:rPr>
        <w:t xml:space="preserve">           </w:t>
      </w:r>
      <w:r>
        <w:rPr>
          <w:rFonts w:hint="eastAsia" w:ascii="仿宋_GB2312" w:eastAsia="仿宋_GB2312" w:cs="ArialUnicodeMS" w:hAnsiTheme="minorHAnsi"/>
          <w:kern w:val="0"/>
          <w:sz w:val="32"/>
          <w:szCs w:val="32"/>
          <w:highlight w:val="none"/>
        </w:rPr>
        <w:t>（十五）负责重要商品和服务价格定调价前期成本监审工作和重要产品成本调查工作。</w:t>
      </w:r>
      <w:r>
        <w:rPr>
          <w:rFonts w:hint="eastAsia" w:ascii="仿宋_GB2312" w:eastAsia="仿宋_GB2312" w:cs="ArialUnicodeMS"/>
          <w:kern w:val="0"/>
          <w:sz w:val="32"/>
          <w:szCs w:val="32"/>
          <w:highlight w:val="none"/>
          <w:lang w:val="en-US" w:eastAsia="zh-CN"/>
        </w:rPr>
        <w:t xml:space="preserve">                          </w:t>
      </w:r>
      <w:r>
        <w:rPr>
          <w:rFonts w:hint="eastAsia" w:ascii="仿宋_GB2312" w:eastAsia="仿宋_GB2312" w:cs="ArialUnicodeMS" w:hAnsiTheme="minorHAnsi"/>
          <w:kern w:val="0"/>
          <w:sz w:val="32"/>
          <w:szCs w:val="32"/>
          <w:highlight w:val="none"/>
        </w:rPr>
        <w:t>（十六）负责全区地方铁路行业管理工作。牵头负责铁路沿线环境安全监管职责。</w:t>
      </w:r>
      <w:r>
        <w:rPr>
          <w:rFonts w:hint="eastAsia" w:ascii="仿宋_GB2312" w:eastAsia="仿宋_GB2312" w:cs="ArialUnicodeMS"/>
          <w:kern w:val="0"/>
          <w:sz w:val="32"/>
          <w:szCs w:val="32"/>
          <w:highlight w:val="none"/>
          <w:lang w:val="en-US" w:eastAsia="zh-CN"/>
        </w:rPr>
        <w:t xml:space="preserve">                              </w:t>
      </w:r>
      <w:r>
        <w:rPr>
          <w:rFonts w:hint="eastAsia" w:ascii="仿宋_GB2312" w:eastAsia="仿宋_GB2312" w:cs="ArialUnicodeMS" w:hAnsiTheme="minorHAnsi"/>
          <w:kern w:val="0"/>
          <w:sz w:val="32"/>
          <w:szCs w:val="32"/>
          <w:highlight w:val="none"/>
        </w:rPr>
        <w:t>（十七）承担区委财经委员会、区推进京津冀协同发展工作领导小组、区重点项目建设领导小组等有关具体工作。</w:t>
      </w:r>
      <w:r>
        <w:rPr>
          <w:rFonts w:hint="eastAsia" w:ascii="仿宋_GB2312" w:eastAsia="仿宋_GB2312" w:cs="ArialUnicodeMS"/>
          <w:kern w:val="0"/>
          <w:sz w:val="32"/>
          <w:szCs w:val="32"/>
          <w:highlight w:val="none"/>
          <w:lang w:val="en-US" w:eastAsia="zh-CN"/>
        </w:rPr>
        <w:t xml:space="preserve">   </w:t>
      </w:r>
      <w:r>
        <w:rPr>
          <w:rFonts w:hint="eastAsia" w:ascii="仿宋_GB2312" w:eastAsia="仿宋_GB2312" w:cs="ArialUnicodeMS" w:hAnsiTheme="minorHAnsi"/>
          <w:kern w:val="0"/>
          <w:sz w:val="32"/>
          <w:szCs w:val="32"/>
          <w:highlight w:val="none"/>
        </w:rPr>
        <w:t>（十八）贯彻执行国家、省、市关于港口、航道、航运跨境电商、口岸、打私工作等法律法规规章和方针政策，结合本地实际，组织起草地方规范性文件并组织实施。贯彻落实港口、航运、口岸发展规划。负责推进“港城融合”发展工作。会同有关部门起草临港产业发展规划港口集疏运规划，并监督实施。参与起草港城总体规划、物流发展规划。贯彻落实港口岸线管理工作的政策措施和管理制度。根据授权负责对港口岸线资源的统筹规划、开发、建设和管理。负责港口规划区内水、陆域资源的统筹管理。负责港口航运建设及运营管理工作。根据授权履行港口、航运方面的行政许可职责。负责港口设施建设、维护的监督管理。负责全区港口及航运业经营管理。负责推进多式联运工作，指导开辟海上运输航线。负责港口集疏运的组织、协调和管理。负责协调国家重点物资、军事及抢险救灾等物资的水路运输。负责引航业务监督和协调。负责港口安全生产监督管理工作。负责港口安全生产监督管理和港口设施保安工作。负责实施港口危险货物安全监管工作。参与处理涉港突发事件、重大灾情和重大事故的应急处置工作。负责指导、管理、协调口岸工作，提升口岸开放水平。负责全区口岸管理和功能拓展工作。负责组织协调全区口岸开放与关闭工作。协调推进国际交流与合作、跨区域口岸合作、“大通关”和口岸安全保障工作。协调推进地方电子口岸和海关特殊监管区建设。协调、指导打私工作。统筹推进全区跨境电子商务发展建设工作。负责全区跨境电子商务的发展规划和政策措施的研究。负责指导全区跨境电子商务招商引资工作。负责组织开展跨境电子商务金融服务和智能物流体系建设工作。负责起草全区跨境电子商务业务培训体系及人才建设体系计划并组织实施。</w:t>
      </w:r>
    </w:p>
    <w:p w14:paraId="42C56935">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仿宋_GB2312" w:eastAsia="仿宋_GB2312" w:cs="ArialUnicodeMS" w:hAnsiTheme="minorHAnsi"/>
          <w:kern w:val="0"/>
          <w:sz w:val="32"/>
          <w:szCs w:val="32"/>
          <w:highlight w:val="none"/>
        </w:rPr>
      </w:pPr>
      <w:r>
        <w:rPr>
          <w:rFonts w:hint="eastAsia" w:ascii="仿宋_GB2312" w:eastAsia="仿宋_GB2312" w:cs="ArialUnicodeMS" w:hAnsiTheme="minorHAnsi"/>
          <w:kern w:val="0"/>
          <w:sz w:val="32"/>
          <w:szCs w:val="32"/>
          <w:highlight w:val="none"/>
        </w:rPr>
        <w:t>（十九）完成区委、区政府及上级部门交办的其他任务。</w:t>
      </w:r>
    </w:p>
    <w:p w14:paraId="51CFAD8D">
      <w:pPr>
        <w:keepNext/>
        <w:keepLines/>
        <w:pageBreakBefore w:val="0"/>
        <w:widowControl w:val="0"/>
        <w:kinsoku/>
        <w:wordWrap/>
        <w:overflowPunct/>
        <w:topLinePunct w:val="0"/>
        <w:autoSpaceDE/>
        <w:autoSpaceDN/>
        <w:bidi w:val="0"/>
        <w:adjustRightInd/>
        <w:snapToGrid/>
        <w:spacing w:before="0" w:after="0" w:line="580" w:lineRule="exact"/>
        <w:ind w:firstLine="640" w:firstLineChars="200"/>
        <w:jc w:val="left"/>
        <w:textAlignment w:val="auto"/>
        <w:outlineLvl w:val="0"/>
        <w:rPr>
          <w:rFonts w:hint="eastAsia" w:ascii="黑体" w:hAnsi="Calibri" w:eastAsia="黑体" w:cs="黑体"/>
          <w:b w:val="0"/>
          <w:bCs w:val="0"/>
          <w:kern w:val="0"/>
          <w:sz w:val="32"/>
          <w:szCs w:val="32"/>
          <w:lang w:val="en-US" w:eastAsia="zh-CN" w:bidi="ar-SA"/>
        </w:rPr>
      </w:pPr>
      <w:r>
        <w:rPr>
          <w:rFonts w:hint="eastAsia" w:ascii="黑体" w:hAnsi="Calibri" w:eastAsia="黑体" w:cs="黑体"/>
          <w:b w:val="0"/>
          <w:bCs w:val="0"/>
          <w:kern w:val="0"/>
          <w:sz w:val="32"/>
          <w:szCs w:val="32"/>
          <w:lang w:val="en-US" w:eastAsia="zh-CN" w:bidi="ar-SA"/>
        </w:rPr>
        <w:t>二、机构设置</w:t>
      </w:r>
    </w:p>
    <w:p w14:paraId="0195BEDF">
      <w:pPr>
        <w:pageBreakBefore w:val="0"/>
        <w:kinsoku/>
        <w:wordWrap/>
        <w:overflowPunct/>
        <w:topLinePunct w:val="0"/>
        <w:autoSpaceDE/>
        <w:autoSpaceDN/>
        <w:bidi w:val="0"/>
        <w:adjustRightInd/>
        <w:snapToGrid/>
        <w:spacing w:line="580" w:lineRule="exact"/>
        <w:ind w:firstLine="640" w:firstLineChars="200"/>
        <w:textAlignment w:val="auto"/>
        <w:rPr>
          <w:rFonts w:hint="default" w:ascii="仿宋_GB2312" w:hAnsi="Calibri" w:eastAsia="仿宋_GB2312" w:cs="ArialUnicodeMS"/>
          <w:kern w:val="0"/>
          <w:sz w:val="32"/>
          <w:szCs w:val="32"/>
          <w:lang w:val="en-US" w:eastAsia="zh-CN"/>
        </w:rPr>
      </w:pPr>
      <w:r>
        <w:rPr>
          <w:rFonts w:hint="eastAsia" w:ascii="仿宋_GB2312" w:hAnsi="Calibri" w:eastAsia="仿宋_GB2312" w:cs="ArialUnicodeMS"/>
          <w:kern w:val="0"/>
          <w:sz w:val="32"/>
          <w:szCs w:val="32"/>
          <w:lang w:val="en-US" w:eastAsia="zh-CN"/>
        </w:rPr>
        <w:t>从决算编报单位构成看，纳入</w:t>
      </w:r>
      <w:r>
        <w:rPr>
          <w:rFonts w:hint="eastAsia" w:ascii="仿宋_GB2312" w:hAnsi="Calibri" w:eastAsia="仿宋_GB2312" w:cs="ArialUnicodeMS"/>
          <w:kern w:val="0"/>
          <w:sz w:val="32"/>
          <w:szCs w:val="32"/>
          <w:lang w:eastAsia="zh-CN"/>
        </w:rPr>
        <w:t>2019</w:t>
      </w:r>
      <w:r>
        <w:rPr>
          <w:rFonts w:hint="eastAsia" w:ascii="仿宋_GB2312" w:hAnsi="Calibri" w:eastAsia="仿宋_GB2312" w:cs="ArialUnicodeMS"/>
          <w:kern w:val="0"/>
          <w:sz w:val="32"/>
          <w:szCs w:val="32"/>
        </w:rPr>
        <w:t xml:space="preserve"> 年度本部门决算汇编范围的独立核算单位（以下简称“单位”）共</w:t>
      </w: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 xml:space="preserve"> 个，</w:t>
      </w:r>
      <w:r>
        <w:rPr>
          <w:rFonts w:hint="eastAsia" w:ascii="仿宋_GB2312" w:hAnsi="Calibri" w:eastAsia="仿宋_GB2312" w:cs="ArialUnicodeMS"/>
          <w:kern w:val="0"/>
          <w:sz w:val="32"/>
          <w:szCs w:val="32"/>
          <w:lang w:val="en-US" w:eastAsia="zh-CN"/>
        </w:rPr>
        <w:t>具体情况如下：</w:t>
      </w: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FC2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A650C72">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序号</w:t>
            </w:r>
          </w:p>
        </w:tc>
        <w:tc>
          <w:tcPr>
            <w:tcW w:w="3485" w:type="dxa"/>
            <w:vAlign w:val="center"/>
          </w:tcPr>
          <w:p w14:paraId="3FC96BA8">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单位名称</w:t>
            </w:r>
          </w:p>
        </w:tc>
        <w:tc>
          <w:tcPr>
            <w:tcW w:w="2445" w:type="dxa"/>
            <w:vAlign w:val="center"/>
          </w:tcPr>
          <w:p w14:paraId="060B732D">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单位基本性质</w:t>
            </w:r>
          </w:p>
        </w:tc>
        <w:tc>
          <w:tcPr>
            <w:tcW w:w="2665" w:type="dxa"/>
            <w:vAlign w:val="center"/>
          </w:tcPr>
          <w:p w14:paraId="07BE7415">
            <w:pPr>
              <w:spacing w:after="0" w:line="560" w:lineRule="exact"/>
              <w:jc w:val="center"/>
              <w:rPr>
                <w:rFonts w:hint="eastAsia" w:ascii="仿宋_GB2312" w:hAnsi="Calibri" w:eastAsia="仿宋_GB2312" w:cs="ArialUnicodeMS"/>
                <w:b/>
                <w:bCs/>
                <w:kern w:val="0"/>
                <w:sz w:val="28"/>
                <w:szCs w:val="28"/>
                <w:vertAlign w:val="baseline"/>
                <w:lang w:val="en-US" w:eastAsia="zh-CN"/>
              </w:rPr>
            </w:pPr>
            <w:r>
              <w:rPr>
                <w:rFonts w:hint="eastAsia" w:ascii="仿宋_GB2312" w:hAnsi="Calibri" w:eastAsia="仿宋_GB2312" w:cs="ArialUnicodeMS"/>
                <w:b/>
                <w:bCs/>
                <w:kern w:val="0"/>
                <w:sz w:val="28"/>
                <w:szCs w:val="28"/>
                <w:vertAlign w:val="baseline"/>
                <w:lang w:val="en-US" w:eastAsia="zh-CN"/>
              </w:rPr>
              <w:t>经费形式</w:t>
            </w:r>
          </w:p>
        </w:tc>
      </w:tr>
      <w:tr w14:paraId="5DE3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14:paraId="01851B0E">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1</w:t>
            </w:r>
          </w:p>
        </w:tc>
        <w:tc>
          <w:tcPr>
            <w:tcW w:w="3485" w:type="dxa"/>
            <w:vAlign w:val="top"/>
          </w:tcPr>
          <w:p w14:paraId="456C65E7">
            <w:pPr>
              <w:spacing w:after="0" w:line="560" w:lineRule="exact"/>
              <w:rPr>
                <w:rFonts w:hint="eastAsia" w:ascii="仿宋_GB2312" w:hAnsi="Calibri" w:eastAsia="仿宋_GB2312" w:cs="ArialUnicodeMS"/>
                <w:kern w:val="0"/>
                <w:sz w:val="28"/>
                <w:szCs w:val="28"/>
                <w:vertAlign w:val="baseline"/>
                <w:lang w:val="en-US" w:eastAsia="zh-CN" w:bidi="ar-SA"/>
              </w:rPr>
            </w:pPr>
            <w:r>
              <w:rPr>
                <w:rFonts w:hint="eastAsia" w:ascii="仿宋_GB2312" w:hAnsi="仿宋_GB2312" w:eastAsia="仿宋_GB2312" w:cs="仿宋_GB2312"/>
                <w:sz w:val="30"/>
                <w:szCs w:val="30"/>
                <w:lang w:eastAsia="zh-CN"/>
              </w:rPr>
              <w:t>唐山市曹妃甸区发展和改革局</w:t>
            </w:r>
            <w:r>
              <w:rPr>
                <w:rFonts w:hint="eastAsia" w:ascii="仿宋_GB2312" w:hAnsi="Calibri" w:eastAsia="仿宋_GB2312" w:cs="ArialUnicodeMS"/>
                <w:kern w:val="0"/>
                <w:sz w:val="28"/>
                <w:szCs w:val="28"/>
                <w:vertAlign w:val="baseline"/>
                <w:lang w:val="en-US" w:eastAsia="zh-CN"/>
              </w:rPr>
              <w:t>(本级)</w:t>
            </w:r>
          </w:p>
        </w:tc>
        <w:tc>
          <w:tcPr>
            <w:tcW w:w="2445" w:type="dxa"/>
            <w:vAlign w:val="top"/>
          </w:tcPr>
          <w:p w14:paraId="50D79564">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mbria" w:eastAsia="仿宋_GB2312" w:cs="ArialUnicodeMS"/>
                <w:kern w:val="0"/>
                <w:sz w:val="28"/>
                <w:szCs w:val="28"/>
                <w:lang w:eastAsia="zh-CN"/>
              </w:rPr>
              <w:t>行政单位</w:t>
            </w:r>
          </w:p>
        </w:tc>
        <w:tc>
          <w:tcPr>
            <w:tcW w:w="2665" w:type="dxa"/>
            <w:vAlign w:val="top"/>
          </w:tcPr>
          <w:p w14:paraId="2707ADAE">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财政拨款</w:t>
            </w:r>
          </w:p>
        </w:tc>
      </w:tr>
      <w:tr w14:paraId="5943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14:paraId="3E78896A">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2</w:t>
            </w:r>
          </w:p>
        </w:tc>
        <w:tc>
          <w:tcPr>
            <w:tcW w:w="3485" w:type="dxa"/>
            <w:vAlign w:val="top"/>
          </w:tcPr>
          <w:p w14:paraId="02535262">
            <w:pPr>
              <w:spacing w:after="0" w:line="560" w:lineRule="exact"/>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val="en-US" w:eastAsia="zh-CN"/>
              </w:rPr>
              <w:t>唐山市曹妃甸区支援重点建设中心</w:t>
            </w:r>
          </w:p>
        </w:tc>
        <w:tc>
          <w:tcPr>
            <w:tcW w:w="2445" w:type="dxa"/>
            <w:vAlign w:val="top"/>
          </w:tcPr>
          <w:p w14:paraId="35141E3C">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财政补助事业单位</w:t>
            </w:r>
          </w:p>
        </w:tc>
        <w:tc>
          <w:tcPr>
            <w:tcW w:w="2665" w:type="dxa"/>
            <w:vAlign w:val="top"/>
          </w:tcPr>
          <w:p w14:paraId="2197FC0F">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mbria" w:eastAsia="仿宋_GB2312" w:cs="ArialUnicodeMS"/>
                <w:kern w:val="0"/>
                <w:sz w:val="28"/>
                <w:szCs w:val="28"/>
                <w:lang w:eastAsia="zh-CN"/>
              </w:rPr>
              <w:t>财政性资金基本保证</w:t>
            </w:r>
          </w:p>
        </w:tc>
      </w:tr>
      <w:tr w14:paraId="7695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14:paraId="2A966CE5">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3</w:t>
            </w:r>
          </w:p>
        </w:tc>
        <w:tc>
          <w:tcPr>
            <w:tcW w:w="3485" w:type="dxa"/>
            <w:vAlign w:val="top"/>
          </w:tcPr>
          <w:p w14:paraId="1DB00E02">
            <w:pPr>
              <w:spacing w:after="0" w:line="560" w:lineRule="exact"/>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val="en-US" w:eastAsia="zh-CN"/>
              </w:rPr>
              <w:t>唐山市曹妃甸区重点项目建设服务中心</w:t>
            </w:r>
          </w:p>
        </w:tc>
        <w:tc>
          <w:tcPr>
            <w:tcW w:w="2445" w:type="dxa"/>
            <w:vAlign w:val="top"/>
          </w:tcPr>
          <w:p w14:paraId="58FA3F5B">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财政补助事业单位</w:t>
            </w:r>
          </w:p>
        </w:tc>
        <w:tc>
          <w:tcPr>
            <w:tcW w:w="2665" w:type="dxa"/>
            <w:vAlign w:val="top"/>
          </w:tcPr>
          <w:p w14:paraId="3F014D74">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mbria" w:eastAsia="仿宋_GB2312" w:cs="ArialUnicodeMS"/>
                <w:kern w:val="0"/>
                <w:sz w:val="28"/>
                <w:szCs w:val="28"/>
                <w:lang w:eastAsia="zh-CN"/>
              </w:rPr>
              <w:t>财政性资金基本保证</w:t>
            </w:r>
          </w:p>
        </w:tc>
      </w:tr>
      <w:tr w14:paraId="58B4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vAlign w:val="top"/>
          </w:tcPr>
          <w:p w14:paraId="7F8CFDB6">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4</w:t>
            </w:r>
          </w:p>
        </w:tc>
        <w:tc>
          <w:tcPr>
            <w:tcW w:w="3485" w:type="dxa"/>
            <w:tcBorders>
              <w:bottom w:val="single" w:color="auto" w:sz="4" w:space="0"/>
            </w:tcBorders>
            <w:vAlign w:val="top"/>
          </w:tcPr>
          <w:p w14:paraId="6D67C40B">
            <w:pPr>
              <w:spacing w:after="0" w:line="560" w:lineRule="exact"/>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唐山市曹妃甸区铁路建设服务中心</w:t>
            </w:r>
          </w:p>
        </w:tc>
        <w:tc>
          <w:tcPr>
            <w:tcW w:w="2445" w:type="dxa"/>
            <w:tcBorders>
              <w:bottom w:val="single" w:color="auto" w:sz="4" w:space="0"/>
            </w:tcBorders>
            <w:vAlign w:val="top"/>
          </w:tcPr>
          <w:p w14:paraId="576480B1">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财政补助事业单位</w:t>
            </w:r>
          </w:p>
        </w:tc>
        <w:tc>
          <w:tcPr>
            <w:tcW w:w="2665" w:type="dxa"/>
            <w:tcBorders>
              <w:bottom w:val="single" w:color="auto" w:sz="4" w:space="0"/>
            </w:tcBorders>
            <w:vAlign w:val="top"/>
          </w:tcPr>
          <w:p w14:paraId="1C8726F6">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mbria" w:eastAsia="仿宋_GB2312" w:cs="ArialUnicodeMS"/>
                <w:kern w:val="0"/>
                <w:sz w:val="28"/>
                <w:szCs w:val="28"/>
                <w:lang w:eastAsia="zh-CN"/>
              </w:rPr>
              <w:t>财政性资金基本保证</w:t>
            </w:r>
          </w:p>
        </w:tc>
      </w:tr>
      <w:tr w14:paraId="7ADB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vAlign w:val="top"/>
          </w:tcPr>
          <w:p w14:paraId="4BADFFA2">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5</w:t>
            </w:r>
          </w:p>
        </w:tc>
        <w:tc>
          <w:tcPr>
            <w:tcW w:w="3485" w:type="dxa"/>
            <w:tcBorders>
              <w:bottom w:val="single" w:color="auto" w:sz="4" w:space="0"/>
            </w:tcBorders>
            <w:vAlign w:val="top"/>
          </w:tcPr>
          <w:p w14:paraId="5BABB670">
            <w:pPr>
              <w:spacing w:after="0" w:line="560" w:lineRule="exact"/>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唐山市曹妃甸区沿海开发建设服务中心</w:t>
            </w:r>
          </w:p>
        </w:tc>
        <w:tc>
          <w:tcPr>
            <w:tcW w:w="2445" w:type="dxa"/>
            <w:tcBorders>
              <w:bottom w:val="single" w:color="auto" w:sz="4" w:space="0"/>
            </w:tcBorders>
            <w:vAlign w:val="top"/>
          </w:tcPr>
          <w:p w14:paraId="0675FED3">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财政补助事业单位</w:t>
            </w:r>
          </w:p>
        </w:tc>
        <w:tc>
          <w:tcPr>
            <w:tcW w:w="2665" w:type="dxa"/>
            <w:tcBorders>
              <w:bottom w:val="single" w:color="auto" w:sz="4" w:space="0"/>
            </w:tcBorders>
            <w:vAlign w:val="top"/>
          </w:tcPr>
          <w:p w14:paraId="6F4B8CD2">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mbria" w:eastAsia="仿宋_GB2312" w:cs="ArialUnicodeMS"/>
                <w:kern w:val="0"/>
                <w:sz w:val="28"/>
                <w:szCs w:val="28"/>
                <w:lang w:eastAsia="zh-CN"/>
              </w:rPr>
              <w:t>财政性资金基本保证</w:t>
            </w:r>
          </w:p>
        </w:tc>
      </w:tr>
      <w:tr w14:paraId="1BDB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vAlign w:val="top"/>
          </w:tcPr>
          <w:p w14:paraId="58CEEFA7">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6</w:t>
            </w:r>
          </w:p>
        </w:tc>
        <w:tc>
          <w:tcPr>
            <w:tcW w:w="3485" w:type="dxa"/>
            <w:tcBorders>
              <w:bottom w:val="single" w:color="auto" w:sz="4" w:space="0"/>
            </w:tcBorders>
            <w:vAlign w:val="top"/>
          </w:tcPr>
          <w:p w14:paraId="3D1C6803">
            <w:pPr>
              <w:spacing w:after="0" w:line="560" w:lineRule="exact"/>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唐山市曹妃甸区节能监测中心</w:t>
            </w:r>
          </w:p>
        </w:tc>
        <w:tc>
          <w:tcPr>
            <w:tcW w:w="2445" w:type="dxa"/>
            <w:tcBorders>
              <w:bottom w:val="single" w:color="auto" w:sz="4" w:space="0"/>
            </w:tcBorders>
            <w:vAlign w:val="top"/>
          </w:tcPr>
          <w:p w14:paraId="0E420C4E">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财政补助事业单位</w:t>
            </w:r>
          </w:p>
        </w:tc>
        <w:tc>
          <w:tcPr>
            <w:tcW w:w="2665" w:type="dxa"/>
            <w:tcBorders>
              <w:bottom w:val="single" w:color="auto" w:sz="4" w:space="0"/>
            </w:tcBorders>
            <w:vAlign w:val="top"/>
          </w:tcPr>
          <w:p w14:paraId="379A270D">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mbria" w:eastAsia="仿宋_GB2312" w:cs="ArialUnicodeMS"/>
                <w:kern w:val="0"/>
                <w:sz w:val="28"/>
                <w:szCs w:val="28"/>
                <w:lang w:eastAsia="zh-CN"/>
              </w:rPr>
              <w:t>财政性资金基本保证</w:t>
            </w:r>
          </w:p>
        </w:tc>
      </w:tr>
      <w:tr w14:paraId="36E2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vAlign w:val="top"/>
          </w:tcPr>
          <w:p w14:paraId="6D83E5F7">
            <w:pPr>
              <w:spacing w:after="0" w:line="560" w:lineRule="exact"/>
              <w:jc w:val="center"/>
              <w:rPr>
                <w:rFonts w:hint="default" w:ascii="仿宋_GB2312" w:hAnsi="Calibri" w:eastAsia="仿宋_GB2312" w:cs="ArialUnicodeMS"/>
                <w:kern w:val="0"/>
                <w:sz w:val="28"/>
                <w:szCs w:val="28"/>
                <w:vertAlign w:val="baseline"/>
                <w:lang w:val="en-US" w:eastAsia="zh-CN"/>
              </w:rPr>
            </w:pPr>
            <w:r>
              <w:rPr>
                <w:rFonts w:hint="eastAsia" w:ascii="仿宋_GB2312" w:hAnsi="Calibri" w:eastAsia="仿宋_GB2312" w:cs="ArialUnicodeMS"/>
                <w:kern w:val="0"/>
                <w:sz w:val="28"/>
                <w:szCs w:val="28"/>
                <w:vertAlign w:val="baseline"/>
                <w:lang w:val="en-US" w:eastAsia="zh-CN"/>
              </w:rPr>
              <w:t>7</w:t>
            </w:r>
          </w:p>
        </w:tc>
        <w:tc>
          <w:tcPr>
            <w:tcW w:w="3485" w:type="dxa"/>
            <w:tcBorders>
              <w:bottom w:val="single" w:color="auto" w:sz="4" w:space="0"/>
            </w:tcBorders>
            <w:vAlign w:val="top"/>
          </w:tcPr>
          <w:p w14:paraId="09432598">
            <w:pPr>
              <w:spacing w:after="0" w:line="560" w:lineRule="exact"/>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唐山市曹妃甸区农业区划服务中心</w:t>
            </w:r>
          </w:p>
        </w:tc>
        <w:tc>
          <w:tcPr>
            <w:tcW w:w="2445" w:type="dxa"/>
            <w:tcBorders>
              <w:bottom w:val="single" w:color="auto" w:sz="4" w:space="0"/>
            </w:tcBorders>
            <w:vAlign w:val="top"/>
          </w:tcPr>
          <w:p w14:paraId="506C5E00">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libri" w:eastAsia="仿宋_GB2312" w:cs="ArialUnicodeMS"/>
                <w:kern w:val="0"/>
                <w:sz w:val="28"/>
                <w:szCs w:val="28"/>
                <w:vertAlign w:val="baseline"/>
                <w:lang w:eastAsia="zh-CN"/>
              </w:rPr>
              <w:t>财政补助事业单位</w:t>
            </w:r>
          </w:p>
        </w:tc>
        <w:tc>
          <w:tcPr>
            <w:tcW w:w="2665" w:type="dxa"/>
            <w:tcBorders>
              <w:bottom w:val="single" w:color="auto" w:sz="4" w:space="0"/>
            </w:tcBorders>
            <w:vAlign w:val="top"/>
          </w:tcPr>
          <w:p w14:paraId="5F641D3E">
            <w:pPr>
              <w:spacing w:after="0" w:line="560" w:lineRule="exact"/>
              <w:jc w:val="center"/>
              <w:rPr>
                <w:rFonts w:hint="eastAsia" w:ascii="仿宋_GB2312" w:hAnsi="Calibri" w:eastAsia="仿宋_GB2312" w:cs="ArialUnicodeMS"/>
                <w:kern w:val="0"/>
                <w:sz w:val="28"/>
                <w:szCs w:val="28"/>
                <w:vertAlign w:val="baseline"/>
                <w:lang w:val="en-US" w:eastAsia="zh-CN" w:bidi="ar-SA"/>
              </w:rPr>
            </w:pPr>
            <w:r>
              <w:rPr>
                <w:rFonts w:hint="eastAsia" w:ascii="仿宋_GB2312" w:hAnsi="Cambria" w:eastAsia="仿宋_GB2312" w:cs="ArialUnicodeMS"/>
                <w:kern w:val="0"/>
                <w:sz w:val="28"/>
                <w:szCs w:val="28"/>
                <w:lang w:eastAsia="zh-CN"/>
              </w:rPr>
              <w:t>财政性资金基本保证</w:t>
            </w:r>
          </w:p>
        </w:tc>
      </w:tr>
      <w:tr w14:paraId="5435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vAlign w:val="top"/>
          </w:tcPr>
          <w:p w14:paraId="4EDF4333">
            <w:pPr>
              <w:spacing w:after="0" w:line="560" w:lineRule="exact"/>
              <w:ind w:firstLine="560" w:firstLineChars="200"/>
              <w:jc w:val="left"/>
              <w:rPr>
                <w:rFonts w:hint="default" w:ascii="仿宋_GB2312" w:hAnsi="Calibri" w:eastAsia="仿宋_GB2312" w:cs="ArialUnicodeMS"/>
                <w:kern w:val="0"/>
                <w:sz w:val="28"/>
                <w:szCs w:val="28"/>
                <w:vertAlign w:val="baseline"/>
                <w:lang w:val="en-US" w:eastAsia="zh-CN"/>
              </w:rPr>
            </w:pPr>
          </w:p>
        </w:tc>
      </w:tr>
    </w:tbl>
    <w:p w14:paraId="009B1646">
      <w:pPr>
        <w:widowControl/>
        <w:spacing w:after="160" w:line="580" w:lineRule="exact"/>
        <w:ind w:firstLine="640" w:firstLineChars="200"/>
        <w:rPr>
          <w:rFonts w:ascii="Times New Roman" w:hAnsi="Times New Roman" w:eastAsia="黑体" w:cs="Times New Roman"/>
          <w:sz w:val="32"/>
          <w:szCs w:val="32"/>
        </w:rPr>
      </w:pPr>
    </w:p>
    <w:p w14:paraId="663E7B8C">
      <w:pPr>
        <w:widowControl/>
        <w:spacing w:after="160" w:line="580" w:lineRule="exact"/>
        <w:ind w:firstLine="640" w:firstLineChars="200"/>
        <w:rPr>
          <w:rFonts w:ascii="Times New Roman" w:hAnsi="Times New Roman" w:eastAsia="黑体" w:cs="Times New Roman"/>
          <w:sz w:val="32"/>
          <w:szCs w:val="32"/>
        </w:rPr>
      </w:pPr>
    </w:p>
    <w:p w14:paraId="5590E563">
      <w:pPr>
        <w:widowControl/>
        <w:spacing w:after="160" w:line="580" w:lineRule="exact"/>
        <w:ind w:firstLine="640" w:firstLineChars="200"/>
        <w:rPr>
          <w:rFonts w:ascii="Times New Roman" w:hAnsi="Times New Roman" w:eastAsia="黑体" w:cs="Times New Roman"/>
          <w:sz w:val="32"/>
          <w:szCs w:val="32"/>
        </w:rPr>
      </w:pPr>
    </w:p>
    <w:p w14:paraId="52CA8147">
      <w:pPr>
        <w:widowControl/>
        <w:spacing w:after="160" w:line="580" w:lineRule="exact"/>
        <w:ind w:firstLine="640" w:firstLineChars="200"/>
        <w:rPr>
          <w:rFonts w:ascii="Times New Roman" w:hAnsi="Times New Roman" w:eastAsia="黑体" w:cs="Times New Roman"/>
          <w:sz w:val="32"/>
          <w:szCs w:val="32"/>
        </w:rPr>
        <w:sectPr>
          <w:footerReference r:id="rId10" w:type="first"/>
          <w:headerReference r:id="rId8" w:type="default"/>
          <w:footerReference r:id="rId9" w:type="default"/>
          <w:pgSz w:w="11906" w:h="16838"/>
          <w:pgMar w:top="2041" w:right="1531" w:bottom="2041" w:left="1531" w:header="851" w:footer="992" w:gutter="0"/>
          <w:pgNumType w:fmt="numberInDash" w:start="1"/>
          <w:cols w:space="0" w:num="1"/>
          <w:titlePg/>
          <w:rtlGutter w:val="0"/>
          <w:docGrid w:type="lines" w:linePitch="312" w:charSpace="0"/>
        </w:sectPr>
      </w:pPr>
    </w:p>
    <w:p w14:paraId="20157D76">
      <w:pPr>
        <w:widowControl/>
        <w:spacing w:after="160" w:line="580" w:lineRule="exact"/>
        <w:ind w:firstLine="640" w:firstLineChars="200"/>
        <w:rPr>
          <w:rFonts w:ascii="Times New Roman" w:hAnsi="Times New Roman" w:eastAsia="黑体" w:cs="Times New Roman"/>
          <w:sz w:val="32"/>
          <w:szCs w:val="32"/>
        </w:rPr>
        <w:sectPr>
          <w:headerReference r:id="rId11" w:type="default"/>
          <w:type w:val="continuous"/>
          <w:pgSz w:w="11906" w:h="16838"/>
          <w:pgMar w:top="2041" w:right="1531" w:bottom="2041" w:left="1531" w:header="851" w:footer="992" w:gutter="0"/>
          <w:pgNumType w:fmt="numberInDash"/>
          <w:cols w:space="0" w:num="1"/>
          <w:titlePg/>
          <w:rtlGutter w:val="0"/>
          <w:docGrid w:type="lines" w:linePitch="312" w:charSpace="0"/>
        </w:sectPr>
      </w:pPr>
    </w:p>
    <w:p w14:paraId="75669E10">
      <w:pPr>
        <w:widowControl/>
        <w:spacing w:after="160" w:line="580" w:lineRule="exact"/>
        <w:ind w:firstLine="1440" w:firstLineChars="200"/>
        <w:rPr>
          <w:rFonts w:ascii="Times New Roman" w:hAnsi="Times New Roman" w:eastAsia="黑体" w:cs="Times New Roman"/>
          <w:sz w:val="32"/>
          <w:szCs w:val="32"/>
        </w:rPr>
        <w:sectPr>
          <w:pgSz w:w="11906" w:h="16838"/>
          <w:pgMar w:top="2041" w:right="1531" w:bottom="2041" w:left="1531" w:header="851" w:footer="992" w:gutter="0"/>
          <w:pgNumType w:fmt="numberInDash"/>
          <w:cols w:space="0" w:num="1"/>
          <w:titlePg/>
          <w:rtlGutter w:val="0"/>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B73B8">
                            <w:pPr>
                              <w:widowControl/>
                              <w:jc w:val="cente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p>
                          <w:p w14:paraId="42AFA68B">
                            <w:pPr>
                              <w:widowControl/>
                              <w:jc w:val="cente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848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14:paraId="766B73B8">
                      <w:pPr>
                        <w:widowControl/>
                        <w:jc w:val="cente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p>
                    <w:p w14:paraId="42AFA68B">
                      <w:pPr>
                        <w:widowControl/>
                        <w:jc w:val="center"/>
                        <w:rPr>
                          <w:rFonts w:hint="eastAsia" w:ascii="黑体" w:hAnsi="黑体" w:eastAsia="黑体" w:cs="黑体"/>
                          <w:color w:val="000000" w:themeColor="text1"/>
                          <w:sz w:val="96"/>
                          <w:szCs w:val="96"/>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txbxContent>
                </v:textbox>
              </v:shape>
            </w:pict>
          </mc:Fallback>
        </mc:AlternateContent>
      </w:r>
    </w:p>
    <w:p w14:paraId="143B0871">
      <w:pPr>
        <w:widowControl/>
        <w:spacing w:line="580" w:lineRule="exact"/>
        <w:ind w:firstLine="640" w:firstLineChars="200"/>
        <w:rPr>
          <w:rFonts w:eastAsia="黑体"/>
          <w:sz w:val="32"/>
          <w:szCs w:val="32"/>
        </w:rPr>
      </w:pPr>
    </w:p>
    <w:p w14:paraId="2B848482">
      <w:pPr>
        <w:jc w:val="center"/>
        <w:rPr>
          <w:rFonts w:hint="default" w:ascii="黑体" w:hAnsi="黑体" w:eastAsia="黑体" w:cs="黑体"/>
          <w:sz w:val="56"/>
          <w:szCs w:val="72"/>
          <w:lang w:val="en-US" w:eastAsia="zh-CN"/>
        </w:rPr>
      </w:pPr>
    </w:p>
    <w:p w14:paraId="3B0B9CA6">
      <w:pPr>
        <w:jc w:val="center"/>
        <w:rPr>
          <w:rFonts w:hint="default" w:ascii="黑体" w:hAnsi="黑体" w:eastAsia="黑体" w:cs="黑体"/>
          <w:sz w:val="56"/>
          <w:szCs w:val="72"/>
          <w:lang w:val="en-US" w:eastAsia="zh-CN"/>
        </w:rPr>
      </w:pPr>
    </w:p>
    <w:p w14:paraId="24AE7B11">
      <w:pPr>
        <w:jc w:val="center"/>
        <w:rPr>
          <w:rFonts w:hint="default" w:ascii="黑体" w:hAnsi="黑体" w:eastAsia="黑体" w:cs="黑体"/>
          <w:sz w:val="56"/>
          <w:szCs w:val="72"/>
          <w:lang w:val="en-US" w:eastAsia="zh-CN"/>
        </w:rPr>
      </w:pPr>
      <w:r>
        <w:rPr>
          <w:sz w:val="72"/>
        </w:rPr>
        <mc:AlternateContent>
          <mc:Choice Requires="wps">
            <w:drawing>
              <wp:anchor distT="0" distB="0" distL="114300" distR="114300" simplePos="0" relativeHeight="251669504"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187" name="文本框 18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14:paraId="08F8BF44">
                            <w:pPr>
                              <w:widowControl/>
                              <w:jc w:val="cente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第二部分 </w:t>
                            </w:r>
                          </w:p>
                          <w:p w14:paraId="577C5489">
                            <w:pPr>
                              <w:widowControl/>
                              <w:jc w:val="center"/>
                              <w:rPr>
                                <w:rFonts w:hint="default"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2019年部门决算情况说明</w:t>
                            </w:r>
                          </w:p>
                          <w:p w14:paraId="3D27E803">
                            <w:pPr>
                              <w:rPr>
                                <w:rFonts w:hint="eastAsia"/>
                                <w:lang w:val="en-US"/>
                                <w14:textOutline w14:w="9525">
                                  <w14:solidFill>
                                    <w14:schemeClr w14:val="tx1">
                                      <w14:lumMod w14:val="50000"/>
                                      <w14:lumOff w14:val="50000"/>
                                    </w14:schemeClr>
                                  </w14:solidFill>
                                  <w14:round/>
                                </w14:textOutline>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0.8pt;margin-top:4.35pt;height:263.1pt;width:613.65pt;z-index:251669504;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1B8+LaAAAACwEAAA8AAAAAAAAAAQAgAAAAIgAA&#10;AGRycy9kb3ducmV2LnhtbFBLAQIUABQAAAAIAIdO4kAd7gKxeAIAAAgFAAAOAAAAAAAAAAEAIAAA&#10;ACkBAABkcnMvZTJvRG9jLnhtbFBLBQYAAAAABgAGAFkBAAATBgAAAAA=&#10;">
                <v:fill type="pattern" on="t" color2="#FFFFFF [3212]" o:title="5%" focussize="0,0" r:id="rId23"/>
                <v:stroke weight="0.5pt" color="#FFD966 [3204]" joinstyle="round"/>
                <v:imagedata o:title=""/>
                <o:lock v:ext="edit" aspectratio="f"/>
                <v:textbox>
                  <w:txbxContent>
                    <w:p w14:paraId="08F8BF44">
                      <w:pPr>
                        <w:widowControl/>
                        <w:jc w:val="cente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第二部分 </w:t>
                      </w:r>
                    </w:p>
                    <w:p w14:paraId="577C5489">
                      <w:pPr>
                        <w:widowControl/>
                        <w:jc w:val="center"/>
                        <w:rPr>
                          <w:rFonts w:hint="default"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2019年部门决算情况说明</w:t>
                      </w:r>
                    </w:p>
                    <w:p w14:paraId="3D27E803">
                      <w:pPr>
                        <w:rPr>
                          <w:rFonts w:hint="eastAsia"/>
                          <w:lang w:val="en-US"/>
                          <w14:textOutline w14:w="9525">
                            <w14:solidFill>
                              <w14:schemeClr w14:val="tx1">
                                <w14:lumMod w14:val="50000"/>
                                <w14:lumOff w14:val="50000"/>
                              </w14:schemeClr>
                            </w14:solidFill>
                            <w14:round/>
                          </w14:textOutline>
                        </w:rPr>
                      </w:pPr>
                    </w:p>
                  </w:txbxContent>
                </v:textbox>
              </v:shape>
            </w:pict>
          </mc:Fallback>
        </mc:AlternateContent>
      </w:r>
    </w:p>
    <w:p w14:paraId="40226EED">
      <w:pPr>
        <w:jc w:val="center"/>
        <w:rPr>
          <w:rFonts w:hint="default" w:ascii="黑体" w:hAnsi="黑体" w:eastAsia="黑体" w:cs="黑体"/>
          <w:sz w:val="56"/>
          <w:szCs w:val="72"/>
          <w:lang w:val="en-US" w:eastAsia="zh-CN"/>
        </w:rPr>
      </w:pPr>
    </w:p>
    <w:p w14:paraId="08C05916">
      <w:pPr>
        <w:jc w:val="center"/>
        <w:rPr>
          <w:rFonts w:hint="default" w:ascii="黑体" w:hAnsi="黑体" w:eastAsia="黑体" w:cs="黑体"/>
          <w:sz w:val="56"/>
          <w:szCs w:val="72"/>
          <w:lang w:val="en-US" w:eastAsia="zh-CN"/>
        </w:rPr>
      </w:pPr>
    </w:p>
    <w:p w14:paraId="2688A941">
      <w:pPr>
        <w:jc w:val="center"/>
        <w:rPr>
          <w:rFonts w:hint="default" w:ascii="黑体" w:hAnsi="黑体" w:eastAsia="黑体" w:cs="黑体"/>
          <w:sz w:val="56"/>
          <w:szCs w:val="72"/>
          <w:lang w:val="en-US" w:eastAsia="zh-CN"/>
        </w:rPr>
      </w:pPr>
    </w:p>
    <w:p w14:paraId="7FD88D67">
      <w:pPr>
        <w:jc w:val="center"/>
        <w:rPr>
          <w:rFonts w:hint="default" w:ascii="黑体" w:hAnsi="黑体" w:eastAsia="黑体" w:cs="黑体"/>
          <w:sz w:val="56"/>
          <w:szCs w:val="72"/>
          <w:lang w:val="en-US" w:eastAsia="zh-CN"/>
        </w:rPr>
      </w:pPr>
    </w:p>
    <w:p w14:paraId="5FE2BA7F">
      <w:pPr>
        <w:jc w:val="center"/>
        <w:rPr>
          <w:rFonts w:hint="default" w:ascii="黑体" w:hAnsi="黑体" w:eastAsia="黑体" w:cs="黑体"/>
          <w:sz w:val="56"/>
          <w:szCs w:val="72"/>
          <w:lang w:val="en-US" w:eastAsia="zh-CN"/>
        </w:rPr>
      </w:pPr>
    </w:p>
    <w:p w14:paraId="18732ED8">
      <w:pPr>
        <w:jc w:val="center"/>
        <w:rPr>
          <w:rFonts w:hint="default" w:ascii="黑体" w:hAnsi="黑体" w:eastAsia="黑体" w:cs="黑体"/>
          <w:sz w:val="56"/>
          <w:szCs w:val="72"/>
          <w:lang w:val="en-US" w:eastAsia="zh-CN"/>
        </w:rPr>
      </w:pPr>
    </w:p>
    <w:p w14:paraId="1C170DD3">
      <w:pPr>
        <w:jc w:val="center"/>
        <w:rPr>
          <w:rFonts w:hint="default" w:ascii="黑体" w:hAnsi="黑体" w:eastAsia="黑体" w:cs="黑体"/>
          <w:sz w:val="56"/>
          <w:szCs w:val="72"/>
          <w:lang w:val="en-US" w:eastAsia="zh-CN"/>
        </w:rPr>
      </w:pPr>
    </w:p>
    <w:p w14:paraId="65C12B7F">
      <w:pPr>
        <w:jc w:val="center"/>
        <w:rPr>
          <w:rFonts w:hint="default" w:ascii="黑体" w:hAnsi="黑体" w:eastAsia="黑体" w:cs="黑体"/>
          <w:sz w:val="56"/>
          <w:szCs w:val="72"/>
          <w:lang w:val="en-US" w:eastAsia="zh-CN"/>
        </w:rPr>
      </w:pPr>
    </w:p>
    <w:p w14:paraId="0765C49E">
      <w:pPr>
        <w:jc w:val="center"/>
        <w:rPr>
          <w:rFonts w:hint="default" w:ascii="黑体" w:hAnsi="黑体" w:eastAsia="黑体" w:cs="黑体"/>
          <w:sz w:val="56"/>
          <w:szCs w:val="72"/>
          <w:lang w:val="en-US" w:eastAsia="zh-CN"/>
        </w:rPr>
      </w:pPr>
    </w:p>
    <w:p w14:paraId="7B19D679">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一、收入</w:t>
      </w:r>
      <w:r>
        <w:rPr>
          <w:rFonts w:hint="eastAsia" w:ascii="黑体" w:hAnsi="Cambria" w:eastAsia="黑体" w:cs="黑体"/>
          <w:b w:val="0"/>
          <w:bCs w:val="0"/>
          <w:kern w:val="0"/>
          <w:sz w:val="32"/>
          <w:szCs w:val="32"/>
          <w:lang w:val="en-US" w:eastAsia="zh-CN" w:bidi="ar-SA"/>
        </w:rPr>
        <w:t>支出</w:t>
      </w:r>
      <w:r>
        <w:rPr>
          <w:rFonts w:hint="eastAsia" w:ascii="黑体" w:hAnsi="Calibri" w:eastAsia="黑体" w:cs="Times New Roman"/>
          <w:b w:val="0"/>
          <w:bCs w:val="0"/>
          <w:kern w:val="2"/>
          <w:sz w:val="32"/>
          <w:szCs w:val="32"/>
          <w:lang w:val="en-US" w:eastAsia="zh-CN" w:bidi="ar-SA"/>
        </w:rPr>
        <w:t>决算总体情况说明</w:t>
      </w:r>
    </w:p>
    <w:p w14:paraId="3EB61D4C">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年度收</w:t>
      </w:r>
      <w:r>
        <w:rPr>
          <w:rFonts w:hint="eastAsia" w:ascii="仿宋_GB2312" w:eastAsia="仿宋_GB2312" w:cs="DengXian-Regular"/>
          <w:sz w:val="32"/>
          <w:szCs w:val="32"/>
          <w:lang w:val="en-US" w:eastAsia="zh-CN"/>
        </w:rPr>
        <w:t>支</w:t>
      </w:r>
      <w:r>
        <w:rPr>
          <w:rFonts w:hint="eastAsia" w:ascii="仿宋_GB2312" w:eastAsia="仿宋_GB2312" w:cs="DengXian-Regular"/>
          <w:sz w:val="32"/>
          <w:szCs w:val="32"/>
        </w:rPr>
        <w:t>总计（含结转和结余）</w:t>
      </w:r>
      <w:r>
        <w:rPr>
          <w:rFonts w:hint="eastAsia" w:ascii="仿宋_GB2312" w:eastAsia="仿宋_GB2312" w:cs="DengXian-Regular"/>
          <w:sz w:val="32"/>
          <w:szCs w:val="32"/>
          <w:lang w:val="en-US" w:eastAsia="zh-CN"/>
        </w:rPr>
        <w:t>12418.7</w:t>
      </w:r>
      <w:r>
        <w:rPr>
          <w:rFonts w:hint="eastAsia" w:ascii="仿宋_GB2312" w:eastAsia="仿宋_GB2312" w:cs="DengXian-Regular"/>
          <w:sz w:val="32"/>
          <w:szCs w:val="32"/>
        </w:rPr>
        <w:t>万元。与201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年度决算相比，收</w:t>
      </w:r>
      <w:r>
        <w:rPr>
          <w:rFonts w:hint="eastAsia" w:ascii="仿宋_GB2312" w:eastAsia="仿宋_GB2312" w:cs="DengXian-Regular"/>
          <w:sz w:val="32"/>
          <w:szCs w:val="32"/>
          <w:lang w:val="en-US" w:eastAsia="zh-CN"/>
        </w:rPr>
        <w:t>支各</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828.68</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6.25</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给企业的补助减少</w:t>
      </w:r>
      <w:r>
        <w:rPr>
          <w:rFonts w:hint="eastAsia" w:ascii="仿宋_GB2312" w:eastAsia="仿宋_GB2312" w:cs="DengXian-Regular"/>
          <w:sz w:val="32"/>
          <w:szCs w:val="32"/>
        </w:rPr>
        <w:t>。</w:t>
      </w:r>
    </w:p>
    <w:p w14:paraId="52ADD963">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二、收入决算情况说明</w:t>
      </w:r>
    </w:p>
    <w:p w14:paraId="34A86CEA">
      <w:pPr>
        <w:pageBreakBefore w:val="0"/>
        <w:widowControl w:val="0"/>
        <w:kinsoku/>
        <w:wordWrap/>
        <w:overflowPunct/>
        <w:topLinePunct w:val="0"/>
        <w:autoSpaceDE/>
        <w:autoSpaceDN/>
        <w:bidi w:val="0"/>
        <w:adjustRightInd w:val="0"/>
        <w:snapToGrid w:val="0"/>
        <w:spacing w:line="580" w:lineRule="exact"/>
        <w:ind w:right="0" w:rightChars="0"/>
        <w:textAlignment w:val="auto"/>
        <w:rPr>
          <w:rFonts w:hint="eastAsia" w:ascii="黑体" w:hAnsi="Calibri" w:eastAsia="黑体" w:cs="Times New Roman"/>
          <w:b/>
          <w:bCs/>
          <w:kern w:val="2"/>
          <w:sz w:val="32"/>
          <w:szCs w:val="32"/>
          <w:lang w:val="en-US" w:eastAsia="zh-CN" w:bidi="ar-SA"/>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度本年收入合计</w:t>
      </w:r>
      <w:r>
        <w:rPr>
          <w:rFonts w:hint="eastAsia" w:ascii="仿宋_GB2312" w:hAnsi="Times New Roman" w:eastAsia="仿宋_GB2312" w:cs="DengXian-Regular"/>
          <w:sz w:val="32"/>
          <w:szCs w:val="32"/>
          <w:lang w:val="en-US" w:eastAsia="zh-CN"/>
        </w:rPr>
        <w:t>12392.97</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12392.97</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%；事业收入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p>
    <w:p w14:paraId="56E61D37">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三、支出决算情况说明</w:t>
      </w:r>
    </w:p>
    <w:p w14:paraId="0A714880">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度本年支出合计</w:t>
      </w:r>
      <w:r>
        <w:rPr>
          <w:rFonts w:hint="eastAsia" w:ascii="仿宋_GB2312" w:hAnsi="Times New Roman" w:eastAsia="仿宋_GB2312" w:cs="DengXian-Regular"/>
          <w:sz w:val="32"/>
          <w:szCs w:val="32"/>
          <w:lang w:val="en-US" w:eastAsia="zh-CN"/>
        </w:rPr>
        <w:t>10944.5</w:t>
      </w:r>
      <w:r>
        <w:rPr>
          <w:rFonts w:hint="eastAsia" w:ascii="仿宋_GB2312" w:hAnsi="Times New Roman" w:eastAsia="仿宋_GB2312" w:cs="DengXian-Regular"/>
          <w:sz w:val="32"/>
          <w:szCs w:val="32"/>
        </w:rPr>
        <w:t>万元，其中：基本支出</w:t>
      </w:r>
      <w:r>
        <w:rPr>
          <w:rFonts w:hint="eastAsia" w:ascii="仿宋_GB2312" w:hAnsi="Times New Roman" w:eastAsia="仿宋_GB2312" w:cs="DengXian-Regular"/>
          <w:sz w:val="32"/>
          <w:szCs w:val="32"/>
          <w:lang w:val="en-US" w:eastAsia="zh-CN"/>
        </w:rPr>
        <w:t>658.8</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6.02</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10285.69</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93.98</w:t>
      </w:r>
      <w:r>
        <w:rPr>
          <w:rFonts w:hint="eastAsia" w:ascii="仿宋_GB2312" w:hAnsi="Times New Roman" w:eastAsia="仿宋_GB2312" w:cs="DengXian-Regular"/>
          <w:sz w:val="32"/>
          <w:szCs w:val="32"/>
        </w:rPr>
        <w:t>%；如图所示：</w:t>
      </w:r>
    </w:p>
    <w:p w14:paraId="64FAE34C">
      <w:pPr>
        <w:keepNext/>
        <w:keepLines/>
        <w:pageBreakBefore w:val="0"/>
        <w:widowControl w:val="0"/>
        <w:kinsoku/>
        <w:wordWrap/>
        <w:overflowPunct/>
        <w:topLinePunct w:val="0"/>
        <w:autoSpaceDE/>
        <w:autoSpaceDN/>
        <w:bidi w:val="0"/>
        <w:snapToGrid w:val="0"/>
        <w:spacing w:line="240" w:lineRule="auto"/>
        <w:ind w:right="0" w:rightChars="0" w:firstLine="0" w:firstLineChars="0"/>
        <w:jc w:val="both"/>
        <w:textAlignment w:val="auto"/>
        <w:outlineLvl w:val="1"/>
        <w:rPr>
          <w:rFonts w:hint="eastAsia" w:ascii="黑体" w:hAnsi="Calibri" w:eastAsia="黑体" w:cs="Times New Roman"/>
          <w:b/>
          <w:bCs/>
          <w:kern w:val="2"/>
          <w:sz w:val="32"/>
          <w:szCs w:val="32"/>
          <w:lang w:val="en-US" w:eastAsia="zh-CN" w:bidi="ar-SA"/>
        </w:rPr>
      </w:pPr>
      <w:r>
        <w:rPr>
          <w:rFonts w:hint="eastAsia" w:eastAsiaTheme="minorEastAsia"/>
          <w:lang w:eastAsia="zh-CN"/>
        </w:rPr>
        <w:drawing>
          <wp:inline distT="0" distB="0" distL="114300" distR="114300">
            <wp:extent cx="5235575" cy="2693035"/>
            <wp:effectExtent l="4445" t="4445" r="17780" b="762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8C5F5D">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1"/>
        <w:rPr>
          <w:rFonts w:hint="eastAsia" w:ascii="黑体" w:hAnsi="Calibri" w:eastAsia="黑体" w:cs="Times New Roman"/>
          <w:b/>
          <w:bCs/>
          <w:kern w:val="2"/>
          <w:sz w:val="32"/>
          <w:szCs w:val="32"/>
          <w:lang w:val="en-US" w:eastAsia="zh-CN" w:bidi="ar-SA"/>
        </w:rPr>
      </w:pPr>
    </w:p>
    <w:p w14:paraId="7C31C12B">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四、</w:t>
      </w:r>
      <w:r>
        <w:rPr>
          <w:rFonts w:hint="eastAsia" w:ascii="黑体" w:hAnsi="Cambria" w:eastAsia="黑体" w:cs="黑体"/>
          <w:b w:val="0"/>
          <w:bCs w:val="0"/>
          <w:kern w:val="0"/>
          <w:sz w:val="32"/>
          <w:szCs w:val="32"/>
          <w:lang w:val="en-US" w:eastAsia="zh-CN" w:bidi="ar-SA"/>
        </w:rPr>
        <w:t>财政</w:t>
      </w:r>
      <w:r>
        <w:rPr>
          <w:rFonts w:hint="eastAsia" w:ascii="黑体" w:hAnsi="Calibri" w:eastAsia="黑体" w:cs="Times New Roman"/>
          <w:b w:val="0"/>
          <w:bCs w:val="0"/>
          <w:kern w:val="2"/>
          <w:sz w:val="32"/>
          <w:szCs w:val="32"/>
          <w:lang w:val="en-US" w:eastAsia="zh-CN" w:bidi="ar-SA"/>
        </w:rPr>
        <w:t>拨款收入支出决算总体情况说明</w:t>
      </w:r>
    </w:p>
    <w:p w14:paraId="4AA4FA80">
      <w:pPr>
        <w:pageBreakBefore w:val="0"/>
        <w:widowControl w:val="0"/>
        <w:kinsoku/>
        <w:wordWrap/>
        <w:overflowPunct/>
        <w:topLinePunct w:val="0"/>
        <w:autoSpaceDE/>
        <w:autoSpaceDN/>
        <w:bidi w:val="0"/>
        <w:snapToGrid w:val="0"/>
        <w:spacing w:line="580" w:lineRule="exact"/>
        <w:ind w:right="0" w:rightChars="0" w:firstLine="643" w:firstLineChars="200"/>
        <w:textAlignment w:val="auto"/>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w:t>
      </w:r>
      <w:r>
        <w:rPr>
          <w:rFonts w:hint="eastAsia" w:ascii="楷体_GB2312" w:hAnsi="Times New Roman" w:eastAsia="楷体_GB2312" w:cs="DengXian-Bold"/>
          <w:b/>
          <w:bCs/>
          <w:sz w:val="32"/>
          <w:szCs w:val="32"/>
          <w:lang w:eastAsia="zh-CN"/>
        </w:rPr>
        <w:t>2018</w:t>
      </w:r>
      <w:r>
        <w:rPr>
          <w:rFonts w:hint="eastAsia" w:ascii="楷体_GB2312" w:hAnsi="Times New Roman" w:eastAsia="楷体_GB2312" w:cs="DengXian-Bold"/>
          <w:b/>
          <w:bCs/>
          <w:sz w:val="32"/>
          <w:szCs w:val="32"/>
        </w:rPr>
        <w:t xml:space="preserve"> 年度决算对比情况</w:t>
      </w:r>
    </w:p>
    <w:p w14:paraId="01FDB69E">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w:t>
      </w:r>
      <w:r>
        <w:rPr>
          <w:rFonts w:hint="eastAsia" w:ascii="仿宋_GB2312" w:hAnsi="Times New Roman" w:eastAsia="仿宋_GB2312" w:cs="DengXian-Regular"/>
          <w:sz w:val="32"/>
          <w:szCs w:val="32"/>
          <w:lang w:val="en-US" w:eastAsia="zh-CN"/>
        </w:rPr>
        <w:t>财政拨款本年收入12392.97</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,比2018年度</w:t>
      </w:r>
      <w:r>
        <w:rPr>
          <w:rFonts w:hint="eastAsia" w:ascii="仿宋_GB2312" w:hAnsi="Times New Roman" w:eastAsia="仿宋_GB2312" w:cs="DengXian-Regular"/>
          <w:sz w:val="32"/>
          <w:szCs w:val="32"/>
        </w:rPr>
        <w:t>减少</w:t>
      </w:r>
      <w:r>
        <w:rPr>
          <w:rFonts w:hint="eastAsia" w:ascii="仿宋_GB2312" w:hAnsi="Times New Roman" w:eastAsia="仿宋_GB2312" w:cs="DengXian-Regular"/>
          <w:sz w:val="32"/>
          <w:szCs w:val="32"/>
          <w:lang w:val="en-US" w:eastAsia="zh-CN"/>
        </w:rPr>
        <w:t>809.15</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6.13</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给企业的补助资金减少</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本年</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10944.5</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减少</w:t>
      </w:r>
      <w:r>
        <w:rPr>
          <w:rFonts w:hint="eastAsia" w:ascii="仿宋_GB2312" w:hAnsi="Times New Roman" w:eastAsia="仿宋_GB2312" w:cs="DengXian-Regular"/>
          <w:sz w:val="32"/>
          <w:szCs w:val="32"/>
          <w:lang w:val="en-US" w:eastAsia="zh-CN"/>
        </w:rPr>
        <w:t>2260.47</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17.12</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给企业的补助资金减少</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具体情况如下：</w:t>
      </w:r>
    </w:p>
    <w:p w14:paraId="0128D541">
      <w:pPr>
        <w:pageBreakBefore w:val="0"/>
        <w:widowControl w:val="0"/>
        <w:numPr>
          <w:ilvl w:val="0"/>
          <w:numId w:val="1"/>
        </w:numPr>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lang w:eastAsia="zh-CN"/>
        </w:rPr>
        <w:t>一般公共</w:t>
      </w:r>
      <w:r>
        <w:rPr>
          <w:rFonts w:hint="eastAsia" w:ascii="仿宋_GB2312" w:hAnsi="Times New Roman" w:eastAsia="仿宋_GB2312" w:cs="DengXian-Regular"/>
          <w:sz w:val="32"/>
          <w:szCs w:val="32"/>
        </w:rPr>
        <w:t>预算财政拨款本年收入</w:t>
      </w:r>
      <w:r>
        <w:rPr>
          <w:rFonts w:hint="eastAsia" w:ascii="仿宋_GB2312" w:hAnsi="Times New Roman" w:eastAsia="仿宋_GB2312" w:cs="DengXian-Regular"/>
          <w:sz w:val="32"/>
          <w:szCs w:val="32"/>
          <w:lang w:val="en-US" w:eastAsia="zh-CN"/>
        </w:rPr>
        <w:t>11714.06</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比上年</w:t>
      </w:r>
      <w:r>
        <w:rPr>
          <w:rFonts w:hint="eastAsia" w:ascii="仿宋_GB2312" w:hAnsi="Times New Roman" w:eastAsia="仿宋_GB2312" w:cs="DengXian-Regular"/>
          <w:sz w:val="32"/>
          <w:szCs w:val="32"/>
        </w:rPr>
        <w:t>减少</w:t>
      </w:r>
      <w:r>
        <w:rPr>
          <w:rFonts w:hint="eastAsia" w:ascii="仿宋_GB2312" w:hAnsi="Times New Roman" w:eastAsia="仿宋_GB2312" w:cs="DengXian-Regular"/>
          <w:sz w:val="32"/>
          <w:szCs w:val="32"/>
          <w:lang w:val="en-US" w:eastAsia="zh-CN"/>
        </w:rPr>
        <w:t>1490.91</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eastAsia="zh-CN"/>
        </w:rPr>
        <w:t>给企业的补助资金减少</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10265.58</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比上年</w:t>
      </w:r>
      <w:r>
        <w:rPr>
          <w:rFonts w:hint="eastAsia" w:ascii="仿宋_GB2312" w:hAnsi="Times New Roman" w:eastAsia="仿宋_GB2312" w:cs="DengXian-Regular"/>
          <w:sz w:val="32"/>
          <w:szCs w:val="32"/>
        </w:rPr>
        <w:t>减少</w:t>
      </w:r>
      <w:r>
        <w:rPr>
          <w:rFonts w:hint="eastAsia" w:ascii="仿宋_GB2312" w:hAnsi="Times New Roman" w:eastAsia="仿宋_GB2312" w:cs="DengXian-Regular"/>
          <w:sz w:val="32"/>
          <w:szCs w:val="32"/>
          <w:lang w:val="en-US" w:eastAsia="zh-CN"/>
        </w:rPr>
        <w:t>2939.39</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22.26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给企业的补助资金减少。</w:t>
      </w:r>
    </w:p>
    <w:p w14:paraId="2572091F">
      <w:pPr>
        <w:pageBreakBefore w:val="0"/>
        <w:widowControl w:val="0"/>
        <w:numPr>
          <w:ilvl w:val="0"/>
          <w:numId w:val="1"/>
        </w:numPr>
        <w:kinsoku/>
        <w:wordWrap/>
        <w:overflowPunct/>
        <w:topLinePunct w:val="0"/>
        <w:autoSpaceDE/>
        <w:autoSpaceDN/>
        <w:bidi w:val="0"/>
        <w:adjustRightInd w:val="0"/>
        <w:snapToGrid w:val="0"/>
        <w:spacing w:line="580" w:lineRule="exact"/>
        <w:ind w:left="0" w:leftChars="0"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政府性基金预算财政拨款本年收入</w:t>
      </w:r>
      <w:r>
        <w:rPr>
          <w:rFonts w:hint="eastAsia" w:ascii="仿宋_GB2312" w:hAnsi="Times New Roman" w:eastAsia="仿宋_GB2312" w:cs="DengXian-Regular"/>
          <w:sz w:val="32"/>
          <w:szCs w:val="32"/>
          <w:lang w:val="en-US" w:eastAsia="zh-CN"/>
        </w:rPr>
        <w:t>678.91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比上年</w:t>
      </w:r>
      <w:r>
        <w:rPr>
          <w:rFonts w:hint="eastAsia" w:ascii="仿宋_GB2312" w:hAnsi="Times New Roman" w:eastAsia="仿宋_GB2312" w:cs="DengXian-Regular"/>
          <w:sz w:val="32"/>
          <w:szCs w:val="32"/>
        </w:rPr>
        <w:t>增加</w:t>
      </w:r>
      <w:r>
        <w:rPr>
          <w:rFonts w:hint="eastAsia" w:ascii="仿宋_GB2312" w:hAnsi="Times New Roman" w:eastAsia="仿宋_GB2312" w:cs="DengXian-Regular"/>
          <w:sz w:val="32"/>
          <w:szCs w:val="32"/>
          <w:lang w:val="en-US" w:eastAsia="zh-CN"/>
        </w:rPr>
        <w:t>678.91</w:t>
      </w:r>
      <w:r>
        <w:rPr>
          <w:rFonts w:hint="eastAsia" w:ascii="仿宋_GB2312" w:hAnsi="Times New Roman" w:eastAsia="仿宋_GB2312" w:cs="DengXian-Regular"/>
          <w:sz w:val="32"/>
          <w:szCs w:val="32"/>
        </w:rPr>
        <w:t>万元，主要</w:t>
      </w:r>
      <w:r>
        <w:rPr>
          <w:rFonts w:hint="eastAsia" w:ascii="仿宋_GB2312" w:hAnsi="Times New Roman" w:eastAsia="仿宋_GB2312" w:cs="DengXian-Regular"/>
          <w:sz w:val="32"/>
          <w:szCs w:val="32"/>
          <w:lang w:val="en-US" w:eastAsia="zh-CN"/>
        </w:rPr>
        <w:t>原因</w:t>
      </w:r>
      <w:r>
        <w:rPr>
          <w:rFonts w:hint="eastAsia" w:ascii="仿宋_GB2312" w:hAnsi="Times New Roman" w:eastAsia="仿宋_GB2312" w:cs="DengXian-Regular"/>
          <w:sz w:val="32"/>
          <w:szCs w:val="32"/>
        </w:rPr>
        <w:t>是</w:t>
      </w:r>
      <w:r>
        <w:rPr>
          <w:rFonts w:hint="eastAsia" w:ascii="仿宋_GB2312" w:hAnsi="Times New Roman" w:eastAsia="仿宋_GB2312" w:cs="DengXian-Regular"/>
          <w:sz w:val="32"/>
          <w:szCs w:val="32"/>
          <w:lang w:eastAsia="zh-CN"/>
        </w:rPr>
        <w:t>政府性基金类给企业的补助资金增加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678.91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比上年</w:t>
      </w:r>
      <w:r>
        <w:rPr>
          <w:rFonts w:hint="eastAsia" w:ascii="仿宋_GB2312" w:hAnsi="Times New Roman" w:eastAsia="仿宋_GB2312" w:cs="DengXian-Regular"/>
          <w:sz w:val="32"/>
          <w:szCs w:val="32"/>
        </w:rPr>
        <w:t>增加</w:t>
      </w:r>
      <w:r>
        <w:rPr>
          <w:rFonts w:hint="eastAsia" w:ascii="仿宋_GB2312" w:hAnsi="Times New Roman" w:eastAsia="仿宋_GB2312" w:cs="DengXian-Regular"/>
          <w:sz w:val="32"/>
          <w:szCs w:val="32"/>
          <w:lang w:val="en-US" w:eastAsia="zh-CN"/>
        </w:rPr>
        <w:t>678.91</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eastAsia="zh-CN"/>
        </w:rPr>
        <w:t>政府性基金类给企业的补助资金增加</w:t>
      </w:r>
      <w:r>
        <w:rPr>
          <w:rFonts w:hint="eastAsia" w:ascii="仿宋_GB2312" w:hAnsi="Times New Roman" w:eastAsia="仿宋_GB2312" w:cs="DengXian-Regular"/>
          <w:sz w:val="32"/>
          <w:szCs w:val="32"/>
        </w:rPr>
        <w:t>。</w:t>
      </w:r>
      <w:r>
        <w:rPr>
          <w:rFonts w:hint="eastAsia" w:ascii="仿宋_GB2312" w:eastAsia="仿宋_GB2312" w:cs="DengXian-Regular"/>
          <w:sz w:val="32"/>
          <w:szCs w:val="32"/>
        </w:rPr>
        <w:t>如图所示：</w:t>
      </w:r>
    </w:p>
    <w:p w14:paraId="4E2AFDB5">
      <w:pPr>
        <w:pageBreakBefore w:val="0"/>
        <w:widowControl w:val="0"/>
        <w:kinsoku/>
        <w:wordWrap/>
        <w:overflowPunct/>
        <w:topLinePunct w:val="0"/>
        <w:autoSpaceDE/>
        <w:autoSpaceDN/>
        <w:bidi w:val="0"/>
        <w:snapToGrid w:val="0"/>
        <w:spacing w:line="240" w:lineRule="auto"/>
        <w:ind w:right="0" w:rightChars="0" w:firstLine="0" w:firstLineChars="0"/>
        <w:textAlignment w:val="auto"/>
        <w:rPr>
          <w:rFonts w:hint="eastAsia" w:ascii="楷体_GB2312" w:hAnsi="Times New Roman" w:eastAsia="楷体_GB2312" w:cs="DengXian-Bold"/>
          <w:b/>
          <w:bCs/>
          <w:sz w:val="32"/>
          <w:szCs w:val="32"/>
        </w:rPr>
      </w:pPr>
      <w:r>
        <w:rPr>
          <w:rFonts w:hint="eastAsia" w:eastAsiaTheme="minorEastAsia"/>
          <w:lang w:eastAsia="zh-CN"/>
        </w:rPr>
        <w:drawing>
          <wp:inline distT="0" distB="0" distL="114300" distR="114300">
            <wp:extent cx="5426075" cy="3853815"/>
            <wp:effectExtent l="5080" t="4445" r="17145" b="889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6C9D95">
      <w:pPr>
        <w:pageBreakBefore w:val="0"/>
        <w:widowControl w:val="0"/>
        <w:kinsoku/>
        <w:wordWrap/>
        <w:overflowPunct/>
        <w:topLinePunct w:val="0"/>
        <w:autoSpaceDE/>
        <w:autoSpaceDN/>
        <w:bidi w:val="0"/>
        <w:snapToGrid w:val="0"/>
        <w:spacing w:line="580" w:lineRule="exact"/>
        <w:ind w:right="0" w:rightChars="0" w:firstLine="643" w:firstLineChars="200"/>
        <w:textAlignment w:val="auto"/>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4438632E">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度财政拨款</w:t>
      </w:r>
      <w:r>
        <w:rPr>
          <w:rFonts w:hint="eastAsia" w:ascii="仿宋_GB2312" w:hAnsi="Times New Roman" w:eastAsia="仿宋_GB2312" w:cs="DengXian-Regular"/>
          <w:sz w:val="32"/>
          <w:szCs w:val="32"/>
          <w:lang w:val="en-US" w:eastAsia="zh-CN"/>
        </w:rPr>
        <w:t>本年</w:t>
      </w:r>
      <w:r>
        <w:rPr>
          <w:rFonts w:hint="eastAsia" w:ascii="仿宋_GB2312" w:hAnsi="Times New Roman" w:eastAsia="仿宋_GB2312" w:cs="DengXian-Regular"/>
          <w:sz w:val="32"/>
          <w:szCs w:val="32"/>
        </w:rPr>
        <w:t>收入</w:t>
      </w:r>
      <w:r>
        <w:rPr>
          <w:rFonts w:hint="eastAsia" w:ascii="仿宋_GB2312" w:hAnsi="Times New Roman" w:eastAsia="仿宋_GB2312" w:cs="DengXian-Regular"/>
          <w:sz w:val="32"/>
          <w:szCs w:val="32"/>
          <w:lang w:val="en-US" w:eastAsia="zh-CN"/>
        </w:rPr>
        <w:t>12392.97万元，完成年初预算的2530.81%,比年初预算增加11921.9</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决算数大于预算数主要原因</w:t>
      </w:r>
      <w:r>
        <w:rPr>
          <w:rFonts w:hint="eastAsia" w:ascii="仿宋_GB2312" w:hAnsi="Times New Roman" w:eastAsia="仿宋_GB2312" w:cs="DengXian-Regular"/>
          <w:sz w:val="32"/>
          <w:szCs w:val="32"/>
        </w:rPr>
        <w:t>是</w:t>
      </w:r>
      <w:r>
        <w:rPr>
          <w:rFonts w:hint="eastAsia" w:ascii="仿宋_GB2312" w:eastAsia="仿宋_GB2312" w:cs="DengXian-Regular"/>
          <w:sz w:val="32"/>
          <w:szCs w:val="32"/>
          <w:lang w:eastAsia="zh-CN"/>
        </w:rPr>
        <w:t>追加上级专款及区级对企业补助较多</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10944.5万元，完成年初预算的2223.33%,比年初预算增加10473.43</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决算数大于预算数主要原因</w:t>
      </w:r>
      <w:r>
        <w:rPr>
          <w:rFonts w:hint="eastAsia" w:ascii="仿宋_GB2312" w:hAnsi="Times New Roman" w:eastAsia="仿宋_GB2312" w:cs="DengXian-Regular"/>
          <w:sz w:val="32"/>
          <w:szCs w:val="32"/>
        </w:rPr>
        <w:t>是主要是</w:t>
      </w:r>
      <w:r>
        <w:rPr>
          <w:rFonts w:hint="eastAsia" w:ascii="仿宋_GB2312" w:eastAsia="仿宋_GB2312" w:cs="DengXian-Regular"/>
          <w:sz w:val="32"/>
          <w:szCs w:val="32"/>
          <w:lang w:eastAsia="zh-CN"/>
        </w:rPr>
        <w:t>追加上级专款及区级对企业补助较多</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具体情况如下：</w:t>
      </w:r>
    </w:p>
    <w:p w14:paraId="30919BD3">
      <w:pPr>
        <w:pageBreakBefore w:val="0"/>
        <w:widowControl w:val="0"/>
        <w:numPr>
          <w:ilvl w:val="0"/>
          <w:numId w:val="2"/>
        </w:numPr>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一般公共预算财政拨款</w:t>
      </w:r>
      <w:r>
        <w:rPr>
          <w:rFonts w:hint="eastAsia" w:ascii="仿宋_GB2312" w:hAnsi="Times New Roman" w:eastAsia="仿宋_GB2312" w:cs="DengXian-Regular"/>
          <w:sz w:val="32"/>
          <w:szCs w:val="32"/>
          <w:lang w:val="en-US" w:eastAsia="zh-CN"/>
        </w:rPr>
        <w:t>本年</w:t>
      </w:r>
      <w:r>
        <w:rPr>
          <w:rFonts w:hint="eastAsia" w:ascii="仿宋_GB2312" w:hAnsi="Times New Roman" w:eastAsia="仿宋_GB2312" w:cs="DengXian-Regular"/>
          <w:sz w:val="32"/>
          <w:szCs w:val="32"/>
        </w:rPr>
        <w:t>收入</w:t>
      </w:r>
      <w:r>
        <w:rPr>
          <w:rFonts w:hint="eastAsia" w:ascii="仿宋_GB2312" w:hAnsi="Times New Roman" w:eastAsia="仿宋_GB2312" w:cs="DengXian-Regular"/>
          <w:sz w:val="32"/>
          <w:szCs w:val="32"/>
          <w:lang w:val="en-US" w:eastAsia="zh-CN"/>
        </w:rPr>
        <w:t>完成</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初预算</w:t>
      </w:r>
      <w:r>
        <w:rPr>
          <w:rFonts w:hint="eastAsia" w:ascii="仿宋_GB2312" w:hAnsi="Times New Roman" w:eastAsia="仿宋_GB2312" w:cs="DengXian-Regular"/>
          <w:sz w:val="32"/>
          <w:szCs w:val="32"/>
          <w:lang w:val="en-US" w:eastAsia="zh-CN"/>
        </w:rPr>
        <w:t>2386.69</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比年初预算增加11242.99</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追加上级专款及区级对企业补助较多</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完成</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初预算</w:t>
      </w:r>
      <w:r>
        <w:rPr>
          <w:rFonts w:hint="eastAsia" w:ascii="仿宋_GB2312" w:hAnsi="Times New Roman" w:eastAsia="仿宋_GB2312" w:cs="DengXian-Regular"/>
          <w:sz w:val="32"/>
          <w:szCs w:val="32"/>
          <w:lang w:val="en-US" w:eastAsia="zh-CN"/>
        </w:rPr>
        <w:t>2079.2</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比年初预算增加9794.51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追加上级专款及区级对企业补助较多</w:t>
      </w:r>
      <w:r>
        <w:rPr>
          <w:rFonts w:hint="eastAsia" w:ascii="仿宋_GB2312" w:hAnsi="Times New Roman" w:eastAsia="仿宋_GB2312" w:cs="DengXian-Regular"/>
          <w:sz w:val="32"/>
          <w:szCs w:val="32"/>
          <w:lang w:eastAsia="zh-CN"/>
        </w:rPr>
        <w:t>。</w:t>
      </w:r>
    </w:p>
    <w:p w14:paraId="7BCA4856">
      <w:pPr>
        <w:pageBreakBefore w:val="0"/>
        <w:widowControl w:val="0"/>
        <w:numPr>
          <w:ilvl w:val="0"/>
          <w:numId w:val="2"/>
        </w:numPr>
        <w:kinsoku/>
        <w:wordWrap/>
        <w:overflowPunct/>
        <w:topLinePunct w:val="0"/>
        <w:autoSpaceDE/>
        <w:autoSpaceDN/>
        <w:bidi w:val="0"/>
        <w:adjustRightInd w:val="0"/>
        <w:snapToGrid w:val="0"/>
        <w:spacing w:line="580" w:lineRule="exact"/>
        <w:ind w:left="0" w:leftChars="0" w:right="0" w:rightChars="0" w:firstLine="640" w:firstLineChars="200"/>
        <w:textAlignment w:val="auto"/>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政府性基金预算财政拨款</w:t>
      </w:r>
      <w:r>
        <w:rPr>
          <w:rFonts w:hint="eastAsia" w:ascii="仿宋_GB2312" w:hAnsi="Times New Roman" w:eastAsia="仿宋_GB2312" w:cs="DengXian-Regular"/>
          <w:sz w:val="32"/>
          <w:szCs w:val="32"/>
          <w:lang w:val="en-US" w:eastAsia="zh-CN"/>
        </w:rPr>
        <w:t>本年</w:t>
      </w:r>
      <w:r>
        <w:rPr>
          <w:rFonts w:hint="eastAsia" w:ascii="仿宋_GB2312" w:hAnsi="Times New Roman" w:eastAsia="仿宋_GB2312" w:cs="DengXian-Regular"/>
          <w:sz w:val="32"/>
          <w:szCs w:val="32"/>
        </w:rPr>
        <w:t>收入</w:t>
      </w:r>
      <w:r>
        <w:rPr>
          <w:rFonts w:hint="eastAsia" w:ascii="仿宋_GB2312" w:hAnsi="Times New Roman" w:eastAsia="仿宋_GB2312" w:cs="DengXian-Regular"/>
          <w:sz w:val="32"/>
          <w:szCs w:val="32"/>
          <w:lang w:eastAsia="zh-CN"/>
        </w:rPr>
        <w:t>无年</w:t>
      </w:r>
      <w:r>
        <w:rPr>
          <w:rFonts w:hint="eastAsia" w:ascii="仿宋_GB2312" w:hAnsi="Times New Roman" w:eastAsia="仿宋_GB2312" w:cs="DengXian-Regular"/>
          <w:sz w:val="32"/>
          <w:szCs w:val="32"/>
        </w:rPr>
        <w:t>初预算，</w:t>
      </w:r>
      <w:r>
        <w:rPr>
          <w:rFonts w:hint="eastAsia" w:ascii="仿宋_GB2312" w:hAnsi="Times New Roman" w:eastAsia="仿宋_GB2312" w:cs="DengXian-Regular"/>
          <w:sz w:val="32"/>
          <w:szCs w:val="32"/>
          <w:lang w:val="en-US" w:eastAsia="zh-CN"/>
        </w:rPr>
        <w:t>比年初预算增加678.91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追加上级专款及区级对企业补助资金</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初预算</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比年初预算增加678.91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追加上级专款及区级对企业补助资金</w:t>
      </w:r>
      <w:r>
        <w:rPr>
          <w:rFonts w:hint="eastAsia" w:ascii="仿宋_GB2312" w:hAnsi="Times New Roman" w:eastAsia="仿宋_GB2312" w:cs="DengXian-Regular"/>
          <w:sz w:val="32"/>
          <w:szCs w:val="32"/>
          <w:lang w:eastAsia="zh-CN"/>
        </w:rPr>
        <w:t>。如图所示：</w:t>
      </w:r>
    </w:p>
    <w:p w14:paraId="1368667C">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highlight w:val="yellow"/>
        </w:rPr>
      </w:pPr>
    </w:p>
    <w:p w14:paraId="31D52062">
      <w:pPr>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eastAsia" w:ascii="仿宋_GB2312" w:hAnsi="Times New Roman" w:eastAsia="仿宋_GB2312" w:cs="DengXian-Regular"/>
          <w:sz w:val="32"/>
          <w:szCs w:val="32"/>
          <w:highlight w:val="yellow"/>
        </w:rPr>
      </w:pPr>
      <w:r>
        <w:rPr>
          <w:rFonts w:hint="eastAsia" w:eastAsiaTheme="minorEastAsia"/>
          <w:lang w:eastAsia="zh-CN"/>
        </w:rPr>
        <w:drawing>
          <wp:inline distT="0" distB="0" distL="114300" distR="114300">
            <wp:extent cx="5426075" cy="3689350"/>
            <wp:effectExtent l="5080" t="4445" r="17145" b="2095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2F34E2">
      <w:pPr>
        <w:keepNext w:val="0"/>
        <w:keepLines w:val="0"/>
        <w:pageBreakBefore w:val="0"/>
        <w:widowControl w:val="0"/>
        <w:numPr>
          <w:ilvl w:val="0"/>
          <w:numId w:val="3"/>
        </w:numPr>
        <w:kinsoku/>
        <w:wordWrap/>
        <w:overflowPunct/>
        <w:topLinePunct w:val="0"/>
        <w:autoSpaceDE/>
        <w:autoSpaceDN/>
        <w:bidi w:val="0"/>
        <w:adjustRightInd w:val="0"/>
        <w:snapToGrid w:val="0"/>
        <w:spacing w:line="580" w:lineRule="exact"/>
        <w:ind w:leftChars="200" w:right="0" w:rightChars="0"/>
        <w:textAlignment w:val="auto"/>
        <w:rPr>
          <w:rFonts w:hint="eastAsia" w:ascii="楷体_GB2312" w:hAnsi="Times New Roman" w:eastAsia="楷体_GB2312" w:cs="DengXian-Bold"/>
          <w:b/>
          <w:bCs/>
          <w:sz w:val="32"/>
          <w:szCs w:val="32"/>
          <w:lang w:val="en-US" w:eastAsia="zh-CN"/>
        </w:rPr>
      </w:pPr>
      <w:r>
        <w:rPr>
          <w:rFonts w:hint="eastAsia" w:ascii="楷体_GB2312" w:hAnsi="Times New Roman" w:eastAsia="楷体_GB2312" w:cs="DengXian-Bold"/>
          <w:b/>
          <w:bCs/>
          <w:sz w:val="32"/>
          <w:szCs w:val="32"/>
          <w:lang w:val="en-US" w:eastAsia="zh-CN"/>
        </w:rPr>
        <w:t>财政拨款支出决算结构情况。</w:t>
      </w:r>
    </w:p>
    <w:p w14:paraId="3DDD3564">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2019 年度财政拨款支出10944.5万元，主要用于以下方面：一般公共服务（类）支出691.42万元，占6.32%，；科学技术（类）支出10万元，占0.09%；社会保障和就业（类）支出 55.53万元，占0.51%；卫生健康（类）支出61.8万元，占 0.56%;节能环保（类）支出4100万元，占37.46%；城乡社区（类）支出100.35万元，占0.92%；农林水（类）支出350万元，占3.2%；交通运输（类）578.57万元，占5.29%；资源勘探信息（类）755万元，占6.9%，商业服务业等（类）支出3350万元，30.61%；住房保障（类）支出82.53万元，占0.75%；粮油物资储备（类）支出798.5万元，占7.3%；灾害防治及应急管理（类）支出10.8万元，占0.1%。如图所示：</w:t>
      </w:r>
    </w:p>
    <w:p w14:paraId="1D0C5433">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right="0" w:rightChars="0"/>
        <w:jc w:val="both"/>
        <w:textAlignment w:val="auto"/>
        <w:rPr>
          <w:rFonts w:hint="eastAsia" w:ascii="楷体_GB2312" w:hAnsi="Times New Roman" w:eastAsia="楷体_GB2312" w:cs="DengXian-Bold"/>
          <w:b/>
          <w:bCs/>
          <w:sz w:val="32"/>
          <w:szCs w:val="32"/>
          <w:lang w:val="en-US" w:eastAsia="zh-CN"/>
        </w:rPr>
      </w:pPr>
    </w:p>
    <w:p w14:paraId="1EA739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both"/>
        <w:textAlignment w:val="auto"/>
        <w:rPr>
          <w:rFonts w:hint="eastAsia" w:ascii="楷体_GB2312" w:hAnsi="Times New Roman" w:eastAsia="楷体_GB2312" w:cs="DengXian-Bold"/>
          <w:b/>
          <w:bCs/>
          <w:sz w:val="32"/>
          <w:szCs w:val="32"/>
          <w:lang w:val="en-US" w:eastAsia="zh-CN"/>
        </w:rPr>
      </w:pPr>
      <w:r>
        <w:rPr>
          <w:rFonts w:hint="eastAsia" w:eastAsiaTheme="minorEastAsia"/>
          <w:lang w:eastAsia="zh-CN"/>
        </w:rPr>
        <w:drawing>
          <wp:inline distT="0" distB="0" distL="114300" distR="114300">
            <wp:extent cx="5080000" cy="3810000"/>
            <wp:effectExtent l="4445" t="4445" r="20955" b="1460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B56189">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200" w:right="0" w:rightChars="0"/>
        <w:textAlignment w:val="auto"/>
        <w:rPr>
          <w:rFonts w:hint="eastAsia" w:ascii="楷体_GB2312" w:hAnsi="Times New Roman" w:eastAsia="楷体_GB2312" w:cs="DengXian-Bold"/>
          <w:b/>
          <w:bCs/>
          <w:sz w:val="32"/>
          <w:szCs w:val="32"/>
          <w:lang w:val="en-US" w:eastAsia="zh-CN"/>
        </w:rPr>
      </w:pPr>
    </w:p>
    <w:p w14:paraId="2BA70923">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200" w:right="0" w:rightChars="0"/>
        <w:textAlignment w:val="auto"/>
        <w:rPr>
          <w:rFonts w:hint="eastAsia" w:ascii="楷体_GB2312" w:hAnsi="Times New Roman" w:eastAsia="楷体_GB2312" w:cs="DengXian-Bold"/>
          <w:b/>
          <w:bCs/>
          <w:sz w:val="32"/>
          <w:szCs w:val="32"/>
          <w:lang w:val="en-US" w:eastAsia="zh-CN"/>
        </w:rPr>
      </w:pPr>
      <w:r>
        <w:rPr>
          <w:rFonts w:hint="eastAsia" w:ascii="楷体_GB2312" w:hAnsi="Times New Roman" w:eastAsia="楷体_GB2312" w:cs="DengXian-Bold"/>
          <w:b/>
          <w:bCs/>
          <w:sz w:val="32"/>
          <w:szCs w:val="32"/>
          <w:lang w:val="en-US" w:eastAsia="zh-CN"/>
        </w:rPr>
        <w:t>（四）一般公共预算基本支出决算情况说明</w:t>
      </w:r>
    </w:p>
    <w:p w14:paraId="10A97278">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2019 年度财政拨款基本支出10944.5万元，其中：人员经费 608.73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50.07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FF0675C">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hint="eastAsia"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五、一般公共预算“三公” 经费支出决算情况说明</w:t>
      </w:r>
    </w:p>
    <w:p w14:paraId="5C173630">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度“三公”经费支出共计</w:t>
      </w:r>
      <w:r>
        <w:rPr>
          <w:rFonts w:hint="eastAsia" w:ascii="仿宋_GB2312" w:hAnsi="Times New Roman" w:eastAsia="仿宋_GB2312" w:cs="DengXian-Regular"/>
          <w:sz w:val="32"/>
          <w:szCs w:val="32"/>
          <w:lang w:val="en-US" w:eastAsia="zh-CN"/>
        </w:rPr>
        <w:t>17.48</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完成预算的</w:t>
      </w:r>
      <w:r>
        <w:rPr>
          <w:rFonts w:hint="eastAsia" w:ascii="仿宋_GB2312" w:hAnsi="Times New Roman" w:eastAsia="仿宋_GB2312" w:cs="DengXian-Regular"/>
          <w:sz w:val="32"/>
          <w:szCs w:val="32"/>
          <w:lang w:val="en-US" w:eastAsia="zh-CN"/>
        </w:rPr>
        <w:t>65.2%,</w:t>
      </w:r>
      <w:r>
        <w:rPr>
          <w:rFonts w:hint="eastAsia" w:ascii="仿宋_GB2312" w:hAnsi="Times New Roman" w:eastAsia="仿宋_GB2312" w:cs="DengXian-Regular"/>
          <w:b w:val="0"/>
          <w:bCs w:val="0"/>
          <w:sz w:val="32"/>
          <w:szCs w:val="32"/>
        </w:rPr>
        <w:t>较预算减少</w:t>
      </w:r>
      <w:r>
        <w:rPr>
          <w:rFonts w:hint="eastAsia" w:ascii="仿宋_GB2312" w:hAnsi="Times New Roman" w:eastAsia="仿宋_GB2312" w:cs="DengXian-Regular"/>
          <w:b w:val="0"/>
          <w:bCs w:val="0"/>
          <w:sz w:val="32"/>
          <w:szCs w:val="32"/>
          <w:lang w:val="en-US" w:eastAsia="zh-CN"/>
        </w:rPr>
        <w:t>9.33</w:t>
      </w:r>
      <w:r>
        <w:rPr>
          <w:rFonts w:hint="eastAsia" w:ascii="仿宋_GB2312" w:hAnsi="Times New Roman" w:eastAsia="仿宋_GB2312" w:cs="DengXian-Regular"/>
          <w:b w:val="0"/>
          <w:bCs w:val="0"/>
          <w:sz w:val="32"/>
          <w:szCs w:val="32"/>
        </w:rPr>
        <w:t>万元，降低</w:t>
      </w:r>
      <w:r>
        <w:rPr>
          <w:rFonts w:hint="eastAsia" w:ascii="仿宋_GB2312" w:hAnsi="Times New Roman" w:eastAsia="仿宋_GB2312" w:cs="DengXian-Regular"/>
          <w:b w:val="0"/>
          <w:bCs w:val="0"/>
          <w:sz w:val="32"/>
          <w:szCs w:val="32"/>
          <w:lang w:val="en-US" w:eastAsia="zh-CN"/>
        </w:rPr>
        <w:t>34.8</w:t>
      </w:r>
      <w:r>
        <w:rPr>
          <w:rFonts w:hint="eastAsia" w:ascii="仿宋_GB2312" w:hAnsi="Times New Roman" w:eastAsia="仿宋_GB2312" w:cs="DengXian-Regular"/>
          <w:b w:val="0"/>
          <w:bCs w:val="0"/>
          <w:sz w:val="32"/>
          <w:szCs w:val="32"/>
        </w:rPr>
        <w:t>%，</w:t>
      </w:r>
      <w:r>
        <w:rPr>
          <w:rFonts w:hint="eastAsia" w:ascii="仿宋_GB2312" w:hAnsi="Times New Roman" w:eastAsia="仿宋_GB2312" w:cs="DengXian-Regular"/>
          <w:sz w:val="32"/>
          <w:szCs w:val="32"/>
          <w:lang w:eastAsia="zh-CN"/>
        </w:rPr>
        <w:t>主要是</w:t>
      </w:r>
      <w:r>
        <w:rPr>
          <w:rFonts w:hint="eastAsia" w:ascii="仿宋_GB2312" w:eastAsia="仿宋_GB2312" w:cs="DengXian-Regular"/>
          <w:sz w:val="32"/>
          <w:szCs w:val="32"/>
          <w:lang w:eastAsia="zh-CN"/>
        </w:rPr>
        <w:t>严格落实中央八项规定，严格控制三公经费支出</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2018</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度增加</w:t>
      </w:r>
      <w:r>
        <w:rPr>
          <w:rFonts w:hint="eastAsia" w:ascii="仿宋_GB2312" w:hAnsi="Times New Roman" w:eastAsia="仿宋_GB2312" w:cs="DengXian-Regular"/>
          <w:sz w:val="32"/>
          <w:szCs w:val="32"/>
          <w:lang w:val="en-US" w:eastAsia="zh-CN"/>
        </w:rPr>
        <w:t>5.9</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50.95</w:t>
      </w:r>
      <w:r>
        <w:rPr>
          <w:rFonts w:hint="eastAsia" w:ascii="仿宋_GB2312" w:hAnsi="Times New Roman" w:eastAsia="仿宋_GB2312" w:cs="DengXian-Regular"/>
          <w:sz w:val="32"/>
          <w:szCs w:val="32"/>
        </w:rPr>
        <w:t>x%，主要是</w:t>
      </w:r>
      <w:r>
        <w:rPr>
          <w:rFonts w:hint="eastAsia" w:ascii="仿宋_GB2312" w:hAnsi="Times New Roman" w:eastAsia="仿宋_GB2312" w:cs="DengXian-Regular"/>
          <w:sz w:val="32"/>
          <w:szCs w:val="32"/>
          <w:lang w:val="en-US" w:eastAsia="zh-CN"/>
        </w:rPr>
        <w:t>2019年机构改革，粮食局和物价局人员并入，接待费用增加</w:t>
      </w:r>
      <w:r>
        <w:rPr>
          <w:rFonts w:hint="eastAsia" w:ascii="仿宋_GB2312" w:hAnsi="Times New Roman" w:eastAsia="仿宋_GB2312" w:cs="DengXian-Regular"/>
          <w:sz w:val="32"/>
          <w:szCs w:val="32"/>
        </w:rPr>
        <w:t>。具体情况如下：</w:t>
      </w:r>
    </w:p>
    <w:p w14:paraId="070E5208">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sz w:val="32"/>
          <w:szCs w:val="32"/>
          <w:lang w:val="en-US" w:eastAsia="zh-CN"/>
        </w:rPr>
        <w:t>/</w:t>
      </w:r>
      <w:r>
        <w:rPr>
          <w:rFonts w:hint="eastAsia" w:ascii="仿宋_GB2312" w:hAnsi="Times New Roman" w:eastAsia="仿宋_GB2312" w:cs="DengXian-Regular"/>
          <w:sz w:val="32"/>
          <w:szCs w:val="32"/>
        </w:rPr>
        <w:t>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人/无本单位组织的出国（境）团组。因公出国（境）费支出较预算增加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无因公出国（境）费支出</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无因公出国（境）费支出</w:t>
      </w:r>
      <w:r>
        <w:rPr>
          <w:rFonts w:hint="eastAsia" w:ascii="仿宋_GB2312" w:hAnsi="Times New Roman" w:eastAsia="仿宋_GB2312" w:cs="DengXian-Regular"/>
          <w:sz w:val="32"/>
          <w:szCs w:val="32"/>
        </w:rPr>
        <w:t>。</w:t>
      </w:r>
    </w:p>
    <w:p w14:paraId="67667D3C">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（二）公务用车购置及运行维护费支出</w:t>
      </w:r>
      <w:r>
        <w:rPr>
          <w:rFonts w:hint="eastAsia" w:ascii="楷体_GB2312" w:hAnsi="Times New Roman" w:eastAsia="楷体_GB2312" w:cs="DengXian-Bold"/>
          <w:b/>
          <w:bCs/>
          <w:sz w:val="32"/>
          <w:szCs w:val="32"/>
          <w:lang w:val="en-US" w:eastAsia="zh-CN"/>
        </w:rPr>
        <w:t>10.89</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度公务用车购置及运行维护费较预算减少</w:t>
      </w:r>
      <w:r>
        <w:rPr>
          <w:rFonts w:hint="eastAsia" w:ascii="仿宋_GB2312" w:hAnsi="Times New Roman" w:eastAsia="仿宋_GB2312" w:cs="DengXian-Regular"/>
          <w:sz w:val="32"/>
          <w:szCs w:val="32"/>
          <w:lang w:val="en-US" w:eastAsia="zh-CN"/>
        </w:rPr>
        <w:t>1.11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9.25</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严格落实中央八项规定，严格控制三公经费支出</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减少</w:t>
      </w:r>
      <w:r>
        <w:rPr>
          <w:rFonts w:hint="eastAsia" w:ascii="仿宋_GB2312" w:hAnsi="Times New Roman" w:eastAsia="仿宋_GB2312" w:cs="DengXian-Regular"/>
          <w:sz w:val="32"/>
          <w:szCs w:val="32"/>
          <w:lang w:val="en-US" w:eastAsia="zh-CN"/>
        </w:rPr>
        <w:t>0.69</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5.96</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严格落实中央八项规定，严格控制三公经费支出</w:t>
      </w:r>
      <w:r>
        <w:rPr>
          <w:rFonts w:hint="eastAsia" w:ascii="仿宋_GB2312" w:hAnsi="Times New Roman" w:eastAsia="仿宋_GB2312" w:cs="DengXian-Regular"/>
          <w:sz w:val="32"/>
          <w:szCs w:val="32"/>
        </w:rPr>
        <w:t>。</w:t>
      </w:r>
      <w:r>
        <w:rPr>
          <w:rFonts w:hint="eastAsia" w:ascii="仿宋_GB2312" w:hAnsi="Times New Roman" w:eastAsia="仿宋_GB2312" w:cs="DengXian-Bold"/>
          <w:b/>
          <w:bCs/>
          <w:sz w:val="32"/>
          <w:szCs w:val="32"/>
        </w:rPr>
        <w:t>其中：</w:t>
      </w:r>
    </w:p>
    <w:p w14:paraId="778D844C">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未发生公务用车购置经费支出</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未发生公务用车购置经费支出</w:t>
      </w:r>
      <w:r>
        <w:rPr>
          <w:rFonts w:hint="eastAsia" w:ascii="仿宋_GB2312" w:hAnsi="Times New Roman" w:eastAsia="仿宋_GB2312" w:cs="DengXian-Regular"/>
          <w:sz w:val="32"/>
          <w:szCs w:val="32"/>
        </w:rPr>
        <w:t>。</w:t>
      </w:r>
    </w:p>
    <w:p w14:paraId="31281DC7">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度单位公务用车保有量</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辆。公车运行维护费支出较预算减少</w:t>
      </w:r>
      <w:r>
        <w:rPr>
          <w:rFonts w:hint="eastAsia" w:ascii="仿宋_GB2312" w:hAnsi="Times New Roman" w:eastAsia="仿宋_GB2312" w:cs="DengXian-Regular"/>
          <w:sz w:val="32"/>
          <w:szCs w:val="32"/>
          <w:lang w:val="en-US" w:eastAsia="zh-CN"/>
        </w:rPr>
        <w:t>1.11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9.25</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严格落实中央八项规定，严格控制三公经费支出</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减少</w:t>
      </w:r>
      <w:r>
        <w:rPr>
          <w:rFonts w:hint="eastAsia" w:ascii="仿宋_GB2312" w:hAnsi="Times New Roman" w:eastAsia="仿宋_GB2312" w:cs="DengXian-Regular"/>
          <w:sz w:val="32"/>
          <w:szCs w:val="32"/>
          <w:lang w:val="en-US" w:eastAsia="zh-CN"/>
        </w:rPr>
        <w:t>0.69</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5.96</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严格落实中央八项规定，严格控制三公经费支出</w:t>
      </w:r>
      <w:r>
        <w:rPr>
          <w:rFonts w:hint="eastAsia" w:ascii="仿宋_GB2312" w:hAnsi="Times New Roman" w:eastAsia="仿宋_GB2312" w:cs="DengXian-Regular"/>
          <w:sz w:val="32"/>
          <w:szCs w:val="32"/>
        </w:rPr>
        <w:t>。</w:t>
      </w:r>
    </w:p>
    <w:p w14:paraId="4B8A85FB">
      <w:pPr>
        <w:pageBreakBefore w:val="0"/>
        <w:widowControl w:val="0"/>
        <w:kinsoku/>
        <w:wordWrap/>
        <w:overflowPunct/>
        <w:topLinePunct w:val="0"/>
        <w:autoSpaceDE/>
        <w:autoSpaceDN/>
        <w:bidi w:val="0"/>
        <w:adjustRightInd w:val="0"/>
        <w:snapToGrid w:val="0"/>
        <w:spacing w:line="580" w:lineRule="exact"/>
        <w:ind w:right="0" w:rightChars="0" w:firstLine="643" w:firstLineChars="200"/>
        <w:textAlignment w:val="auto"/>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（三）公务接待费支出</w:t>
      </w:r>
      <w:r>
        <w:rPr>
          <w:rFonts w:hint="eastAsia" w:ascii="楷体_GB2312" w:hAnsi="Times New Roman" w:eastAsia="楷体_GB2312" w:cs="DengXian-Bold"/>
          <w:b/>
          <w:bCs/>
          <w:sz w:val="32"/>
          <w:szCs w:val="32"/>
          <w:lang w:val="en-US" w:eastAsia="zh-CN"/>
        </w:rPr>
        <w:t>6.58</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度公务接待共</w:t>
      </w:r>
      <w:r>
        <w:rPr>
          <w:rFonts w:hint="eastAsia" w:ascii="仿宋_GB2312" w:hAnsi="Times New Roman" w:eastAsia="仿宋_GB2312" w:cs="DengXian-Regular"/>
          <w:sz w:val="32"/>
          <w:szCs w:val="32"/>
          <w:lang w:val="en-US" w:eastAsia="zh-CN"/>
        </w:rPr>
        <w:t>56</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510</w:t>
      </w:r>
      <w:r>
        <w:rPr>
          <w:rFonts w:hint="eastAsia" w:ascii="仿宋_GB2312" w:hAnsi="Times New Roman" w:eastAsia="仿宋_GB2312" w:cs="DengXian-Regular"/>
          <w:sz w:val="32"/>
          <w:szCs w:val="32"/>
        </w:rPr>
        <w:t>人次。公务接待费支出较预算减少</w:t>
      </w:r>
      <w:r>
        <w:rPr>
          <w:rFonts w:hint="eastAsia" w:ascii="仿宋_GB2312" w:hAnsi="Times New Roman" w:eastAsia="仿宋_GB2312" w:cs="DengXian-Regular"/>
          <w:sz w:val="32"/>
          <w:szCs w:val="32"/>
          <w:lang w:val="en-US" w:eastAsia="zh-CN"/>
        </w:rPr>
        <w:t>4.75</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41.92</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lang w:eastAsia="zh-CN"/>
        </w:rPr>
        <w:t>严格落实中央八项规定，严格控制三公经费支出</w:t>
      </w:r>
      <w:r>
        <w:rPr>
          <w:rFonts w:hint="eastAsia" w:ascii="仿宋_GB2312" w:hAnsi="Times New Roman" w:eastAsia="仿宋_GB2312" w:cs="DengXian-Regular"/>
          <w:sz w:val="32"/>
          <w:szCs w:val="32"/>
        </w:rPr>
        <w:t>；较</w:t>
      </w:r>
      <w:r>
        <w:rPr>
          <w:rFonts w:hint="eastAsia" w:ascii="仿宋_GB2312" w:hAnsi="Times New Roman" w:eastAsia="仿宋_GB2312" w:cs="DengXian-Regular"/>
          <w:sz w:val="32"/>
          <w:szCs w:val="32"/>
          <w:lang w:val="en-US" w:eastAsia="zh-CN"/>
        </w:rPr>
        <w:t>上</w:t>
      </w:r>
      <w:r>
        <w:rPr>
          <w:rFonts w:hint="eastAsia" w:ascii="仿宋_GB2312" w:hAnsi="Times New Roman" w:eastAsia="仿宋_GB2312" w:cs="DengXian-Regular"/>
          <w:sz w:val="32"/>
          <w:szCs w:val="32"/>
          <w:lang w:eastAsia="zh-CN"/>
        </w:rPr>
        <w:t>年</w:t>
      </w:r>
      <w:r>
        <w:rPr>
          <w:rFonts w:hint="eastAsia" w:ascii="仿宋_GB2312" w:hAnsi="Times New Roman" w:eastAsia="仿宋_GB2312" w:cs="DengXian-Regular"/>
          <w:sz w:val="32"/>
          <w:szCs w:val="32"/>
        </w:rPr>
        <w:t>度</w:t>
      </w:r>
      <w:r>
        <w:rPr>
          <w:rFonts w:hint="eastAsia" w:ascii="仿宋_GB2312" w:hAnsi="Times New Roman" w:eastAsia="仿宋_GB2312" w:cs="DengXian-Regular"/>
          <w:sz w:val="32"/>
          <w:szCs w:val="32"/>
          <w:lang w:eastAsia="zh-CN"/>
        </w:rPr>
        <w:t>增加</w:t>
      </w:r>
      <w:r>
        <w:rPr>
          <w:rFonts w:hint="eastAsia" w:ascii="仿宋_GB2312" w:hAnsi="Times New Roman" w:eastAsia="仿宋_GB2312" w:cs="DengXian-Regular"/>
          <w:sz w:val="32"/>
          <w:szCs w:val="32"/>
          <w:lang w:val="en-US" w:eastAsia="zh-CN"/>
        </w:rPr>
        <w:t>6.58</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2018年无接待费预算</w:t>
      </w:r>
      <w:r>
        <w:rPr>
          <w:rFonts w:hint="eastAsia" w:ascii="仿宋_GB2312" w:hAnsi="Times New Roman" w:eastAsia="仿宋_GB2312" w:cs="DengXian-Regular"/>
          <w:sz w:val="32"/>
          <w:szCs w:val="32"/>
        </w:rPr>
        <w:t>。</w:t>
      </w:r>
    </w:p>
    <w:p w14:paraId="5D783C8D">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黑体" w:hAnsi="Times New Roman" w:eastAsia="黑体" w:cs="Times New Roman"/>
          <w:b w:val="0"/>
          <w:bCs w:val="0"/>
          <w:sz w:val="32"/>
          <w:szCs w:val="40"/>
        </w:rPr>
      </w:pPr>
      <w:r>
        <w:rPr>
          <w:rFonts w:hint="eastAsia" w:ascii="黑体" w:hAnsi="Times New Roman" w:eastAsia="黑体" w:cs="Times New Roman"/>
          <w:b w:val="0"/>
          <w:bCs w:val="0"/>
          <w:sz w:val="32"/>
          <w:szCs w:val="40"/>
        </w:rPr>
        <w:t>六、预算绩效情况说明</w:t>
      </w:r>
    </w:p>
    <w:p w14:paraId="6C484216">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3" w:firstLineChars="200"/>
        <w:jc w:val="both"/>
        <w:textAlignment w:val="auto"/>
        <w:outlineLvl w:val="9"/>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 预算绩效管理工作开展情况。</w:t>
      </w:r>
    </w:p>
    <w:p w14:paraId="04799AC4">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根据预算绩效管理要求，本部门组织对2019年度一般公共预算项目支出全面开展绩效自评，其中，一级项目1个，共涉及资金41.13万元，占一般公共预算项目支出总额的0.5%。</w:t>
      </w:r>
    </w:p>
    <w:p w14:paraId="17833C06">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200" w:right="0" w:rightChars="0" w:firstLine="321" w:firstLineChars="100"/>
        <w:jc w:val="both"/>
        <w:textAlignment w:val="auto"/>
        <w:outlineLvl w:val="9"/>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 部门决算中项目绩效自评结果。</w:t>
      </w:r>
    </w:p>
    <w:p w14:paraId="78F5426C">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本部门在今年部门决算公开中反映2019年度“重点项目跑办专项资金”项目绩效自评结果。</w:t>
      </w:r>
    </w:p>
    <w:p w14:paraId="7CFA2B10">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640" w:firstLineChars="200"/>
        <w:jc w:val="both"/>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重点项目跑办项目自评综述：根据年初设定的绩效目标，重点项目跑办项目全年预算数为41.13万元，执行数为36.75万元，完成预算的89.35%。项目绩效目标完成情况：一是抓投产运营，续建项目加快建设。1-11月份，全区完工或部分完工项目85个，占全年计划的106.2%，总投资595亿元。其中，投资70亿元的华润二期项目，4月份投产运营；投资5.2亿元的鑫华源智能停车设备制造项目，6月份投产运营；投资225亿元的首钢京唐二期一步项目，8月份投产运营。；二是抓督导协调，新开项目进展顺利。加大项目服务力度，加快推进项目前期手续，力促签约项目开工建设。1-11月份，全区新开工亿元以上项目147个，占全年计划的97.4%，总投资817.8亿元。投资390亿元的新天LNG接收站及外输管线工程、投资28亿元五矿矿石混配、投资35亿元的新发地现代商贸物流基地等一批重大项目先后开工建设。发现的主要问题及原因：一是资金使用效率有待提高；二是预算执行进度需稳步推进。产生问题的原因还是绩效管理工作推进不够到位。针对该项目的跟踪评价，我局将以此为依据，进一步完善加强全部项目的绩效考评工作。</w:t>
      </w:r>
    </w:p>
    <w:p w14:paraId="1887411F">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200" w:right="0" w:rightChars="0"/>
        <w:jc w:val="both"/>
        <w:textAlignment w:val="auto"/>
        <w:outlineLvl w:val="9"/>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3、财政评价项目绩效评价结果。</w:t>
      </w:r>
    </w:p>
    <w:p w14:paraId="41978D6A">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Chars="200" w:right="0" w:rightChars="0"/>
        <w:jc w:val="both"/>
        <w:textAlignment w:val="auto"/>
        <w:outlineLvl w:val="9"/>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我局绩效情况良好。</w:t>
      </w:r>
    </w:p>
    <w:tbl>
      <w:tblPr>
        <w:tblStyle w:val="7"/>
        <w:tblpPr w:leftFromText="180" w:rightFromText="180" w:vertAnchor="text" w:horzAnchor="page" w:tblpX="169" w:tblpY="-787"/>
        <w:tblOverlap w:val="never"/>
        <w:tblW w:w="11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95"/>
        <w:gridCol w:w="1405"/>
        <w:gridCol w:w="559"/>
        <w:gridCol w:w="737"/>
        <w:gridCol w:w="832"/>
        <w:gridCol w:w="995"/>
        <w:gridCol w:w="1200"/>
        <w:gridCol w:w="600"/>
        <w:gridCol w:w="518"/>
        <w:gridCol w:w="1664"/>
        <w:gridCol w:w="532"/>
        <w:gridCol w:w="968"/>
      </w:tblGrid>
      <w:tr w14:paraId="426A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Merge w:val="restart"/>
            <w:vAlign w:val="center"/>
          </w:tcPr>
          <w:p w14:paraId="22BA10C7">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项目名称（全称）</w:t>
            </w:r>
          </w:p>
        </w:tc>
        <w:tc>
          <w:tcPr>
            <w:tcW w:w="695" w:type="dxa"/>
            <w:vMerge w:val="restart"/>
            <w:vAlign w:val="center"/>
          </w:tcPr>
          <w:p w14:paraId="720AC3E3">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项目实施单位</w:t>
            </w:r>
          </w:p>
        </w:tc>
        <w:tc>
          <w:tcPr>
            <w:tcW w:w="1405" w:type="dxa"/>
            <w:vMerge w:val="restart"/>
            <w:vAlign w:val="center"/>
          </w:tcPr>
          <w:p w14:paraId="497F9894">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项目概况</w:t>
            </w:r>
          </w:p>
        </w:tc>
        <w:tc>
          <w:tcPr>
            <w:tcW w:w="2128" w:type="dxa"/>
            <w:gridSpan w:val="3"/>
            <w:vAlign w:val="center"/>
          </w:tcPr>
          <w:p w14:paraId="536C0C9C">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项目资金</w:t>
            </w:r>
          </w:p>
        </w:tc>
        <w:tc>
          <w:tcPr>
            <w:tcW w:w="2195" w:type="dxa"/>
            <w:gridSpan w:val="2"/>
            <w:vAlign w:val="center"/>
          </w:tcPr>
          <w:p w14:paraId="44FE2987">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年度总体目标</w:t>
            </w:r>
          </w:p>
        </w:tc>
        <w:tc>
          <w:tcPr>
            <w:tcW w:w="4282" w:type="dxa"/>
            <w:gridSpan w:val="5"/>
          </w:tcPr>
          <w:p w14:paraId="47737035">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32"/>
                <w:szCs w:val="32"/>
                <w:vertAlign w:val="baseline"/>
                <w:lang w:val="en-US" w:eastAsia="zh-CN" w:bidi="ar-SA"/>
              </w:rPr>
            </w:pPr>
            <w:r>
              <w:rPr>
                <w:rFonts w:hint="eastAsia" w:ascii="仿宋_GB2312" w:hAnsi="仿宋_GB2312" w:eastAsia="仿宋_GB2312" w:cs="仿宋_GB2312"/>
                <w:b w:val="0"/>
                <w:bCs w:val="0"/>
                <w:kern w:val="2"/>
                <w:sz w:val="32"/>
                <w:szCs w:val="32"/>
                <w:vertAlign w:val="baseline"/>
                <w:lang w:val="en-US" w:eastAsia="zh-CN" w:bidi="ar-SA"/>
              </w:rPr>
              <w:t>绩效指标</w:t>
            </w:r>
          </w:p>
        </w:tc>
      </w:tr>
      <w:tr w14:paraId="6DED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813" w:type="dxa"/>
            <w:vMerge w:val="continue"/>
          </w:tcPr>
          <w:p w14:paraId="2C8DB6C2">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32"/>
                <w:szCs w:val="32"/>
                <w:vertAlign w:val="baseline"/>
                <w:lang w:val="en-US" w:eastAsia="zh-CN" w:bidi="ar-SA"/>
              </w:rPr>
            </w:pPr>
          </w:p>
        </w:tc>
        <w:tc>
          <w:tcPr>
            <w:tcW w:w="695" w:type="dxa"/>
            <w:vMerge w:val="continue"/>
          </w:tcPr>
          <w:p w14:paraId="68D029E0">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32"/>
                <w:szCs w:val="32"/>
                <w:vertAlign w:val="baseline"/>
                <w:lang w:val="en-US" w:eastAsia="zh-CN" w:bidi="ar-SA"/>
              </w:rPr>
            </w:pPr>
          </w:p>
        </w:tc>
        <w:tc>
          <w:tcPr>
            <w:tcW w:w="1405" w:type="dxa"/>
            <w:vMerge w:val="continue"/>
          </w:tcPr>
          <w:p w14:paraId="2CD6DFD7">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32"/>
                <w:szCs w:val="32"/>
                <w:vertAlign w:val="baseline"/>
                <w:lang w:val="en-US" w:eastAsia="zh-CN" w:bidi="ar-SA"/>
              </w:rPr>
            </w:pPr>
          </w:p>
        </w:tc>
        <w:tc>
          <w:tcPr>
            <w:tcW w:w="559" w:type="dxa"/>
            <w:vAlign w:val="center"/>
          </w:tcPr>
          <w:p w14:paraId="1EDB219A">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全年预算数（A）</w:t>
            </w:r>
          </w:p>
        </w:tc>
        <w:tc>
          <w:tcPr>
            <w:tcW w:w="737" w:type="dxa"/>
            <w:vAlign w:val="center"/>
          </w:tcPr>
          <w:p w14:paraId="1B935354">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全年执行数（B）</w:t>
            </w:r>
          </w:p>
        </w:tc>
        <w:tc>
          <w:tcPr>
            <w:tcW w:w="832" w:type="dxa"/>
            <w:vAlign w:val="center"/>
          </w:tcPr>
          <w:p w14:paraId="4D431F21">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执行率（B/A）</w:t>
            </w:r>
          </w:p>
        </w:tc>
        <w:tc>
          <w:tcPr>
            <w:tcW w:w="995" w:type="dxa"/>
            <w:vAlign w:val="center"/>
          </w:tcPr>
          <w:p w14:paraId="50EE80F2">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年初设定目标</w:t>
            </w:r>
          </w:p>
        </w:tc>
        <w:tc>
          <w:tcPr>
            <w:tcW w:w="1200" w:type="dxa"/>
            <w:vAlign w:val="center"/>
          </w:tcPr>
          <w:p w14:paraId="3069766A">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全年实际完成情况</w:t>
            </w:r>
          </w:p>
        </w:tc>
        <w:tc>
          <w:tcPr>
            <w:tcW w:w="600" w:type="dxa"/>
            <w:vAlign w:val="center"/>
          </w:tcPr>
          <w:p w14:paraId="42CC6FAA">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一级指标</w:t>
            </w:r>
          </w:p>
        </w:tc>
        <w:tc>
          <w:tcPr>
            <w:tcW w:w="518" w:type="dxa"/>
            <w:vAlign w:val="center"/>
          </w:tcPr>
          <w:p w14:paraId="38E61859">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二级指标</w:t>
            </w:r>
          </w:p>
        </w:tc>
        <w:tc>
          <w:tcPr>
            <w:tcW w:w="1664" w:type="dxa"/>
            <w:vAlign w:val="center"/>
          </w:tcPr>
          <w:p w14:paraId="2F00B7F1">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年度指标值</w:t>
            </w:r>
          </w:p>
        </w:tc>
        <w:tc>
          <w:tcPr>
            <w:tcW w:w="532" w:type="dxa"/>
            <w:vAlign w:val="center"/>
          </w:tcPr>
          <w:p w14:paraId="5C8752C2">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全年完成值</w:t>
            </w:r>
          </w:p>
        </w:tc>
        <w:tc>
          <w:tcPr>
            <w:tcW w:w="968" w:type="dxa"/>
            <w:vAlign w:val="center"/>
          </w:tcPr>
          <w:p w14:paraId="115FF07C">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32"/>
                <w:szCs w:val="32"/>
                <w:vertAlign w:val="baseline"/>
                <w:lang w:val="en-US" w:eastAsia="zh-CN" w:bidi="ar-SA"/>
              </w:rPr>
            </w:pPr>
            <w:r>
              <w:rPr>
                <w:rFonts w:hint="eastAsia" w:ascii="宋体" w:hAnsi="宋体" w:eastAsia="宋体" w:cs="宋体"/>
                <w:b/>
                <w:i w:val="0"/>
                <w:color w:val="000000"/>
                <w:kern w:val="0"/>
                <w:sz w:val="24"/>
                <w:szCs w:val="24"/>
                <w:u w:val="none"/>
                <w:lang w:val="en-US" w:eastAsia="zh-CN" w:bidi="ar"/>
              </w:rPr>
              <w:t>评价等级</w:t>
            </w:r>
          </w:p>
        </w:tc>
      </w:tr>
      <w:tr w14:paraId="641A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Merge w:val="restart"/>
            <w:vAlign w:val="center"/>
          </w:tcPr>
          <w:p w14:paraId="1F752C4F">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重点项目跑办经费</w:t>
            </w:r>
          </w:p>
        </w:tc>
        <w:tc>
          <w:tcPr>
            <w:tcW w:w="695" w:type="dxa"/>
            <w:vMerge w:val="restart"/>
            <w:vAlign w:val="center"/>
          </w:tcPr>
          <w:p w14:paraId="0CBCB608">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唐山市曹妃甸区发展和改革局</w:t>
            </w:r>
          </w:p>
        </w:tc>
        <w:tc>
          <w:tcPr>
            <w:tcW w:w="1405" w:type="dxa"/>
            <w:vMerge w:val="restart"/>
            <w:vAlign w:val="center"/>
          </w:tcPr>
          <w:p w14:paraId="17EAA2C4">
            <w:pPr>
              <w:keepNext w:val="0"/>
              <w:keepLines w:val="0"/>
              <w:widowControl/>
              <w:suppressLineNumbers w:val="0"/>
              <w:spacing w:after="0" w:line="240" w:lineRule="auto"/>
              <w:jc w:val="left"/>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此项目为推进重点项目前期工作进展，加快重点项目建设等工作所需经费。项目要求为按照区委区政府工作安排对重点项目进行督导推进等工作</w:t>
            </w:r>
          </w:p>
        </w:tc>
        <w:tc>
          <w:tcPr>
            <w:tcW w:w="559" w:type="dxa"/>
            <w:vMerge w:val="restart"/>
            <w:vAlign w:val="center"/>
          </w:tcPr>
          <w:p w14:paraId="6EC42F0F">
            <w:pPr>
              <w:keepNext w:val="0"/>
              <w:keepLines w:val="0"/>
              <w:widowControl/>
              <w:suppressLineNumbers w:val="0"/>
              <w:spacing w:after="0" w:line="240" w:lineRule="auto"/>
              <w:jc w:val="center"/>
              <w:textAlignment w:val="center"/>
              <w:rPr>
                <w:rFonts w:hint="default"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41.13</w:t>
            </w:r>
          </w:p>
        </w:tc>
        <w:tc>
          <w:tcPr>
            <w:tcW w:w="737" w:type="dxa"/>
            <w:vMerge w:val="restart"/>
            <w:vAlign w:val="center"/>
          </w:tcPr>
          <w:p w14:paraId="4EF66048">
            <w:pPr>
              <w:keepNext w:val="0"/>
              <w:keepLines w:val="0"/>
              <w:widowControl/>
              <w:suppressLineNumbers w:val="0"/>
              <w:spacing w:after="0" w:line="240" w:lineRule="auto"/>
              <w:jc w:val="center"/>
              <w:textAlignment w:val="center"/>
              <w:rPr>
                <w:rFonts w:hint="default"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36.75</w:t>
            </w:r>
          </w:p>
        </w:tc>
        <w:tc>
          <w:tcPr>
            <w:tcW w:w="832" w:type="dxa"/>
            <w:vMerge w:val="restart"/>
            <w:vAlign w:val="center"/>
          </w:tcPr>
          <w:p w14:paraId="35E3D84B">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89.35%</w:t>
            </w:r>
          </w:p>
        </w:tc>
        <w:tc>
          <w:tcPr>
            <w:tcW w:w="995" w:type="dxa"/>
            <w:vMerge w:val="restart"/>
            <w:vAlign w:val="center"/>
          </w:tcPr>
          <w:p w14:paraId="71A1BA38">
            <w:pPr>
              <w:keepNext w:val="0"/>
              <w:keepLines w:val="0"/>
              <w:widowControl/>
              <w:suppressLineNumbers w:val="0"/>
              <w:spacing w:after="0" w:line="240" w:lineRule="auto"/>
              <w:jc w:val="left"/>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完成区委区政府安排的重点项目推进工作</w:t>
            </w:r>
          </w:p>
        </w:tc>
        <w:tc>
          <w:tcPr>
            <w:tcW w:w="1200" w:type="dxa"/>
            <w:vMerge w:val="restart"/>
            <w:vAlign w:val="center"/>
          </w:tcPr>
          <w:p w14:paraId="3E37C030">
            <w:pPr>
              <w:keepNext w:val="0"/>
              <w:keepLines w:val="0"/>
              <w:widowControl/>
              <w:suppressLineNumbers w:val="0"/>
              <w:spacing w:after="0" w:line="240" w:lineRule="auto"/>
              <w:jc w:val="left"/>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完成区委区政府安排重点工作</w:t>
            </w:r>
          </w:p>
        </w:tc>
        <w:tc>
          <w:tcPr>
            <w:tcW w:w="600" w:type="dxa"/>
            <w:vMerge w:val="restart"/>
            <w:vAlign w:val="center"/>
          </w:tcPr>
          <w:p w14:paraId="28777CCA">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产出指标</w:t>
            </w:r>
          </w:p>
        </w:tc>
        <w:tc>
          <w:tcPr>
            <w:tcW w:w="518" w:type="dxa"/>
            <w:vAlign w:val="center"/>
          </w:tcPr>
          <w:p w14:paraId="54CCEBEF">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数量指标</w:t>
            </w:r>
          </w:p>
        </w:tc>
        <w:tc>
          <w:tcPr>
            <w:tcW w:w="1664" w:type="dxa"/>
            <w:vAlign w:val="center"/>
          </w:tcPr>
          <w:p w14:paraId="0B0143CF">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Times New Roman" w:hAnsi="Times New Roman" w:eastAsia="方正仿宋简体" w:cs="方正仿宋简体"/>
                <w:sz w:val="15"/>
                <w:szCs w:val="15"/>
              </w:rPr>
              <w:t>2019年，曹妃甸区全面落实领导分包，加强协调调度，强化督导考核，重点项目建设成效显著。</w:t>
            </w:r>
            <w:r>
              <w:rPr>
                <w:rFonts w:ascii="Times New Roman" w:eastAsia="方正仿宋简体"/>
                <w:sz w:val="15"/>
                <w:szCs w:val="15"/>
              </w:rPr>
              <w:t>截止到</w:t>
            </w:r>
            <w:r>
              <w:rPr>
                <w:rFonts w:hint="eastAsia" w:ascii="Times New Roman" w:hAnsi="Times New Roman" w:eastAsia="方正仿宋简体"/>
                <w:sz w:val="15"/>
                <w:szCs w:val="15"/>
              </w:rPr>
              <w:t>11</w:t>
            </w:r>
            <w:r>
              <w:rPr>
                <w:rFonts w:ascii="Times New Roman" w:eastAsia="方正仿宋简体"/>
                <w:sz w:val="15"/>
                <w:szCs w:val="15"/>
              </w:rPr>
              <w:t>月</w:t>
            </w:r>
            <w:r>
              <w:rPr>
                <w:rFonts w:hint="eastAsia" w:ascii="Times New Roman" w:eastAsia="方正仿宋简体"/>
                <w:sz w:val="15"/>
                <w:szCs w:val="15"/>
              </w:rPr>
              <w:t>份</w:t>
            </w:r>
            <w:r>
              <w:rPr>
                <w:rFonts w:ascii="Times New Roman" w:eastAsia="方正仿宋简体"/>
                <w:sz w:val="15"/>
                <w:szCs w:val="15"/>
              </w:rPr>
              <w:t>，全区共实施</w:t>
            </w:r>
            <w:r>
              <w:rPr>
                <w:rFonts w:hint="eastAsia" w:ascii="Times New Roman" w:eastAsia="方正仿宋简体"/>
                <w:sz w:val="15"/>
                <w:szCs w:val="15"/>
              </w:rPr>
              <w:t>续建和新开工</w:t>
            </w:r>
            <w:r>
              <w:rPr>
                <w:rFonts w:ascii="Times New Roman" w:eastAsia="方正仿宋简体"/>
                <w:sz w:val="15"/>
                <w:szCs w:val="15"/>
              </w:rPr>
              <w:t>重点项目</w:t>
            </w:r>
            <w:r>
              <w:rPr>
                <w:rFonts w:hint="eastAsia" w:ascii="Times New Roman" w:hAnsi="Times New Roman" w:eastAsia="方正仿宋简体"/>
                <w:sz w:val="15"/>
                <w:szCs w:val="15"/>
              </w:rPr>
              <w:t>252</w:t>
            </w:r>
            <w:r>
              <w:rPr>
                <w:rFonts w:ascii="Times New Roman" w:eastAsia="方正仿宋简体"/>
                <w:sz w:val="15"/>
                <w:szCs w:val="15"/>
              </w:rPr>
              <w:t>个</w:t>
            </w:r>
          </w:p>
        </w:tc>
        <w:tc>
          <w:tcPr>
            <w:tcW w:w="532" w:type="dxa"/>
            <w:vAlign w:val="center"/>
          </w:tcPr>
          <w:p w14:paraId="3DB35AB3">
            <w:pPr>
              <w:keepNext w:val="0"/>
              <w:keepLines w:val="0"/>
              <w:widowControl/>
              <w:suppressLineNumbers w:val="0"/>
              <w:spacing w:after="0" w:line="240" w:lineRule="auto"/>
              <w:jc w:val="center"/>
              <w:textAlignment w:val="center"/>
              <w:rPr>
                <w:rFonts w:hint="default"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252</w:t>
            </w:r>
          </w:p>
        </w:tc>
        <w:tc>
          <w:tcPr>
            <w:tcW w:w="968" w:type="dxa"/>
            <w:vAlign w:val="center"/>
          </w:tcPr>
          <w:p w14:paraId="09F7CFED">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优</w:t>
            </w:r>
          </w:p>
        </w:tc>
      </w:tr>
      <w:tr w14:paraId="061A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Merge w:val="continue"/>
          </w:tcPr>
          <w:p w14:paraId="74347CB7">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695" w:type="dxa"/>
            <w:vMerge w:val="continue"/>
          </w:tcPr>
          <w:p w14:paraId="718FF29D">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1405" w:type="dxa"/>
            <w:vMerge w:val="continue"/>
          </w:tcPr>
          <w:p w14:paraId="1F138119">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559" w:type="dxa"/>
            <w:vMerge w:val="continue"/>
          </w:tcPr>
          <w:p w14:paraId="68E82D0A">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737" w:type="dxa"/>
            <w:vMerge w:val="continue"/>
          </w:tcPr>
          <w:p w14:paraId="2DBEB0A1">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832" w:type="dxa"/>
            <w:vMerge w:val="continue"/>
          </w:tcPr>
          <w:p w14:paraId="32CA5515">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995" w:type="dxa"/>
            <w:vMerge w:val="continue"/>
          </w:tcPr>
          <w:p w14:paraId="1F174DDC">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1200" w:type="dxa"/>
            <w:vMerge w:val="continue"/>
          </w:tcPr>
          <w:p w14:paraId="1CCB8DFD">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600" w:type="dxa"/>
            <w:vMerge w:val="continue"/>
            <w:vAlign w:val="center"/>
          </w:tcPr>
          <w:p w14:paraId="1E5A76AB">
            <w:pPr>
              <w:spacing w:after="0" w:line="240" w:lineRule="auto"/>
              <w:jc w:val="center"/>
              <w:rPr>
                <w:rFonts w:hint="eastAsia" w:ascii="仿宋_GB2312" w:hAnsi="仿宋_GB2312" w:eastAsia="仿宋_GB2312" w:cs="仿宋_GB2312"/>
                <w:b w:val="0"/>
                <w:bCs w:val="0"/>
                <w:kern w:val="2"/>
                <w:sz w:val="15"/>
                <w:szCs w:val="15"/>
                <w:vertAlign w:val="baseline"/>
                <w:lang w:val="en-US" w:eastAsia="zh-CN" w:bidi="ar-SA"/>
              </w:rPr>
            </w:pPr>
          </w:p>
        </w:tc>
        <w:tc>
          <w:tcPr>
            <w:tcW w:w="518" w:type="dxa"/>
            <w:vAlign w:val="center"/>
          </w:tcPr>
          <w:p w14:paraId="45C34721">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质量指标</w:t>
            </w:r>
          </w:p>
        </w:tc>
        <w:tc>
          <w:tcPr>
            <w:tcW w:w="1664" w:type="dxa"/>
            <w:vAlign w:val="center"/>
          </w:tcPr>
          <w:p w14:paraId="1C780971">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重点项目督导计划完成率</w:t>
            </w:r>
          </w:p>
        </w:tc>
        <w:tc>
          <w:tcPr>
            <w:tcW w:w="532" w:type="dxa"/>
            <w:vAlign w:val="center"/>
          </w:tcPr>
          <w:p w14:paraId="5F44F2C3">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100%</w:t>
            </w:r>
          </w:p>
        </w:tc>
        <w:tc>
          <w:tcPr>
            <w:tcW w:w="968" w:type="dxa"/>
            <w:vAlign w:val="center"/>
          </w:tcPr>
          <w:p w14:paraId="34A01E39">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优</w:t>
            </w:r>
          </w:p>
        </w:tc>
      </w:tr>
      <w:tr w14:paraId="42E8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3" w:type="dxa"/>
            <w:vMerge w:val="continue"/>
          </w:tcPr>
          <w:p w14:paraId="384BDC71">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695" w:type="dxa"/>
            <w:vMerge w:val="continue"/>
          </w:tcPr>
          <w:p w14:paraId="114D5BAB">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1405" w:type="dxa"/>
            <w:vMerge w:val="continue"/>
          </w:tcPr>
          <w:p w14:paraId="6764A795">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559" w:type="dxa"/>
            <w:vMerge w:val="continue"/>
          </w:tcPr>
          <w:p w14:paraId="7016A299">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737" w:type="dxa"/>
            <w:vMerge w:val="continue"/>
          </w:tcPr>
          <w:p w14:paraId="55D6B5B3">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832" w:type="dxa"/>
            <w:vMerge w:val="continue"/>
          </w:tcPr>
          <w:p w14:paraId="32830BC5">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995" w:type="dxa"/>
            <w:vMerge w:val="continue"/>
          </w:tcPr>
          <w:p w14:paraId="53190868">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1200" w:type="dxa"/>
            <w:vMerge w:val="continue"/>
          </w:tcPr>
          <w:p w14:paraId="1A023A6B">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right="0" w:rightChars="0"/>
              <w:jc w:val="both"/>
              <w:textAlignment w:val="auto"/>
              <w:outlineLvl w:val="9"/>
              <w:rPr>
                <w:rFonts w:hint="eastAsia" w:ascii="仿宋_GB2312" w:hAnsi="仿宋_GB2312" w:eastAsia="仿宋_GB2312" w:cs="仿宋_GB2312"/>
                <w:b w:val="0"/>
                <w:bCs w:val="0"/>
                <w:kern w:val="2"/>
                <w:sz w:val="15"/>
                <w:szCs w:val="15"/>
                <w:vertAlign w:val="baseline"/>
                <w:lang w:val="en-US" w:eastAsia="zh-CN" w:bidi="ar-SA"/>
              </w:rPr>
            </w:pPr>
          </w:p>
        </w:tc>
        <w:tc>
          <w:tcPr>
            <w:tcW w:w="600" w:type="dxa"/>
            <w:vMerge w:val="continue"/>
            <w:vAlign w:val="center"/>
          </w:tcPr>
          <w:p w14:paraId="07DBF4C0">
            <w:pPr>
              <w:spacing w:after="0" w:line="240" w:lineRule="auto"/>
              <w:jc w:val="center"/>
              <w:rPr>
                <w:rFonts w:hint="eastAsia" w:ascii="仿宋_GB2312" w:hAnsi="仿宋_GB2312" w:eastAsia="仿宋_GB2312" w:cs="仿宋_GB2312"/>
                <w:b w:val="0"/>
                <w:bCs w:val="0"/>
                <w:kern w:val="2"/>
                <w:sz w:val="15"/>
                <w:szCs w:val="15"/>
                <w:vertAlign w:val="baseline"/>
                <w:lang w:val="en-US" w:eastAsia="zh-CN" w:bidi="ar-SA"/>
              </w:rPr>
            </w:pPr>
          </w:p>
        </w:tc>
        <w:tc>
          <w:tcPr>
            <w:tcW w:w="518" w:type="dxa"/>
            <w:vAlign w:val="center"/>
          </w:tcPr>
          <w:p w14:paraId="1FF1FCE3">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时效指标</w:t>
            </w:r>
          </w:p>
        </w:tc>
        <w:tc>
          <w:tcPr>
            <w:tcW w:w="1664" w:type="dxa"/>
            <w:vAlign w:val="center"/>
          </w:tcPr>
          <w:p w14:paraId="46E79269">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计划完成时间</w:t>
            </w:r>
          </w:p>
        </w:tc>
        <w:tc>
          <w:tcPr>
            <w:tcW w:w="532" w:type="dxa"/>
            <w:vAlign w:val="center"/>
          </w:tcPr>
          <w:p w14:paraId="59FA629B">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已完成</w:t>
            </w:r>
          </w:p>
        </w:tc>
        <w:tc>
          <w:tcPr>
            <w:tcW w:w="968" w:type="dxa"/>
            <w:vAlign w:val="center"/>
          </w:tcPr>
          <w:p w14:paraId="75CD9044">
            <w:pPr>
              <w:keepNext w:val="0"/>
              <w:keepLines w:val="0"/>
              <w:widowControl/>
              <w:suppressLineNumbers w:val="0"/>
              <w:spacing w:after="0" w:line="240" w:lineRule="auto"/>
              <w:jc w:val="center"/>
              <w:textAlignment w:val="center"/>
              <w:rPr>
                <w:rFonts w:hint="eastAsia" w:ascii="仿宋_GB2312" w:hAnsi="仿宋_GB2312" w:eastAsia="仿宋_GB2312" w:cs="仿宋_GB2312"/>
                <w:b w:val="0"/>
                <w:bCs w:val="0"/>
                <w:kern w:val="2"/>
                <w:sz w:val="15"/>
                <w:szCs w:val="15"/>
                <w:vertAlign w:val="baseline"/>
                <w:lang w:val="en-US" w:eastAsia="zh-CN" w:bidi="ar-SA"/>
              </w:rPr>
            </w:pPr>
            <w:r>
              <w:rPr>
                <w:rFonts w:hint="eastAsia" w:ascii="宋体" w:hAnsi="宋体" w:eastAsia="宋体" w:cs="宋体"/>
                <w:i w:val="0"/>
                <w:color w:val="000000"/>
                <w:kern w:val="0"/>
                <w:sz w:val="15"/>
                <w:szCs w:val="15"/>
                <w:u w:val="none"/>
                <w:lang w:val="en-US" w:eastAsia="zh-CN" w:bidi="ar"/>
              </w:rPr>
              <w:t>优</w:t>
            </w:r>
          </w:p>
        </w:tc>
      </w:tr>
    </w:tbl>
    <w:p w14:paraId="78D63D71">
      <w:pPr>
        <w:keepNext/>
        <w:keepLines/>
        <w:pageBreakBefore w:val="0"/>
        <w:widowControl w:val="0"/>
        <w:kinsoku/>
        <w:wordWrap/>
        <w:overflowPunct/>
        <w:topLinePunct w:val="0"/>
        <w:autoSpaceDE/>
        <w:autoSpaceDN/>
        <w:bidi w:val="0"/>
        <w:snapToGrid w:val="0"/>
        <w:spacing w:line="580" w:lineRule="exact"/>
        <w:ind w:right="0" w:rightChars="0" w:firstLine="640" w:firstLineChars="200"/>
        <w:jc w:val="both"/>
        <w:textAlignment w:val="auto"/>
        <w:outlineLvl w:val="1"/>
        <w:rPr>
          <w:rFonts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七、其他重要事项的说明</w:t>
      </w:r>
    </w:p>
    <w:p w14:paraId="0968534E">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（一）机关运行经费情况</w:t>
      </w:r>
    </w:p>
    <w:p w14:paraId="1EA4D7EF">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度机关运行经费支出</w:t>
      </w:r>
      <w:r>
        <w:rPr>
          <w:rFonts w:hint="eastAsia" w:ascii="仿宋_GB2312" w:hAnsi="Times New Roman" w:eastAsia="仿宋_GB2312" w:cs="DengXian-Regular"/>
          <w:sz w:val="32"/>
          <w:szCs w:val="32"/>
          <w:lang w:val="en-US" w:eastAsia="zh-CN"/>
        </w:rPr>
        <w:t>50.07</w:t>
      </w:r>
      <w:r>
        <w:rPr>
          <w:rFonts w:hint="eastAsia" w:ascii="仿宋_GB2312" w:hAnsi="Times New Roman" w:eastAsia="仿宋_GB2312" w:cs="DengXian-Regular"/>
          <w:sz w:val="32"/>
          <w:szCs w:val="32"/>
        </w:rPr>
        <w:t>万元，比</w:t>
      </w:r>
      <w:r>
        <w:rPr>
          <w:rFonts w:hint="eastAsia" w:ascii="仿宋_GB2312" w:hAnsi="Times New Roman" w:eastAsia="仿宋_GB2312" w:cs="DengXian-Regular"/>
          <w:sz w:val="32"/>
          <w:szCs w:val="32"/>
          <w:lang w:eastAsia="zh-CN"/>
        </w:rPr>
        <w:t>2018年</w:t>
      </w:r>
      <w:r>
        <w:rPr>
          <w:rFonts w:hint="eastAsia" w:ascii="仿宋_GB2312" w:hAnsi="Times New Roman" w:eastAsia="仿宋_GB2312" w:cs="DengXian-Regular"/>
          <w:sz w:val="32"/>
          <w:szCs w:val="32"/>
        </w:rPr>
        <w:t>度增加</w:t>
      </w:r>
      <w:r>
        <w:rPr>
          <w:rFonts w:hint="eastAsia" w:ascii="仿宋_GB2312" w:hAnsi="Times New Roman" w:eastAsia="仿宋_GB2312" w:cs="DengXian-Regular"/>
          <w:sz w:val="32"/>
          <w:szCs w:val="32"/>
          <w:lang w:val="en-US" w:eastAsia="zh-CN"/>
        </w:rPr>
        <w:t>2.71</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5.72</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eastAsia="zh-CN"/>
        </w:rPr>
        <w:t>人员增加，移动通信补贴及公务交通补增加</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与年初预算46.35万元相比，增加了3.72万元，原因是人员增加，移动通信补贴和公务交通补贴追加预算所致。</w:t>
      </w:r>
    </w:p>
    <w:p w14:paraId="65D34603">
      <w:pPr>
        <w:keepNext/>
        <w:keepLines/>
        <w:pageBreakBefore w:val="0"/>
        <w:widowControl w:val="0"/>
        <w:kinsoku/>
        <w:wordWrap/>
        <w:overflowPunct/>
        <w:topLinePunct w:val="0"/>
        <w:autoSpaceDE/>
        <w:autoSpaceDN/>
        <w:bidi w:val="0"/>
        <w:adjustRightInd/>
        <w:snapToGrid w:val="0"/>
        <w:spacing w:line="580" w:lineRule="exact"/>
        <w:ind w:left="0" w:leftChars="0"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（二）政府采购情况</w:t>
      </w:r>
    </w:p>
    <w:p w14:paraId="421DD2B4">
      <w:pPr>
        <w:keepNext w:val="0"/>
        <w:keepLines w:val="0"/>
        <w:pageBreakBefore w:val="0"/>
        <w:widowControl w:val="0"/>
        <w:suppressLineNumbers w:val="0"/>
        <w:kinsoku/>
        <w:wordWrap/>
        <w:overflowPunct/>
        <w:topLinePunct w:val="0"/>
        <w:autoSpaceDE/>
        <w:autoSpaceDN/>
        <w:bidi w:val="0"/>
        <w:adjustRightInd/>
        <w:snapToGrid w:val="0"/>
        <w:spacing w:line="580" w:lineRule="exact"/>
        <w:ind w:left="0" w:leftChars="0" w:right="0" w:rightChars="0" w:firstLine="640" w:firstLineChars="200"/>
        <w:jc w:val="left"/>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度政府采购支出总额</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从采购类型来看，</w:t>
      </w:r>
      <w:r>
        <w:rPr>
          <w:rFonts w:ascii="仿宋_GB2312" w:hAnsi="仿宋_GB2312" w:eastAsia="仿宋_GB2312" w:cs="仿宋_GB2312"/>
          <w:color w:val="000000"/>
          <w:kern w:val="0"/>
          <w:sz w:val="32"/>
          <w:szCs w:val="32"/>
          <w:lang w:val="en-US" w:eastAsia="zh-CN" w:bidi="ar"/>
        </w:rPr>
        <w:t>政府采购货物支出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val="en-US" w:eastAsia="zh-CN"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val="en-US" w:eastAsia="zh-CN"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val="en-US" w:eastAsia="zh-CN"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val="en-US" w:eastAsia="zh-CN"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val="en-US" w:eastAsia="zh-CN"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val="en-US" w:eastAsia="zh-CN"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w:t>
      </w:r>
      <w:r>
        <w:rPr>
          <w:rFonts w:ascii="仿宋_GB2312" w:hAnsi="仿宋_GB2312" w:eastAsia="仿宋_GB2312" w:cs="仿宋_GB2312"/>
          <w:color w:val="000000"/>
          <w:kern w:val="0"/>
          <w:sz w:val="32"/>
          <w:szCs w:val="32"/>
          <w:lang w:val="en-US" w:eastAsia="zh-CN" w:bidi="ar"/>
        </w:rPr>
        <w:t>%。</w:t>
      </w:r>
    </w:p>
    <w:p w14:paraId="164049DB">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（三）国有资产占用情况</w:t>
      </w:r>
    </w:p>
    <w:p w14:paraId="1D9C777C">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截至</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12月31日，本部门共有车辆</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val="en-US" w:eastAsia="zh-CN"/>
        </w:rPr>
        <w:t>比上年增加1辆，主要是机构改革，物价局划拨入发改局一辆。</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主要领导干部用车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机要通信用车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应急保障用车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执法执勤用车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特种专业技术用车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离退休干部用车</w:t>
      </w:r>
      <w:r>
        <w:rPr>
          <w:rFonts w:hint="eastAsia" w:ascii="仿宋_GB2312" w:hAnsi="Times New Roman" w:eastAsia="仿宋_GB2312" w:cs="DengXian-Regular"/>
          <w:sz w:val="32"/>
          <w:szCs w:val="32"/>
          <w:lang w:val="en-US" w:eastAsia="zh-CN"/>
        </w:rPr>
        <w:t>0辆，</w:t>
      </w:r>
      <w:r>
        <w:rPr>
          <w:rFonts w:hint="eastAsia" w:ascii="仿宋_GB2312" w:hAnsi="Times New Roman" w:eastAsia="仿宋_GB2312" w:cs="DengXian-Regular"/>
          <w:sz w:val="32"/>
          <w:szCs w:val="32"/>
        </w:rPr>
        <w:t>其他用车</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辆，其他用车主要是</w:t>
      </w:r>
      <w:r>
        <w:rPr>
          <w:rFonts w:hint="eastAsia" w:ascii="仿宋_GB2312" w:hAnsi="Times New Roman" w:eastAsia="仿宋_GB2312" w:cs="DengXian-Regular"/>
          <w:sz w:val="32"/>
          <w:szCs w:val="32"/>
          <w:lang w:eastAsia="zh-CN"/>
        </w:rPr>
        <w:t>一般公务用车</w:t>
      </w:r>
      <w:r>
        <w:rPr>
          <w:rFonts w:hint="eastAsia" w:ascii="仿宋_GB2312" w:hAnsi="Times New Roman" w:eastAsia="仿宋_GB2312" w:cs="DengXian-Regular"/>
          <w:sz w:val="32"/>
          <w:szCs w:val="32"/>
        </w:rPr>
        <w:t>；</w:t>
      </w:r>
    </w:p>
    <w:p w14:paraId="46A22A12">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hint="eastAsia" w:ascii="楷体_GB2312" w:hAnsi="Times New Roman" w:eastAsia="楷体_GB2312" w:cs="DengXian-Bold"/>
          <w:b/>
          <w:bCs/>
          <w:kern w:val="2"/>
          <w:sz w:val="32"/>
          <w:szCs w:val="32"/>
          <w:lang w:val="en-US" w:eastAsia="zh-CN" w:bidi="ar-SA"/>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w:t>
      </w:r>
      <w:r>
        <w:rPr>
          <w:rFonts w:hint="eastAsia" w:ascii="仿宋_GB2312" w:hAnsi="Times New Roman" w:eastAsia="仿宋_GB2312" w:cs="DengXian-Regular"/>
          <w:sz w:val="32"/>
          <w:szCs w:val="32"/>
          <w:lang w:val="en-US" w:eastAsia="zh-CN"/>
        </w:rPr>
        <w:t>通用</w:t>
      </w:r>
      <w:r>
        <w:rPr>
          <w:rFonts w:hint="eastAsia" w:ascii="仿宋_GB2312" w:hAnsi="Times New Roman" w:eastAsia="仿宋_GB2312" w:cs="DengXian-Regular"/>
          <w:sz w:val="32"/>
          <w:szCs w:val="32"/>
        </w:rPr>
        <w:t>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lang w:eastAsia="zh-CN"/>
        </w:rPr>
        <w:t>套</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比上年减少1套，主要是资产达到报废年限，完成报废 ，</w:t>
      </w: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w:t>
      </w:r>
      <w:r>
        <w:rPr>
          <w:rFonts w:hint="eastAsia" w:ascii="仿宋_GB2312" w:hAnsi="Times New Roman" w:eastAsia="仿宋_GB2312" w:cs="DengXian-Regular"/>
          <w:sz w:val="32"/>
          <w:szCs w:val="32"/>
          <w:lang w:val="en-US" w:eastAsia="zh-CN"/>
        </w:rPr>
        <w:t>专用</w:t>
      </w:r>
      <w:r>
        <w:rPr>
          <w:rFonts w:hint="eastAsia" w:ascii="仿宋_GB2312" w:hAnsi="Times New Roman" w:eastAsia="仿宋_GB2312" w:cs="DengXian-Regular"/>
          <w:sz w:val="32"/>
          <w:szCs w:val="32"/>
        </w:rPr>
        <w:t>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套</w:t>
      </w:r>
      <w:r>
        <w:rPr>
          <w:rFonts w:hint="eastAsia" w:ascii="仿宋_GB2312" w:hAnsi="Times New Roman" w:eastAsia="仿宋_GB2312" w:cs="DengXian-Regular"/>
          <w:sz w:val="32"/>
          <w:szCs w:val="32"/>
          <w:lang w:val="en-US" w:eastAsia="zh-CN"/>
        </w:rPr>
        <w:t>比上年增加0套，</w:t>
      </w:r>
      <w:r>
        <w:rPr>
          <w:rFonts w:hint="eastAsia" w:ascii="仿宋_GB2312" w:eastAsia="仿宋_GB2312" w:cs="DengXian-Regular"/>
          <w:sz w:val="32"/>
          <w:szCs w:val="32"/>
          <w:lang w:eastAsia="zh-CN"/>
        </w:rPr>
        <w:t>较去年决算无变化</w:t>
      </w:r>
      <w:r>
        <w:rPr>
          <w:rFonts w:hint="eastAsia" w:ascii="仿宋_GB2312" w:hAnsi="Times New Roman" w:eastAsia="仿宋_GB2312" w:cs="DengXian-Regular"/>
          <w:sz w:val="32"/>
          <w:szCs w:val="32"/>
        </w:rPr>
        <w:t>。</w:t>
      </w:r>
    </w:p>
    <w:p w14:paraId="1F10D0EE">
      <w:pPr>
        <w:keepNext/>
        <w:keepLines/>
        <w:pageBreakBefore w:val="0"/>
        <w:widowControl w:val="0"/>
        <w:kinsoku/>
        <w:wordWrap/>
        <w:overflowPunct/>
        <w:topLinePunct w:val="0"/>
        <w:autoSpaceDE/>
        <w:autoSpaceDN/>
        <w:bidi w:val="0"/>
        <w:snapToGrid w:val="0"/>
        <w:spacing w:line="580" w:lineRule="exact"/>
        <w:ind w:right="0" w:rightChars="0" w:firstLine="643" w:firstLineChars="200"/>
        <w:jc w:val="both"/>
        <w:textAlignment w:val="auto"/>
        <w:outlineLvl w:val="2"/>
        <w:rPr>
          <w:rFonts w:ascii="楷体_GB2312" w:hAnsi="Times New Roman" w:eastAsia="楷体_GB2312" w:cs="DengXian-Bold"/>
          <w:b/>
          <w:bCs/>
          <w:kern w:val="2"/>
          <w:sz w:val="32"/>
          <w:szCs w:val="32"/>
          <w:lang w:val="en-US" w:eastAsia="zh-CN" w:bidi="ar-SA"/>
        </w:rPr>
      </w:pPr>
      <w:r>
        <w:rPr>
          <w:rFonts w:hint="eastAsia" w:ascii="楷体_GB2312" w:hAnsi="Times New Roman" w:eastAsia="楷体_GB2312" w:cs="DengXian-Bold"/>
          <w:b/>
          <w:bCs/>
          <w:kern w:val="2"/>
          <w:sz w:val="32"/>
          <w:szCs w:val="32"/>
          <w:lang w:val="en-US" w:eastAsia="zh-CN" w:bidi="ar-SA"/>
        </w:rPr>
        <w:t>（四）其他需要说明的情况</w:t>
      </w:r>
    </w:p>
    <w:p w14:paraId="16311C01">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1</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 xml:space="preserve"> </w:t>
      </w:r>
      <w:r>
        <w:rPr>
          <w:rFonts w:hint="eastAsia" w:ascii="仿宋_GB2312" w:hAnsi="Times New Roman" w:eastAsia="仿宋_GB2312" w:cs="DengXian-Regular"/>
          <w:sz w:val="32"/>
          <w:szCs w:val="32"/>
        </w:rPr>
        <w:t>本部门</w:t>
      </w:r>
      <w:r>
        <w:rPr>
          <w:rFonts w:hint="eastAsia" w:ascii="仿宋_GB2312" w:hAnsi="Times New Roman" w:eastAsia="仿宋_GB2312" w:cs="DengXian-Regular"/>
          <w:sz w:val="32"/>
          <w:szCs w:val="32"/>
          <w:lang w:eastAsia="zh-CN"/>
        </w:rPr>
        <w:t>2019年</w:t>
      </w:r>
      <w:r>
        <w:rPr>
          <w:rFonts w:hint="eastAsia" w:ascii="仿宋_GB2312" w:hAnsi="Times New Roman" w:eastAsia="仿宋_GB2312" w:cs="DengXian-Regular"/>
          <w:sz w:val="32"/>
          <w:szCs w:val="32"/>
        </w:rPr>
        <w:t>度</w:t>
      </w:r>
      <w:r>
        <w:rPr>
          <w:rFonts w:hint="eastAsia" w:ascii="仿宋_GB2312" w:eastAsia="仿宋_GB2312" w:cs="DengXian-Regular"/>
          <w:sz w:val="32"/>
          <w:szCs w:val="32"/>
        </w:rPr>
        <w:t>国有资本经营预算财政拨款</w:t>
      </w:r>
      <w:r>
        <w:rPr>
          <w:rFonts w:hint="eastAsia" w:ascii="仿宋_GB2312" w:hAnsi="Times New Roman" w:eastAsia="仿宋_GB2312" w:cs="DengXian-Regular"/>
          <w:sz w:val="32"/>
          <w:szCs w:val="32"/>
        </w:rPr>
        <w:t>无收支及结转结余情况，故国有资本经营预算财政拨款支出决算表以空表列示。</w:t>
      </w:r>
    </w:p>
    <w:p w14:paraId="569DED43">
      <w:pPr>
        <w:pageBreakBefore w:val="0"/>
        <w:widowControl w:val="0"/>
        <w:kinsoku/>
        <w:wordWrap/>
        <w:overflowPunct/>
        <w:topLinePunct w:val="0"/>
        <w:autoSpaceDE/>
        <w:autoSpaceDN/>
        <w:bidi w:val="0"/>
        <w:adjustRightInd w:val="0"/>
        <w:snapToGrid w:val="0"/>
        <w:spacing w:line="580" w:lineRule="exact"/>
        <w:ind w:right="0" w:righ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2</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 xml:space="preserve">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14:paraId="55B969E9">
      <w:pPr>
        <w:pageBreakBefore w:val="0"/>
        <w:widowControl/>
        <w:kinsoku/>
        <w:wordWrap/>
        <w:overflowPunct/>
        <w:topLinePunct w:val="0"/>
        <w:autoSpaceDE/>
        <w:autoSpaceDN/>
        <w:bidi w:val="0"/>
        <w:spacing w:after="0" w:line="580" w:lineRule="exact"/>
        <w:ind w:firstLine="883" w:firstLineChars="200"/>
        <w:jc w:val="left"/>
        <w:textAlignment w:val="auto"/>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rtlGutter w:val="0"/>
          <w:docGrid w:type="lines" w:linePitch="312" w:charSpace="0"/>
        </w:sectPr>
      </w:pPr>
    </w:p>
    <w:p w14:paraId="2F7A72FC">
      <w:pPr>
        <w:jc w:val="center"/>
        <w:rPr>
          <w:rFonts w:hint="default" w:ascii="黑体" w:hAnsi="黑体" w:eastAsia="黑体" w:cs="黑体"/>
          <w:sz w:val="56"/>
          <w:szCs w:val="72"/>
          <w:lang w:val="en-US" w:eastAsia="zh-CN"/>
        </w:rPr>
      </w:pPr>
    </w:p>
    <w:p w14:paraId="1F459EB1">
      <w:pPr>
        <w:jc w:val="center"/>
        <w:rPr>
          <w:rFonts w:hint="default" w:ascii="黑体" w:hAnsi="黑体" w:eastAsia="黑体" w:cs="黑体"/>
          <w:sz w:val="56"/>
          <w:szCs w:val="72"/>
          <w:lang w:val="en-US" w:eastAsia="zh-CN"/>
        </w:rPr>
        <w:sectPr>
          <w:type w:val="continuous"/>
          <w:pgSz w:w="11906" w:h="16838"/>
          <w:pgMar w:top="2041" w:right="1531" w:bottom="2041" w:left="1531" w:header="851" w:footer="992" w:gutter="0"/>
          <w:pgNumType w:fmt="numberInDash"/>
          <w:cols w:space="0" w:num="1"/>
          <w:titlePg/>
          <w:rtlGutter w:val="0"/>
          <w:docGrid w:type="lines" w:linePitch="312" w:charSpace="0"/>
        </w:sectPr>
      </w:pPr>
    </w:p>
    <w:p w14:paraId="0ED8509E">
      <w:pPr>
        <w:rPr>
          <w:rFonts w:hint="default" w:ascii="黑体" w:hAnsi="黑体" w:eastAsia="黑体" w:cs="黑体"/>
          <w:sz w:val="56"/>
          <w:szCs w:val="72"/>
          <w:lang w:val="en-US" w:eastAsia="zh-CN"/>
        </w:rPr>
        <w:sectPr>
          <w:headerReference r:id="rId13" w:type="first"/>
          <w:footerReference r:id="rId15" w:type="first"/>
          <w:headerReference r:id="rId12" w:type="default"/>
          <w:footerReference r:id="rId14" w:type="default"/>
          <w:type w:val="continuous"/>
          <w:pgSz w:w="11906" w:h="16838"/>
          <w:pgMar w:top="2041" w:right="1531" w:bottom="2041" w:left="1531" w:header="851" w:footer="992" w:gutter="0"/>
          <w:pgNumType w:fmt="numberInDash"/>
          <w:cols w:space="0" w:num="1"/>
          <w:titlePg/>
          <w:rtlGutter w:val="0"/>
          <w:docGrid w:type="lines" w:linePitch="312" w:charSpace="0"/>
        </w:sectPr>
      </w:pPr>
      <w:r>
        <w:rPr>
          <w:rFonts w:hint="default" w:ascii="黑体" w:hAnsi="黑体" w:eastAsia="黑体" w:cs="黑体"/>
          <w:sz w:val="56"/>
          <w:szCs w:val="72"/>
          <w:lang w:val="en-US" w:eastAsia="zh-CN"/>
        </w:rPr>
        <w:br w:type="page"/>
      </w:r>
    </w:p>
    <w:p w14:paraId="5D717E15">
      <w:pPr>
        <w:rPr>
          <w:rFonts w:hint="default" w:ascii="黑体" w:hAnsi="黑体" w:eastAsia="黑体" w:cs="黑体"/>
          <w:sz w:val="56"/>
          <w:szCs w:val="72"/>
          <w:lang w:val="en-US" w:eastAsia="zh-CN"/>
        </w:rPr>
      </w:pPr>
    </w:p>
    <w:p w14:paraId="6644FF3C">
      <w:pPr>
        <w:jc w:val="center"/>
        <w:rPr>
          <w:rFonts w:hint="default" w:ascii="黑体" w:hAnsi="黑体" w:eastAsia="黑体" w:cs="黑体"/>
          <w:sz w:val="56"/>
          <w:szCs w:val="72"/>
          <w:lang w:val="en-US" w:eastAsia="zh-CN"/>
        </w:rPr>
      </w:pPr>
    </w:p>
    <w:p w14:paraId="0BFC4555">
      <w:pPr>
        <w:jc w:val="center"/>
        <w:rPr>
          <w:rFonts w:hint="default" w:ascii="黑体" w:hAnsi="黑体" w:eastAsia="黑体" w:cs="黑体"/>
          <w:sz w:val="56"/>
          <w:szCs w:val="72"/>
          <w:lang w:val="en-US" w:eastAsia="zh-CN"/>
        </w:rPr>
      </w:pPr>
    </w:p>
    <w:p w14:paraId="6867473E">
      <w:pPr>
        <w:jc w:val="center"/>
        <w:rPr>
          <w:sz w:val="72"/>
        </w:rPr>
      </w:pPr>
      <w:r>
        <w:rPr>
          <w:sz w:val="72"/>
        </w:rPr>
        <mc:AlternateContent>
          <mc:Choice Requires="wps">
            <w:drawing>
              <wp:anchor distT="0" distB="0" distL="114300" distR="114300" simplePos="0" relativeHeight="251670528"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14:paraId="1622803A">
                            <w:pPr>
                              <w:widowControl/>
                              <w:jc w:val="center"/>
                              <w:rPr>
                                <w:rFonts w:hint="default"/>
                                <w:lang w:val="en-US"/>
                                <w14:textOutline w14:w="9525">
                                  <w14:solidFill>
                                    <w14:schemeClr w14:val="tx1">
                                      <w14:lumMod w14:val="50000"/>
                                      <w14:lumOff w14:val="50000"/>
                                    </w14:schemeClr>
                                  </w14:solidFill>
                                  <w14:round/>
                                </w14:textOutline>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45pt;margin-top:34.8pt;height:263.1pt;width:613.65pt;z-index:251670528;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G5vsn2wAAAAwBAAAPAAAAAAAAAAEAIAAAACIA&#10;AABkcnMvZG93bnJldi54bWxQSwECFAAUAAAACACHTuJA1sRlnngCAAAIBQAADgAAAAAAAAABACAA&#10;AAAqAQAAZHJzL2Uyb0RvYy54bWxQSwUGAAAAAAYABgBZAQAAFAYAAAAA&#10;">
                <v:fill type="pattern" on="t" color2="#FFFFFF [3212]" o:title="5%" focussize="0,0" r:id="rId23"/>
                <v:stroke weight="0.5pt" color="#FFD966 [3204]" joinstyle="round"/>
                <v:imagedata o:title=""/>
                <o:lock v:ext="edit" aspectratio="f"/>
                <v:textbox>
                  <w:txbxContent>
                    <w:p w14:paraId="1622803A">
                      <w:pPr>
                        <w:widowControl/>
                        <w:jc w:val="center"/>
                        <w:rPr>
                          <w:rFonts w:hint="default"/>
                          <w:lang w:val="en-US"/>
                          <w14:textOutline w14:w="9525">
                            <w14:solidFill>
                              <w14:schemeClr w14:val="tx1">
                                <w14:lumMod w14:val="50000"/>
                                <w14:lumOff w14:val="50000"/>
                              </w14:schemeClr>
                            </w14:solidFill>
                            <w14:round/>
                          </w14:textOutline>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第三部分 相关名词解释</w:t>
                      </w:r>
                    </w:p>
                  </w:txbxContent>
                </v:textbox>
              </v:shape>
            </w:pict>
          </mc:Fallback>
        </mc:AlternateContent>
      </w:r>
    </w:p>
    <w:p w14:paraId="42006618">
      <w:pPr>
        <w:bidi w:val="0"/>
        <w:rPr>
          <w:rFonts w:hint="default" w:asciiTheme="minorHAnsi" w:hAnsiTheme="minorHAnsi" w:eastAsiaTheme="minorEastAsia" w:cstheme="minorBidi"/>
          <w:kern w:val="2"/>
          <w:sz w:val="21"/>
          <w:szCs w:val="22"/>
          <w:lang w:val="en-US" w:eastAsia="zh-CN" w:bidi="ar-SA"/>
        </w:rPr>
      </w:pPr>
    </w:p>
    <w:p w14:paraId="640F3FAA">
      <w:pPr>
        <w:bidi w:val="0"/>
        <w:rPr>
          <w:rFonts w:hint="default"/>
          <w:lang w:val="en-US" w:eastAsia="zh-CN"/>
        </w:rPr>
      </w:pPr>
    </w:p>
    <w:p w14:paraId="46609F65">
      <w:pPr>
        <w:bidi w:val="0"/>
        <w:rPr>
          <w:rFonts w:hint="default"/>
          <w:lang w:val="en-US" w:eastAsia="zh-CN"/>
        </w:rPr>
      </w:pPr>
    </w:p>
    <w:p w14:paraId="69CC2201">
      <w:pPr>
        <w:bidi w:val="0"/>
        <w:rPr>
          <w:rFonts w:hint="default"/>
          <w:lang w:val="en-US" w:eastAsia="zh-CN"/>
        </w:rPr>
      </w:pPr>
    </w:p>
    <w:p w14:paraId="176C8C96">
      <w:pPr>
        <w:bidi w:val="0"/>
        <w:rPr>
          <w:rFonts w:hint="default"/>
          <w:lang w:val="en-US" w:eastAsia="zh-CN"/>
        </w:rPr>
      </w:pPr>
    </w:p>
    <w:p w14:paraId="5BDFCA6D">
      <w:pPr>
        <w:bidi w:val="0"/>
        <w:rPr>
          <w:rFonts w:hint="default"/>
          <w:lang w:val="en-US" w:eastAsia="zh-CN"/>
        </w:rPr>
      </w:pPr>
    </w:p>
    <w:p w14:paraId="7156BA50">
      <w:pPr>
        <w:bidi w:val="0"/>
        <w:rPr>
          <w:rFonts w:hint="default"/>
          <w:lang w:val="en-US" w:eastAsia="zh-CN"/>
        </w:rPr>
      </w:pPr>
    </w:p>
    <w:p w14:paraId="0EC4E888">
      <w:pPr>
        <w:bidi w:val="0"/>
        <w:rPr>
          <w:rFonts w:hint="default"/>
          <w:lang w:val="en-US" w:eastAsia="zh-CN"/>
        </w:rPr>
      </w:pPr>
    </w:p>
    <w:p w14:paraId="54B06F8B">
      <w:pPr>
        <w:bidi w:val="0"/>
        <w:rPr>
          <w:rFonts w:hint="default"/>
          <w:lang w:val="en-US" w:eastAsia="zh-CN"/>
        </w:rPr>
      </w:pPr>
    </w:p>
    <w:p w14:paraId="0E9F67FD">
      <w:pPr>
        <w:bidi w:val="0"/>
        <w:rPr>
          <w:rFonts w:hint="default"/>
          <w:lang w:val="en-US" w:eastAsia="zh-CN"/>
        </w:rPr>
      </w:pPr>
    </w:p>
    <w:p w14:paraId="688FA7D8">
      <w:pPr>
        <w:bidi w:val="0"/>
        <w:rPr>
          <w:rFonts w:hint="default"/>
          <w:lang w:val="en-US" w:eastAsia="zh-CN"/>
        </w:rPr>
      </w:pPr>
    </w:p>
    <w:p w14:paraId="0DBA603E">
      <w:pPr>
        <w:bidi w:val="0"/>
        <w:rPr>
          <w:rFonts w:hint="default"/>
          <w:lang w:val="en-US" w:eastAsia="zh-CN"/>
        </w:rPr>
      </w:pPr>
    </w:p>
    <w:p w14:paraId="08E8657E">
      <w:pPr>
        <w:bidi w:val="0"/>
        <w:rPr>
          <w:rFonts w:hint="default"/>
          <w:lang w:val="en-US" w:eastAsia="zh-CN"/>
        </w:rPr>
      </w:pPr>
    </w:p>
    <w:p w14:paraId="7A16AAAF">
      <w:pPr>
        <w:tabs>
          <w:tab w:val="left" w:pos="886"/>
        </w:tabs>
        <w:bidi w:val="0"/>
        <w:jc w:val="left"/>
        <w:rPr>
          <w:rFonts w:hint="eastAsia"/>
          <w:lang w:val="en-US" w:eastAsia="zh-CN"/>
        </w:rPr>
        <w:sectPr>
          <w:headerReference r:id="rId16" w:type="first"/>
          <w:pgSz w:w="11906" w:h="16838"/>
          <w:pgMar w:top="2041" w:right="1531" w:bottom="2041" w:left="1531" w:header="851" w:footer="992" w:gutter="0"/>
          <w:pgNumType w:fmt="numberInDash"/>
          <w:cols w:space="0" w:num="1"/>
          <w:titlePg/>
          <w:rtlGutter w:val="0"/>
          <w:docGrid w:type="lines" w:linePitch="312" w:charSpace="0"/>
        </w:sectPr>
      </w:pPr>
    </w:p>
    <w:p w14:paraId="790D5404">
      <w:pPr>
        <w:rPr>
          <w:rFonts w:hint="eastAsia" w:ascii="仿宋_GB2312" w:hAnsi="宋体" w:eastAsia="仿宋_GB2312" w:cs="ArialUnicodeMS"/>
          <w:sz w:val="32"/>
          <w:szCs w:val="32"/>
          <w:highlight w:val="yellow"/>
        </w:rPr>
      </w:pPr>
      <w:r>
        <w:rPr>
          <w:rFonts w:hint="eastAsia" w:ascii="仿宋_GB2312" w:hAnsi="宋体" w:eastAsia="仿宋_GB2312" w:cs="ArialUnicodeMS"/>
          <w:sz w:val="32"/>
          <w:szCs w:val="32"/>
          <w:highlight w:val="yellow"/>
        </w:rPr>
        <w:br w:type="page"/>
      </w:r>
    </w:p>
    <w:p w14:paraId="17ED1015">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14:paraId="3EB245E1">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14:paraId="4E506F8D">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14:paraId="026B46AD">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11A79676">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14:paraId="1E2AC61E">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14:paraId="40DABB00">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14:paraId="00BB54C6">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14:paraId="65D652AF">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14:paraId="5E59A267">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B82EB8F">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20163AB7">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3" w:firstLineChars="200"/>
        <w:jc w:val="both"/>
        <w:textAlignment w:val="auto"/>
        <w:outlineLvl w:val="9"/>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w:t>
      </w:r>
      <w:r>
        <w:rPr>
          <w:rFonts w:hint="eastAsia" w:ascii="仿宋_GB2312" w:hAnsi="宋体" w:eastAsia="仿宋_GB2312" w:cs="Times New Roman"/>
          <w:color w:val="000000"/>
          <w:kern w:val="0"/>
          <w:sz w:val="32"/>
          <w:szCs w:val="32"/>
          <w:lang w:eastAsia="zh-CN"/>
        </w:rPr>
        <w:t>、牌照费</w:t>
      </w:r>
      <w:r>
        <w:rPr>
          <w:rFonts w:hint="eastAsia" w:ascii="仿宋_GB2312" w:hAnsi="宋体" w:eastAsia="仿宋_GB2312" w:cs="Times New Roman"/>
          <w:color w:val="000000"/>
          <w:kern w:val="0"/>
          <w:sz w:val="32"/>
          <w:szCs w:val="32"/>
        </w:rPr>
        <w:t>）及</w:t>
      </w:r>
      <w:r>
        <w:rPr>
          <w:rFonts w:hint="eastAsia" w:ascii="仿宋_GB2312" w:hAnsi="宋体" w:eastAsia="仿宋_GB2312" w:cs="Times New Roman"/>
          <w:color w:val="000000"/>
          <w:kern w:val="0"/>
          <w:sz w:val="32"/>
          <w:szCs w:val="32"/>
          <w:lang w:eastAsia="zh-CN"/>
        </w:rPr>
        <w:t>按规定保留的公务用车燃料费、维修费、过桥过路费、保险费、安全奖励费用等支出</w:t>
      </w:r>
      <w:r>
        <w:rPr>
          <w:rFonts w:hint="eastAsia" w:ascii="仿宋_GB2312" w:hAnsi="宋体" w:eastAsia="仿宋_GB2312" w:cs="Times New Roman"/>
          <w:color w:val="000000"/>
          <w:kern w:val="0"/>
          <w:sz w:val="32"/>
          <w:szCs w:val="32"/>
        </w:rPr>
        <w:t>；公务接待费反映单位按规定开支的各类公务接待（含外宾接待）支出。</w:t>
      </w:r>
    </w:p>
    <w:p w14:paraId="43DD64A4">
      <w:pPr>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643" w:firstLineChars="200"/>
        <w:jc w:val="both"/>
        <w:textAlignment w:val="auto"/>
        <w:outlineLvl w:val="9"/>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w:t>
      </w:r>
      <w:r>
        <w:rPr>
          <w:rFonts w:hint="eastAsia" w:ascii="仿宋_GB2312" w:hAnsi="宋体" w:eastAsia="仿宋_GB2312" w:cs="Times New Roman"/>
          <w:color w:val="000000"/>
          <w:kern w:val="0"/>
          <w:sz w:val="32"/>
          <w:szCs w:val="32"/>
          <w:lang w:eastAsia="zh-CN"/>
        </w:rPr>
        <w:t>公务交通补贴、租车费用、出租车费用，飞机、船舶等燃料费、维修费、保险费</w:t>
      </w:r>
      <w:r>
        <w:rPr>
          <w:rFonts w:hint="eastAsia" w:ascii="仿宋_GB2312" w:hAnsi="宋体" w:eastAsia="仿宋_GB2312" w:cs="Times New Roman"/>
          <w:color w:val="000000"/>
          <w:kern w:val="0"/>
          <w:sz w:val="32"/>
          <w:szCs w:val="32"/>
        </w:rPr>
        <w:t>等。</w:t>
      </w:r>
    </w:p>
    <w:p w14:paraId="221452CB">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b w:val="0"/>
          <w:bCs w:val="0"/>
          <w:color w:val="000000"/>
          <w:kern w:val="0"/>
          <w:sz w:val="32"/>
          <w:szCs w:val="32"/>
        </w:rPr>
        <w:t>填</w:t>
      </w:r>
      <w:r>
        <w:rPr>
          <w:rFonts w:hint="eastAsia" w:ascii="仿宋_GB2312" w:hAnsi="宋体" w:eastAsia="仿宋_GB2312" w:cs="Times New Roman"/>
          <w:color w:val="000000"/>
          <w:kern w:val="0"/>
          <w:sz w:val="32"/>
          <w:szCs w:val="32"/>
        </w:rPr>
        <w:t>列单位公务用车车辆购置支出（含车辆购置税</w:t>
      </w:r>
      <w:r>
        <w:rPr>
          <w:rFonts w:hint="eastAsia" w:ascii="仿宋_GB2312" w:hAnsi="宋体" w:eastAsia="仿宋_GB2312" w:cs="Times New Roman"/>
          <w:color w:val="000000"/>
          <w:kern w:val="0"/>
          <w:sz w:val="32"/>
          <w:szCs w:val="32"/>
          <w:lang w:eastAsia="zh-CN"/>
        </w:rPr>
        <w:t>、牌照费</w:t>
      </w:r>
      <w:r>
        <w:rPr>
          <w:rFonts w:hint="eastAsia" w:ascii="仿宋_GB2312" w:hAnsi="宋体" w:eastAsia="仿宋_GB2312" w:cs="Times New Roman"/>
          <w:color w:val="000000"/>
          <w:kern w:val="0"/>
          <w:sz w:val="32"/>
          <w:szCs w:val="32"/>
        </w:rPr>
        <w:t>）。</w:t>
      </w:r>
    </w:p>
    <w:p w14:paraId="5FD75201">
      <w:pPr>
        <w:widowControl/>
        <w:spacing w:after="0"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w:t>
      </w:r>
      <w:r>
        <w:rPr>
          <w:rFonts w:hint="eastAsia" w:ascii="仿宋_GB2312" w:hAnsi="宋体" w:eastAsia="仿宋_GB2312" w:cs="Times New Roman"/>
          <w:color w:val="000000"/>
          <w:kern w:val="0"/>
          <w:sz w:val="32"/>
          <w:szCs w:val="32"/>
          <w:lang w:eastAsia="zh-CN"/>
        </w:rPr>
        <w:t>等</w:t>
      </w:r>
      <w:r>
        <w:rPr>
          <w:rFonts w:hint="eastAsia" w:ascii="仿宋_GB2312" w:hAnsi="宋体" w:eastAsia="仿宋_GB2312" w:cs="Times New Roman"/>
          <w:color w:val="000000"/>
          <w:kern w:val="0"/>
          <w:sz w:val="32"/>
          <w:szCs w:val="32"/>
        </w:rPr>
        <w:t>）购置支出（含车辆购置税</w:t>
      </w:r>
      <w:r>
        <w:rPr>
          <w:rFonts w:hint="eastAsia" w:ascii="仿宋_GB2312" w:hAnsi="宋体" w:eastAsia="仿宋_GB2312" w:cs="Times New Roman"/>
          <w:color w:val="000000"/>
          <w:kern w:val="0"/>
          <w:sz w:val="32"/>
          <w:szCs w:val="32"/>
          <w:lang w:eastAsia="zh-CN"/>
        </w:rPr>
        <w:t>、牌照费</w:t>
      </w:r>
      <w:r>
        <w:rPr>
          <w:rFonts w:hint="eastAsia" w:ascii="仿宋_GB2312" w:hAnsi="宋体" w:eastAsia="仿宋_GB2312" w:cs="Times New Roman"/>
          <w:color w:val="000000"/>
          <w:kern w:val="0"/>
          <w:sz w:val="32"/>
          <w:szCs w:val="32"/>
        </w:rPr>
        <w:t>）。</w:t>
      </w:r>
    </w:p>
    <w:p w14:paraId="7959670C">
      <w:pPr>
        <w:widowControl/>
        <w:spacing w:after="0" w:line="560" w:lineRule="exact"/>
        <w:ind w:firstLine="643" w:firstLineChars="200"/>
        <w:rPr>
          <w:rFonts w:hint="eastAsia"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15832F1">
      <w:pPr>
        <w:tabs>
          <w:tab w:val="left" w:pos="235"/>
        </w:tabs>
        <w:bidi w:val="0"/>
        <w:jc w:val="left"/>
        <w:rPr>
          <w:rFonts w:hint="eastAsia" w:ascii="仿宋_GB2312" w:hAnsi="Cambria" w:eastAsia="仿宋_GB2312" w:cs="ArialUnicodeMS"/>
          <w:kern w:val="0"/>
          <w:sz w:val="32"/>
          <w:szCs w:val="32"/>
          <w:vertAlign w:val="baseline"/>
          <w:lang w:val="en-US" w:eastAsia="zh-CN"/>
        </w:rPr>
      </w:pPr>
      <w:r>
        <w:rPr>
          <w:rFonts w:hint="eastAsia" w:ascii="仿宋_GB2312" w:hAnsi="宋体" w:eastAsia="仿宋_GB2312" w:cs="Times New Roman"/>
          <w:b/>
          <w:bCs/>
          <w:color w:val="000000"/>
          <w:kern w:val="0"/>
          <w:sz w:val="32"/>
          <w:szCs w:val="32"/>
          <w:lang w:val="en-US" w:eastAsia="zh-CN"/>
        </w:rPr>
        <w:t>（十七）经费形式:</w:t>
      </w:r>
      <w:r>
        <w:rPr>
          <w:rFonts w:hint="eastAsia" w:ascii="仿宋_GB2312" w:hAnsi="宋体" w:eastAsia="仿宋_GB2312" w:cs="Times New Roman"/>
          <w:b w:val="0"/>
          <w:bCs w:val="0"/>
          <w:color w:val="000000"/>
          <w:kern w:val="0"/>
          <w:sz w:val="32"/>
          <w:szCs w:val="32"/>
          <w:lang w:val="en-US" w:eastAsia="zh-CN"/>
        </w:rPr>
        <w:t>按</w:t>
      </w:r>
      <w:r>
        <w:rPr>
          <w:rFonts w:hint="eastAsia" w:ascii="仿宋_GB2312" w:hAnsi="宋体" w:eastAsia="仿宋_GB2312" w:cs="Times New Roman"/>
          <w:color w:val="000000"/>
          <w:kern w:val="0"/>
          <w:sz w:val="32"/>
          <w:szCs w:val="32"/>
          <w:lang w:val="en-US" w:eastAsia="zh-CN"/>
        </w:rPr>
        <w:t>照经费来源，</w:t>
      </w:r>
      <w:r>
        <w:rPr>
          <w:rFonts w:hint="eastAsia" w:ascii="仿宋_GB2312" w:hAnsi="Cambria" w:eastAsia="仿宋_GB2312" w:cs="ArialUnicodeMS"/>
          <w:kern w:val="0"/>
          <w:sz w:val="32"/>
          <w:szCs w:val="32"/>
          <w:vertAlign w:val="baseline"/>
          <w:lang w:val="en-US" w:eastAsia="zh-CN"/>
        </w:rPr>
        <w:t>可分为财政拨款、财政性资金基本保证、财政性资金定额或定项补助、财政性资金零补助四类。</w:t>
      </w:r>
    </w:p>
    <w:p w14:paraId="32766D94">
      <w:pPr>
        <w:bidi w:val="0"/>
        <w:rPr>
          <w:rFonts w:hint="eastAsia" w:asciiTheme="minorHAnsi" w:hAnsiTheme="minorHAnsi" w:eastAsiaTheme="minorEastAsia" w:cstheme="minorBidi"/>
          <w:kern w:val="2"/>
          <w:sz w:val="21"/>
          <w:szCs w:val="22"/>
          <w:lang w:val="en-US" w:eastAsia="zh-CN" w:bidi="ar-SA"/>
        </w:rPr>
      </w:pPr>
    </w:p>
    <w:p w14:paraId="0B80A785">
      <w:pPr>
        <w:bidi w:val="0"/>
        <w:rPr>
          <w:rFonts w:hint="eastAsia"/>
          <w:lang w:val="en-US" w:eastAsia="zh-CN"/>
        </w:rPr>
      </w:pPr>
    </w:p>
    <w:p w14:paraId="47EA1018">
      <w:pPr>
        <w:bidi w:val="0"/>
        <w:rPr>
          <w:rFonts w:hint="eastAsia"/>
          <w:lang w:val="en-US" w:eastAsia="zh-CN"/>
        </w:rPr>
      </w:pPr>
    </w:p>
    <w:p w14:paraId="2C2B9142">
      <w:pPr>
        <w:bidi w:val="0"/>
        <w:rPr>
          <w:rFonts w:hint="eastAsia"/>
          <w:lang w:val="en-US" w:eastAsia="zh-CN"/>
        </w:rPr>
      </w:pPr>
    </w:p>
    <w:p w14:paraId="5A86E892">
      <w:pPr>
        <w:bidi w:val="0"/>
        <w:rPr>
          <w:rFonts w:hint="eastAsia"/>
          <w:lang w:val="en-US" w:eastAsia="zh-CN"/>
        </w:rPr>
      </w:pPr>
    </w:p>
    <w:p w14:paraId="0F6A43F0">
      <w:pPr>
        <w:bidi w:val="0"/>
        <w:rPr>
          <w:rFonts w:hint="eastAsia"/>
          <w:lang w:val="en-US" w:eastAsia="zh-CN"/>
        </w:rPr>
      </w:pPr>
    </w:p>
    <w:p w14:paraId="60005396">
      <w:pPr>
        <w:bidi w:val="0"/>
        <w:rPr>
          <w:rFonts w:hint="eastAsia"/>
          <w:lang w:val="en-US" w:eastAsia="zh-CN"/>
        </w:rPr>
      </w:pPr>
    </w:p>
    <w:p w14:paraId="0CEE30D2">
      <w:pPr>
        <w:bidi w:val="0"/>
        <w:jc w:val="left"/>
        <w:rPr>
          <w:rFonts w:hint="eastAsia"/>
          <w:lang w:val="en-US" w:eastAsia="zh-CN"/>
        </w:rPr>
        <w:sectPr>
          <w:headerReference r:id="rId17" w:type="default"/>
          <w:type w:val="continuous"/>
          <w:pgSz w:w="11906" w:h="16838"/>
          <w:pgMar w:top="2098" w:right="1474" w:bottom="1985" w:left="1588" w:header="851" w:footer="992" w:gutter="0"/>
          <w:pgNumType w:fmt="numberInDash"/>
          <w:cols w:space="425" w:num="1"/>
          <w:docGrid w:type="lines" w:linePitch="312" w:charSpace="0"/>
        </w:sectPr>
      </w:pPr>
    </w:p>
    <w:p w14:paraId="457E9A8B">
      <w:pPr>
        <w:tabs>
          <w:tab w:val="left" w:pos="235"/>
        </w:tabs>
        <w:bidi w:val="0"/>
        <w:jc w:val="left"/>
        <w:rPr>
          <w:rFonts w:hint="eastAsia"/>
          <w:lang w:val="en-US" w:eastAsia="zh-CN"/>
        </w:rPr>
        <w:sectPr>
          <w:pgSz w:w="11906" w:h="16838"/>
          <w:pgMar w:top="2098" w:right="1474" w:bottom="1985" w:left="1588" w:header="851" w:footer="992" w:gutter="0"/>
          <w:pgNumType w:fmt="numberInDash"/>
          <w:cols w:space="425" w:num="1"/>
          <w:docGrid w:type="lines" w:linePitch="312" w:charSpace="0"/>
        </w:sectPr>
      </w:pPr>
      <w:r>
        <w:rPr>
          <w:sz w:val="72"/>
        </w:rPr>
        <mc:AlternateContent>
          <mc:Choice Requires="wps">
            <w:drawing>
              <wp:anchor distT="0" distB="0" distL="114300" distR="114300" simplePos="0" relativeHeight="251660288" behindDoc="0"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229" name="文本框 229"/>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chemeClr val="bg1"/>
                          </a:bgClr>
                        </a:pattFill>
                        <a:ln w="6350">
                          <a:solidFill>
                            <a:srgbClr val="FFD966"/>
                          </a:solidFill>
                        </a:ln>
                      </wps:spPr>
                      <wps:style>
                        <a:lnRef idx="0">
                          <a:schemeClr val="accent1"/>
                        </a:lnRef>
                        <a:fillRef idx="0">
                          <a:schemeClr val="accent1"/>
                        </a:fillRef>
                        <a:effectRef idx="0">
                          <a:schemeClr val="accent1"/>
                        </a:effectRef>
                        <a:fontRef idx="minor">
                          <a:schemeClr val="dk1"/>
                        </a:fontRef>
                      </wps:style>
                      <wps:txbx>
                        <w:txbxContent>
                          <w:p w14:paraId="1879647B">
                            <w:pPr>
                              <w:widowControl/>
                              <w:jc w:val="cente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第四部分 </w:t>
                            </w:r>
                          </w:p>
                          <w:p w14:paraId="2083C23D">
                            <w:pPr>
                              <w:widowControl/>
                              <w:jc w:val="center"/>
                              <w:rPr>
                                <w:rFonts w:hint="default"/>
                                <w:lang w:val="en-US"/>
                                <w14:textOutline w14:w="9525">
                                  <w14:solidFill>
                                    <w14:schemeClr w14:val="tx1">
                                      <w14:lumMod w14:val="50000"/>
                                      <w14:lumOff w14:val="50000"/>
                                    </w14:schemeClr>
                                  </w14:solidFill>
                                  <w14:round/>
                                </w14:textOutline>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2019年度部门决算报表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05pt;margin-top:135.85pt;height:263.1pt;width:613.65pt;z-index:251660288;v-text-anchor:middle;mso-width-relative:page;mso-height-relative:page;" fillcolor="#FFD966" filled="t" stroked="t" coordsize="21600,21600" o:gfxdata="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hqDitwAAAANAQAADwAAAAAAAAABACAAAAAi&#10;AAAAZHJzL2Rvd25yZXYueG1sUEsBAhQAFAAAAAgAh07iQMn1XHp4AgAACAUAAA4AAAAAAAAAAQAg&#10;AAAAKwEAAGRycy9lMm9Eb2MueG1sUEsFBgAAAAAGAAYAWQEAABUGAAAAAA==&#10;">
                <v:fill type="pattern" on="t" color2="#FFFFFF [3212]" o:title="5%" focussize="0,0" r:id="rId23"/>
                <v:stroke weight="0.5pt" color="#FFD966 [3204]" joinstyle="round"/>
                <v:imagedata o:title=""/>
                <o:lock v:ext="edit" aspectratio="f"/>
                <v:textbox>
                  <w:txbxContent>
                    <w:p w14:paraId="1879647B">
                      <w:pPr>
                        <w:widowControl/>
                        <w:jc w:val="cente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第四部分 </w:t>
                      </w:r>
                    </w:p>
                    <w:p w14:paraId="2083C23D">
                      <w:pPr>
                        <w:widowControl/>
                        <w:jc w:val="center"/>
                        <w:rPr>
                          <w:rFonts w:hint="default"/>
                          <w:lang w:val="en-US"/>
                          <w14:textOutline w14:w="9525">
                            <w14:solidFill>
                              <w14:schemeClr w14:val="tx1">
                                <w14:lumMod w14:val="50000"/>
                                <w14:lumOff w14:val="50000"/>
                              </w14:schemeClr>
                            </w14:solidFill>
                            <w14:round/>
                          </w14:textOutline>
                        </w:rPr>
                      </w:pPr>
                      <w:r>
                        <w:rPr>
                          <w:rFonts w:hint="eastAsia" w:ascii="黑体" w:hAnsi="黑体" w:eastAsia="黑体" w:cs="黑体"/>
                          <w:color w:val="000000" w:themeColor="text1"/>
                          <w:sz w:val="90"/>
                          <w:szCs w:val="90"/>
                          <w:lang w:val="en-US"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2019年度部门决算报表</w:t>
                      </w:r>
                    </w:p>
                  </w:txbxContent>
                </v:textbox>
              </v:shape>
            </w:pict>
          </mc:Fallback>
        </mc:AlternateContent>
      </w:r>
    </w:p>
    <w:tbl>
      <w:tblPr>
        <w:tblStyle w:val="6"/>
        <w:tblpPr w:leftFromText="180" w:rightFromText="180" w:vertAnchor="text" w:horzAnchor="page" w:tblpXSpec="center" w:tblpY="31"/>
        <w:tblOverlap w:val="never"/>
        <w:tblW w:w="9517" w:type="dxa"/>
        <w:jc w:val="center"/>
        <w:shd w:val="clear" w:color="auto" w:fill="auto"/>
        <w:tblLayout w:type="fixed"/>
        <w:tblCellMar>
          <w:top w:w="0" w:type="dxa"/>
          <w:left w:w="0" w:type="dxa"/>
          <w:bottom w:w="0" w:type="dxa"/>
          <w:right w:w="0" w:type="dxa"/>
        </w:tblCellMar>
      </w:tblPr>
      <w:tblGrid>
        <w:gridCol w:w="3236"/>
        <w:gridCol w:w="731"/>
        <w:gridCol w:w="691"/>
        <w:gridCol w:w="3474"/>
        <w:gridCol w:w="541"/>
        <w:gridCol w:w="844"/>
      </w:tblGrid>
      <w:tr w14:paraId="092C2A63">
        <w:tblPrEx>
          <w:shd w:val="clear" w:color="auto" w:fill="auto"/>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bottom"/>
          </w:tcPr>
          <w:p w14:paraId="3EF0E1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收入支出决算总表</w:t>
            </w:r>
          </w:p>
        </w:tc>
      </w:tr>
      <w:tr w14:paraId="0FBA508C">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14:paraId="25FF3302">
            <w:pPr>
              <w:rPr>
                <w:rFonts w:hint="eastAsia" w:ascii="Arial" w:hAnsi="Arial" w:cs="Arial"/>
                <w:i w:val="0"/>
                <w:color w:val="000000"/>
                <w:sz w:val="20"/>
                <w:szCs w:val="20"/>
                <w:u w:val="none"/>
              </w:rPr>
            </w:pPr>
          </w:p>
        </w:tc>
        <w:tc>
          <w:tcPr>
            <w:tcW w:w="731" w:type="dxa"/>
            <w:tcBorders>
              <w:top w:val="nil"/>
              <w:left w:val="nil"/>
              <w:bottom w:val="nil"/>
              <w:right w:val="nil"/>
            </w:tcBorders>
            <w:shd w:val="clear" w:color="auto" w:fill="auto"/>
            <w:noWrap/>
            <w:tcMar>
              <w:top w:w="15" w:type="dxa"/>
              <w:left w:w="15" w:type="dxa"/>
              <w:right w:w="15" w:type="dxa"/>
            </w:tcMar>
            <w:vAlign w:val="bottom"/>
          </w:tcPr>
          <w:p w14:paraId="512402B3">
            <w:pPr>
              <w:rPr>
                <w:rFonts w:hint="default" w:ascii="Arial" w:hAnsi="Arial" w:cs="Arial"/>
                <w:i w:val="0"/>
                <w:color w:val="000000"/>
                <w:sz w:val="20"/>
                <w:szCs w:val="20"/>
                <w:u w:val="none"/>
              </w:rPr>
            </w:pPr>
          </w:p>
        </w:tc>
        <w:tc>
          <w:tcPr>
            <w:tcW w:w="691" w:type="dxa"/>
            <w:tcBorders>
              <w:top w:val="nil"/>
              <w:left w:val="nil"/>
              <w:bottom w:val="nil"/>
              <w:right w:val="nil"/>
            </w:tcBorders>
            <w:shd w:val="clear" w:color="auto" w:fill="auto"/>
            <w:noWrap/>
            <w:tcMar>
              <w:top w:w="15" w:type="dxa"/>
              <w:left w:w="15" w:type="dxa"/>
              <w:right w:w="15" w:type="dxa"/>
            </w:tcMar>
            <w:vAlign w:val="bottom"/>
          </w:tcPr>
          <w:p w14:paraId="05545FED">
            <w:pPr>
              <w:rPr>
                <w:rFonts w:hint="default" w:ascii="Arial" w:hAnsi="Arial" w:cs="Arial"/>
                <w:i w:val="0"/>
                <w:color w:val="000000"/>
                <w:sz w:val="20"/>
                <w:szCs w:val="20"/>
                <w:u w:val="none"/>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14:paraId="26A1A49D">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公开01表</w:t>
            </w:r>
          </w:p>
        </w:tc>
      </w:tr>
      <w:tr w14:paraId="7C2C9283">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14:paraId="17024F52">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部门：唐山市曹妃甸区发展和改革局</w:t>
            </w:r>
          </w:p>
        </w:tc>
        <w:tc>
          <w:tcPr>
            <w:tcW w:w="731" w:type="dxa"/>
            <w:tcBorders>
              <w:top w:val="nil"/>
              <w:left w:val="nil"/>
              <w:bottom w:val="nil"/>
              <w:right w:val="nil"/>
            </w:tcBorders>
            <w:shd w:val="clear" w:color="auto" w:fill="auto"/>
            <w:noWrap/>
            <w:tcMar>
              <w:top w:w="15" w:type="dxa"/>
              <w:left w:w="15" w:type="dxa"/>
              <w:right w:w="15" w:type="dxa"/>
            </w:tcMar>
            <w:vAlign w:val="bottom"/>
          </w:tcPr>
          <w:p w14:paraId="25DD54BF">
            <w:pPr>
              <w:rPr>
                <w:rFonts w:hint="default" w:ascii="Arial" w:hAnsi="Arial" w:cs="Arial"/>
                <w:i w:val="0"/>
                <w:color w:val="000000"/>
                <w:sz w:val="20"/>
                <w:szCs w:val="20"/>
                <w:u w:val="none"/>
              </w:rPr>
            </w:pPr>
          </w:p>
        </w:tc>
        <w:tc>
          <w:tcPr>
            <w:tcW w:w="691" w:type="dxa"/>
            <w:tcBorders>
              <w:top w:val="nil"/>
              <w:left w:val="nil"/>
              <w:bottom w:val="nil"/>
              <w:right w:val="nil"/>
            </w:tcBorders>
            <w:shd w:val="clear" w:color="auto" w:fill="auto"/>
            <w:noWrap/>
            <w:tcMar>
              <w:top w:w="15" w:type="dxa"/>
              <w:left w:w="15" w:type="dxa"/>
              <w:right w:w="15" w:type="dxa"/>
            </w:tcMar>
            <w:vAlign w:val="bottom"/>
          </w:tcPr>
          <w:p w14:paraId="482E0D41">
            <w:pPr>
              <w:rPr>
                <w:rFonts w:hint="default" w:ascii="Arial" w:hAnsi="Arial" w:cs="Arial"/>
                <w:i w:val="0"/>
                <w:color w:val="000000"/>
                <w:sz w:val="20"/>
                <w:szCs w:val="20"/>
                <w:u w:val="none"/>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14:paraId="1CDE0943">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5E5DF4FE">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7E46C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收入</w:t>
            </w:r>
          </w:p>
        </w:tc>
        <w:tc>
          <w:tcPr>
            <w:tcW w:w="4859"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B413B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支出</w:t>
            </w:r>
          </w:p>
        </w:tc>
      </w:tr>
      <w:tr w14:paraId="693DDB34">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6A8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F5A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行次</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43FB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0B7A4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606B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4086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w:t>
            </w:r>
          </w:p>
        </w:tc>
      </w:tr>
      <w:tr w14:paraId="7CFD1EB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3C0BB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6125C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1418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8C4C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8DE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F56B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14:paraId="0D1B641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D139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F022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3210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11714.06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DDE4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一、一般公共服务支出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9FDE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DE59B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　</w:t>
            </w:r>
          </w:p>
        </w:tc>
      </w:tr>
      <w:tr w14:paraId="0C1C9F6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D084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二、政府性基金预算财政拨款收入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3C11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60499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678.91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917CB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二、外交支出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A3B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0AA88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476B9726">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2626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三、上级补助收入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65AF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10BAD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DE52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三、国防支出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5632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FAC7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1EDE506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CD9F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四、事业收入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2075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DF65B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DB17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四、公共安全支出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28D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D75F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54E55AA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3012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五、经营收入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9A35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BB5FB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550AF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五、教育支出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AE04F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D5EA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3FD8220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AAEC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六、附属单位上缴收入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EF4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4C81E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CCED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六、科学技术支出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B639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2294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　</w:t>
            </w:r>
          </w:p>
        </w:tc>
      </w:tr>
      <w:tr w14:paraId="1190815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0C0D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七、其他收入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934F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539A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6044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七、文化旅游体育与传媒支出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599A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6219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08A53061">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ED22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03BF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DB31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C50A1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八、社会保障和就业支出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F85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513D2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55.53　</w:t>
            </w:r>
          </w:p>
        </w:tc>
      </w:tr>
      <w:tr w14:paraId="3D05139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9900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75F0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4E132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B7BC8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九、卫生健康支出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6F5E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C293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　</w:t>
            </w:r>
          </w:p>
        </w:tc>
      </w:tr>
      <w:tr w14:paraId="7A7E7E7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09B1C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D6E1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3C41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4694A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十、节能环保支出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CEF18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6BE1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　</w:t>
            </w:r>
          </w:p>
        </w:tc>
      </w:tr>
      <w:tr w14:paraId="4765316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2AFB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F441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0533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5865A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十一、城乡社区支出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D04D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5CD01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　</w:t>
            </w:r>
          </w:p>
        </w:tc>
      </w:tr>
      <w:tr w14:paraId="1250A3A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D0F9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747B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39AF4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8275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十二、农林水支出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C3F6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DA5A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　</w:t>
            </w:r>
          </w:p>
        </w:tc>
      </w:tr>
      <w:tr w14:paraId="70539D2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1BBA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80B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A96B4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1E5E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十三、交通运输支出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1D406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8978B">
            <w:pPr>
              <w:keepNext w:val="0"/>
              <w:keepLines w:val="0"/>
              <w:widowControl/>
              <w:suppressLineNumbers w:val="0"/>
              <w:jc w:val="right"/>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578.57</w:t>
            </w:r>
          </w:p>
        </w:tc>
      </w:tr>
      <w:tr w14:paraId="284B128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B1B5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6B19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B0D0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EF31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十四、资源勘探信息等支出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B9F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48850C">
            <w:pPr>
              <w:keepNext w:val="0"/>
              <w:keepLines w:val="0"/>
              <w:widowControl/>
              <w:suppressLineNumbers w:val="0"/>
              <w:jc w:val="right"/>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color w:val="000000"/>
                <w:kern w:val="0"/>
                <w:sz w:val="22"/>
                <w:szCs w:val="22"/>
                <w:u w:val="none"/>
                <w:lang w:val="en-US" w:eastAsia="zh-CN" w:bidi="ar"/>
              </w:rPr>
              <w:t>755</w:t>
            </w:r>
          </w:p>
        </w:tc>
      </w:tr>
      <w:tr w14:paraId="149707A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FB563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BB21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6B41C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CFA5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十五、商业服务业等支出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F22D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DECD5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　</w:t>
            </w:r>
          </w:p>
        </w:tc>
      </w:tr>
      <w:tr w14:paraId="61BB132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EAA6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29BBD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7EFFA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93AC8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十六、金融支出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A74C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F4B6A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4D56EF7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556E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222FA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1D215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82E9C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十七、援助其他地区支出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74E3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8829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56B5465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7907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853A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31202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4FFA9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十八、自然资源海洋气象等支出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8E30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DBC7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3DA4848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4D07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5FE0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43236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60036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十九、住房保障支出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4A738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A49B9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82.53　</w:t>
            </w:r>
          </w:p>
        </w:tc>
      </w:tr>
      <w:tr w14:paraId="75C7B0D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3092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266F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B577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EF74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二十、粮油物资储备支出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6CB8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D7CF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　</w:t>
            </w:r>
          </w:p>
        </w:tc>
      </w:tr>
      <w:tr w14:paraId="20C773F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B5964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C34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F27E4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8D9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二十一、灾害防治及应急管理支出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AD7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ABA63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　</w:t>
            </w:r>
          </w:p>
        </w:tc>
      </w:tr>
      <w:tr w14:paraId="1917A5A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DB4A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CABB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FC78B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00C5A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二十二、其他支出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D2B0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7B51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6842E82B">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BF91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8488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1EED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E7F1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二十四、债务付息支出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4C5A7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83BA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25B7BAB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7A52D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本年收入合计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57C9C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7D0DE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12392.97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043877">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本年支出合计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27424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3028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10944.5　</w:t>
            </w:r>
          </w:p>
        </w:tc>
      </w:tr>
      <w:tr w14:paraId="7E48BA9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12B6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用事业基金弥补收支差额</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FC167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2A73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4487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结余分配</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85BCE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BAF55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5B6C801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6C23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年初结转和结余</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8E898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5280B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25.73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BC5FA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年末结转和结余</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0E52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0114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1474.2　</w:t>
            </w:r>
          </w:p>
        </w:tc>
      </w:tr>
      <w:tr w14:paraId="428D565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6015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C8E6B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606F3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36C66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8AE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DE092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w:t>
            </w:r>
          </w:p>
        </w:tc>
      </w:tr>
      <w:tr w14:paraId="4820C4C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08DA5">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878A5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F983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12418.7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CCF7A">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B4DB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D065F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12418.7　</w:t>
            </w:r>
          </w:p>
        </w:tc>
      </w:tr>
      <w:tr w14:paraId="245F1111">
        <w:tblPrEx>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center"/>
          </w:tcPr>
          <w:p w14:paraId="2C719CFE">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注：本表反映部门本年度的总收支和年末结转结余情况。</w:t>
            </w:r>
          </w:p>
          <w:p w14:paraId="1DC42C3E">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p w14:paraId="7137400B">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bl>
    <w:tbl>
      <w:tblPr>
        <w:tblStyle w:val="6"/>
        <w:tblW w:w="9969" w:type="dxa"/>
        <w:jc w:val="center"/>
        <w:shd w:val="clear" w:color="auto" w:fill="auto"/>
        <w:tblLayout w:type="autofit"/>
        <w:tblCellMar>
          <w:top w:w="0" w:type="dxa"/>
          <w:left w:w="0" w:type="dxa"/>
          <w:bottom w:w="0" w:type="dxa"/>
          <w:right w:w="0" w:type="dxa"/>
        </w:tblCellMar>
      </w:tblPr>
      <w:tblGrid>
        <w:gridCol w:w="1009"/>
        <w:gridCol w:w="57"/>
        <w:gridCol w:w="58"/>
        <w:gridCol w:w="2630"/>
        <w:gridCol w:w="1046"/>
        <w:gridCol w:w="1046"/>
        <w:gridCol w:w="1046"/>
        <w:gridCol w:w="1046"/>
        <w:gridCol w:w="1046"/>
        <w:gridCol w:w="1046"/>
        <w:gridCol w:w="1047"/>
      </w:tblGrid>
      <w:tr w14:paraId="0574E4AF">
        <w:tblPrEx>
          <w:shd w:val="clear" w:color="auto" w:fill="auto"/>
          <w:tblCellMar>
            <w:top w:w="0" w:type="dxa"/>
            <w:left w:w="0" w:type="dxa"/>
            <w:bottom w:w="0" w:type="dxa"/>
            <w:right w:w="0" w:type="dxa"/>
          </w:tblCellMar>
        </w:tblPrEx>
        <w:trPr>
          <w:trHeight w:val="670" w:hRule="atLeast"/>
          <w:jc w:val="center"/>
        </w:trPr>
        <w:tc>
          <w:tcPr>
            <w:tcW w:w="9969" w:type="dxa"/>
            <w:gridSpan w:val="11"/>
            <w:tcBorders>
              <w:top w:val="nil"/>
              <w:left w:val="nil"/>
              <w:bottom w:val="nil"/>
              <w:right w:val="nil"/>
            </w:tcBorders>
            <w:shd w:val="clear" w:color="auto" w:fill="auto"/>
            <w:noWrap/>
            <w:tcMar>
              <w:top w:w="15" w:type="dxa"/>
              <w:left w:w="15" w:type="dxa"/>
              <w:right w:w="15" w:type="dxa"/>
            </w:tcMar>
            <w:vAlign w:val="bottom"/>
          </w:tcPr>
          <w:p w14:paraId="4395D084">
            <w:pPr>
              <w:keepNext w:val="0"/>
              <w:keepLines w:val="0"/>
              <w:widowControl/>
              <w:suppressLineNumbers w:val="0"/>
              <w:jc w:val="center"/>
              <w:textAlignment w:val="bottom"/>
              <w:rPr>
                <w:rFonts w:hint="eastAsia" w:ascii="黑体" w:hAnsi="宋体" w:eastAsia="黑体" w:cs="黑体"/>
                <w:i w:val="0"/>
                <w:color w:val="000000"/>
                <w:kern w:val="0"/>
                <w:sz w:val="32"/>
                <w:szCs w:val="32"/>
                <w:u w:val="none"/>
                <w:lang w:val="en-US" w:eastAsia="zh-CN" w:bidi="ar"/>
              </w:rPr>
            </w:pPr>
          </w:p>
          <w:p w14:paraId="64F91FA7">
            <w:pPr>
              <w:keepNext w:val="0"/>
              <w:keepLines w:val="0"/>
              <w:widowControl/>
              <w:suppressLineNumbers w:val="0"/>
              <w:jc w:val="center"/>
              <w:textAlignment w:val="bottom"/>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收入决算表</w:t>
            </w:r>
          </w:p>
        </w:tc>
      </w:tr>
      <w:tr w14:paraId="5D5A7CA4">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34F52CE0">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B35F0DB">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CDB6714">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3816E2A">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4AB3588">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07350A2">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D652F33">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4AE99BF">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B92CD1C">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058AD68E">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公开02表</w:t>
            </w:r>
          </w:p>
        </w:tc>
      </w:tr>
      <w:tr w14:paraId="31E34752">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32641A47">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50B269D7">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94C9C5C">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0EEA42D">
            <w:pPr>
              <w:rPr>
                <w:rFonts w:hint="eastAsia" w:ascii="Arial" w:hAnsi="Arial" w:cs="Arial" w:eastAsiaTheme="minorEastAsia"/>
                <w:i w:val="0"/>
                <w:color w:val="000000"/>
                <w:sz w:val="20"/>
                <w:szCs w:val="20"/>
                <w:u w:val="none"/>
                <w:lang w:val="en-US" w:eastAsia="zh-CN"/>
              </w:rPr>
            </w:pPr>
            <w:r>
              <w:rPr>
                <w:rFonts w:hint="eastAsia" w:ascii="Arial" w:hAnsi="Arial" w:cs="Arial"/>
                <w:i w:val="0"/>
                <w:color w:val="000000"/>
                <w:sz w:val="20"/>
                <w:szCs w:val="20"/>
                <w:u w:val="none"/>
                <w:lang w:val="en-US" w:eastAsia="zh-CN"/>
              </w:rPr>
              <w:t>唐山市曹妃甸区发展和改革局</w:t>
            </w:r>
          </w:p>
        </w:tc>
        <w:tc>
          <w:tcPr>
            <w:tcW w:w="0" w:type="auto"/>
            <w:tcBorders>
              <w:top w:val="nil"/>
              <w:left w:val="nil"/>
              <w:bottom w:val="nil"/>
              <w:right w:val="nil"/>
            </w:tcBorders>
            <w:shd w:val="clear" w:color="auto" w:fill="auto"/>
            <w:noWrap/>
            <w:tcMar>
              <w:top w:w="15" w:type="dxa"/>
              <w:left w:w="15" w:type="dxa"/>
              <w:right w:w="15" w:type="dxa"/>
            </w:tcMar>
            <w:vAlign w:val="bottom"/>
          </w:tcPr>
          <w:p w14:paraId="1259BAEF">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7891A39">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6E18192">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5231404">
            <w:pPr>
              <w:rPr>
                <w:rFonts w:hint="default" w:ascii="Arial" w:hAnsi="Arial" w:cs="Arial"/>
                <w:i w:val="0"/>
                <w:color w:val="000000"/>
                <w:sz w:val="20"/>
                <w:szCs w:val="20"/>
                <w:u w:val="none"/>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14:paraId="4BE85FB7">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39A96DAB">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DBEF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04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55CB93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本年收入合计</w:t>
            </w:r>
          </w:p>
        </w:tc>
        <w:tc>
          <w:tcPr>
            <w:tcW w:w="104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0480B1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财政拨款收入</w:t>
            </w:r>
          </w:p>
        </w:tc>
        <w:tc>
          <w:tcPr>
            <w:tcW w:w="104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005E8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上级补助收入</w:t>
            </w:r>
          </w:p>
        </w:tc>
        <w:tc>
          <w:tcPr>
            <w:tcW w:w="104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D4F4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事业收入</w:t>
            </w:r>
          </w:p>
        </w:tc>
        <w:tc>
          <w:tcPr>
            <w:tcW w:w="104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7DC67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经营收入</w:t>
            </w:r>
          </w:p>
        </w:tc>
        <w:tc>
          <w:tcPr>
            <w:tcW w:w="104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7592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附属单位上缴收入</w:t>
            </w:r>
          </w:p>
        </w:tc>
        <w:tc>
          <w:tcPr>
            <w:tcW w:w="104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0D5224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其他收入</w:t>
            </w:r>
          </w:p>
        </w:tc>
      </w:tr>
      <w:tr w14:paraId="1BEA3B45">
        <w:tblPrEx>
          <w:tblCellMar>
            <w:top w:w="0" w:type="dxa"/>
            <w:left w:w="0" w:type="dxa"/>
            <w:bottom w:w="0" w:type="dxa"/>
            <w:right w:w="0" w:type="dxa"/>
          </w:tblCellMar>
        </w:tblPrEx>
        <w:trPr>
          <w:trHeight w:val="380" w:hRule="atLeast"/>
          <w:jc w:val="center"/>
        </w:trPr>
        <w:tc>
          <w:tcPr>
            <w:tcW w:w="112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59C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728B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C4F48C4">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C5E0CD">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1E4AFC8">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73C8705">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608D4F">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4A6B74">
            <w:pPr>
              <w:jc w:val="center"/>
              <w:rPr>
                <w:rFonts w:hint="eastAsia" w:ascii="宋体" w:hAnsi="宋体" w:eastAsia="宋体" w:cs="宋体"/>
                <w:i w:val="0"/>
                <w:color w:val="000000"/>
                <w:sz w:val="22"/>
                <w:szCs w:val="22"/>
                <w:u w:val="none"/>
              </w:rPr>
            </w:pPr>
          </w:p>
        </w:tc>
        <w:tc>
          <w:tcPr>
            <w:tcW w:w="10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E1DBBBF">
            <w:pPr>
              <w:jc w:val="center"/>
              <w:rPr>
                <w:rFonts w:hint="eastAsia" w:ascii="宋体" w:hAnsi="宋体" w:eastAsia="宋体" w:cs="宋体"/>
                <w:i w:val="0"/>
                <w:color w:val="000000"/>
                <w:sz w:val="22"/>
                <w:szCs w:val="22"/>
                <w:u w:val="none"/>
              </w:rPr>
            </w:pPr>
          </w:p>
        </w:tc>
      </w:tr>
      <w:tr w14:paraId="4A596019">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BEF74">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055F5">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ECF8E7">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ABFB761">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B23D004">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2B9770">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A7FF25D">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EAB9710">
            <w:pPr>
              <w:jc w:val="center"/>
              <w:rPr>
                <w:rFonts w:hint="eastAsia" w:ascii="宋体" w:hAnsi="宋体" w:eastAsia="宋体" w:cs="宋体"/>
                <w:i w:val="0"/>
                <w:color w:val="000000"/>
                <w:sz w:val="22"/>
                <w:szCs w:val="22"/>
                <w:u w:val="none"/>
              </w:rPr>
            </w:pPr>
          </w:p>
        </w:tc>
        <w:tc>
          <w:tcPr>
            <w:tcW w:w="10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A2A5238">
            <w:pPr>
              <w:jc w:val="center"/>
              <w:rPr>
                <w:rFonts w:hint="eastAsia" w:ascii="宋体" w:hAnsi="宋体" w:eastAsia="宋体" w:cs="宋体"/>
                <w:i w:val="0"/>
                <w:color w:val="000000"/>
                <w:sz w:val="22"/>
                <w:szCs w:val="22"/>
                <w:u w:val="none"/>
              </w:rPr>
            </w:pPr>
          </w:p>
        </w:tc>
      </w:tr>
      <w:tr w14:paraId="533663A8">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F6198">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2F841">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1F3A85A">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8CEFEA7">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60601D">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9F556C7">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8CCB099">
            <w:pPr>
              <w:jc w:val="center"/>
              <w:rPr>
                <w:rFonts w:hint="eastAsia" w:ascii="宋体" w:hAnsi="宋体" w:eastAsia="宋体" w:cs="宋体"/>
                <w:i w:val="0"/>
                <w:color w:val="000000"/>
                <w:sz w:val="22"/>
                <w:szCs w:val="22"/>
                <w:u w:val="none"/>
              </w:rPr>
            </w:pPr>
          </w:p>
        </w:tc>
        <w:tc>
          <w:tcPr>
            <w:tcW w:w="104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905135B">
            <w:pPr>
              <w:jc w:val="center"/>
              <w:rPr>
                <w:rFonts w:hint="eastAsia" w:ascii="宋体" w:hAnsi="宋体" w:eastAsia="宋体" w:cs="宋体"/>
                <w:i w:val="0"/>
                <w:color w:val="000000"/>
                <w:sz w:val="22"/>
                <w:szCs w:val="22"/>
                <w:u w:val="none"/>
              </w:rPr>
            </w:pPr>
          </w:p>
        </w:tc>
        <w:tc>
          <w:tcPr>
            <w:tcW w:w="10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D1293E">
            <w:pPr>
              <w:jc w:val="center"/>
              <w:rPr>
                <w:rFonts w:hint="eastAsia" w:ascii="宋体" w:hAnsi="宋体" w:eastAsia="宋体" w:cs="宋体"/>
                <w:i w:val="0"/>
                <w:color w:val="000000"/>
                <w:sz w:val="22"/>
                <w:szCs w:val="22"/>
                <w:u w:val="none"/>
              </w:rPr>
            </w:pPr>
          </w:p>
        </w:tc>
      </w:tr>
      <w:tr w14:paraId="007EAB7C">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E3F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10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D8651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1ED5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51954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602E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920A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4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938EF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4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0576F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r>
      <w:tr w14:paraId="38C57621">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CE33F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BF38A2">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12,392.97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3A485C">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12,392.97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B46F50">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6C8C0A">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E57A5">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71758">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9F38CE">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r>
      <w:tr w14:paraId="0743BD48">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9D2E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4A38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一般公共服务支出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FC65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813.05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B5ECD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813.05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065EC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33F4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7C41E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05B3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A2DC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E573A23">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1C4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20104</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F722D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发展与改革事务</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F1D05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813.05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859B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813.05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98442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8D271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0F446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6B588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3BADC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AAED1CB">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6FEE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2010401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CCB65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541C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813.05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B3ADD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813.05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E627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CCEE0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1D336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6B2A9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BFF95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52378EE">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DECA6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A808B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科学技术支出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B7064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37C0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DDF51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4510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30E4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7C8F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B876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59735EF">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B7F4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20604</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F25AE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技术研究与开发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BF82B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160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1F6D0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D274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7DEE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3C0C1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5C06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46CC2C3">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DE73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2060402</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DB3B4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应用技术研究与开发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76922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6CE3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9B487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2C08B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612B8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9E98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FA04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AE1D997">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0C71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DEDCB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2228C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97.48</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A7845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97.48</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3DBC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D42B2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0440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C271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78829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5793280">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C0FC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04A2A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人力资源和社会保障管理事务</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53E0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D136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D5807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7D2CF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5713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EAC7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488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6EB835F">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385D6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2080106</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6C79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就业管理事务</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34FF4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69EE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47807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13D1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3E397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9E0E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C4D2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42B16C8">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1F1B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8A1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行政事业单位离退休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DB28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92.08</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D083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92.08</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9D921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7B41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7ED90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0497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9746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6B36266">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0954B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9A307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F1D46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65.76</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E16AD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65.76</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4F068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D688C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DAC5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40C0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27BD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5ECFCFF">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23CE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2080506</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6B08C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4DA04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26.32</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4F919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26.32</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200E8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A2D3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26592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2DA9A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B962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1F41778">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F5AD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840A1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卫生健康支出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9D4F6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61.97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339A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61.97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9867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37343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5D53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E3D39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3C00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4E3FADC">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F9F1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5118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69E7A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61.97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CDEB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61.97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7288B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5F16C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3A36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2E148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E9C2C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2C0E7E8">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FAFE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AE15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7B38E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859D5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864E8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A1F71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30E2F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D0795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472A3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D9375FF">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D828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2101103</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7886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公务员医疗补助</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919A4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40.99</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EDF3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40.99</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772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DE388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1D1E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BA91F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3980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BA0E7E4">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F6B9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662B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83E53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80C5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30440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D2D8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CC071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90BE0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76E3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9774779">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3487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B248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CE19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8A1F6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88E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1502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741F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05EC6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18090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CFCAEE4">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5036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2F59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1B1C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3F42F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5F80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582C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576A7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E0DB1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DE6E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5C565A6">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69648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69860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3854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29826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A490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7A626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8ADD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6E89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8FD3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56A9703">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92E7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344F5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城市基础设施配套费安排的支出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2B3B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0FEC1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23AF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7187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30EE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BB39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DB722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D8135B3">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A4A4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B40EC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其他城市基础设施配套费安排的支出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790E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D5BB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618AD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0455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2CC8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E23E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8BFC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1A061DA">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713C4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2B515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农林水支出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5B23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DFEC5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7FAE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7A25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FB14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0C2BE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99F81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806BC20">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C5C1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21302</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3DBA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林业和草原</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1F6A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B38AC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D25F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EF2A4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33AB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2FBC1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B446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77EDA17">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3B07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2130205</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3403B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森林培育</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A20A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12CDA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578A0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AA8BF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0639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521B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398F4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D4A7F0E">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8639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05EE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交通运输支出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E584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6F195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493D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79D52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2318F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3FEE2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F33B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F4D06F4">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1421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21463</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FC875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港口建设费安排的支出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424E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8B669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6B904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90C2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1CA2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BCAC8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8DB1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A1F6A43">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37B0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2146399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6AF5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其他港口建设费安排的支出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25E8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A02A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454AE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EFDDF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6D33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564E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8E02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1AF94E4">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3670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AB085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资源勘探信息等支出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D8ED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BED7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4D43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CAA8B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8494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ECE17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E534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750CA46">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2053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21502</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D47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制造业</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14E7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8DFDF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FDEE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16160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3379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2FF3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349BB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8791ECD">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AD4A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2150299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B6963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其他制造业支出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4D66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1D043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22CD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B001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914FB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4BC3B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FCD5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122EC31">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6774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FA93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其他资源勘探信息等支出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4974B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453D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7EE92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7DB3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38ED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32EA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D4201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1E61A42">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0759C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2159999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3E2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其他资源勘探信息等支出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EE29C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B9F16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9A07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4F5B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8B6E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C232B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72906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F4A8DED">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60F0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E8A0E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商业服务业等支出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D190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7D791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1250A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A361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34DB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24495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4082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154F8F0">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1AF3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E993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其他商业服务业等支出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4A01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EB1D0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121E7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E25D7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B3AB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A5AF9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138A3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258A08E">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0AFE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2169999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5F16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其他商业服务业等支出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7CA86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6E1A8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AF76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6B383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CF0B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FCC41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5953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0740E2F">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A757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5D9D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9B25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86.90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637B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86.90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9F1C7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15737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E876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F337E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F45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835602B">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06D4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283A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保障性安居工程支出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8735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13F3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6A8E7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E3B6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3166F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519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39F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CE739AC">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81F8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E97F3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其他保障性安居工程支出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A7CD7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6310C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C544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8FC5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47A7D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9500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1915D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4085A19">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9C1F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B095A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7981B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CD6DE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F26D7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B644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FB09B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06FE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04D9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25ED758">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CA5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B1FA7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64AE1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09B1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0B165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BB93E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AB8F8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4395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07C5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7069863">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1ABE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98926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粮油物资储备支出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F5079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1,878.50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49E1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1,878.50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49D0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DAD9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79028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B0B9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5B911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86F95E3">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ED797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004F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粮油事务</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88D1E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FDF2E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C931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A67C7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832E2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AB81D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5E6B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717BA58">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7964C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2220199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5FE9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其他粮油事务支出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40E6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A3C70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1,080.00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CF90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97F3F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EF71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C72F5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099F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FC007D0">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8D2F1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22204</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844A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粮油储备</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22781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F58D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5576B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8385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B97D7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ED624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65E21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E5AC656">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527A4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2220403</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7BC4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储备粮（油）库建设</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6E7D1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550E4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AEF0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F73C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3637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CB079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1028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C7AD3EF">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0BB9C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31E3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灾害防治及应急管理支出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6428C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F6FE6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B6EAD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0D41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B317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86A22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E368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AB7941E">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4DB5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22401</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6825D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应急管理事务</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F04E7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8E61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CE8CF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19742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520D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05CA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7EA87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F1AC5D4">
        <w:tblPrEx>
          <w:tblCellMar>
            <w:top w:w="0" w:type="dxa"/>
            <w:left w:w="0" w:type="dxa"/>
            <w:bottom w:w="0" w:type="dxa"/>
            <w:right w:w="0" w:type="dxa"/>
          </w:tblCellMar>
        </w:tblPrEx>
        <w:trPr>
          <w:trHeight w:val="385" w:hRule="atLeast"/>
          <w:jc w:val="center"/>
        </w:trPr>
        <w:tc>
          <w:tcPr>
            <w:tcW w:w="112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1E8F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2240199</w:t>
            </w:r>
          </w:p>
        </w:tc>
        <w:tc>
          <w:tcPr>
            <w:tcW w:w="15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A9034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其他应急管理支出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6B4D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8E68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CE04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0DFA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3C84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5114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A09D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E41CC30">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14:paraId="2E8AE4E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注：本表反映部门本年度取得的各项收入情况。</w:t>
            </w:r>
          </w:p>
        </w:tc>
      </w:tr>
    </w:tbl>
    <w:p w14:paraId="5AF3FE2D">
      <w:pPr>
        <w:bidi w:val="0"/>
        <w:jc w:val="left"/>
        <w:rPr>
          <w:rFonts w:hint="default"/>
          <w:lang w:val="en-US" w:eastAsia="zh-CN"/>
        </w:rPr>
      </w:pPr>
    </w:p>
    <w:p w14:paraId="7A34CEF0">
      <w:pPr>
        <w:rPr>
          <w:rFonts w:hint="default"/>
          <w:lang w:val="en-US" w:eastAsia="zh-CN"/>
        </w:rPr>
      </w:pPr>
      <w:r>
        <w:rPr>
          <w:rFonts w:hint="default"/>
          <w:lang w:val="en-US" w:eastAsia="zh-CN"/>
        </w:rPr>
        <w:br w:type="page"/>
      </w:r>
    </w:p>
    <w:tbl>
      <w:tblPr>
        <w:tblStyle w:val="6"/>
        <w:tblW w:w="9680" w:type="dxa"/>
        <w:jc w:val="center"/>
        <w:shd w:val="clear" w:color="auto" w:fill="auto"/>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14:paraId="6D3071F0">
        <w:tblPrEx>
          <w:shd w:val="clear" w:color="auto" w:fill="auto"/>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14:paraId="1C8E0199">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支出决算表</w:t>
            </w:r>
          </w:p>
        </w:tc>
      </w:tr>
      <w:tr w14:paraId="51B8BDD8">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14:paraId="62A302AA">
            <w:pPr>
              <w:rPr>
                <w:rFonts w:hint="eastAsia" w:ascii="Arial" w:hAnsi="Arial" w:cs="Arial"/>
                <w:i w:val="0"/>
                <w:color w:val="000000"/>
                <w:sz w:val="20"/>
                <w:szCs w:val="20"/>
                <w:u w:val="none"/>
              </w:rPr>
            </w:pPr>
          </w:p>
        </w:tc>
        <w:tc>
          <w:tcPr>
            <w:tcW w:w="53" w:type="dxa"/>
            <w:tcBorders>
              <w:top w:val="nil"/>
              <w:left w:val="nil"/>
              <w:bottom w:val="nil"/>
              <w:right w:val="nil"/>
            </w:tcBorders>
            <w:shd w:val="clear" w:color="auto" w:fill="auto"/>
            <w:noWrap/>
            <w:tcMar>
              <w:top w:w="15" w:type="dxa"/>
              <w:left w:w="15" w:type="dxa"/>
              <w:right w:w="15" w:type="dxa"/>
            </w:tcMar>
            <w:vAlign w:val="bottom"/>
          </w:tcPr>
          <w:p w14:paraId="3BBD18A7">
            <w:pPr>
              <w:rPr>
                <w:rFonts w:hint="default" w:ascii="Arial" w:hAnsi="Arial" w:cs="Arial"/>
                <w:i w:val="0"/>
                <w:color w:val="000000"/>
                <w:sz w:val="20"/>
                <w:szCs w:val="20"/>
                <w:u w:val="none"/>
              </w:rPr>
            </w:pPr>
          </w:p>
        </w:tc>
        <w:tc>
          <w:tcPr>
            <w:tcW w:w="111" w:type="dxa"/>
            <w:tcBorders>
              <w:top w:val="nil"/>
              <w:left w:val="nil"/>
              <w:bottom w:val="nil"/>
              <w:right w:val="nil"/>
            </w:tcBorders>
            <w:shd w:val="clear" w:color="auto" w:fill="auto"/>
            <w:noWrap/>
            <w:tcMar>
              <w:top w:w="15" w:type="dxa"/>
              <w:left w:w="15" w:type="dxa"/>
              <w:right w:w="15" w:type="dxa"/>
            </w:tcMar>
            <w:vAlign w:val="bottom"/>
          </w:tcPr>
          <w:p w14:paraId="1A981047">
            <w:pPr>
              <w:rPr>
                <w:rFonts w:hint="default" w:ascii="Arial" w:hAnsi="Arial" w:cs="Arial"/>
                <w:i w:val="0"/>
                <w:color w:val="000000"/>
                <w:sz w:val="20"/>
                <w:szCs w:val="20"/>
                <w:u w:val="none"/>
              </w:rPr>
            </w:pPr>
          </w:p>
        </w:tc>
        <w:tc>
          <w:tcPr>
            <w:tcW w:w="1359" w:type="dxa"/>
            <w:tcBorders>
              <w:top w:val="nil"/>
              <w:left w:val="nil"/>
              <w:bottom w:val="nil"/>
              <w:right w:val="nil"/>
            </w:tcBorders>
            <w:shd w:val="clear" w:color="auto" w:fill="auto"/>
            <w:noWrap/>
            <w:tcMar>
              <w:top w:w="15" w:type="dxa"/>
              <w:left w:w="15" w:type="dxa"/>
              <w:right w:w="15" w:type="dxa"/>
            </w:tcMar>
            <w:vAlign w:val="bottom"/>
          </w:tcPr>
          <w:p w14:paraId="2AF5B715">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56302B03">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530D9CAD">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0115D573">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43AB2B46">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1D22D72A">
            <w:pPr>
              <w:rPr>
                <w:rFonts w:hint="default" w:ascii="Arial" w:hAnsi="Arial" w:cs="Arial"/>
                <w:i w:val="0"/>
                <w:color w:val="000000"/>
                <w:sz w:val="20"/>
                <w:szCs w:val="20"/>
                <w:u w:val="none"/>
              </w:rPr>
            </w:pPr>
          </w:p>
        </w:tc>
        <w:tc>
          <w:tcPr>
            <w:tcW w:w="1411" w:type="dxa"/>
            <w:tcBorders>
              <w:top w:val="nil"/>
              <w:left w:val="nil"/>
              <w:bottom w:val="nil"/>
              <w:right w:val="nil"/>
            </w:tcBorders>
            <w:shd w:val="clear" w:color="auto" w:fill="auto"/>
            <w:noWrap/>
            <w:tcMar>
              <w:top w:w="15" w:type="dxa"/>
              <w:left w:w="15" w:type="dxa"/>
              <w:right w:w="15" w:type="dxa"/>
            </w:tcMar>
            <w:vAlign w:val="bottom"/>
          </w:tcPr>
          <w:p w14:paraId="3B6CEEA1">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公开03表</w:t>
            </w:r>
          </w:p>
        </w:tc>
      </w:tr>
      <w:tr w14:paraId="1E737CB6">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14:paraId="5DA65F58">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14:paraId="52ECBD6A">
            <w:pPr>
              <w:rPr>
                <w:rFonts w:hint="default" w:ascii="Arial" w:hAnsi="Arial" w:cs="Arial"/>
                <w:i w:val="0"/>
                <w:color w:val="000000"/>
                <w:sz w:val="20"/>
                <w:szCs w:val="20"/>
                <w:u w:val="none"/>
              </w:rPr>
            </w:pPr>
          </w:p>
        </w:tc>
        <w:tc>
          <w:tcPr>
            <w:tcW w:w="111" w:type="dxa"/>
            <w:tcBorders>
              <w:top w:val="nil"/>
              <w:left w:val="nil"/>
              <w:bottom w:val="nil"/>
              <w:right w:val="nil"/>
            </w:tcBorders>
            <w:shd w:val="clear" w:color="auto" w:fill="auto"/>
            <w:noWrap/>
            <w:tcMar>
              <w:top w:w="15" w:type="dxa"/>
              <w:left w:w="15" w:type="dxa"/>
              <w:right w:w="15" w:type="dxa"/>
            </w:tcMar>
            <w:vAlign w:val="bottom"/>
          </w:tcPr>
          <w:p w14:paraId="1E6E5048">
            <w:pPr>
              <w:rPr>
                <w:rFonts w:hint="default" w:ascii="Arial" w:hAnsi="Arial" w:cs="Arial"/>
                <w:i w:val="0"/>
                <w:color w:val="000000"/>
                <w:sz w:val="20"/>
                <w:szCs w:val="20"/>
                <w:u w:val="none"/>
              </w:rPr>
            </w:pPr>
          </w:p>
        </w:tc>
        <w:tc>
          <w:tcPr>
            <w:tcW w:w="1359" w:type="dxa"/>
            <w:tcBorders>
              <w:top w:val="nil"/>
              <w:left w:val="nil"/>
              <w:bottom w:val="nil"/>
              <w:right w:val="nil"/>
            </w:tcBorders>
            <w:shd w:val="clear" w:color="auto" w:fill="auto"/>
            <w:noWrap/>
            <w:tcMar>
              <w:top w:w="15" w:type="dxa"/>
              <w:left w:w="15" w:type="dxa"/>
              <w:right w:w="15" w:type="dxa"/>
            </w:tcMar>
            <w:vAlign w:val="bottom"/>
          </w:tcPr>
          <w:p w14:paraId="497C0178">
            <w:pPr>
              <w:rPr>
                <w:rFonts w:hint="eastAsia" w:ascii="Arial" w:hAnsi="Arial" w:cs="Arial" w:eastAsiaTheme="minorEastAsia"/>
                <w:i w:val="0"/>
                <w:color w:val="000000"/>
                <w:sz w:val="20"/>
                <w:szCs w:val="20"/>
                <w:u w:val="none"/>
                <w:lang w:eastAsia="zh-CN"/>
              </w:rPr>
            </w:pPr>
            <w:r>
              <w:rPr>
                <w:rFonts w:hint="eastAsia" w:ascii="Arial" w:hAnsi="Arial" w:cs="Arial"/>
                <w:i w:val="0"/>
                <w:color w:val="000000"/>
                <w:sz w:val="10"/>
                <w:szCs w:val="10"/>
                <w:u w:val="none"/>
                <w:lang w:eastAsia="zh-CN"/>
              </w:rPr>
              <w:t>唐山市曹妃甸区发展和改革局</w:t>
            </w:r>
          </w:p>
        </w:tc>
        <w:tc>
          <w:tcPr>
            <w:tcW w:w="1161" w:type="dxa"/>
            <w:tcBorders>
              <w:top w:val="nil"/>
              <w:left w:val="nil"/>
              <w:bottom w:val="nil"/>
              <w:right w:val="nil"/>
            </w:tcBorders>
            <w:shd w:val="clear" w:color="auto" w:fill="auto"/>
            <w:noWrap/>
            <w:tcMar>
              <w:top w:w="15" w:type="dxa"/>
              <w:left w:w="15" w:type="dxa"/>
              <w:right w:w="15" w:type="dxa"/>
            </w:tcMar>
            <w:vAlign w:val="bottom"/>
          </w:tcPr>
          <w:p w14:paraId="10AFD5AE">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585736DD">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48321C9C">
            <w:pPr>
              <w:rPr>
                <w:rFonts w:hint="default" w:ascii="Arial" w:hAnsi="Arial" w:cs="Arial"/>
                <w:i w:val="0"/>
                <w:color w:val="000000"/>
                <w:sz w:val="20"/>
                <w:szCs w:val="20"/>
                <w:u w:val="none"/>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4B6B52CE">
            <w:pPr>
              <w:rPr>
                <w:rFonts w:hint="default" w:ascii="Arial" w:hAnsi="Arial" w:cs="Arial"/>
                <w:i w:val="0"/>
                <w:color w:val="000000"/>
                <w:sz w:val="20"/>
                <w:szCs w:val="20"/>
                <w:u w:val="none"/>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14:paraId="3668C2F1">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78382317">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3B64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FF7908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2FB0AB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AB262E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965CFA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4E80F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F58D9A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对附属单位补助支出</w:t>
            </w:r>
          </w:p>
        </w:tc>
      </w:tr>
      <w:tr w14:paraId="14B66C3A">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7F03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7F77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570704">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8D29F19">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D176F36">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D4BD522">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3635E8">
            <w:pPr>
              <w:jc w:val="center"/>
              <w:rPr>
                <w:rFonts w:hint="eastAsia" w:ascii="宋体" w:hAnsi="宋体" w:eastAsia="宋体" w:cs="宋体"/>
                <w:i w:val="0"/>
                <w:color w:val="000000"/>
                <w:sz w:val="22"/>
                <w:szCs w:val="22"/>
                <w:u w:val="none"/>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841217">
            <w:pPr>
              <w:jc w:val="center"/>
              <w:rPr>
                <w:rFonts w:hint="eastAsia" w:ascii="宋体" w:hAnsi="宋体" w:eastAsia="宋体" w:cs="宋体"/>
                <w:i w:val="0"/>
                <w:color w:val="000000"/>
                <w:sz w:val="22"/>
                <w:szCs w:val="22"/>
                <w:u w:val="none"/>
              </w:rPr>
            </w:pPr>
          </w:p>
        </w:tc>
      </w:tr>
      <w:tr w14:paraId="69819808">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50FE2">
            <w:pPr>
              <w:jc w:val="center"/>
              <w:rPr>
                <w:rFonts w:hint="eastAsia" w:ascii="宋体" w:hAnsi="宋体" w:eastAsia="宋体" w:cs="宋体"/>
                <w:i w:val="0"/>
                <w:color w:val="000000"/>
                <w:sz w:val="22"/>
                <w:szCs w:val="22"/>
                <w:u w:val="none"/>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C0CDA6">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489F0CA">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76F517">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6DB5A40">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3234D75">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F11D9E4">
            <w:pPr>
              <w:jc w:val="center"/>
              <w:rPr>
                <w:rFonts w:hint="eastAsia" w:ascii="宋体" w:hAnsi="宋体" w:eastAsia="宋体" w:cs="宋体"/>
                <w:i w:val="0"/>
                <w:color w:val="000000"/>
                <w:sz w:val="22"/>
                <w:szCs w:val="22"/>
                <w:u w:val="none"/>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39AFAF1">
            <w:pPr>
              <w:jc w:val="center"/>
              <w:rPr>
                <w:rFonts w:hint="eastAsia" w:ascii="宋体" w:hAnsi="宋体" w:eastAsia="宋体" w:cs="宋体"/>
                <w:i w:val="0"/>
                <w:color w:val="000000"/>
                <w:sz w:val="22"/>
                <w:szCs w:val="22"/>
                <w:u w:val="none"/>
              </w:rPr>
            </w:pPr>
          </w:p>
        </w:tc>
      </w:tr>
      <w:tr w14:paraId="6CBA7FE4">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70142">
            <w:pPr>
              <w:jc w:val="center"/>
              <w:rPr>
                <w:rFonts w:hint="eastAsia" w:ascii="宋体" w:hAnsi="宋体" w:eastAsia="宋体" w:cs="宋体"/>
                <w:i w:val="0"/>
                <w:color w:val="000000"/>
                <w:sz w:val="22"/>
                <w:szCs w:val="22"/>
                <w:u w:val="none"/>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69460">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8AE09B">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34B6431">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E1C690">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7995276">
            <w:pPr>
              <w:jc w:val="center"/>
              <w:rPr>
                <w:rFonts w:hint="eastAsia" w:ascii="宋体" w:hAnsi="宋体" w:eastAsia="宋体" w:cs="宋体"/>
                <w:i w:val="0"/>
                <w:color w:val="000000"/>
                <w:sz w:val="22"/>
                <w:szCs w:val="22"/>
                <w:u w:val="none"/>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03BF477">
            <w:pPr>
              <w:jc w:val="center"/>
              <w:rPr>
                <w:rFonts w:hint="eastAsia" w:ascii="宋体" w:hAnsi="宋体" w:eastAsia="宋体" w:cs="宋体"/>
                <w:i w:val="0"/>
                <w:color w:val="000000"/>
                <w:sz w:val="22"/>
                <w:szCs w:val="22"/>
                <w:u w:val="none"/>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EA5FE40">
            <w:pPr>
              <w:jc w:val="center"/>
              <w:rPr>
                <w:rFonts w:hint="eastAsia" w:ascii="宋体" w:hAnsi="宋体" w:eastAsia="宋体" w:cs="宋体"/>
                <w:i w:val="0"/>
                <w:color w:val="000000"/>
                <w:sz w:val="22"/>
                <w:szCs w:val="22"/>
                <w:u w:val="none"/>
              </w:rPr>
            </w:pPr>
          </w:p>
        </w:tc>
      </w:tr>
      <w:tr w14:paraId="22AADF07">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AA9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764F8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1ABAA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46CD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CEB03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7E6DD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36F3A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14:paraId="472B3A71">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7144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92FAC">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10,944.50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6A6274">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658.80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7C17C">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10,285.69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93C9E">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89248">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68EE3">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r>
      <w:tr w14:paraId="76670622">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CB0F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CDD75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0F03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4593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507.84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444F4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183.58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E55E1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748F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238DC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B1681CF">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5490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AD2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发展与改革事务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715F9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2715C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507.84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DC247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183.58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5907C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A83F2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6BAD1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A0E5D18">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5675A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2010401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BF8F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BAF37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114F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507.84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59C8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183.58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0DE0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CC5A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C784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444D96E">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9C95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95D6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科学技术支出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E008D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792E1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42D1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908AA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15FC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7C4EE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787CBAD">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ED99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80E3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技术研究与开发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119F5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DF525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BCE9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2F60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6A132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28DD0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C9E2053">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F336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2060402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DC4C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应用技术研究与开发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6DCDC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9C4D5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6B06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AD30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F4724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FD5C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94958B6">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1F33C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B0A8C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189BC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55.53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34D5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CC9B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6621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C48D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5FB5B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02631C1">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842D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789C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人力资源和社会保障管理事务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03BA8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9AC86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992F5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5146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4DA6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14FF7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7E0C7A3">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888D4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2080106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6273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就业管理事务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21D72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2EBA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D120D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1F53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86E29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E0958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844339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FE4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A5822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541AE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8144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BD2F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EA178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67506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D62B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0A398D5">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710B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D0C7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5205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E68F3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7B3B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FFA5D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14B98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C6F8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B7AFD98">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AC61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4755B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31888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5C5C1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0744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13C3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EFECC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9EBF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0F17875">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6B5B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7E316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49F5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1A85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295F7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3501C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1AA2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C0ABC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D2E83DF">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A52D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280F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05504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7007E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82C2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2994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00DD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60BC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392DD04">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658EC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6F23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公务员医疗补助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3F6DB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B7D7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7894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4601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BB3E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F7F1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B4436F1">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F03A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1BDA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81F0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CF5D4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FF6A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E9747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36429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4A04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292E8A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B1FF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AF3E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7D1F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AB9A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5B56A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EBA4B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58ED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27CC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395C417">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EFF8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9492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10F9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EA3B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EC5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B1BDA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F3BE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3E11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8736E0E">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7358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82C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7CCD7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9F5D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AE5B0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2AA3A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8176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253D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5ACB769">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0064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3D15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36DFC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8144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7B769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6560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C666B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06AE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9B33C66">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66E9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ABF7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其他城市基础设施配套费安排的支出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E0FF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43F9D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8F1B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B3586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42DF2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5485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A24077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F868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0971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农林水支出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16CA1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86B4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CE2C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64AD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A42F2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43E2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7AF5DCD">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FE6B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0679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林业和草原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01619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D6B2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B3E1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B649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A56C4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B35B2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1EF9CE7">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C645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2130205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D9678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森林培育</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34882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231B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C7BEA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C99E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2842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CBCC9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BA884A1">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ED5C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0CC03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交通运输支出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2A0B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B1EF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08D48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D1414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B32EC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C98A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33904D0">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D9D1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21463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0116A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港口建设费安排的支出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12B7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BDA7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45180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866DB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2E659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3AEA2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0E77950">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59CB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2146399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9CEC9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其他港口建设费安排的支出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B62C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3B94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4720F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29EA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C9331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F0FB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24C247A">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4C9B6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003BA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资源勘探信息等支出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55EC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17607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C107B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CC83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F052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B1010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74156E7">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03158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E3CD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制造业</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5B66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141A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41DC2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37251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6E44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12F3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29E8511">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548EA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2150299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10BE2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其他制造业支出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FE14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9109E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9AF1D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999B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A7A1D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503F8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958BA28">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D0C9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7C7D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其他资源勘探信息等支出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E4BA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18ED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2239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8E45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A1219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F892D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E4A885A">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16573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2159999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4682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其他资源勘探信息等支出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2764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0ABE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450B6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C9F69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263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654FB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67CCEE8">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3E25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265E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商业服务业等支出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6714D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CA5B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E6A8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E7B78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A2A4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BED1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512CDF1">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52CC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8A13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其他商业服务业等支出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EEE35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9B10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49008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B32ED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C65A2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6BF27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2853822">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402D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2169999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CFDE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其他商业服务业等支出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FAF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F70C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548F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A6CB0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DDF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E58C7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EBFF338">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1E9E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3189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24BD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82.53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122D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C7E6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EACC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C47D0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EFE0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CE32D8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5289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A28DE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保障性安居工程支出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27375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F229A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99F8B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5094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675A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7EBA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101E57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3D70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7D20C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其他保障性安居工程支出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187B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83E82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9971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3E93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3F496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AD98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1D265AE">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52DB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C75F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90A34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F89A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9C29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349E5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22FD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C0DFF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29721FC">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6E85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7541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2D5D0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1ADA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183E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68C16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7CDD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EA59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F2551DE">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04C5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59C89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粮油物资储备支出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D661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D80B2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26233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85178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FB4E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543E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59093CE">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3BA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5CF2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粮油储备</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BE257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30DD7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4A7B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6D37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1DCF2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8FE1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B2BFB80">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8A4FC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2220403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607AF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储备粮（油）库建设</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E2D78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763AC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8829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DA95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1EF2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51B3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7C98D8E">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810A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7F97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灾害防治及应急管理支出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80B4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1B32B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2D4C8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A584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2D105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EEB6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8F953A1">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8FCA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D380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应急管理事务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9919A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E697F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1BFD7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81A34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C43AA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0433C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1DD87C3">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240F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2240199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306D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其他应急管理支出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575C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3626F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3C13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5E379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945F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58BB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4E2A465">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14:paraId="2F6DCCE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注：本表反映部门本年度各项支出情况。</w:t>
            </w:r>
          </w:p>
        </w:tc>
      </w:tr>
    </w:tbl>
    <w:p w14:paraId="59DCDAB9">
      <w:pPr>
        <w:rPr>
          <w:rFonts w:hint="default"/>
          <w:lang w:val="en-US" w:eastAsia="zh-CN"/>
        </w:rPr>
      </w:pPr>
      <w:r>
        <w:rPr>
          <w:rFonts w:hint="default"/>
          <w:lang w:val="en-US" w:eastAsia="zh-CN"/>
        </w:rPr>
        <w:br w:type="page"/>
      </w:r>
    </w:p>
    <w:tbl>
      <w:tblPr>
        <w:tblStyle w:val="6"/>
        <w:tblW w:w="9520" w:type="dxa"/>
        <w:jc w:val="center"/>
        <w:shd w:val="clear" w:color="auto" w:fill="auto"/>
        <w:tblLayout w:type="fixed"/>
        <w:tblCellMar>
          <w:top w:w="0" w:type="dxa"/>
          <w:left w:w="0" w:type="dxa"/>
          <w:bottom w:w="0" w:type="dxa"/>
          <w:right w:w="0" w:type="dxa"/>
        </w:tblCellMar>
      </w:tblPr>
      <w:tblGrid>
        <w:gridCol w:w="2789"/>
        <w:gridCol w:w="382"/>
        <w:gridCol w:w="1132"/>
        <w:gridCol w:w="1909"/>
        <w:gridCol w:w="505"/>
        <w:gridCol w:w="1090"/>
        <w:gridCol w:w="1023"/>
        <w:gridCol w:w="690"/>
      </w:tblGrid>
      <w:tr w14:paraId="51C61744">
        <w:tblPrEx>
          <w:shd w:val="clear" w:color="auto" w:fill="auto"/>
          <w:tblCellMar>
            <w:top w:w="0" w:type="dxa"/>
            <w:left w:w="0" w:type="dxa"/>
            <w:bottom w:w="0" w:type="dxa"/>
            <w:right w:w="0" w:type="dxa"/>
          </w:tblCellMar>
        </w:tblPrEx>
        <w:trPr>
          <w:trHeight w:val="406" w:hRule="atLeast"/>
          <w:jc w:val="center"/>
        </w:trPr>
        <w:tc>
          <w:tcPr>
            <w:tcW w:w="9520" w:type="dxa"/>
            <w:gridSpan w:val="8"/>
            <w:tcBorders>
              <w:top w:val="nil"/>
              <w:left w:val="nil"/>
              <w:bottom w:val="nil"/>
              <w:right w:val="nil"/>
            </w:tcBorders>
            <w:shd w:val="clear" w:color="auto" w:fill="auto"/>
            <w:noWrap/>
            <w:tcMar>
              <w:top w:w="15" w:type="dxa"/>
              <w:left w:w="15" w:type="dxa"/>
              <w:right w:w="15" w:type="dxa"/>
            </w:tcMar>
            <w:vAlign w:val="bottom"/>
          </w:tcPr>
          <w:p w14:paraId="721C2124">
            <w:pPr>
              <w:jc w:val="center"/>
              <w:rPr>
                <w:rFonts w:hint="eastAsia"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财政拨款收入支出决算总表</w:t>
            </w:r>
          </w:p>
        </w:tc>
      </w:tr>
      <w:tr w14:paraId="29B99A2E">
        <w:tblPrEx>
          <w:tblCellMar>
            <w:top w:w="0" w:type="dxa"/>
            <w:left w:w="0" w:type="dxa"/>
            <w:bottom w:w="0" w:type="dxa"/>
            <w:right w:w="0" w:type="dxa"/>
          </w:tblCellMar>
        </w:tblPrEx>
        <w:trPr>
          <w:trHeight w:val="90" w:hRule="atLeast"/>
          <w:jc w:val="center"/>
        </w:trPr>
        <w:tc>
          <w:tcPr>
            <w:tcW w:w="2789" w:type="dxa"/>
            <w:tcBorders>
              <w:top w:val="nil"/>
              <w:left w:val="nil"/>
              <w:bottom w:val="nil"/>
              <w:right w:val="nil"/>
            </w:tcBorders>
            <w:shd w:val="clear" w:color="auto" w:fill="auto"/>
            <w:noWrap/>
            <w:tcMar>
              <w:top w:w="15" w:type="dxa"/>
              <w:left w:w="15" w:type="dxa"/>
              <w:right w:w="15" w:type="dxa"/>
            </w:tcMar>
            <w:vAlign w:val="bottom"/>
          </w:tcPr>
          <w:p w14:paraId="2F0E1057">
            <w:pPr>
              <w:rPr>
                <w:rFonts w:hint="eastAsia" w:ascii="Arial" w:hAnsi="Arial" w:cs="Arial"/>
                <w:i w:val="0"/>
                <w:color w:val="000000"/>
                <w:sz w:val="20"/>
                <w:szCs w:val="20"/>
                <w:u w:val="none"/>
              </w:rPr>
            </w:pPr>
          </w:p>
        </w:tc>
        <w:tc>
          <w:tcPr>
            <w:tcW w:w="382" w:type="dxa"/>
            <w:tcBorders>
              <w:top w:val="nil"/>
              <w:left w:val="nil"/>
              <w:bottom w:val="nil"/>
              <w:right w:val="nil"/>
            </w:tcBorders>
            <w:shd w:val="clear" w:color="auto" w:fill="auto"/>
            <w:noWrap/>
            <w:tcMar>
              <w:top w:w="15" w:type="dxa"/>
              <w:left w:w="15" w:type="dxa"/>
              <w:right w:w="15" w:type="dxa"/>
            </w:tcMar>
            <w:vAlign w:val="bottom"/>
          </w:tcPr>
          <w:p w14:paraId="488ABF56">
            <w:pPr>
              <w:rPr>
                <w:rFonts w:hint="default" w:ascii="Arial" w:hAnsi="Arial" w:cs="Arial"/>
                <w:i w:val="0"/>
                <w:color w:val="000000"/>
                <w:sz w:val="20"/>
                <w:szCs w:val="20"/>
                <w:u w:val="none"/>
              </w:rPr>
            </w:pPr>
          </w:p>
        </w:tc>
        <w:tc>
          <w:tcPr>
            <w:tcW w:w="1132" w:type="dxa"/>
            <w:tcBorders>
              <w:top w:val="nil"/>
              <w:left w:val="nil"/>
              <w:bottom w:val="nil"/>
              <w:right w:val="nil"/>
            </w:tcBorders>
            <w:shd w:val="clear" w:color="auto" w:fill="auto"/>
            <w:noWrap/>
            <w:tcMar>
              <w:top w:w="15" w:type="dxa"/>
              <w:left w:w="15" w:type="dxa"/>
              <w:right w:w="15" w:type="dxa"/>
            </w:tcMar>
            <w:vAlign w:val="bottom"/>
          </w:tcPr>
          <w:p w14:paraId="1FFA9BB4">
            <w:pPr>
              <w:rPr>
                <w:rFonts w:hint="default" w:ascii="Arial" w:hAnsi="Arial" w:cs="Arial"/>
                <w:i w:val="0"/>
                <w:color w:val="000000"/>
                <w:sz w:val="20"/>
                <w:szCs w:val="20"/>
                <w:u w:val="none"/>
              </w:rPr>
            </w:pPr>
          </w:p>
        </w:tc>
        <w:tc>
          <w:tcPr>
            <w:tcW w:w="1909" w:type="dxa"/>
            <w:tcBorders>
              <w:top w:val="nil"/>
              <w:left w:val="nil"/>
              <w:bottom w:val="nil"/>
              <w:right w:val="nil"/>
            </w:tcBorders>
            <w:shd w:val="clear" w:color="auto" w:fill="auto"/>
            <w:noWrap/>
            <w:tcMar>
              <w:top w:w="15" w:type="dxa"/>
              <w:left w:w="15" w:type="dxa"/>
              <w:right w:w="15" w:type="dxa"/>
            </w:tcMar>
            <w:vAlign w:val="bottom"/>
          </w:tcPr>
          <w:p w14:paraId="2CCE9EA7">
            <w:pPr>
              <w:rPr>
                <w:rFonts w:hint="default" w:ascii="Arial" w:hAnsi="Arial" w:cs="Arial"/>
                <w:i w:val="0"/>
                <w:color w:val="000000"/>
                <w:sz w:val="20"/>
                <w:szCs w:val="20"/>
                <w:u w:val="none"/>
              </w:rPr>
            </w:pPr>
          </w:p>
        </w:tc>
        <w:tc>
          <w:tcPr>
            <w:tcW w:w="505" w:type="dxa"/>
            <w:tcBorders>
              <w:top w:val="nil"/>
              <w:left w:val="nil"/>
              <w:bottom w:val="nil"/>
              <w:right w:val="nil"/>
            </w:tcBorders>
            <w:shd w:val="clear" w:color="auto" w:fill="auto"/>
            <w:noWrap/>
            <w:tcMar>
              <w:top w:w="15" w:type="dxa"/>
              <w:left w:w="15" w:type="dxa"/>
              <w:right w:w="15" w:type="dxa"/>
            </w:tcMar>
            <w:vAlign w:val="bottom"/>
          </w:tcPr>
          <w:p w14:paraId="488F674B">
            <w:pPr>
              <w:rPr>
                <w:rFonts w:hint="default" w:ascii="Arial" w:hAnsi="Arial" w:cs="Arial"/>
                <w:i w:val="0"/>
                <w:color w:val="000000"/>
                <w:sz w:val="20"/>
                <w:szCs w:val="20"/>
                <w:u w:val="none"/>
              </w:rPr>
            </w:pPr>
          </w:p>
        </w:tc>
        <w:tc>
          <w:tcPr>
            <w:tcW w:w="2803" w:type="dxa"/>
            <w:gridSpan w:val="3"/>
            <w:tcBorders>
              <w:top w:val="nil"/>
              <w:left w:val="nil"/>
              <w:bottom w:val="nil"/>
              <w:right w:val="nil"/>
            </w:tcBorders>
            <w:shd w:val="clear" w:color="auto" w:fill="auto"/>
            <w:noWrap/>
            <w:tcMar>
              <w:top w:w="15" w:type="dxa"/>
              <w:left w:w="15" w:type="dxa"/>
              <w:right w:w="15" w:type="dxa"/>
            </w:tcMar>
            <w:vAlign w:val="bottom"/>
          </w:tcPr>
          <w:p w14:paraId="5EC27B27">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公开04表</w:t>
            </w:r>
          </w:p>
        </w:tc>
      </w:tr>
      <w:tr w14:paraId="40412D54">
        <w:tblPrEx>
          <w:tblCellMar>
            <w:top w:w="0" w:type="dxa"/>
            <w:left w:w="0" w:type="dxa"/>
            <w:bottom w:w="0" w:type="dxa"/>
            <w:right w:w="0" w:type="dxa"/>
          </w:tblCellMar>
        </w:tblPrEx>
        <w:trPr>
          <w:trHeight w:val="90" w:hRule="atLeast"/>
          <w:jc w:val="center"/>
        </w:trPr>
        <w:tc>
          <w:tcPr>
            <w:tcW w:w="2789" w:type="dxa"/>
            <w:tcBorders>
              <w:top w:val="nil"/>
              <w:left w:val="nil"/>
              <w:bottom w:val="nil"/>
              <w:right w:val="nil"/>
            </w:tcBorders>
            <w:shd w:val="clear" w:color="auto" w:fill="auto"/>
            <w:noWrap/>
            <w:tcMar>
              <w:top w:w="15" w:type="dxa"/>
              <w:left w:w="15" w:type="dxa"/>
              <w:right w:w="15" w:type="dxa"/>
            </w:tcMar>
            <w:vAlign w:val="bottom"/>
          </w:tcPr>
          <w:p w14:paraId="410927AD">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部门：唐山市曹妃甸区发展和改革局</w:t>
            </w:r>
          </w:p>
        </w:tc>
        <w:tc>
          <w:tcPr>
            <w:tcW w:w="382" w:type="dxa"/>
            <w:tcBorders>
              <w:top w:val="nil"/>
              <w:left w:val="nil"/>
              <w:bottom w:val="nil"/>
              <w:right w:val="nil"/>
            </w:tcBorders>
            <w:shd w:val="clear" w:color="auto" w:fill="auto"/>
            <w:noWrap/>
            <w:tcMar>
              <w:top w:w="15" w:type="dxa"/>
              <w:left w:w="15" w:type="dxa"/>
              <w:right w:w="15" w:type="dxa"/>
            </w:tcMar>
            <w:vAlign w:val="bottom"/>
          </w:tcPr>
          <w:p w14:paraId="3449C3DA">
            <w:pPr>
              <w:rPr>
                <w:rFonts w:hint="default" w:ascii="Arial" w:hAnsi="Arial" w:cs="Arial"/>
                <w:i w:val="0"/>
                <w:color w:val="000000"/>
                <w:sz w:val="20"/>
                <w:szCs w:val="20"/>
                <w:u w:val="none"/>
              </w:rPr>
            </w:pPr>
          </w:p>
        </w:tc>
        <w:tc>
          <w:tcPr>
            <w:tcW w:w="1132" w:type="dxa"/>
            <w:tcBorders>
              <w:top w:val="nil"/>
              <w:left w:val="nil"/>
              <w:bottom w:val="nil"/>
              <w:right w:val="nil"/>
            </w:tcBorders>
            <w:shd w:val="clear" w:color="auto" w:fill="auto"/>
            <w:noWrap/>
            <w:tcMar>
              <w:top w:w="15" w:type="dxa"/>
              <w:left w:w="15" w:type="dxa"/>
              <w:right w:w="15" w:type="dxa"/>
            </w:tcMar>
            <w:vAlign w:val="bottom"/>
          </w:tcPr>
          <w:p w14:paraId="0E1E4558">
            <w:pPr>
              <w:rPr>
                <w:rFonts w:hint="default" w:ascii="Arial" w:hAnsi="Arial" w:cs="Arial"/>
                <w:i w:val="0"/>
                <w:color w:val="000000"/>
                <w:sz w:val="20"/>
                <w:szCs w:val="20"/>
                <w:u w:val="none"/>
              </w:rPr>
            </w:pPr>
          </w:p>
        </w:tc>
        <w:tc>
          <w:tcPr>
            <w:tcW w:w="1909" w:type="dxa"/>
            <w:tcBorders>
              <w:top w:val="nil"/>
              <w:left w:val="nil"/>
              <w:bottom w:val="nil"/>
              <w:right w:val="nil"/>
            </w:tcBorders>
            <w:shd w:val="clear" w:color="auto" w:fill="auto"/>
            <w:noWrap/>
            <w:tcMar>
              <w:top w:w="15" w:type="dxa"/>
              <w:left w:w="15" w:type="dxa"/>
              <w:right w:w="15" w:type="dxa"/>
            </w:tcMar>
            <w:vAlign w:val="bottom"/>
          </w:tcPr>
          <w:p w14:paraId="42D6AD8A">
            <w:pPr>
              <w:rPr>
                <w:rFonts w:hint="default" w:ascii="Arial" w:hAnsi="Arial" w:cs="Arial"/>
                <w:i w:val="0"/>
                <w:color w:val="000000"/>
                <w:sz w:val="20"/>
                <w:szCs w:val="20"/>
                <w:u w:val="none"/>
              </w:rPr>
            </w:pPr>
          </w:p>
        </w:tc>
        <w:tc>
          <w:tcPr>
            <w:tcW w:w="505" w:type="dxa"/>
            <w:tcBorders>
              <w:top w:val="nil"/>
              <w:left w:val="nil"/>
              <w:bottom w:val="nil"/>
              <w:right w:val="nil"/>
            </w:tcBorders>
            <w:shd w:val="clear" w:color="auto" w:fill="auto"/>
            <w:noWrap/>
            <w:tcMar>
              <w:top w:w="15" w:type="dxa"/>
              <w:left w:w="15" w:type="dxa"/>
              <w:right w:w="15" w:type="dxa"/>
            </w:tcMar>
            <w:vAlign w:val="bottom"/>
          </w:tcPr>
          <w:p w14:paraId="31687344">
            <w:pPr>
              <w:rPr>
                <w:rFonts w:hint="default" w:ascii="Arial" w:hAnsi="Arial" w:cs="Arial"/>
                <w:i w:val="0"/>
                <w:color w:val="000000"/>
                <w:sz w:val="20"/>
                <w:szCs w:val="20"/>
                <w:u w:val="none"/>
              </w:rPr>
            </w:pPr>
          </w:p>
        </w:tc>
        <w:tc>
          <w:tcPr>
            <w:tcW w:w="2803" w:type="dxa"/>
            <w:gridSpan w:val="3"/>
            <w:tcBorders>
              <w:top w:val="nil"/>
              <w:left w:val="nil"/>
              <w:bottom w:val="nil"/>
              <w:right w:val="nil"/>
            </w:tcBorders>
            <w:shd w:val="clear" w:color="auto" w:fill="auto"/>
            <w:noWrap/>
            <w:tcMar>
              <w:top w:w="15" w:type="dxa"/>
              <w:left w:w="15" w:type="dxa"/>
              <w:right w:w="15" w:type="dxa"/>
            </w:tcMar>
            <w:vAlign w:val="bottom"/>
          </w:tcPr>
          <w:p w14:paraId="6AA586BD">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08DD4152">
        <w:tblPrEx>
          <w:tblCellMar>
            <w:top w:w="0" w:type="dxa"/>
            <w:left w:w="0" w:type="dxa"/>
            <w:bottom w:w="0" w:type="dxa"/>
            <w:right w:w="0" w:type="dxa"/>
          </w:tblCellMar>
        </w:tblPrEx>
        <w:trPr>
          <w:trHeight w:val="90" w:hRule="atLeast"/>
          <w:jc w:val="center"/>
        </w:trPr>
        <w:tc>
          <w:tcPr>
            <w:tcW w:w="430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77F01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收     入</w:t>
            </w:r>
          </w:p>
        </w:tc>
        <w:tc>
          <w:tcPr>
            <w:tcW w:w="5217"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024D5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     出</w:t>
            </w:r>
          </w:p>
        </w:tc>
      </w:tr>
      <w:tr w14:paraId="244AC468">
        <w:tblPrEx>
          <w:tblCellMar>
            <w:top w:w="0" w:type="dxa"/>
            <w:left w:w="0" w:type="dxa"/>
            <w:bottom w:w="0" w:type="dxa"/>
            <w:right w:w="0" w:type="dxa"/>
          </w:tblCellMar>
        </w:tblPrEx>
        <w:trPr>
          <w:trHeight w:val="312" w:hRule="atLeast"/>
          <w:jc w:val="center"/>
        </w:trPr>
        <w:tc>
          <w:tcPr>
            <w:tcW w:w="2789"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BDB8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38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94B21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行次</w:t>
            </w:r>
          </w:p>
        </w:tc>
        <w:tc>
          <w:tcPr>
            <w:tcW w:w="11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19C47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w:t>
            </w:r>
          </w:p>
        </w:tc>
        <w:tc>
          <w:tcPr>
            <w:tcW w:w="19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92D52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50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4428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行次</w:t>
            </w:r>
          </w:p>
        </w:tc>
        <w:tc>
          <w:tcPr>
            <w:tcW w:w="109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C7ACE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02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4BD7C8">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一般公共预算财政拨款</w:t>
            </w:r>
          </w:p>
        </w:tc>
        <w:tc>
          <w:tcPr>
            <w:tcW w:w="6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60260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政府性基金预算财政拨款</w:t>
            </w:r>
          </w:p>
        </w:tc>
      </w:tr>
      <w:tr w14:paraId="2939292D">
        <w:tblPrEx>
          <w:tblCellMar>
            <w:top w:w="0" w:type="dxa"/>
            <w:left w:w="0" w:type="dxa"/>
            <w:bottom w:w="0" w:type="dxa"/>
            <w:right w:w="0" w:type="dxa"/>
          </w:tblCellMar>
        </w:tblPrEx>
        <w:trPr>
          <w:trHeight w:val="312" w:hRule="atLeast"/>
          <w:jc w:val="center"/>
        </w:trPr>
        <w:tc>
          <w:tcPr>
            <w:tcW w:w="2789"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E4CAE">
            <w:pPr>
              <w:jc w:val="center"/>
              <w:rPr>
                <w:rFonts w:hint="eastAsia" w:ascii="宋体" w:hAnsi="宋体" w:eastAsia="宋体" w:cs="宋体"/>
                <w:i w:val="0"/>
                <w:color w:val="000000"/>
                <w:sz w:val="22"/>
                <w:szCs w:val="22"/>
                <w:u w:val="none"/>
              </w:rPr>
            </w:pPr>
          </w:p>
        </w:tc>
        <w:tc>
          <w:tcPr>
            <w:tcW w:w="38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FCD7C0">
            <w:pPr>
              <w:jc w:val="center"/>
              <w:rPr>
                <w:rFonts w:hint="eastAsia" w:ascii="宋体" w:hAnsi="宋体" w:eastAsia="宋体" w:cs="宋体"/>
                <w:i w:val="0"/>
                <w:color w:val="000000"/>
                <w:sz w:val="22"/>
                <w:szCs w:val="22"/>
                <w:u w:val="none"/>
              </w:rPr>
            </w:pPr>
          </w:p>
        </w:tc>
        <w:tc>
          <w:tcPr>
            <w:tcW w:w="11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2B87B1">
            <w:pPr>
              <w:jc w:val="center"/>
              <w:rPr>
                <w:rFonts w:hint="eastAsia" w:ascii="宋体" w:hAnsi="宋体" w:eastAsia="宋体" w:cs="宋体"/>
                <w:i w:val="0"/>
                <w:color w:val="000000"/>
                <w:sz w:val="22"/>
                <w:szCs w:val="22"/>
                <w:u w:val="none"/>
              </w:rPr>
            </w:pPr>
          </w:p>
        </w:tc>
        <w:tc>
          <w:tcPr>
            <w:tcW w:w="19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473181">
            <w:pPr>
              <w:jc w:val="center"/>
              <w:rPr>
                <w:rFonts w:hint="eastAsia" w:ascii="宋体" w:hAnsi="宋体" w:eastAsia="宋体" w:cs="宋体"/>
                <w:i w:val="0"/>
                <w:color w:val="000000"/>
                <w:sz w:val="22"/>
                <w:szCs w:val="22"/>
                <w:u w:val="none"/>
              </w:rPr>
            </w:pPr>
          </w:p>
        </w:tc>
        <w:tc>
          <w:tcPr>
            <w:tcW w:w="50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422027">
            <w:pPr>
              <w:jc w:val="center"/>
              <w:rPr>
                <w:rFonts w:hint="eastAsia" w:ascii="宋体" w:hAnsi="宋体" w:eastAsia="宋体" w:cs="宋体"/>
                <w:i w:val="0"/>
                <w:color w:val="000000"/>
                <w:sz w:val="22"/>
                <w:szCs w:val="22"/>
                <w:u w:val="none"/>
              </w:rPr>
            </w:pPr>
          </w:p>
        </w:tc>
        <w:tc>
          <w:tcPr>
            <w:tcW w:w="109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F8FED">
            <w:pPr>
              <w:jc w:val="center"/>
              <w:rPr>
                <w:rFonts w:hint="eastAsia" w:ascii="宋体" w:hAnsi="宋体" w:eastAsia="宋体" w:cs="宋体"/>
                <w:i w:val="0"/>
                <w:color w:val="000000"/>
                <w:sz w:val="22"/>
                <w:szCs w:val="22"/>
                <w:u w:val="none"/>
              </w:rPr>
            </w:pPr>
          </w:p>
        </w:tc>
        <w:tc>
          <w:tcPr>
            <w:tcW w:w="102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3A50D9">
            <w:pPr>
              <w:jc w:val="center"/>
              <w:rPr>
                <w:rFonts w:hint="eastAsia" w:ascii="宋体" w:hAnsi="宋体" w:eastAsia="宋体" w:cs="宋体"/>
                <w:i w:val="0"/>
                <w:color w:val="000000"/>
                <w:sz w:val="22"/>
                <w:szCs w:val="22"/>
                <w:u w:val="none"/>
              </w:rPr>
            </w:pPr>
          </w:p>
        </w:tc>
        <w:tc>
          <w:tcPr>
            <w:tcW w:w="6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142977">
            <w:pPr>
              <w:jc w:val="center"/>
              <w:rPr>
                <w:rFonts w:hint="eastAsia" w:ascii="宋体" w:hAnsi="宋体" w:eastAsia="宋体" w:cs="宋体"/>
                <w:i w:val="0"/>
                <w:color w:val="000000"/>
                <w:sz w:val="22"/>
                <w:szCs w:val="22"/>
                <w:u w:val="none"/>
              </w:rPr>
            </w:pPr>
          </w:p>
        </w:tc>
      </w:tr>
      <w:tr w14:paraId="61855F0C">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BE01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EE794E">
            <w:pPr>
              <w:jc w:val="center"/>
              <w:rPr>
                <w:rFonts w:hint="eastAsia" w:ascii="宋体" w:hAnsi="宋体" w:eastAsia="宋体" w:cs="宋体"/>
                <w:i w:val="0"/>
                <w:color w:val="000000"/>
                <w:sz w:val="22"/>
                <w:szCs w:val="22"/>
                <w:u w:val="none"/>
              </w:rPr>
            </w:pP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F6764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C1ED7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栏次</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E36C9">
            <w:pPr>
              <w:jc w:val="center"/>
              <w:rPr>
                <w:rFonts w:hint="eastAsia" w:ascii="宋体" w:hAnsi="宋体" w:eastAsia="宋体" w:cs="宋体"/>
                <w:i w:val="0"/>
                <w:color w:val="000000"/>
                <w:sz w:val="22"/>
                <w:szCs w:val="22"/>
                <w:u w:val="none"/>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4A633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1515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115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r>
      <w:tr w14:paraId="32C226A2">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CFDA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一、一般公共预算财政拨款</w:t>
            </w: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4643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0274F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11,714.06</w:t>
            </w: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6A92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一、一般公共服务支出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F0224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7FBC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0DC7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C9490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EB441FB">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B4DE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二、政府性基金预算财政拨款</w:t>
            </w: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99B1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60FF3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678.91</w:t>
            </w: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54CA5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二、外交支出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BE276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CAC4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076BE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DC5D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05DF8D6">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6B738">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53AB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1FA89">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B452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三、国防支出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CC61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CFED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6C996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949B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97EABB9">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80CCC">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8EEE2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4F2B1B">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D64F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四、公共安全支出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51C0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3531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F26E4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63C4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F5DA53D">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5F65D">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EE14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BAD48">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9390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五、教育支出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FBE9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8182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497C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2500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CC0D5F9">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5BCDF">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D2EB6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391942">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D814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六、科学技术支出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FB11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8C2B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0956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0C9C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612F2E9">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3AFC4D">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E643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32397">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D0B3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七、文化旅游体育与传媒支出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1499C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67C7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9EF8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5823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AAC8164">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5DAD3">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D2E1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C6B82">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9577D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八、社会保障和就业支出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0EE2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64E4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55.53</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BE566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55.53</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D3D3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2C5051A">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33F79">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350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5B6D70">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5C536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九、卫生健康支出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090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BB8E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BCCDA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308C2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3401E91">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8095D">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24137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B263D7">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0F32E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十、节能环保支出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721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5B2BC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BBBAE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9DAA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9657206">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9F044">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ED2CC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8CFB9">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7397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十一、城乡社区支出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5C6A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DFF92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A0B7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7A4A3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r>
      <w:tr w14:paraId="56DB1C2D">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16CCF">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E93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23F2C">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AD7B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十二、农林水支出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E007F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A360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FF27E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D848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14:paraId="0282C0FF">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BC2F3">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F025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F21BC">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2C8DF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十三、交通运输支出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34E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FCB5D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3700B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ECB8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r>
      <w:tr w14:paraId="3006B433">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87DF9E">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A9242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444876">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B7EB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十四、资源勘探信息等支出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E0BD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76AFD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755.00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462A9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755.00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42772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70CCD23">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6CDA1">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D4F4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7E0C27">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50642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十五、商业服务业等支出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8DCD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12822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688FE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74C1B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E1738E8">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B5577">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A07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BB0DC">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E72F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十六、金融支出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5EB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253E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511FE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CB75F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1A5374B">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CF37E">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CE15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DA77A">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60F01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十七、援助其他地区支出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3D422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3D4A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8FCD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AFF7B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426C0B2">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A0D19">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CA43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9B588">
            <w:pPr>
              <w:jc w:val="right"/>
              <w:rPr>
                <w:rFonts w:hint="eastAsia" w:ascii="宋体" w:hAnsi="宋体" w:eastAsia="宋体" w:cs="宋体"/>
                <w:i w:val="0"/>
                <w:color w:val="000000"/>
                <w:sz w:val="21"/>
                <w:szCs w:val="21"/>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ADBBE">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十八、自然资源海洋气象等支出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FA5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70316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7B7E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DDBA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C3981CB">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1A3B2">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6628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EE1235">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E3E7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十九、住房保障支出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8846F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95BD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82.53</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FA09E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82.53</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2B55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CD9A889">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96B55">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300C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EC91F">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1543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二十、粮油物资储备支出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3D6A8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60A8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BB97F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ADF2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544CAD7">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CFEBD">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46E2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67B8B6">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80C16">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二十一、灾害防治及应急管理支出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58FB1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FA171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4F5A0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6C6D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16839A9">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5E38B">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49B9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4EEF32">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511D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二十二、其他支出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9003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F4F6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D3302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7264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9071E9E">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3DEB8">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6B766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ED3CA">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955E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二十四、债务付息支出</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76DA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B99E7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59C62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CFBC9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8300592">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0CFA2">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本年收入合计</w:t>
            </w: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277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29F79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12,392.97</w:t>
            </w: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986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本年支出合计</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0D0E7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0387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10,944.50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8D11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10,265.58</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8ADC4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678.91</w:t>
            </w:r>
          </w:p>
        </w:tc>
      </w:tr>
      <w:tr w14:paraId="3473BB4F">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A2944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年初财政拨款结转和结余</w:t>
            </w: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27F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793A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25.73</w:t>
            </w: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C4CED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年末财政拨款结转和结余</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6D9F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F1709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1,474.20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E8CE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1,474.20</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6F7A5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BA49231">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8506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一、一般公共预算财政拨款</w:t>
            </w: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5CB3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3A696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25.73</w:t>
            </w: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141604">
            <w:pPr>
              <w:jc w:val="left"/>
              <w:rPr>
                <w:rFonts w:hint="eastAsia" w:ascii="宋体" w:hAnsi="宋体" w:eastAsia="宋体" w:cs="宋体"/>
                <w:i w:val="0"/>
                <w:color w:val="000000"/>
                <w:sz w:val="22"/>
                <w:szCs w:val="22"/>
                <w:u w:val="none"/>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A42B2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BFE0BC">
            <w:pPr>
              <w:jc w:val="right"/>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AED818">
            <w:pPr>
              <w:jc w:val="right"/>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7F447">
            <w:pPr>
              <w:jc w:val="right"/>
              <w:rPr>
                <w:rFonts w:hint="eastAsia" w:ascii="宋体" w:hAnsi="宋体" w:eastAsia="宋体" w:cs="宋体"/>
                <w:i w:val="0"/>
                <w:color w:val="000000"/>
                <w:sz w:val="22"/>
                <w:szCs w:val="22"/>
                <w:u w:val="none"/>
              </w:rPr>
            </w:pPr>
          </w:p>
        </w:tc>
      </w:tr>
      <w:tr w14:paraId="4656DB61">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DD6A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二、政府性基金预算财政拨款</w:t>
            </w: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54D99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444EC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73D7A">
            <w:pPr>
              <w:jc w:val="left"/>
              <w:rPr>
                <w:rFonts w:hint="eastAsia" w:ascii="宋体" w:hAnsi="宋体" w:eastAsia="宋体" w:cs="宋体"/>
                <w:i w:val="0"/>
                <w:color w:val="000000"/>
                <w:sz w:val="22"/>
                <w:szCs w:val="22"/>
                <w:u w:val="none"/>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79845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ED595">
            <w:pPr>
              <w:jc w:val="right"/>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8E9363">
            <w:pPr>
              <w:jc w:val="right"/>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AA187F">
            <w:pPr>
              <w:jc w:val="right"/>
              <w:rPr>
                <w:rFonts w:hint="eastAsia" w:ascii="宋体" w:hAnsi="宋体" w:eastAsia="宋体" w:cs="宋体"/>
                <w:i w:val="0"/>
                <w:color w:val="000000"/>
                <w:sz w:val="22"/>
                <w:szCs w:val="22"/>
                <w:u w:val="none"/>
              </w:rPr>
            </w:pPr>
          </w:p>
        </w:tc>
      </w:tr>
      <w:tr w14:paraId="71264ABB">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BE9ED">
            <w:pPr>
              <w:jc w:val="left"/>
              <w:rPr>
                <w:rFonts w:hint="eastAsia" w:ascii="宋体" w:hAnsi="宋体" w:eastAsia="宋体" w:cs="宋体"/>
                <w:i w:val="0"/>
                <w:color w:val="000000"/>
                <w:sz w:val="22"/>
                <w:szCs w:val="22"/>
                <w:u w:val="none"/>
              </w:rPr>
            </w:pP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D71A7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3C5231">
            <w:pPr>
              <w:jc w:val="right"/>
              <w:rPr>
                <w:rFonts w:hint="eastAsia" w:ascii="宋体" w:hAnsi="宋体" w:eastAsia="宋体" w:cs="宋体"/>
                <w:i w:val="0"/>
                <w:color w:val="000000"/>
                <w:sz w:val="22"/>
                <w:szCs w:val="22"/>
                <w:u w:val="none"/>
              </w:rPr>
            </w:pP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8DAA81">
            <w:pPr>
              <w:jc w:val="left"/>
              <w:rPr>
                <w:rFonts w:hint="eastAsia" w:ascii="宋体" w:hAnsi="宋体" w:eastAsia="宋体" w:cs="宋体"/>
                <w:i w:val="0"/>
                <w:color w:val="000000"/>
                <w:sz w:val="22"/>
                <w:szCs w:val="22"/>
                <w:u w:val="none"/>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ADD1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EF6AB4">
            <w:pPr>
              <w:jc w:val="right"/>
              <w:rPr>
                <w:rFonts w:hint="eastAsia" w:ascii="宋体" w:hAnsi="宋体" w:eastAsia="宋体" w:cs="宋体"/>
                <w:i w:val="0"/>
                <w:color w:val="000000"/>
                <w:sz w:val="22"/>
                <w:szCs w:val="22"/>
                <w:u w:val="none"/>
              </w:rPr>
            </w:pP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619D41">
            <w:pPr>
              <w:jc w:val="right"/>
              <w:rPr>
                <w:rFonts w:hint="eastAsia" w:ascii="宋体" w:hAnsi="宋体" w:eastAsia="宋体" w:cs="宋体"/>
                <w:i w:val="0"/>
                <w:color w:val="000000"/>
                <w:sz w:val="22"/>
                <w:szCs w:val="22"/>
                <w:u w:val="none"/>
              </w:rPr>
            </w:pP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4B7D08">
            <w:pPr>
              <w:jc w:val="right"/>
              <w:rPr>
                <w:rFonts w:hint="eastAsia" w:ascii="宋体" w:hAnsi="宋体" w:eastAsia="宋体" w:cs="宋体"/>
                <w:i w:val="0"/>
                <w:color w:val="000000"/>
                <w:sz w:val="22"/>
                <w:szCs w:val="22"/>
                <w:u w:val="none"/>
              </w:rPr>
            </w:pPr>
          </w:p>
        </w:tc>
      </w:tr>
      <w:tr w14:paraId="55013EF4">
        <w:tblPrEx>
          <w:tblCellMar>
            <w:top w:w="0" w:type="dxa"/>
            <w:left w:w="0" w:type="dxa"/>
            <w:bottom w:w="0" w:type="dxa"/>
            <w:right w:w="0" w:type="dxa"/>
          </w:tblCellMar>
        </w:tblPrEx>
        <w:trPr>
          <w:trHeight w:val="90" w:hRule="atLeast"/>
          <w:jc w:val="center"/>
        </w:trPr>
        <w:tc>
          <w:tcPr>
            <w:tcW w:w="278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BC5C58">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总计</w:t>
            </w:r>
          </w:p>
        </w:tc>
        <w:tc>
          <w:tcPr>
            <w:tcW w:w="3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6820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1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61857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12,418.70</w:t>
            </w:r>
          </w:p>
        </w:tc>
        <w:tc>
          <w:tcPr>
            <w:tcW w:w="19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2623E3">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总计</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39870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47C95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12,418.70</w:t>
            </w:r>
          </w:p>
        </w:tc>
        <w:tc>
          <w:tcPr>
            <w:tcW w:w="10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B16D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11,739.79</w:t>
            </w:r>
          </w:p>
        </w:tc>
        <w:tc>
          <w:tcPr>
            <w:tcW w:w="6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5862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678.91</w:t>
            </w:r>
          </w:p>
        </w:tc>
      </w:tr>
      <w:tr w14:paraId="5E494FAA">
        <w:tblPrEx>
          <w:tblCellMar>
            <w:top w:w="0" w:type="dxa"/>
            <w:left w:w="0" w:type="dxa"/>
            <w:bottom w:w="0" w:type="dxa"/>
            <w:right w:w="0" w:type="dxa"/>
          </w:tblCellMar>
        </w:tblPrEx>
        <w:trPr>
          <w:trHeight w:val="90" w:hRule="atLeast"/>
          <w:jc w:val="center"/>
        </w:trPr>
        <w:tc>
          <w:tcPr>
            <w:tcW w:w="9520" w:type="dxa"/>
            <w:gridSpan w:val="8"/>
            <w:tcBorders>
              <w:top w:val="nil"/>
              <w:left w:val="nil"/>
              <w:bottom w:val="nil"/>
              <w:right w:val="nil"/>
            </w:tcBorders>
            <w:shd w:val="clear" w:color="auto" w:fill="auto"/>
            <w:noWrap/>
            <w:tcMar>
              <w:top w:w="15" w:type="dxa"/>
              <w:left w:w="15" w:type="dxa"/>
              <w:right w:w="15" w:type="dxa"/>
            </w:tcMar>
            <w:vAlign w:val="center"/>
          </w:tcPr>
          <w:p w14:paraId="3FC15AE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注：本表反映部门本年度一般公共预算财政拨款和政府性基金预算财政拨款的总收支和年末结转结余情况。</w:t>
            </w:r>
          </w:p>
        </w:tc>
      </w:tr>
    </w:tbl>
    <w:p w14:paraId="0143F420">
      <w:pPr>
        <w:rPr>
          <w:rFonts w:hint="default"/>
          <w:lang w:val="en-US" w:eastAsia="zh-CN"/>
        </w:rPr>
      </w:pPr>
      <w:r>
        <w:rPr>
          <w:rFonts w:hint="default"/>
          <w:lang w:val="en-US" w:eastAsia="zh-CN"/>
        </w:rPr>
        <w:br w:type="page"/>
      </w:r>
    </w:p>
    <w:tbl>
      <w:tblPr>
        <w:tblStyle w:val="6"/>
        <w:tblW w:w="10551" w:type="dxa"/>
        <w:jc w:val="center"/>
        <w:shd w:val="clear" w:color="auto" w:fill="auto"/>
        <w:tblLayout w:type="autofit"/>
        <w:tblCellMar>
          <w:top w:w="0" w:type="dxa"/>
          <w:left w:w="0" w:type="dxa"/>
          <w:bottom w:w="0" w:type="dxa"/>
          <w:right w:w="0" w:type="dxa"/>
        </w:tblCellMar>
      </w:tblPr>
      <w:tblGrid>
        <w:gridCol w:w="1174"/>
        <w:gridCol w:w="67"/>
        <w:gridCol w:w="67"/>
        <w:gridCol w:w="2630"/>
        <w:gridCol w:w="2479"/>
        <w:gridCol w:w="2479"/>
        <w:gridCol w:w="2481"/>
      </w:tblGrid>
      <w:tr w14:paraId="255B55C6">
        <w:tblPrEx>
          <w:shd w:val="clear" w:color="auto" w:fill="auto"/>
          <w:tblCellMar>
            <w:top w:w="0" w:type="dxa"/>
            <w:left w:w="0" w:type="dxa"/>
            <w:bottom w:w="0" w:type="dxa"/>
            <w:right w:w="0" w:type="dxa"/>
          </w:tblCellMar>
        </w:tblPrEx>
        <w:trPr>
          <w:trHeight w:val="600" w:hRule="atLeast"/>
          <w:jc w:val="center"/>
        </w:trPr>
        <w:tc>
          <w:tcPr>
            <w:tcW w:w="10551" w:type="dxa"/>
            <w:gridSpan w:val="7"/>
            <w:tcBorders>
              <w:top w:val="nil"/>
              <w:left w:val="nil"/>
              <w:bottom w:val="nil"/>
              <w:right w:val="nil"/>
            </w:tcBorders>
            <w:shd w:val="clear" w:color="auto" w:fill="auto"/>
            <w:noWrap/>
            <w:tcMar>
              <w:top w:w="15" w:type="dxa"/>
              <w:left w:w="15" w:type="dxa"/>
              <w:right w:w="15" w:type="dxa"/>
            </w:tcMar>
            <w:vAlign w:val="center"/>
          </w:tcPr>
          <w:p w14:paraId="052CDE75">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一般公共预算财政拨款支出决算表</w:t>
            </w:r>
          </w:p>
        </w:tc>
      </w:tr>
      <w:tr w14:paraId="22D2BC69">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2C86283D">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4163A2C">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EA0CC6C">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9275C79">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ACAAE13">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75915280">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公开05表</w:t>
            </w:r>
          </w:p>
        </w:tc>
      </w:tr>
      <w:tr w14:paraId="54D53B56">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0D8B28A5">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3F1629B1">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984A981">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2CE263B">
            <w:pPr>
              <w:rPr>
                <w:rFonts w:hint="eastAsia" w:ascii="Arial" w:hAnsi="Arial" w:cs="Arial" w:eastAsiaTheme="minorEastAsia"/>
                <w:i w:val="0"/>
                <w:color w:val="000000"/>
                <w:sz w:val="20"/>
                <w:szCs w:val="20"/>
                <w:u w:val="none"/>
                <w:lang w:eastAsia="zh-CN"/>
              </w:rPr>
            </w:pPr>
            <w:r>
              <w:rPr>
                <w:rFonts w:hint="eastAsia" w:ascii="Arial" w:hAnsi="Arial" w:cs="Arial"/>
                <w:i w:val="0"/>
                <w:color w:val="000000"/>
                <w:sz w:val="20"/>
                <w:szCs w:val="20"/>
                <w:u w:val="none"/>
                <w:lang w:eastAsia="zh-CN"/>
              </w:rPr>
              <w:t>唐山市曹妃甸区发展和改革局</w:t>
            </w:r>
          </w:p>
        </w:tc>
        <w:tc>
          <w:tcPr>
            <w:tcW w:w="0" w:type="auto"/>
            <w:tcBorders>
              <w:top w:val="nil"/>
              <w:left w:val="nil"/>
              <w:bottom w:val="nil"/>
              <w:right w:val="nil"/>
            </w:tcBorders>
            <w:shd w:val="clear" w:color="auto" w:fill="auto"/>
            <w:noWrap/>
            <w:tcMar>
              <w:top w:w="15" w:type="dxa"/>
              <w:left w:w="15" w:type="dxa"/>
              <w:right w:w="15" w:type="dxa"/>
            </w:tcMar>
            <w:vAlign w:val="bottom"/>
          </w:tcPr>
          <w:p w14:paraId="7F6DB6DA">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4FEDBDA4">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55F9E46E">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B09B9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7439"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9818E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w:t>
            </w:r>
          </w:p>
        </w:tc>
      </w:tr>
      <w:tr w14:paraId="5BDA2C6D">
        <w:tblPrEx>
          <w:tblCellMar>
            <w:top w:w="0" w:type="dxa"/>
            <w:left w:w="0" w:type="dxa"/>
            <w:bottom w:w="0" w:type="dxa"/>
            <w:right w:w="0" w:type="dxa"/>
          </w:tblCellMar>
        </w:tblPrEx>
        <w:trPr>
          <w:trHeight w:val="308"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4CD2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0305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247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CBB5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247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4358E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248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7BA0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r>
      <w:tr w14:paraId="5530AAA1">
        <w:tblPrEx>
          <w:tblCellMar>
            <w:top w:w="0" w:type="dxa"/>
            <w:left w:w="0" w:type="dxa"/>
            <w:bottom w:w="0" w:type="dxa"/>
            <w:right w:w="0" w:type="dxa"/>
          </w:tblCellMar>
        </w:tblPrEx>
        <w:trPr>
          <w:trHeight w:val="277"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58B84">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9EF5C6">
            <w:pPr>
              <w:jc w:val="center"/>
              <w:rPr>
                <w:rFonts w:hint="eastAsia" w:ascii="宋体" w:hAnsi="宋体" w:eastAsia="宋体" w:cs="宋体"/>
                <w:i w:val="0"/>
                <w:color w:val="000000"/>
                <w:sz w:val="22"/>
                <w:szCs w:val="22"/>
                <w:u w:val="none"/>
              </w:rPr>
            </w:pPr>
          </w:p>
        </w:tc>
        <w:tc>
          <w:tcPr>
            <w:tcW w:w="247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D78F3D">
            <w:pPr>
              <w:jc w:val="center"/>
              <w:rPr>
                <w:rFonts w:hint="eastAsia" w:ascii="宋体" w:hAnsi="宋体" w:eastAsia="宋体" w:cs="宋体"/>
                <w:i w:val="0"/>
                <w:color w:val="000000"/>
                <w:sz w:val="22"/>
                <w:szCs w:val="22"/>
                <w:u w:val="none"/>
              </w:rPr>
            </w:pPr>
          </w:p>
        </w:tc>
        <w:tc>
          <w:tcPr>
            <w:tcW w:w="247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9E999B">
            <w:pPr>
              <w:jc w:val="center"/>
              <w:rPr>
                <w:rFonts w:hint="eastAsia" w:ascii="宋体" w:hAnsi="宋体" w:eastAsia="宋体" w:cs="宋体"/>
                <w:i w:val="0"/>
                <w:color w:val="000000"/>
                <w:sz w:val="22"/>
                <w:szCs w:val="22"/>
                <w:u w:val="none"/>
              </w:rPr>
            </w:pPr>
          </w:p>
        </w:tc>
        <w:tc>
          <w:tcPr>
            <w:tcW w:w="248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E45985">
            <w:pPr>
              <w:jc w:val="center"/>
              <w:rPr>
                <w:rFonts w:hint="eastAsia" w:ascii="宋体" w:hAnsi="宋体" w:eastAsia="宋体" w:cs="宋体"/>
                <w:i w:val="0"/>
                <w:color w:val="000000"/>
                <w:sz w:val="22"/>
                <w:szCs w:val="22"/>
                <w:u w:val="none"/>
              </w:rPr>
            </w:pPr>
          </w:p>
        </w:tc>
      </w:tr>
      <w:tr w14:paraId="45A418E8">
        <w:tblPrEx>
          <w:tblCellMar>
            <w:top w:w="0" w:type="dxa"/>
            <w:left w:w="0" w:type="dxa"/>
            <w:bottom w:w="0" w:type="dxa"/>
            <w:right w:w="0" w:type="dxa"/>
          </w:tblCellMar>
        </w:tblPrEx>
        <w:trPr>
          <w:trHeight w:val="308"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6B5FA">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5854F">
            <w:pPr>
              <w:jc w:val="center"/>
              <w:rPr>
                <w:rFonts w:hint="eastAsia" w:ascii="宋体" w:hAnsi="宋体" w:eastAsia="宋体" w:cs="宋体"/>
                <w:i w:val="0"/>
                <w:color w:val="000000"/>
                <w:sz w:val="22"/>
                <w:szCs w:val="22"/>
                <w:u w:val="none"/>
              </w:rPr>
            </w:pPr>
          </w:p>
        </w:tc>
        <w:tc>
          <w:tcPr>
            <w:tcW w:w="247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F7CB05">
            <w:pPr>
              <w:jc w:val="center"/>
              <w:rPr>
                <w:rFonts w:hint="eastAsia" w:ascii="宋体" w:hAnsi="宋体" w:eastAsia="宋体" w:cs="宋体"/>
                <w:i w:val="0"/>
                <w:color w:val="000000"/>
                <w:sz w:val="22"/>
                <w:szCs w:val="22"/>
                <w:u w:val="none"/>
              </w:rPr>
            </w:pPr>
          </w:p>
        </w:tc>
        <w:tc>
          <w:tcPr>
            <w:tcW w:w="247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0B7BBD">
            <w:pPr>
              <w:jc w:val="center"/>
              <w:rPr>
                <w:rFonts w:hint="eastAsia" w:ascii="宋体" w:hAnsi="宋体" w:eastAsia="宋体" w:cs="宋体"/>
                <w:i w:val="0"/>
                <w:color w:val="000000"/>
                <w:sz w:val="22"/>
                <w:szCs w:val="22"/>
                <w:u w:val="none"/>
              </w:rPr>
            </w:pPr>
          </w:p>
        </w:tc>
        <w:tc>
          <w:tcPr>
            <w:tcW w:w="248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0157DB">
            <w:pPr>
              <w:jc w:val="center"/>
              <w:rPr>
                <w:rFonts w:hint="eastAsia" w:ascii="宋体" w:hAnsi="宋体" w:eastAsia="宋体" w:cs="宋体"/>
                <w:i w:val="0"/>
                <w:color w:val="000000"/>
                <w:sz w:val="22"/>
                <w:szCs w:val="22"/>
                <w:u w:val="none"/>
              </w:rPr>
            </w:pPr>
          </w:p>
        </w:tc>
      </w:tr>
      <w:tr w14:paraId="333BD7A3">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40B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42EE2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F114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6B0E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r>
      <w:tr w14:paraId="216465FD">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2765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0F8B2">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10,265.58</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6E9E4">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658.80</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FE4E3">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9,606.78</w:t>
            </w:r>
          </w:p>
        </w:tc>
      </w:tr>
      <w:tr w14:paraId="3254659F">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493B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2880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一般公共服务支出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34F2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ADF57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507.84</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EFCB9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183.58</w:t>
            </w:r>
          </w:p>
        </w:tc>
      </w:tr>
      <w:tr w14:paraId="70C637BD">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8393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20104</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15E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发展与改革事务</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9A006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35F01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507.84</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B4C7A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183.58</w:t>
            </w:r>
          </w:p>
        </w:tc>
      </w:tr>
      <w:tr w14:paraId="2B2243A7">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8008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2010401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77708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DBDF8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691.42</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C1F33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507.84</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1330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183.58</w:t>
            </w:r>
          </w:p>
        </w:tc>
      </w:tr>
      <w:tr w14:paraId="0238CE47">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0834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C8B1D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科学技术支出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586F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74ED5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F8DD0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r>
      <w:tr w14:paraId="3D6B4C93">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C7602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20604</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FE5B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技术研究与开发</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8F18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20D4A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AE8B7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r>
      <w:tr w14:paraId="41701990">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1F8E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2060402</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23519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应用技术研究与开发</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D134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E546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31AF0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r>
      <w:tr w14:paraId="4753B58F">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FDE7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FAAA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C252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55.53</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1A4F0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53.13</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2F6A5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w:t>
            </w:r>
          </w:p>
        </w:tc>
      </w:tr>
      <w:tr w14:paraId="361445B9">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D152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3537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人力资源和社会保障管理事务</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A6A56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5ADA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52C62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w:t>
            </w:r>
          </w:p>
        </w:tc>
      </w:tr>
      <w:tr w14:paraId="3691C8D9">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799C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2080106</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6F8CD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就业管理事务</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1A894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F3E6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054B8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w:t>
            </w:r>
          </w:p>
        </w:tc>
      </w:tr>
      <w:tr w14:paraId="3202637D">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7964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BFD9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行政事业单位离退休</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38D15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50.13</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B7574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50.13</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758C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5FB7844">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BB909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36EC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402BB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50.13</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97B0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50.13</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891D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B51ECBC">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CD37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64E6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卫生健康支出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10C6F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DD086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63A5E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BEB773A">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702F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3C4A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EDC00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347B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61.80</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C18A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3EE9D1B0">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9726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4D6AA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69067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CEC2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20.90</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0B40E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26AD3689">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099E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2101103</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84D0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公务员医疗补助</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250A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40.90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9C38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40.90</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6DEBF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65AAB4F9">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862A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E6E01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F294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D012A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1D883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r>
      <w:tr w14:paraId="300DF621">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693B6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03D63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2A85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68DE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FFC18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r>
      <w:tr w14:paraId="72149D40">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D569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4C699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CC9B1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39ABE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04F1F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4,100.00</w:t>
            </w:r>
          </w:p>
        </w:tc>
      </w:tr>
      <w:tr w14:paraId="24DA8884">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5D55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2EE0A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农林水支出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DB52A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B158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17438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r>
      <w:tr w14:paraId="36B363C0">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BA9A1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21302</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C840E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林业和草原</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B631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22B4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6DD51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r>
      <w:tr w14:paraId="431BDAB9">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C438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2130205</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239A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森林培育</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73E53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097C2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CD721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350.00</w:t>
            </w:r>
          </w:p>
        </w:tc>
      </w:tr>
      <w:tr w14:paraId="0A01A710">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E770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906E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资源勘探信息等支出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5C5BC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D4BF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0080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755.00</w:t>
            </w:r>
          </w:p>
        </w:tc>
      </w:tr>
      <w:tr w14:paraId="3D654AB2">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AEAC7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21502</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DDA62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制造业</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68033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7DB57A">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3A62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r>
      <w:tr w14:paraId="4EE12D81">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CD12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2150299</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8D790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其他制造业支出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76805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F983D">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56B5C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550.00</w:t>
            </w:r>
          </w:p>
        </w:tc>
      </w:tr>
      <w:tr w14:paraId="4851E21F">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E2C23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21599</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3D95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其他资源勘探信息等支出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78B11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50AF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77AE6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r>
      <w:tr w14:paraId="65FD9F8F">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362E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2159999</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2C041">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其他资源勘探信息等支出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0FCB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EA38B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065DE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205.00</w:t>
            </w:r>
          </w:p>
        </w:tc>
      </w:tr>
      <w:tr w14:paraId="073E6FA3">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0BDA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54E96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商业服务业等支出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8673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87A61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2BA2C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r>
      <w:tr w14:paraId="56424802">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6F0CA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21699</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CBB41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其他商业服务业等支出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09432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C0F43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84E8E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r>
      <w:tr w14:paraId="597886BA">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9E0B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2169999</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22721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其他商业服务业等支出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D74C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BD373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968AE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3,350.00</w:t>
            </w:r>
          </w:p>
        </w:tc>
      </w:tr>
      <w:tr w14:paraId="7F17ED7D">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785F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F6FE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E151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82.53</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4D3A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7705C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r>
      <w:tr w14:paraId="12BE6229">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4444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25210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保障性安居工程支出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C30F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AC1446">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053C3E">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r>
      <w:tr w14:paraId="27B32B99">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09A0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2210199</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CC2E2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其他保障性安居工程支出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42686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CC08D2">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FB917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46.50</w:t>
            </w:r>
          </w:p>
        </w:tc>
      </w:tr>
      <w:tr w14:paraId="6AB0166E">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76C7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60598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689B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EB21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18E7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01F98EFC">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6F15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7CD23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45A5F">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394C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36.03</w:t>
            </w: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24F43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1FAC5C39">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E6AD8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64644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粮油物资储备支出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BBBDA5">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10A48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641F1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r>
      <w:tr w14:paraId="3F5C9426">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E8A77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22204</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69D6B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粮油储备</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28F62">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B1BA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49EE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r>
      <w:tr w14:paraId="13D6367F">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F1E0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2220403</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53B7D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储备粮（油）库建设</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4F8C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F4FC0">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619D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798.50</w:t>
            </w:r>
          </w:p>
        </w:tc>
      </w:tr>
      <w:tr w14:paraId="0A169F66">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CAC5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442A1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灾害防治及应急管理支出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304E3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E33C5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5C2E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r>
      <w:tr w14:paraId="6A5D9560">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D2C35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22401</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01B6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应急管理事务</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D239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25C25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9EF87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r>
      <w:tr w14:paraId="53672C22">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DA02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2240199</w:t>
            </w:r>
          </w:p>
        </w:tc>
        <w:tc>
          <w:tcPr>
            <w:tcW w:w="18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6C921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其他应急管理支出</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83626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2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87EAE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248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1A5E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r>
    </w:tbl>
    <w:p w14:paraId="6FF931BF">
      <w:pPr>
        <w:rPr>
          <w:rFonts w:hint="default"/>
          <w:lang w:val="en-US" w:eastAsia="zh-CN"/>
        </w:rPr>
      </w:pPr>
      <w:r>
        <w:rPr>
          <w:rFonts w:hint="default"/>
          <w:lang w:val="en-US" w:eastAsia="zh-CN"/>
        </w:rPr>
        <w:br w:type="page"/>
      </w:r>
    </w:p>
    <w:tbl>
      <w:tblPr>
        <w:tblStyle w:val="6"/>
        <w:tblW w:w="10000" w:type="dxa"/>
        <w:jc w:val="center"/>
        <w:shd w:val="clear" w:color="auto" w:fill="auto"/>
        <w:tblLayout w:type="fixed"/>
        <w:tblCellMar>
          <w:top w:w="0" w:type="dxa"/>
          <w:left w:w="0" w:type="dxa"/>
          <w:bottom w:w="0" w:type="dxa"/>
          <w:right w:w="0" w:type="dxa"/>
        </w:tblCellMar>
      </w:tblPr>
      <w:tblGrid>
        <w:gridCol w:w="896"/>
        <w:gridCol w:w="1932"/>
        <w:gridCol w:w="783"/>
        <w:gridCol w:w="655"/>
        <w:gridCol w:w="1599"/>
        <w:gridCol w:w="768"/>
        <w:gridCol w:w="744"/>
        <w:gridCol w:w="1891"/>
        <w:gridCol w:w="732"/>
      </w:tblGrid>
      <w:tr w14:paraId="0A530A15">
        <w:tblPrEx>
          <w:shd w:val="clear" w:color="auto" w:fill="auto"/>
          <w:tblCellMar>
            <w:top w:w="0" w:type="dxa"/>
            <w:left w:w="0" w:type="dxa"/>
            <w:bottom w:w="0" w:type="dxa"/>
            <w:right w:w="0" w:type="dxa"/>
          </w:tblCellMar>
        </w:tblPrEx>
        <w:trPr>
          <w:trHeight w:val="662" w:hRule="atLeast"/>
          <w:jc w:val="center"/>
        </w:trPr>
        <w:tc>
          <w:tcPr>
            <w:tcW w:w="10000" w:type="dxa"/>
            <w:gridSpan w:val="9"/>
            <w:tcBorders>
              <w:top w:val="nil"/>
              <w:left w:val="nil"/>
              <w:bottom w:val="nil"/>
              <w:right w:val="nil"/>
            </w:tcBorders>
            <w:shd w:val="clear" w:color="auto" w:fill="auto"/>
            <w:tcMar>
              <w:top w:w="15" w:type="dxa"/>
              <w:left w:w="15" w:type="dxa"/>
              <w:right w:w="15" w:type="dxa"/>
            </w:tcMar>
            <w:vAlign w:val="center"/>
          </w:tcPr>
          <w:p w14:paraId="022C601A">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一般公共预算财政拨款基本支出决算表</w:t>
            </w:r>
          </w:p>
        </w:tc>
      </w:tr>
      <w:tr w14:paraId="43A5A2E0">
        <w:tblPrEx>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shd w:val="clear" w:color="auto" w:fill="auto"/>
            <w:noWrap/>
            <w:tcMar>
              <w:top w:w="15" w:type="dxa"/>
              <w:left w:w="15" w:type="dxa"/>
              <w:right w:w="15" w:type="dxa"/>
            </w:tcMar>
            <w:vAlign w:val="bottom"/>
          </w:tcPr>
          <w:p w14:paraId="0C3324F9">
            <w:pPr>
              <w:rPr>
                <w:rFonts w:hint="eastAsia" w:ascii="Arial" w:hAnsi="Arial" w:cs="Arial"/>
                <w:i w:val="0"/>
                <w:color w:val="000000"/>
                <w:sz w:val="20"/>
                <w:szCs w:val="20"/>
                <w:u w:val="none"/>
              </w:rPr>
            </w:pPr>
          </w:p>
        </w:tc>
        <w:tc>
          <w:tcPr>
            <w:tcW w:w="1932" w:type="dxa"/>
            <w:tcBorders>
              <w:top w:val="nil"/>
              <w:left w:val="nil"/>
              <w:bottom w:val="nil"/>
              <w:right w:val="nil"/>
            </w:tcBorders>
            <w:shd w:val="clear" w:color="auto" w:fill="auto"/>
            <w:tcMar>
              <w:top w:w="15" w:type="dxa"/>
              <w:left w:w="15" w:type="dxa"/>
              <w:right w:w="15" w:type="dxa"/>
            </w:tcMar>
            <w:vAlign w:val="bottom"/>
          </w:tcPr>
          <w:p w14:paraId="25B55436">
            <w:pPr>
              <w:rPr>
                <w:rFonts w:hint="default" w:ascii="Arial" w:hAnsi="Arial" w:cs="Arial"/>
                <w:i w:val="0"/>
                <w:color w:val="000000"/>
                <w:sz w:val="20"/>
                <w:szCs w:val="20"/>
                <w:u w:val="none"/>
              </w:rPr>
            </w:pPr>
          </w:p>
        </w:tc>
        <w:tc>
          <w:tcPr>
            <w:tcW w:w="783" w:type="dxa"/>
            <w:tcBorders>
              <w:top w:val="nil"/>
              <w:left w:val="nil"/>
              <w:bottom w:val="nil"/>
              <w:right w:val="nil"/>
            </w:tcBorders>
            <w:shd w:val="clear" w:color="auto" w:fill="auto"/>
            <w:noWrap/>
            <w:tcMar>
              <w:top w:w="15" w:type="dxa"/>
              <w:left w:w="15" w:type="dxa"/>
              <w:right w:w="15" w:type="dxa"/>
            </w:tcMar>
            <w:vAlign w:val="bottom"/>
          </w:tcPr>
          <w:p w14:paraId="14EE8195">
            <w:pPr>
              <w:rPr>
                <w:rFonts w:hint="default" w:ascii="Arial" w:hAnsi="Arial" w:cs="Arial"/>
                <w:i w:val="0"/>
                <w:color w:val="000000"/>
                <w:sz w:val="20"/>
                <w:szCs w:val="20"/>
                <w:u w:val="none"/>
              </w:rPr>
            </w:pPr>
          </w:p>
        </w:tc>
        <w:tc>
          <w:tcPr>
            <w:tcW w:w="655" w:type="dxa"/>
            <w:tcBorders>
              <w:top w:val="nil"/>
              <w:left w:val="nil"/>
              <w:bottom w:val="nil"/>
              <w:right w:val="nil"/>
            </w:tcBorders>
            <w:shd w:val="clear" w:color="auto" w:fill="auto"/>
            <w:noWrap/>
            <w:tcMar>
              <w:top w:w="15" w:type="dxa"/>
              <w:left w:w="15" w:type="dxa"/>
              <w:right w:w="15" w:type="dxa"/>
            </w:tcMar>
            <w:vAlign w:val="bottom"/>
          </w:tcPr>
          <w:p w14:paraId="36939C84">
            <w:pPr>
              <w:rPr>
                <w:rFonts w:hint="default" w:ascii="Arial" w:hAnsi="Arial" w:cs="Arial"/>
                <w:i w:val="0"/>
                <w:color w:val="000000"/>
                <w:sz w:val="20"/>
                <w:szCs w:val="20"/>
                <w:u w:val="none"/>
              </w:rPr>
            </w:pPr>
          </w:p>
        </w:tc>
        <w:tc>
          <w:tcPr>
            <w:tcW w:w="1599" w:type="dxa"/>
            <w:tcBorders>
              <w:top w:val="nil"/>
              <w:left w:val="nil"/>
              <w:bottom w:val="nil"/>
              <w:right w:val="nil"/>
            </w:tcBorders>
            <w:shd w:val="clear" w:color="auto" w:fill="auto"/>
            <w:tcMar>
              <w:top w:w="15" w:type="dxa"/>
              <w:left w:w="15" w:type="dxa"/>
              <w:right w:w="15" w:type="dxa"/>
            </w:tcMar>
            <w:vAlign w:val="bottom"/>
          </w:tcPr>
          <w:p w14:paraId="352F788B">
            <w:pPr>
              <w:rPr>
                <w:rFonts w:hint="default" w:ascii="Arial" w:hAnsi="Arial" w:cs="Arial"/>
                <w:i w:val="0"/>
                <w:color w:val="000000"/>
                <w:sz w:val="20"/>
                <w:szCs w:val="20"/>
                <w:u w:val="none"/>
              </w:rPr>
            </w:pPr>
          </w:p>
        </w:tc>
        <w:tc>
          <w:tcPr>
            <w:tcW w:w="768" w:type="dxa"/>
            <w:tcBorders>
              <w:top w:val="nil"/>
              <w:left w:val="nil"/>
              <w:bottom w:val="nil"/>
              <w:right w:val="nil"/>
            </w:tcBorders>
            <w:shd w:val="clear" w:color="auto" w:fill="auto"/>
            <w:noWrap/>
            <w:tcMar>
              <w:top w:w="15" w:type="dxa"/>
              <w:left w:w="15" w:type="dxa"/>
              <w:right w:w="15" w:type="dxa"/>
            </w:tcMar>
            <w:vAlign w:val="bottom"/>
          </w:tcPr>
          <w:p w14:paraId="25210B14">
            <w:pPr>
              <w:rPr>
                <w:rFonts w:hint="default" w:ascii="Arial" w:hAnsi="Arial" w:cs="Arial"/>
                <w:i w:val="0"/>
                <w:color w:val="000000"/>
                <w:sz w:val="20"/>
                <w:szCs w:val="20"/>
                <w:u w:val="none"/>
              </w:rPr>
            </w:pPr>
          </w:p>
        </w:tc>
        <w:tc>
          <w:tcPr>
            <w:tcW w:w="744" w:type="dxa"/>
            <w:tcBorders>
              <w:top w:val="nil"/>
              <w:left w:val="nil"/>
              <w:bottom w:val="nil"/>
              <w:right w:val="nil"/>
            </w:tcBorders>
            <w:shd w:val="clear" w:color="auto" w:fill="auto"/>
            <w:noWrap/>
            <w:tcMar>
              <w:top w:w="15" w:type="dxa"/>
              <w:left w:w="15" w:type="dxa"/>
              <w:right w:w="15" w:type="dxa"/>
            </w:tcMar>
            <w:vAlign w:val="bottom"/>
          </w:tcPr>
          <w:p w14:paraId="0F1E390B">
            <w:pPr>
              <w:rPr>
                <w:rFonts w:hint="default" w:ascii="Arial" w:hAnsi="Arial" w:cs="Arial"/>
                <w:i w:val="0"/>
                <w:color w:val="000000"/>
                <w:sz w:val="20"/>
                <w:szCs w:val="20"/>
                <w:u w:val="none"/>
              </w:rPr>
            </w:pPr>
          </w:p>
        </w:tc>
        <w:tc>
          <w:tcPr>
            <w:tcW w:w="2623" w:type="dxa"/>
            <w:gridSpan w:val="2"/>
            <w:tcBorders>
              <w:top w:val="nil"/>
              <w:left w:val="nil"/>
              <w:bottom w:val="nil"/>
              <w:right w:val="nil"/>
            </w:tcBorders>
            <w:shd w:val="clear" w:color="auto" w:fill="auto"/>
            <w:noWrap/>
            <w:tcMar>
              <w:top w:w="15" w:type="dxa"/>
              <w:left w:w="15" w:type="dxa"/>
              <w:right w:w="15" w:type="dxa"/>
            </w:tcMar>
            <w:vAlign w:val="bottom"/>
          </w:tcPr>
          <w:p w14:paraId="322C0403">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公开06表</w:t>
            </w:r>
          </w:p>
        </w:tc>
      </w:tr>
      <w:tr w14:paraId="2F4DA18B">
        <w:tblPrEx>
          <w:tblCellMar>
            <w:top w:w="0" w:type="dxa"/>
            <w:left w:w="0" w:type="dxa"/>
            <w:bottom w:w="0" w:type="dxa"/>
            <w:right w:w="0" w:type="dxa"/>
          </w:tblCellMar>
        </w:tblPrEx>
        <w:trPr>
          <w:trHeight w:val="339" w:hRule="atLeast"/>
          <w:jc w:val="center"/>
        </w:trPr>
        <w:tc>
          <w:tcPr>
            <w:tcW w:w="896" w:type="dxa"/>
            <w:tcBorders>
              <w:top w:val="nil"/>
              <w:left w:val="nil"/>
              <w:bottom w:val="nil"/>
              <w:right w:val="nil"/>
            </w:tcBorders>
            <w:shd w:val="clear" w:color="auto" w:fill="auto"/>
            <w:noWrap/>
            <w:tcMar>
              <w:top w:w="15" w:type="dxa"/>
              <w:left w:w="15" w:type="dxa"/>
              <w:right w:w="15" w:type="dxa"/>
            </w:tcMar>
            <w:vAlign w:val="bottom"/>
          </w:tcPr>
          <w:p w14:paraId="4C413E8C">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1932" w:type="dxa"/>
            <w:tcBorders>
              <w:top w:val="nil"/>
              <w:left w:val="nil"/>
              <w:bottom w:val="nil"/>
              <w:right w:val="nil"/>
            </w:tcBorders>
            <w:shd w:val="clear" w:color="auto" w:fill="auto"/>
            <w:tcMar>
              <w:top w:w="15" w:type="dxa"/>
              <w:left w:w="15" w:type="dxa"/>
              <w:right w:w="15" w:type="dxa"/>
            </w:tcMar>
            <w:vAlign w:val="bottom"/>
          </w:tcPr>
          <w:p w14:paraId="37B9297D">
            <w:pPr>
              <w:rPr>
                <w:rFonts w:hint="eastAsia" w:ascii="Arial" w:hAnsi="Arial" w:cs="Arial" w:eastAsiaTheme="minorEastAsia"/>
                <w:i w:val="0"/>
                <w:color w:val="000000"/>
                <w:sz w:val="20"/>
                <w:szCs w:val="20"/>
                <w:u w:val="none"/>
                <w:lang w:eastAsia="zh-CN"/>
              </w:rPr>
            </w:pPr>
            <w:r>
              <w:rPr>
                <w:rFonts w:hint="eastAsia" w:ascii="Arial" w:hAnsi="Arial" w:cs="Arial"/>
                <w:i w:val="0"/>
                <w:color w:val="000000"/>
                <w:sz w:val="20"/>
                <w:szCs w:val="20"/>
                <w:u w:val="none"/>
                <w:lang w:eastAsia="zh-CN"/>
              </w:rPr>
              <w:t>唐山市曹妃甸区发展和改革局</w:t>
            </w:r>
          </w:p>
        </w:tc>
        <w:tc>
          <w:tcPr>
            <w:tcW w:w="783" w:type="dxa"/>
            <w:tcBorders>
              <w:top w:val="nil"/>
              <w:left w:val="nil"/>
              <w:bottom w:val="nil"/>
              <w:right w:val="nil"/>
            </w:tcBorders>
            <w:shd w:val="clear" w:color="auto" w:fill="auto"/>
            <w:noWrap/>
            <w:tcMar>
              <w:top w:w="15" w:type="dxa"/>
              <w:left w:w="15" w:type="dxa"/>
              <w:right w:w="15" w:type="dxa"/>
            </w:tcMar>
            <w:vAlign w:val="bottom"/>
          </w:tcPr>
          <w:p w14:paraId="051F43ED">
            <w:pPr>
              <w:rPr>
                <w:rFonts w:hint="default" w:ascii="Arial" w:hAnsi="Arial" w:cs="Arial"/>
                <w:i w:val="0"/>
                <w:color w:val="000000"/>
                <w:sz w:val="20"/>
                <w:szCs w:val="20"/>
                <w:u w:val="none"/>
              </w:rPr>
            </w:pPr>
          </w:p>
        </w:tc>
        <w:tc>
          <w:tcPr>
            <w:tcW w:w="655" w:type="dxa"/>
            <w:tcBorders>
              <w:top w:val="nil"/>
              <w:left w:val="nil"/>
              <w:bottom w:val="nil"/>
              <w:right w:val="nil"/>
            </w:tcBorders>
            <w:shd w:val="clear" w:color="auto" w:fill="auto"/>
            <w:noWrap/>
            <w:tcMar>
              <w:top w:w="15" w:type="dxa"/>
              <w:left w:w="15" w:type="dxa"/>
              <w:right w:w="15" w:type="dxa"/>
            </w:tcMar>
            <w:vAlign w:val="bottom"/>
          </w:tcPr>
          <w:p w14:paraId="0DF1B104">
            <w:pPr>
              <w:rPr>
                <w:rFonts w:hint="default" w:ascii="Arial" w:hAnsi="Arial" w:cs="Arial"/>
                <w:i w:val="0"/>
                <w:color w:val="000000"/>
                <w:sz w:val="20"/>
                <w:szCs w:val="20"/>
                <w:u w:val="none"/>
              </w:rPr>
            </w:pPr>
          </w:p>
        </w:tc>
        <w:tc>
          <w:tcPr>
            <w:tcW w:w="1599" w:type="dxa"/>
            <w:tcBorders>
              <w:top w:val="nil"/>
              <w:left w:val="nil"/>
              <w:bottom w:val="nil"/>
              <w:right w:val="nil"/>
            </w:tcBorders>
            <w:shd w:val="clear" w:color="auto" w:fill="auto"/>
            <w:tcMar>
              <w:top w:w="15" w:type="dxa"/>
              <w:left w:w="15" w:type="dxa"/>
              <w:right w:w="15" w:type="dxa"/>
            </w:tcMar>
            <w:vAlign w:val="bottom"/>
          </w:tcPr>
          <w:p w14:paraId="5B017DFB">
            <w:pPr>
              <w:rPr>
                <w:rFonts w:hint="default" w:ascii="Arial" w:hAnsi="Arial" w:cs="Arial"/>
                <w:i w:val="0"/>
                <w:color w:val="000000"/>
                <w:sz w:val="20"/>
                <w:szCs w:val="20"/>
                <w:u w:val="none"/>
              </w:rPr>
            </w:pPr>
          </w:p>
        </w:tc>
        <w:tc>
          <w:tcPr>
            <w:tcW w:w="768" w:type="dxa"/>
            <w:tcBorders>
              <w:top w:val="nil"/>
              <w:left w:val="nil"/>
              <w:bottom w:val="nil"/>
              <w:right w:val="nil"/>
            </w:tcBorders>
            <w:shd w:val="clear" w:color="auto" w:fill="auto"/>
            <w:noWrap/>
            <w:tcMar>
              <w:top w:w="15" w:type="dxa"/>
              <w:left w:w="15" w:type="dxa"/>
              <w:right w:w="15" w:type="dxa"/>
            </w:tcMar>
            <w:vAlign w:val="bottom"/>
          </w:tcPr>
          <w:p w14:paraId="4D916388">
            <w:pPr>
              <w:rPr>
                <w:rFonts w:hint="default" w:ascii="Arial" w:hAnsi="Arial" w:cs="Arial"/>
                <w:i w:val="0"/>
                <w:color w:val="000000"/>
                <w:sz w:val="20"/>
                <w:szCs w:val="20"/>
                <w:u w:val="none"/>
              </w:rPr>
            </w:pPr>
          </w:p>
        </w:tc>
        <w:tc>
          <w:tcPr>
            <w:tcW w:w="744" w:type="dxa"/>
            <w:tcBorders>
              <w:top w:val="nil"/>
              <w:left w:val="nil"/>
              <w:bottom w:val="nil"/>
              <w:right w:val="nil"/>
            </w:tcBorders>
            <w:shd w:val="clear" w:color="auto" w:fill="auto"/>
            <w:noWrap/>
            <w:tcMar>
              <w:top w:w="15" w:type="dxa"/>
              <w:left w:w="15" w:type="dxa"/>
              <w:right w:w="15" w:type="dxa"/>
            </w:tcMar>
            <w:vAlign w:val="bottom"/>
          </w:tcPr>
          <w:p w14:paraId="0C14892C">
            <w:pPr>
              <w:rPr>
                <w:rFonts w:hint="default" w:ascii="Arial" w:hAnsi="Arial" w:cs="Arial"/>
                <w:i w:val="0"/>
                <w:color w:val="000000"/>
                <w:sz w:val="20"/>
                <w:szCs w:val="20"/>
                <w:u w:val="none"/>
              </w:rPr>
            </w:pPr>
          </w:p>
        </w:tc>
        <w:tc>
          <w:tcPr>
            <w:tcW w:w="2623" w:type="dxa"/>
            <w:gridSpan w:val="2"/>
            <w:tcBorders>
              <w:top w:val="nil"/>
              <w:left w:val="nil"/>
              <w:bottom w:val="nil"/>
              <w:right w:val="nil"/>
            </w:tcBorders>
            <w:shd w:val="clear" w:color="auto" w:fill="auto"/>
            <w:noWrap/>
            <w:tcMar>
              <w:top w:w="15" w:type="dxa"/>
              <w:left w:w="15" w:type="dxa"/>
              <w:right w:w="15" w:type="dxa"/>
            </w:tcMar>
            <w:vAlign w:val="bottom"/>
          </w:tcPr>
          <w:p w14:paraId="72FD24B7">
            <w:pPr>
              <w:keepNext w:val="0"/>
              <w:keepLines w:val="0"/>
              <w:widowControl/>
              <w:suppressLineNumbers w:val="0"/>
              <w:jc w:val="righ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金额单位：万元</w:t>
            </w:r>
          </w:p>
        </w:tc>
      </w:tr>
      <w:tr w14:paraId="2943A661">
        <w:tblPrEx>
          <w:tblCellMar>
            <w:top w:w="0" w:type="dxa"/>
            <w:left w:w="0" w:type="dxa"/>
            <w:bottom w:w="0" w:type="dxa"/>
            <w:right w:w="0" w:type="dxa"/>
          </w:tblCellMar>
        </w:tblPrEx>
        <w:trPr>
          <w:trHeight w:val="362" w:hRule="atLeast"/>
          <w:jc w:val="center"/>
        </w:trPr>
        <w:tc>
          <w:tcPr>
            <w:tcW w:w="361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9B73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人员经费</w:t>
            </w:r>
          </w:p>
        </w:tc>
        <w:tc>
          <w:tcPr>
            <w:tcW w:w="6389"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BD22E2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公用经费</w:t>
            </w:r>
          </w:p>
        </w:tc>
      </w:tr>
      <w:tr w14:paraId="7DD11A53">
        <w:tblPrEx>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799B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科目</w:t>
            </w:r>
          </w:p>
          <w:p w14:paraId="6443E26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编码</w:t>
            </w:r>
          </w:p>
        </w:tc>
        <w:tc>
          <w:tcPr>
            <w:tcW w:w="19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C763A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78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FF933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c>
          <w:tcPr>
            <w:tcW w:w="65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896F7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科目编码</w:t>
            </w:r>
          </w:p>
        </w:tc>
        <w:tc>
          <w:tcPr>
            <w:tcW w:w="159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4DB7A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7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73030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c>
          <w:tcPr>
            <w:tcW w:w="74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5E450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科目</w:t>
            </w:r>
          </w:p>
          <w:p w14:paraId="0B8D31F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编码</w:t>
            </w:r>
          </w:p>
        </w:tc>
        <w:tc>
          <w:tcPr>
            <w:tcW w:w="18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32C98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7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65E26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r>
      <w:tr w14:paraId="2421312C">
        <w:tblPrEx>
          <w:tblCellMar>
            <w:top w:w="0" w:type="dxa"/>
            <w:left w:w="0" w:type="dxa"/>
            <w:bottom w:w="0" w:type="dxa"/>
            <w:right w:w="0" w:type="dxa"/>
          </w:tblCellMar>
        </w:tblPrEx>
        <w:trPr>
          <w:trHeight w:val="349" w:hRule="atLeast"/>
          <w:jc w:val="center"/>
        </w:trPr>
        <w:tc>
          <w:tcPr>
            <w:tcW w:w="896"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E088C">
            <w:pPr>
              <w:jc w:val="center"/>
              <w:rPr>
                <w:rFonts w:hint="eastAsia" w:ascii="宋体" w:hAnsi="宋体" w:eastAsia="宋体" w:cs="宋体"/>
                <w:i w:val="0"/>
                <w:color w:val="000000"/>
                <w:sz w:val="22"/>
                <w:szCs w:val="22"/>
                <w:u w:val="none"/>
              </w:rPr>
            </w:pPr>
          </w:p>
        </w:tc>
        <w:tc>
          <w:tcPr>
            <w:tcW w:w="19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4CAAA2">
            <w:pPr>
              <w:jc w:val="center"/>
              <w:rPr>
                <w:rFonts w:hint="eastAsia" w:ascii="宋体" w:hAnsi="宋体" w:eastAsia="宋体" w:cs="宋体"/>
                <w:i w:val="0"/>
                <w:color w:val="000000"/>
                <w:sz w:val="22"/>
                <w:szCs w:val="22"/>
                <w:u w:val="none"/>
              </w:rPr>
            </w:pPr>
          </w:p>
        </w:tc>
        <w:tc>
          <w:tcPr>
            <w:tcW w:w="78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FA3383">
            <w:pPr>
              <w:jc w:val="center"/>
              <w:rPr>
                <w:rFonts w:hint="eastAsia" w:ascii="宋体" w:hAnsi="宋体" w:eastAsia="宋体" w:cs="宋体"/>
                <w:i w:val="0"/>
                <w:color w:val="000000"/>
                <w:sz w:val="22"/>
                <w:szCs w:val="22"/>
                <w:u w:val="none"/>
              </w:rPr>
            </w:pPr>
          </w:p>
        </w:tc>
        <w:tc>
          <w:tcPr>
            <w:tcW w:w="65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B18FD4">
            <w:pPr>
              <w:jc w:val="center"/>
              <w:rPr>
                <w:rFonts w:hint="eastAsia" w:ascii="宋体" w:hAnsi="宋体" w:eastAsia="宋体" w:cs="宋体"/>
                <w:i w:val="0"/>
                <w:color w:val="000000"/>
                <w:sz w:val="22"/>
                <w:szCs w:val="22"/>
                <w:u w:val="none"/>
              </w:rPr>
            </w:pPr>
          </w:p>
        </w:tc>
        <w:tc>
          <w:tcPr>
            <w:tcW w:w="159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EA492E">
            <w:pPr>
              <w:jc w:val="center"/>
              <w:rPr>
                <w:rFonts w:hint="eastAsia" w:ascii="宋体" w:hAnsi="宋体" w:eastAsia="宋体" w:cs="宋体"/>
                <w:i w:val="0"/>
                <w:color w:val="000000"/>
                <w:sz w:val="22"/>
                <w:szCs w:val="22"/>
                <w:u w:val="none"/>
              </w:rPr>
            </w:pPr>
          </w:p>
        </w:tc>
        <w:tc>
          <w:tcPr>
            <w:tcW w:w="7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6C0DBC">
            <w:pPr>
              <w:jc w:val="center"/>
              <w:rPr>
                <w:rFonts w:hint="eastAsia" w:ascii="宋体" w:hAnsi="宋体" w:eastAsia="宋体" w:cs="宋体"/>
                <w:i w:val="0"/>
                <w:color w:val="000000"/>
                <w:sz w:val="22"/>
                <w:szCs w:val="22"/>
                <w:u w:val="none"/>
              </w:rPr>
            </w:pPr>
          </w:p>
        </w:tc>
        <w:tc>
          <w:tcPr>
            <w:tcW w:w="74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EAF092">
            <w:pPr>
              <w:jc w:val="center"/>
              <w:rPr>
                <w:rFonts w:hint="eastAsia" w:ascii="宋体" w:hAnsi="宋体" w:eastAsia="宋体" w:cs="宋体"/>
                <w:i w:val="0"/>
                <w:color w:val="000000"/>
                <w:sz w:val="22"/>
                <w:szCs w:val="22"/>
                <w:u w:val="none"/>
              </w:rPr>
            </w:pPr>
          </w:p>
        </w:tc>
        <w:tc>
          <w:tcPr>
            <w:tcW w:w="18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A3FE22">
            <w:pPr>
              <w:jc w:val="center"/>
              <w:rPr>
                <w:rFonts w:hint="eastAsia" w:ascii="宋体" w:hAnsi="宋体" w:eastAsia="宋体" w:cs="宋体"/>
                <w:i w:val="0"/>
                <w:color w:val="000000"/>
                <w:sz w:val="22"/>
                <w:szCs w:val="22"/>
                <w:u w:val="none"/>
              </w:rPr>
            </w:pPr>
          </w:p>
        </w:tc>
        <w:tc>
          <w:tcPr>
            <w:tcW w:w="7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5D63A">
            <w:pPr>
              <w:jc w:val="center"/>
              <w:rPr>
                <w:rFonts w:hint="eastAsia" w:ascii="宋体" w:hAnsi="宋体" w:eastAsia="宋体" w:cs="宋体"/>
                <w:i w:val="0"/>
                <w:color w:val="000000"/>
                <w:sz w:val="22"/>
                <w:szCs w:val="22"/>
                <w:u w:val="none"/>
              </w:rPr>
            </w:pPr>
          </w:p>
        </w:tc>
      </w:tr>
      <w:tr w14:paraId="3AA0994B">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29E0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B9088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工资福利支出</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5D09E7">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584.72</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9F244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F969B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商品和服务支出</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CB2B81">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50.07</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3A0AF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4A4D2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债务利息及费用支出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F14671">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1104C907">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7A04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1E4B6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基本工资</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37E975">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144.49</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D3C5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F7745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办公费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2BF84A">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5.59</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B29E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30701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CD4AE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国内债务付息</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82368">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275763EC">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19A8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4ABC3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津贴补贴</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25F8A">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78.33</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9696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12B9A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印刷费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66B70">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5.78</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AA7CF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30702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6871A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国外债务付息</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97DE8B">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23BC6E9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A44B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1E921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奖金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7F6A1">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80.84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CCB6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30203</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D0CEC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咨询费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501AC">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53C03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2ECCB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资本性支出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55D7E8">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02DC905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D870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30106</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F6DB3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伙食补助费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60288A">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E478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F8702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手续费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D4985">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A7B2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51D0A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房屋建筑物购建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F9FA6">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5ED46DDB">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2ACC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30107</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48DAD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绩效工资</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1E61A8">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100.68</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EE80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31E36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水费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DE7D15">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7EDB9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2C2BA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办公设备购置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2960FB">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6077ABDB">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6494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30108</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7AD16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B6B126">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50.13</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A231E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ADECE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电费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CBEAEE">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5C63B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31003</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2BEF0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专用设备购置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0620C3">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21B7E01A">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6134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30109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C8948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职业年金缴费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923D2">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0DEA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30207</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4E6F8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邮电费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E9E324">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14.24</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D732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31005</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0846A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基础设施建设</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7C08F">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1EC5FB0D">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39A09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30110</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C7BE3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职工基本医疗保险缴费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0ADF6">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20.17</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A37AE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C7CAE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取暖费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DF8A34">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058B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31006</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E2BE3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大型修缮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3401D">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07729251">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0788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92901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公务员医疗补助缴费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718BE7">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40.90</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26B4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30209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0C8F8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物业管理费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92C07">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A6B5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699E4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信息网络及软件购置更新</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DE68D">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1BBC6AE9">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EEE0C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8D7FD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其他社会保障缴费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92C7FF">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3.16</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26BEE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2646D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差旅费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EA761">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2.00</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03301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31008</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97D42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物资储备</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C6D006">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5662BCFA">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6A6A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68AD7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住房公积金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4B667">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36.03</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3C59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D175F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因公出国（境）费用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45724D">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54D34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31009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CB271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土地补偿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2942A5">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7409593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6A02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30114</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55D61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医疗费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9DB1B2">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BD070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30213</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2FCB6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维修（护）费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0E59E9">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1E95F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31010</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2B3D9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安置补助</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A0F9E8">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20D4480D">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2D03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30199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5F7EC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其他工资福利支出</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23A509">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29.99</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94CB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96B72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租赁费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0D227">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96FF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BDDD5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地上附着物和青苗补偿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B6C3B8">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3485D0FA">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51A7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2A0B5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对个人和家庭的补助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C5A3EA">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24.01</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212B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91BB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会议费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FEA11">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E8DA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ECABB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拆迁补偿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09671">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12B85B9A">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D24DF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6FD72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离休费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E6D51">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0.71</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0923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C4CC5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培训费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F9410">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DA8AC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31013</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34DF0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公务用车购置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75842">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247121D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63D4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D0DCA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退休费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13F4F1">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23.24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0F1AF4">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1B367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公务接待费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F47FE">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25BCA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31019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0CA08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其他交通工具购置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8BA25">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24EF6978">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3D9A5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B84C9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退职（役）费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ADA968">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83F8C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30218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CE234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专用材料费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0A4AF">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F671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31021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4AC02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文物和陈列品购置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F9E9EC">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3E77816D">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C7800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30304</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14039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抚恤金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5C2C72">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DBCF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9ECAF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被装购置费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77384">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9301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31022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43E47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无形资产购置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AA9BB">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06E38585">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02DD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30305</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7A958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生活补助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8045A">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3CE46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131D9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专用燃料费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9073B">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68E7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5FE85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其他资本性支出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E27E29">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28285174">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5F79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30306</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4BF8B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救济费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BFA3D3">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D0C06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EDBA6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劳务费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12D462">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9859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2E970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313E4F">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657637CD">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FF2B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30307</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8FFA9F">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医疗费补助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4881BE">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487DEB">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30227</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902E1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委托业务费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FB441">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E5731">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39906</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52CC6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赠与</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A3C35">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7CB53F26">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EB43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30308</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A1000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助学金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CB7E55">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CDE46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B50F5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工会经费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671CAC">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4416D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98B34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国家赔偿费用支出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FCDF6F">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66F681E2">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14C2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30309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78842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奖励金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39BCD1">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D50EFE">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30229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7AA3E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福利费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845EF4">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2.35</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DD8E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39908</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15959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r>
              <w:rPr>
                <w:rFonts w:hint="eastAsia" w:ascii="宋体" w:hAnsi="宋体" w:eastAsia="宋体" w:cs="宋体"/>
                <w:i w:val="0"/>
                <w:color w:val="000000"/>
                <w:kern w:val="0"/>
                <w:sz w:val="18"/>
                <w:szCs w:val="18"/>
                <w:u w:val="none"/>
                <w:lang w:val="en-US" w:eastAsia="zh-CN" w:bidi="ar"/>
              </w:rPr>
              <w:t xml:space="preserve"> 对民间非营利组织和群众性自治组织补贴</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01218">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77A0EE6F">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1EDD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30310</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95364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个人农业生产补贴</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6F48C">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20A9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30231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335343">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公务用车运行维护费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7DC51C">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10.89</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1A86B8">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39999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9110D2">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56591">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r>
      <w:tr w14:paraId="0C014BC6">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F95BA">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30399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DD3A8D">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其他对个人和家庭的补助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D22F5">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11D3C">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30239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895BA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其他交通费用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5B75C">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8.77</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3E7432">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BE488A">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A1BBB">
            <w:pPr>
              <w:jc w:val="right"/>
              <w:rPr>
                <w:rFonts w:hint="eastAsia" w:ascii="宋体" w:hAnsi="宋体" w:eastAsia="宋体" w:cs="宋体"/>
                <w:i w:val="0"/>
                <w:color w:val="000000"/>
                <w:sz w:val="20"/>
                <w:szCs w:val="20"/>
                <w:u w:val="none"/>
              </w:rPr>
            </w:pPr>
          </w:p>
        </w:tc>
      </w:tr>
      <w:tr w14:paraId="75C29A28">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F83A5">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B83A12">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5C7C58">
            <w:pPr>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DD69B0">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30240</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765CE6">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税金及附加费用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D5BAD">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2E768">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28B5EE">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C4989">
            <w:pPr>
              <w:jc w:val="right"/>
              <w:rPr>
                <w:rFonts w:hint="eastAsia" w:ascii="宋体" w:hAnsi="宋体" w:eastAsia="宋体" w:cs="宋体"/>
                <w:i w:val="0"/>
                <w:color w:val="000000"/>
                <w:sz w:val="20"/>
                <w:szCs w:val="20"/>
                <w:u w:val="none"/>
              </w:rPr>
            </w:pPr>
          </w:p>
        </w:tc>
      </w:tr>
      <w:tr w14:paraId="5EA7A811">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33761">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7779BC">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AFB4E5">
            <w:pPr>
              <w:jc w:val="right"/>
              <w:rPr>
                <w:rFonts w:hint="eastAsia" w:ascii="宋体" w:hAnsi="宋体" w:eastAsia="宋体" w:cs="宋体"/>
                <w:i w:val="0"/>
                <w:color w:val="000000"/>
                <w:sz w:val="20"/>
                <w:szCs w:val="20"/>
                <w:u w:val="none"/>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8FB19">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30299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2C6C04">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其他商品和服务支出</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E516DB">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0.45</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8CB18E">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BC2EC4">
            <w:pPr>
              <w:keepNext w:val="0"/>
              <w:keepLines w:val="0"/>
              <w:pageBreakBefore w:val="0"/>
              <w:kinsoku/>
              <w:wordWrap/>
              <w:overflowPunct/>
              <w:topLinePunct w:val="0"/>
              <w:autoSpaceDE/>
              <w:autoSpaceDN/>
              <w:bidi w:val="0"/>
              <w:adjustRightInd/>
              <w:snapToGrid/>
              <w:spacing w:line="220" w:lineRule="exact"/>
              <w:jc w:val="left"/>
              <w:rPr>
                <w:rFonts w:hint="eastAsia" w:ascii="宋体" w:hAnsi="宋体" w:eastAsia="宋体" w:cs="宋体"/>
                <w:i w:val="0"/>
                <w:color w:val="000000"/>
                <w:sz w:val="20"/>
                <w:szCs w:val="20"/>
                <w:u w:val="none"/>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60A839">
            <w:pPr>
              <w:jc w:val="right"/>
              <w:rPr>
                <w:rFonts w:hint="eastAsia" w:ascii="宋体" w:hAnsi="宋体" w:eastAsia="宋体" w:cs="宋体"/>
                <w:i w:val="0"/>
                <w:color w:val="000000"/>
                <w:sz w:val="20"/>
                <w:szCs w:val="20"/>
                <w:u w:val="none"/>
              </w:rPr>
            </w:pPr>
          </w:p>
        </w:tc>
      </w:tr>
      <w:tr w14:paraId="6BD64375">
        <w:tblPrEx>
          <w:tblCellMar>
            <w:top w:w="0" w:type="dxa"/>
            <w:left w:w="0" w:type="dxa"/>
            <w:bottom w:w="0" w:type="dxa"/>
            <w:right w:w="0" w:type="dxa"/>
          </w:tblCellMar>
        </w:tblPrEx>
        <w:trPr>
          <w:trHeight w:val="317" w:hRule="atLeast"/>
          <w:jc w:val="center"/>
        </w:trPr>
        <w:tc>
          <w:tcPr>
            <w:tcW w:w="28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7BE1D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人员经费合计</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79A4B">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608.73</w:t>
            </w:r>
          </w:p>
        </w:tc>
        <w:tc>
          <w:tcPr>
            <w:tcW w:w="565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5C28A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公用经费合计</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A15D11">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2"/>
                <w:szCs w:val="22"/>
                <w:u w:val="none"/>
                <w:lang w:val="en-US" w:eastAsia="zh-CN" w:bidi="ar"/>
              </w:rPr>
              <w:t>50.07</w:t>
            </w:r>
          </w:p>
        </w:tc>
      </w:tr>
    </w:tbl>
    <w:p w14:paraId="64A26C81">
      <w:pPr>
        <w:rPr>
          <w:rFonts w:hint="default"/>
          <w:lang w:val="en-US" w:eastAsia="zh-CN"/>
        </w:rPr>
      </w:pPr>
      <w:r>
        <w:rPr>
          <w:rFonts w:hint="default"/>
          <w:lang w:val="en-US" w:eastAsia="zh-CN"/>
        </w:rPr>
        <w:br w:type="page"/>
      </w:r>
    </w:p>
    <w:tbl>
      <w:tblPr>
        <w:tblStyle w:val="6"/>
        <w:tblW w:w="9220" w:type="dxa"/>
        <w:jc w:val="center"/>
        <w:shd w:val="clear" w:color="auto" w:fill="auto"/>
        <w:tblLayout w:type="autofit"/>
        <w:tblCellMar>
          <w:top w:w="0" w:type="dxa"/>
          <w:left w:w="0" w:type="dxa"/>
          <w:bottom w:w="0" w:type="dxa"/>
          <w:right w:w="0" w:type="dxa"/>
        </w:tblCellMar>
      </w:tblPr>
      <w:tblGrid>
        <w:gridCol w:w="1267"/>
        <w:gridCol w:w="2630"/>
        <w:gridCol w:w="1565"/>
        <w:gridCol w:w="1565"/>
        <w:gridCol w:w="1565"/>
        <w:gridCol w:w="1572"/>
      </w:tblGrid>
      <w:tr w14:paraId="031DD23D">
        <w:tblPrEx>
          <w:shd w:val="clear" w:color="auto" w:fill="auto"/>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14:paraId="3544697D">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一般公共预算财政拨款“三公”经费支出决算表</w:t>
            </w:r>
          </w:p>
        </w:tc>
      </w:tr>
      <w:tr w14:paraId="33B645BB">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6E2FE0FC">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25C565C">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53921A0">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E5A040B">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E934F87">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3457F2C">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公开07表</w:t>
            </w:r>
          </w:p>
        </w:tc>
      </w:tr>
      <w:tr w14:paraId="0DE55856">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2D79DCB9">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01908DDF">
            <w:pPr>
              <w:rPr>
                <w:rFonts w:hint="eastAsia" w:ascii="Arial" w:hAnsi="Arial" w:cs="Arial" w:eastAsiaTheme="minorEastAsia"/>
                <w:i w:val="0"/>
                <w:color w:val="000000"/>
                <w:sz w:val="20"/>
                <w:szCs w:val="20"/>
                <w:u w:val="none"/>
                <w:lang w:eastAsia="zh-CN"/>
              </w:rPr>
            </w:pPr>
            <w:r>
              <w:rPr>
                <w:rFonts w:hint="eastAsia" w:ascii="Arial" w:hAnsi="Arial" w:cs="Arial"/>
                <w:i w:val="0"/>
                <w:color w:val="000000"/>
                <w:sz w:val="20"/>
                <w:szCs w:val="20"/>
                <w:u w:val="none"/>
                <w:lang w:eastAsia="zh-CN"/>
              </w:rPr>
              <w:t>唐山市曹妃甸区发展和改革局</w:t>
            </w:r>
          </w:p>
        </w:tc>
        <w:tc>
          <w:tcPr>
            <w:tcW w:w="0" w:type="auto"/>
            <w:tcBorders>
              <w:top w:val="nil"/>
              <w:left w:val="nil"/>
              <w:bottom w:val="nil"/>
              <w:right w:val="nil"/>
            </w:tcBorders>
            <w:shd w:val="clear" w:color="auto" w:fill="auto"/>
            <w:noWrap/>
            <w:tcMar>
              <w:top w:w="15" w:type="dxa"/>
              <w:left w:w="15" w:type="dxa"/>
              <w:right w:w="15" w:type="dxa"/>
            </w:tcMar>
            <w:vAlign w:val="bottom"/>
          </w:tcPr>
          <w:p w14:paraId="51844EED">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C217AE1">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2C89A74">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BE90A2B">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1BBA8F3A">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F183FF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预算数</w:t>
            </w:r>
          </w:p>
        </w:tc>
      </w:tr>
      <w:tr w14:paraId="32B7B94F">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C5DD2C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B51AE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392397B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3B46E72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公务接待费</w:t>
            </w:r>
          </w:p>
        </w:tc>
      </w:tr>
      <w:tr w14:paraId="66759309">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2362DA8">
            <w:pPr>
              <w:jc w:val="center"/>
              <w:rPr>
                <w:rFonts w:hint="eastAsia" w:ascii="宋体" w:hAnsi="宋体" w:eastAsia="宋体" w:cs="宋体"/>
                <w:i w:val="0"/>
                <w:color w:val="000000"/>
                <w:sz w:val="22"/>
                <w:szCs w:val="22"/>
                <w:u w:val="none"/>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0DA71C">
            <w:pPr>
              <w:jc w:val="center"/>
              <w:rPr>
                <w:rFonts w:hint="eastAsia" w:ascii="宋体" w:hAnsi="宋体" w:eastAsia="宋体" w:cs="宋体"/>
                <w:i w:val="0"/>
                <w:color w:val="000000"/>
                <w:sz w:val="22"/>
                <w:szCs w:val="22"/>
                <w:u w:val="none"/>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5E486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E01D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C6F6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47852D10">
            <w:pPr>
              <w:jc w:val="center"/>
              <w:rPr>
                <w:rFonts w:hint="eastAsia" w:ascii="宋体" w:hAnsi="宋体" w:eastAsia="宋体" w:cs="宋体"/>
                <w:i w:val="0"/>
                <w:color w:val="000000"/>
                <w:sz w:val="22"/>
                <w:szCs w:val="22"/>
                <w:u w:val="none"/>
              </w:rPr>
            </w:pPr>
          </w:p>
        </w:tc>
      </w:tr>
      <w:tr w14:paraId="18F87599">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A6737E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AB5D4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0ABB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60B2C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97DFC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5D3D96F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14:paraId="1FEC4270">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DD99B6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23.33</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515E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9CD84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EDE565">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E7BB7">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4D82493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11.33</w:t>
            </w:r>
          </w:p>
        </w:tc>
      </w:tr>
      <w:tr w14:paraId="22D1EEB0">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3E82A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决算数</w:t>
            </w:r>
          </w:p>
        </w:tc>
      </w:tr>
      <w:tr w14:paraId="49E91770">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8C972A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FCE05C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0F9F36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2CE494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公务接待费</w:t>
            </w:r>
          </w:p>
        </w:tc>
      </w:tr>
      <w:tr w14:paraId="5EEE8701">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77AE6F4">
            <w:pPr>
              <w:jc w:val="center"/>
              <w:rPr>
                <w:rFonts w:hint="eastAsia" w:ascii="宋体" w:hAnsi="宋体" w:eastAsia="宋体" w:cs="宋体"/>
                <w:i w:val="0"/>
                <w:color w:val="000000"/>
                <w:sz w:val="22"/>
                <w:szCs w:val="22"/>
                <w:u w:val="none"/>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F5FEC6">
            <w:pPr>
              <w:jc w:val="center"/>
              <w:rPr>
                <w:rFonts w:hint="eastAsia" w:ascii="宋体" w:hAnsi="宋体" w:eastAsia="宋体" w:cs="宋体"/>
                <w:i w:val="0"/>
                <w:color w:val="000000"/>
                <w:sz w:val="22"/>
                <w:szCs w:val="22"/>
                <w:u w:val="none"/>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6804B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07F08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F38C5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7008400C">
            <w:pPr>
              <w:jc w:val="center"/>
              <w:rPr>
                <w:rFonts w:hint="eastAsia" w:ascii="宋体" w:hAnsi="宋体" w:eastAsia="宋体" w:cs="宋体"/>
                <w:i w:val="0"/>
                <w:color w:val="000000"/>
                <w:sz w:val="22"/>
                <w:szCs w:val="22"/>
                <w:u w:val="none"/>
              </w:rPr>
            </w:pPr>
          </w:p>
        </w:tc>
      </w:tr>
      <w:tr w14:paraId="279CF414">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245DFA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FC8B2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BAF00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52DEA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594F3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2D0BA48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r>
      <w:tr w14:paraId="683773F5">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14:paraId="12C3608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17.48</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0608410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28676CE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10.89</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7902CD5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5180BBA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10.89</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14:paraId="1DF705A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6.58</w:t>
            </w:r>
          </w:p>
        </w:tc>
      </w:tr>
    </w:tbl>
    <w:p w14:paraId="33C41890">
      <w:pPr>
        <w:rPr>
          <w:rFonts w:hint="default"/>
          <w:lang w:val="en-US" w:eastAsia="zh-CN"/>
        </w:rPr>
      </w:pPr>
      <w:r>
        <w:rPr>
          <w:rFonts w:hint="eastAsia" w:ascii="宋体" w:hAnsi="宋体" w:eastAsia="宋体" w:cs="宋体"/>
          <w:lang w:val="en-US" w:eastAsia="zh-CN"/>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hint="eastAsia" w:ascii="仿宋_GB2312" w:hAnsi="仿宋_GB2312" w:eastAsia="仿宋_GB2312" w:cs="仿宋_GB2312"/>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tab/>
      </w:r>
      <w:r>
        <w:rPr>
          <w:rFonts w:hint="default"/>
          <w:lang w:val="en-US" w:eastAsia="zh-CN"/>
        </w:rPr>
        <w:br w:type="page"/>
      </w:r>
    </w:p>
    <w:tbl>
      <w:tblPr>
        <w:tblStyle w:val="6"/>
        <w:tblW w:w="10317" w:type="dxa"/>
        <w:jc w:val="center"/>
        <w:shd w:val="clear" w:color="auto" w:fill="auto"/>
        <w:tblLayout w:type="autofit"/>
        <w:tblCellMar>
          <w:top w:w="0" w:type="dxa"/>
          <w:left w:w="0" w:type="dxa"/>
          <w:bottom w:w="0" w:type="dxa"/>
          <w:right w:w="0" w:type="dxa"/>
        </w:tblCellMar>
      </w:tblPr>
      <w:tblGrid>
        <w:gridCol w:w="1019"/>
        <w:gridCol w:w="59"/>
        <w:gridCol w:w="58"/>
        <w:gridCol w:w="2630"/>
        <w:gridCol w:w="1262"/>
        <w:gridCol w:w="1262"/>
        <w:gridCol w:w="1262"/>
        <w:gridCol w:w="1262"/>
        <w:gridCol w:w="1262"/>
        <w:gridCol w:w="1267"/>
      </w:tblGrid>
      <w:tr w14:paraId="16355DC5">
        <w:tblPrEx>
          <w:shd w:val="clear" w:color="auto" w:fill="auto"/>
          <w:tblCellMar>
            <w:top w:w="0" w:type="dxa"/>
            <w:left w:w="0" w:type="dxa"/>
            <w:bottom w:w="0" w:type="dxa"/>
            <w:right w:w="0" w:type="dxa"/>
          </w:tblCellMar>
        </w:tblPrEx>
        <w:trPr>
          <w:trHeight w:val="780" w:hRule="atLeast"/>
          <w:jc w:val="center"/>
        </w:trPr>
        <w:tc>
          <w:tcPr>
            <w:tcW w:w="10317" w:type="dxa"/>
            <w:gridSpan w:val="10"/>
            <w:tcBorders>
              <w:top w:val="nil"/>
              <w:left w:val="nil"/>
              <w:bottom w:val="nil"/>
              <w:right w:val="nil"/>
            </w:tcBorders>
            <w:shd w:val="clear" w:color="auto" w:fill="auto"/>
            <w:noWrap/>
            <w:tcMar>
              <w:top w:w="15" w:type="dxa"/>
              <w:left w:w="15" w:type="dxa"/>
              <w:right w:w="15" w:type="dxa"/>
            </w:tcMar>
            <w:vAlign w:val="center"/>
          </w:tcPr>
          <w:p w14:paraId="0E5210AD">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政府性基金预算财政拨款收入支出决算表</w:t>
            </w:r>
          </w:p>
        </w:tc>
      </w:tr>
      <w:tr w14:paraId="28B4E443">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1385A0D7">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8EF350E">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308E209">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33642B2">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46C9AE7">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3209BE8">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49FE78D">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7748B51">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3C53805E">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公开08表</w:t>
            </w:r>
          </w:p>
        </w:tc>
      </w:tr>
      <w:tr w14:paraId="7472E9CC">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5F380A27">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21CC4E81">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D92FB4D">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6BE69F1">
            <w:pPr>
              <w:rPr>
                <w:rFonts w:hint="eastAsia" w:ascii="Arial" w:hAnsi="Arial" w:cs="Arial" w:eastAsiaTheme="minorEastAsia"/>
                <w:i w:val="0"/>
                <w:color w:val="000000"/>
                <w:sz w:val="20"/>
                <w:szCs w:val="20"/>
                <w:u w:val="none"/>
                <w:lang w:eastAsia="zh-CN"/>
              </w:rPr>
            </w:pPr>
            <w:r>
              <w:rPr>
                <w:rFonts w:hint="eastAsia" w:ascii="Arial" w:hAnsi="Arial" w:cs="Arial"/>
                <w:i w:val="0"/>
                <w:color w:val="000000"/>
                <w:sz w:val="20"/>
                <w:szCs w:val="20"/>
                <w:u w:val="none"/>
                <w:lang w:eastAsia="zh-CN"/>
              </w:rPr>
              <w:t>唐山市曹妃甸区发展和改革局</w:t>
            </w:r>
          </w:p>
        </w:tc>
        <w:tc>
          <w:tcPr>
            <w:tcW w:w="0" w:type="auto"/>
            <w:tcBorders>
              <w:top w:val="nil"/>
              <w:left w:val="nil"/>
              <w:bottom w:val="nil"/>
              <w:right w:val="nil"/>
            </w:tcBorders>
            <w:shd w:val="clear" w:color="auto" w:fill="auto"/>
            <w:noWrap/>
            <w:tcMar>
              <w:top w:w="15" w:type="dxa"/>
              <w:left w:w="15" w:type="dxa"/>
              <w:right w:w="15" w:type="dxa"/>
            </w:tcMar>
            <w:vAlign w:val="bottom"/>
          </w:tcPr>
          <w:p w14:paraId="14B79461">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E4B62BC">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1B8ADC4">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3B1546C">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09A0F4DC">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012F974B">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EC614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26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B7132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年初结转和结余</w:t>
            </w:r>
          </w:p>
        </w:tc>
        <w:tc>
          <w:tcPr>
            <w:tcW w:w="126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DA5E6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w:t>
            </w:r>
          </w:p>
        </w:tc>
        <w:tc>
          <w:tcPr>
            <w:tcW w:w="3786"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CD3E3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w:t>
            </w:r>
          </w:p>
        </w:tc>
        <w:tc>
          <w:tcPr>
            <w:tcW w:w="126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A3CCD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年末结转和结余</w:t>
            </w:r>
          </w:p>
        </w:tc>
      </w:tr>
      <w:tr w14:paraId="000BC02B">
        <w:tblPrEx>
          <w:tblCellMar>
            <w:top w:w="0" w:type="dxa"/>
            <w:left w:w="0" w:type="dxa"/>
            <w:bottom w:w="0" w:type="dxa"/>
            <w:right w:w="0" w:type="dxa"/>
          </w:tblCellMar>
        </w:tblPrEx>
        <w:trPr>
          <w:trHeight w:val="308"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AF2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5BFE0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2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295762">
            <w:pPr>
              <w:jc w:val="center"/>
              <w:rPr>
                <w:rFonts w:hint="eastAsia" w:ascii="宋体" w:hAnsi="宋体" w:eastAsia="宋体" w:cs="宋体"/>
                <w:i w:val="0"/>
                <w:color w:val="000000"/>
                <w:sz w:val="22"/>
                <w:szCs w:val="22"/>
                <w:u w:val="none"/>
              </w:rPr>
            </w:pPr>
          </w:p>
        </w:tc>
        <w:tc>
          <w:tcPr>
            <w:tcW w:w="12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C8F7ACE">
            <w:pPr>
              <w:jc w:val="center"/>
              <w:rPr>
                <w:rFonts w:hint="eastAsia" w:ascii="宋体" w:hAnsi="宋体" w:eastAsia="宋体" w:cs="宋体"/>
                <w:i w:val="0"/>
                <w:color w:val="000000"/>
                <w:sz w:val="22"/>
                <w:szCs w:val="22"/>
                <w:u w:val="none"/>
              </w:rPr>
            </w:pPr>
          </w:p>
        </w:tc>
        <w:tc>
          <w:tcPr>
            <w:tcW w:w="126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EEDA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126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549DA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126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C833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c>
          <w:tcPr>
            <w:tcW w:w="12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1C1D251">
            <w:pPr>
              <w:jc w:val="center"/>
              <w:rPr>
                <w:rFonts w:hint="eastAsia" w:ascii="宋体" w:hAnsi="宋体" w:eastAsia="宋体" w:cs="宋体"/>
                <w:i w:val="0"/>
                <w:color w:val="000000"/>
                <w:sz w:val="22"/>
                <w:szCs w:val="22"/>
                <w:u w:val="none"/>
              </w:rPr>
            </w:pPr>
          </w:p>
        </w:tc>
      </w:tr>
      <w:tr w14:paraId="39AEE478">
        <w:tblPrEx>
          <w:tblCellMar>
            <w:top w:w="0" w:type="dxa"/>
            <w:left w:w="0" w:type="dxa"/>
            <w:bottom w:w="0" w:type="dxa"/>
            <w:right w:w="0" w:type="dxa"/>
          </w:tblCellMar>
        </w:tblPrEx>
        <w:trPr>
          <w:trHeight w:val="308"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BDBE1">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4B7C9">
            <w:pPr>
              <w:jc w:val="center"/>
              <w:rPr>
                <w:rFonts w:hint="eastAsia" w:ascii="宋体" w:hAnsi="宋体" w:eastAsia="宋体" w:cs="宋体"/>
                <w:i w:val="0"/>
                <w:color w:val="000000"/>
                <w:sz w:val="22"/>
                <w:szCs w:val="22"/>
                <w:u w:val="none"/>
              </w:rPr>
            </w:pPr>
          </w:p>
        </w:tc>
        <w:tc>
          <w:tcPr>
            <w:tcW w:w="12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41A023B">
            <w:pPr>
              <w:jc w:val="center"/>
              <w:rPr>
                <w:rFonts w:hint="eastAsia" w:ascii="宋体" w:hAnsi="宋体" w:eastAsia="宋体" w:cs="宋体"/>
                <w:i w:val="0"/>
                <w:color w:val="000000"/>
                <w:sz w:val="22"/>
                <w:szCs w:val="22"/>
                <w:u w:val="none"/>
              </w:rPr>
            </w:pPr>
          </w:p>
        </w:tc>
        <w:tc>
          <w:tcPr>
            <w:tcW w:w="12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559DAA6">
            <w:pPr>
              <w:jc w:val="center"/>
              <w:rPr>
                <w:rFonts w:hint="eastAsia" w:ascii="宋体" w:hAnsi="宋体" w:eastAsia="宋体" w:cs="宋体"/>
                <w:i w:val="0"/>
                <w:color w:val="000000"/>
                <w:sz w:val="22"/>
                <w:szCs w:val="22"/>
                <w:u w:val="none"/>
              </w:rPr>
            </w:pPr>
          </w:p>
        </w:tc>
        <w:tc>
          <w:tcPr>
            <w:tcW w:w="126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DD814B">
            <w:pPr>
              <w:jc w:val="center"/>
              <w:rPr>
                <w:rFonts w:hint="eastAsia" w:ascii="宋体" w:hAnsi="宋体" w:eastAsia="宋体" w:cs="宋体"/>
                <w:i w:val="0"/>
                <w:color w:val="000000"/>
                <w:sz w:val="22"/>
                <w:szCs w:val="22"/>
                <w:u w:val="none"/>
              </w:rPr>
            </w:pPr>
          </w:p>
        </w:tc>
        <w:tc>
          <w:tcPr>
            <w:tcW w:w="126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D31E11">
            <w:pPr>
              <w:jc w:val="center"/>
              <w:rPr>
                <w:rFonts w:hint="eastAsia" w:ascii="宋体" w:hAnsi="宋体" w:eastAsia="宋体" w:cs="宋体"/>
                <w:i w:val="0"/>
                <w:color w:val="000000"/>
                <w:sz w:val="22"/>
                <w:szCs w:val="22"/>
                <w:u w:val="none"/>
              </w:rPr>
            </w:pPr>
          </w:p>
        </w:tc>
        <w:tc>
          <w:tcPr>
            <w:tcW w:w="126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C66040">
            <w:pPr>
              <w:jc w:val="center"/>
              <w:rPr>
                <w:rFonts w:hint="eastAsia" w:ascii="宋体" w:hAnsi="宋体" w:eastAsia="宋体" w:cs="宋体"/>
                <w:i w:val="0"/>
                <w:color w:val="000000"/>
                <w:sz w:val="22"/>
                <w:szCs w:val="22"/>
                <w:u w:val="none"/>
              </w:rPr>
            </w:pPr>
          </w:p>
        </w:tc>
        <w:tc>
          <w:tcPr>
            <w:tcW w:w="12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B3DD345">
            <w:pPr>
              <w:jc w:val="center"/>
              <w:rPr>
                <w:rFonts w:hint="eastAsia" w:ascii="宋体" w:hAnsi="宋体" w:eastAsia="宋体" w:cs="宋体"/>
                <w:i w:val="0"/>
                <w:color w:val="000000"/>
                <w:sz w:val="22"/>
                <w:szCs w:val="22"/>
                <w:u w:val="none"/>
              </w:rPr>
            </w:pPr>
          </w:p>
        </w:tc>
      </w:tr>
      <w:tr w14:paraId="0D40CBE7">
        <w:tblPrEx>
          <w:tblCellMar>
            <w:top w:w="0" w:type="dxa"/>
            <w:left w:w="0" w:type="dxa"/>
            <w:bottom w:w="0" w:type="dxa"/>
            <w:right w:w="0" w:type="dxa"/>
          </w:tblCellMar>
        </w:tblPrEx>
        <w:trPr>
          <w:trHeight w:val="308"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CFB58">
            <w:pPr>
              <w:jc w:val="center"/>
              <w:rPr>
                <w:rFonts w:hint="eastAsia" w:ascii="宋体" w:hAnsi="宋体" w:eastAsia="宋体" w:cs="宋体"/>
                <w:i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8E8E1">
            <w:pPr>
              <w:jc w:val="center"/>
              <w:rPr>
                <w:rFonts w:hint="eastAsia" w:ascii="宋体" w:hAnsi="宋体" w:eastAsia="宋体" w:cs="宋体"/>
                <w:i w:val="0"/>
                <w:color w:val="000000"/>
                <w:sz w:val="22"/>
                <w:szCs w:val="22"/>
                <w:u w:val="none"/>
              </w:rPr>
            </w:pPr>
          </w:p>
        </w:tc>
        <w:tc>
          <w:tcPr>
            <w:tcW w:w="12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EE4D1CE">
            <w:pPr>
              <w:jc w:val="center"/>
              <w:rPr>
                <w:rFonts w:hint="eastAsia" w:ascii="宋体" w:hAnsi="宋体" w:eastAsia="宋体" w:cs="宋体"/>
                <w:i w:val="0"/>
                <w:color w:val="000000"/>
                <w:sz w:val="22"/>
                <w:szCs w:val="22"/>
                <w:u w:val="none"/>
              </w:rPr>
            </w:pPr>
          </w:p>
        </w:tc>
        <w:tc>
          <w:tcPr>
            <w:tcW w:w="126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C56A408">
            <w:pPr>
              <w:jc w:val="center"/>
              <w:rPr>
                <w:rFonts w:hint="eastAsia" w:ascii="宋体" w:hAnsi="宋体" w:eastAsia="宋体" w:cs="宋体"/>
                <w:i w:val="0"/>
                <w:color w:val="000000"/>
                <w:sz w:val="22"/>
                <w:szCs w:val="22"/>
                <w:u w:val="none"/>
              </w:rPr>
            </w:pPr>
          </w:p>
        </w:tc>
        <w:tc>
          <w:tcPr>
            <w:tcW w:w="126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F00A86">
            <w:pPr>
              <w:jc w:val="center"/>
              <w:rPr>
                <w:rFonts w:hint="eastAsia" w:ascii="宋体" w:hAnsi="宋体" w:eastAsia="宋体" w:cs="宋体"/>
                <w:i w:val="0"/>
                <w:color w:val="000000"/>
                <w:sz w:val="22"/>
                <w:szCs w:val="22"/>
                <w:u w:val="none"/>
              </w:rPr>
            </w:pPr>
          </w:p>
        </w:tc>
        <w:tc>
          <w:tcPr>
            <w:tcW w:w="126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6B92EE">
            <w:pPr>
              <w:jc w:val="center"/>
              <w:rPr>
                <w:rFonts w:hint="eastAsia" w:ascii="宋体" w:hAnsi="宋体" w:eastAsia="宋体" w:cs="宋体"/>
                <w:i w:val="0"/>
                <w:color w:val="000000"/>
                <w:sz w:val="22"/>
                <w:szCs w:val="22"/>
                <w:u w:val="none"/>
              </w:rPr>
            </w:pPr>
          </w:p>
        </w:tc>
        <w:tc>
          <w:tcPr>
            <w:tcW w:w="126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F9F654">
            <w:pPr>
              <w:jc w:val="center"/>
              <w:rPr>
                <w:rFonts w:hint="eastAsia" w:ascii="宋体" w:hAnsi="宋体" w:eastAsia="宋体" w:cs="宋体"/>
                <w:i w:val="0"/>
                <w:color w:val="000000"/>
                <w:sz w:val="22"/>
                <w:szCs w:val="22"/>
                <w:u w:val="none"/>
              </w:rPr>
            </w:pPr>
          </w:p>
        </w:tc>
        <w:tc>
          <w:tcPr>
            <w:tcW w:w="12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1FF28D2">
            <w:pPr>
              <w:jc w:val="center"/>
              <w:rPr>
                <w:rFonts w:hint="eastAsia" w:ascii="宋体" w:hAnsi="宋体" w:eastAsia="宋体" w:cs="宋体"/>
                <w:i w:val="0"/>
                <w:color w:val="000000"/>
                <w:sz w:val="22"/>
                <w:szCs w:val="22"/>
                <w:u w:val="none"/>
              </w:rPr>
            </w:pPr>
          </w:p>
        </w:tc>
      </w:tr>
      <w:tr w14:paraId="26983989">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4D51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63DFB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9684F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4354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0511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AFB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C3D88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r>
      <w:tr w14:paraId="0BD4A3D7">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CCD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FAEF6B">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D04E4">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678.91</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390ED7">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678.91</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3B2335">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B9680">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678.91</w:t>
            </w:r>
          </w:p>
        </w:tc>
        <w:tc>
          <w:tcPr>
            <w:tcW w:w="12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2E492">
            <w:pPr>
              <w:keepNext w:val="0"/>
              <w:keepLines w:val="0"/>
              <w:widowControl/>
              <w:suppressLineNumbers w:val="0"/>
              <w:jc w:val="right"/>
              <w:textAlignment w:val="center"/>
              <w:rPr>
                <w:rFonts w:hint="eastAsia" w:ascii="宋体" w:hAnsi="宋体" w:eastAsia="宋体" w:cs="宋体"/>
                <w:b/>
                <w:i w:val="0"/>
                <w:color w:val="000000"/>
                <w:sz w:val="22"/>
                <w:szCs w:val="22"/>
                <w:u w:val="none"/>
              </w:rPr>
            </w:pPr>
          </w:p>
        </w:tc>
      </w:tr>
      <w:tr w14:paraId="078EC22D">
        <w:tblPrEx>
          <w:tblCellMar>
            <w:top w:w="0" w:type="dxa"/>
            <w:left w:w="0" w:type="dxa"/>
            <w:bottom w:w="0" w:type="dxa"/>
            <w:right w:w="0" w:type="dxa"/>
          </w:tblCellMar>
        </w:tblPrEx>
        <w:trPr>
          <w:trHeight w:val="308" w:hRule="atLeast"/>
          <w:jc w:val="center"/>
        </w:trPr>
        <w:tc>
          <w:tcPr>
            <w:tcW w:w="113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2FB8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16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9D7CD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729FD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0EA1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3223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648B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53C64">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9D66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C97A01F">
        <w:tblPrEx>
          <w:tblCellMar>
            <w:top w:w="0" w:type="dxa"/>
            <w:left w:w="0" w:type="dxa"/>
            <w:bottom w:w="0" w:type="dxa"/>
            <w:right w:w="0" w:type="dxa"/>
          </w:tblCellMar>
        </w:tblPrEx>
        <w:trPr>
          <w:trHeight w:val="308" w:hRule="atLeast"/>
          <w:jc w:val="center"/>
        </w:trPr>
        <w:tc>
          <w:tcPr>
            <w:tcW w:w="113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60D2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16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C78E6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城市基础设施配套费安排的支出</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EBC08">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0E72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CCBBA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204E8B">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8D729">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A49A6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7030F0B3">
        <w:tblPrEx>
          <w:tblCellMar>
            <w:top w:w="0" w:type="dxa"/>
            <w:left w:w="0" w:type="dxa"/>
            <w:bottom w:w="0" w:type="dxa"/>
            <w:right w:w="0" w:type="dxa"/>
          </w:tblCellMar>
        </w:tblPrEx>
        <w:trPr>
          <w:trHeight w:val="308" w:hRule="atLeast"/>
          <w:jc w:val="center"/>
        </w:trPr>
        <w:tc>
          <w:tcPr>
            <w:tcW w:w="113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3D21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2121399</w:t>
            </w:r>
          </w:p>
        </w:tc>
        <w:tc>
          <w:tcPr>
            <w:tcW w:w="16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94462">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其他城市基础设施配套费安排的支出</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4F183">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4442A">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98781">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498DFC">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7CD9F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100.35</w:t>
            </w:r>
          </w:p>
        </w:tc>
        <w:tc>
          <w:tcPr>
            <w:tcW w:w="12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BB4E2F">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FBF366D">
        <w:tblPrEx>
          <w:tblCellMar>
            <w:top w:w="0" w:type="dxa"/>
            <w:left w:w="0" w:type="dxa"/>
            <w:bottom w:w="0" w:type="dxa"/>
            <w:right w:w="0" w:type="dxa"/>
          </w:tblCellMar>
        </w:tblPrEx>
        <w:trPr>
          <w:trHeight w:val="308" w:hRule="atLeast"/>
          <w:jc w:val="center"/>
        </w:trPr>
        <w:tc>
          <w:tcPr>
            <w:tcW w:w="113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B366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w:t>
            </w:r>
          </w:p>
        </w:tc>
        <w:tc>
          <w:tcPr>
            <w:tcW w:w="16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704CB4">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交通运输支出</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CAA71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B0BE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ECAC8">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5478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E9D0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AA1CF9">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54F350B1">
        <w:tblPrEx>
          <w:tblCellMar>
            <w:top w:w="0" w:type="dxa"/>
            <w:left w:w="0" w:type="dxa"/>
            <w:bottom w:w="0" w:type="dxa"/>
            <w:right w:w="0" w:type="dxa"/>
          </w:tblCellMar>
        </w:tblPrEx>
        <w:trPr>
          <w:trHeight w:val="308" w:hRule="atLeast"/>
          <w:jc w:val="center"/>
        </w:trPr>
        <w:tc>
          <w:tcPr>
            <w:tcW w:w="113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4E4B0">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21463</w:t>
            </w:r>
          </w:p>
        </w:tc>
        <w:tc>
          <w:tcPr>
            <w:tcW w:w="16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2428EA">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港口建设费安排的支出</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FD51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35A723">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E0D90">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008D94">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5A7FD6">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96AA4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r w14:paraId="4DF71854">
        <w:tblPrEx>
          <w:tblCellMar>
            <w:top w:w="0" w:type="dxa"/>
            <w:left w:w="0" w:type="dxa"/>
            <w:bottom w:w="0" w:type="dxa"/>
            <w:right w:w="0" w:type="dxa"/>
          </w:tblCellMar>
        </w:tblPrEx>
        <w:trPr>
          <w:trHeight w:val="308" w:hRule="atLeast"/>
          <w:jc w:val="center"/>
        </w:trPr>
        <w:tc>
          <w:tcPr>
            <w:tcW w:w="113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FEAF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2146399</w:t>
            </w:r>
          </w:p>
        </w:tc>
        <w:tc>
          <w:tcPr>
            <w:tcW w:w="160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707D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其他港口建设费安排的支出</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A820D7">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2887B">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89D35D">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C6A31">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3AC5C">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578.57</w:t>
            </w:r>
          </w:p>
        </w:tc>
        <w:tc>
          <w:tcPr>
            <w:tcW w:w="12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7C6D5E">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r>
    </w:tbl>
    <w:p w14:paraId="2F67921B">
      <w:pPr>
        <w:rPr>
          <w:rFonts w:hint="default"/>
          <w:lang w:val="en-US" w:eastAsia="zh-CN"/>
        </w:rPr>
      </w:pPr>
      <w:r>
        <w:rPr>
          <w:rFonts w:hint="default"/>
          <w:lang w:val="en-US" w:eastAsia="zh-CN"/>
        </w:rPr>
        <w:br w:type="page"/>
      </w:r>
    </w:p>
    <w:tbl>
      <w:tblPr>
        <w:tblStyle w:val="6"/>
        <w:tblW w:w="9915" w:type="dxa"/>
        <w:jc w:val="center"/>
        <w:shd w:val="clear" w:color="auto" w:fill="auto"/>
        <w:tblLayout w:type="autofit"/>
        <w:tblCellMar>
          <w:top w:w="0" w:type="dxa"/>
          <w:left w:w="0" w:type="dxa"/>
          <w:bottom w:w="0" w:type="dxa"/>
          <w:right w:w="0" w:type="dxa"/>
        </w:tblCellMar>
      </w:tblPr>
      <w:tblGrid>
        <w:gridCol w:w="3397"/>
        <w:gridCol w:w="38"/>
        <w:gridCol w:w="252"/>
        <w:gridCol w:w="3820"/>
        <w:gridCol w:w="494"/>
        <w:gridCol w:w="957"/>
        <w:gridCol w:w="957"/>
      </w:tblGrid>
      <w:tr w14:paraId="0C7147E9">
        <w:tblPrEx>
          <w:shd w:val="clear" w:color="auto" w:fill="auto"/>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shd w:val="clear" w:color="auto" w:fill="auto"/>
            <w:noWrap/>
            <w:tcMar>
              <w:top w:w="15" w:type="dxa"/>
              <w:left w:w="15" w:type="dxa"/>
              <w:right w:w="15" w:type="dxa"/>
            </w:tcMar>
            <w:vAlign w:val="center"/>
          </w:tcPr>
          <w:p w14:paraId="1B9E5DFE">
            <w:pPr>
              <w:keepNext w:val="0"/>
              <w:keepLines w:val="0"/>
              <w:widowControl/>
              <w:suppressLineNumbers w:val="0"/>
              <w:jc w:val="center"/>
              <w:textAlignment w:val="center"/>
              <w:rPr>
                <w:rFonts w:ascii="黑体" w:hAnsi="宋体" w:eastAsia="黑体" w:cs="黑体"/>
                <w:i w:val="0"/>
                <w:color w:val="000000"/>
                <w:sz w:val="32"/>
                <w:szCs w:val="32"/>
                <w:u w:val="none"/>
              </w:rPr>
            </w:pPr>
            <w:r>
              <w:rPr>
                <w:rFonts w:hint="eastAsia" w:ascii="黑体" w:hAnsi="宋体" w:eastAsia="黑体" w:cs="黑体"/>
                <w:i w:val="0"/>
                <w:color w:val="000000"/>
                <w:kern w:val="0"/>
                <w:sz w:val="32"/>
                <w:szCs w:val="32"/>
                <w:u w:val="none"/>
                <w:lang w:val="en-US" w:eastAsia="zh-CN" w:bidi="ar"/>
              </w:rPr>
              <w:t>国有资本经营预算财政拨款支出决算表</w:t>
            </w:r>
          </w:p>
        </w:tc>
      </w:tr>
      <w:tr w14:paraId="1319D085">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68796271">
            <w:pPr>
              <w:rPr>
                <w:rFonts w:hint="eastAsia"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303F628">
            <w:pPr>
              <w:rPr>
                <w:rFonts w:hint="default" w:ascii="Arial" w:hAnsi="Arial" w:cs="Arial"/>
                <w:i w:val="0"/>
                <w:color w:val="000000"/>
                <w:sz w:val="20"/>
                <w:szCs w:val="20"/>
                <w:u w:val="none"/>
              </w:rPr>
            </w:pPr>
          </w:p>
        </w:tc>
        <w:tc>
          <w:tcPr>
            <w:tcW w:w="240" w:type="dxa"/>
            <w:tcBorders>
              <w:top w:val="nil"/>
              <w:left w:val="nil"/>
              <w:bottom w:val="nil"/>
              <w:right w:val="nil"/>
            </w:tcBorders>
            <w:shd w:val="clear" w:color="auto" w:fill="auto"/>
            <w:noWrap/>
            <w:tcMar>
              <w:top w:w="15" w:type="dxa"/>
              <w:left w:w="15" w:type="dxa"/>
              <w:right w:w="15" w:type="dxa"/>
            </w:tcMar>
            <w:vAlign w:val="bottom"/>
          </w:tcPr>
          <w:p w14:paraId="5D0F62D6">
            <w:pPr>
              <w:rPr>
                <w:rFonts w:hint="default" w:ascii="Arial" w:hAnsi="Arial" w:cs="Arial"/>
                <w:i w:val="0"/>
                <w:color w:val="000000"/>
                <w:sz w:val="20"/>
                <w:szCs w:val="20"/>
                <w:u w:val="none"/>
              </w:rPr>
            </w:pPr>
          </w:p>
        </w:tc>
        <w:tc>
          <w:tcPr>
            <w:tcW w:w="3632" w:type="dxa"/>
            <w:tcBorders>
              <w:top w:val="nil"/>
              <w:left w:val="nil"/>
              <w:bottom w:val="nil"/>
              <w:right w:val="nil"/>
            </w:tcBorders>
            <w:shd w:val="clear" w:color="auto" w:fill="auto"/>
            <w:noWrap/>
            <w:tcMar>
              <w:top w:w="15" w:type="dxa"/>
              <w:left w:w="15" w:type="dxa"/>
              <w:right w:w="15" w:type="dxa"/>
            </w:tcMar>
            <w:vAlign w:val="bottom"/>
          </w:tcPr>
          <w:p w14:paraId="3716FC31">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3AA17C7">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5FBBAD41">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公开09表</w:t>
            </w:r>
          </w:p>
        </w:tc>
      </w:tr>
      <w:tr w14:paraId="4FE0A748">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7A84BCCF">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部门：唐山市曹妃甸区发展和改革局</w:t>
            </w:r>
          </w:p>
        </w:tc>
        <w:tc>
          <w:tcPr>
            <w:tcW w:w="0" w:type="auto"/>
            <w:tcBorders>
              <w:top w:val="nil"/>
              <w:left w:val="nil"/>
              <w:bottom w:val="nil"/>
              <w:right w:val="nil"/>
            </w:tcBorders>
            <w:shd w:val="clear" w:color="auto" w:fill="auto"/>
            <w:noWrap/>
            <w:tcMar>
              <w:top w:w="15" w:type="dxa"/>
              <w:left w:w="15" w:type="dxa"/>
              <w:right w:w="15" w:type="dxa"/>
            </w:tcMar>
            <w:vAlign w:val="bottom"/>
          </w:tcPr>
          <w:p w14:paraId="5C7A5D2E">
            <w:pPr>
              <w:rPr>
                <w:rFonts w:hint="default" w:ascii="Arial" w:hAnsi="Arial" w:cs="Arial"/>
                <w:i w:val="0"/>
                <w:color w:val="000000"/>
                <w:sz w:val="20"/>
                <w:szCs w:val="20"/>
                <w:u w:val="none"/>
              </w:rPr>
            </w:pPr>
          </w:p>
        </w:tc>
        <w:tc>
          <w:tcPr>
            <w:tcW w:w="240" w:type="dxa"/>
            <w:tcBorders>
              <w:top w:val="nil"/>
              <w:left w:val="nil"/>
              <w:bottom w:val="nil"/>
              <w:right w:val="nil"/>
            </w:tcBorders>
            <w:shd w:val="clear" w:color="auto" w:fill="auto"/>
            <w:noWrap/>
            <w:tcMar>
              <w:top w:w="15" w:type="dxa"/>
              <w:left w:w="15" w:type="dxa"/>
              <w:right w:w="15" w:type="dxa"/>
            </w:tcMar>
            <w:vAlign w:val="bottom"/>
          </w:tcPr>
          <w:p w14:paraId="15537DF2">
            <w:pPr>
              <w:rPr>
                <w:rFonts w:hint="default" w:ascii="Arial" w:hAnsi="Arial" w:cs="Arial"/>
                <w:i w:val="0"/>
                <w:color w:val="000000"/>
                <w:sz w:val="20"/>
                <w:szCs w:val="20"/>
                <w:u w:val="none"/>
              </w:rPr>
            </w:pPr>
          </w:p>
        </w:tc>
        <w:tc>
          <w:tcPr>
            <w:tcW w:w="3632" w:type="dxa"/>
            <w:tcBorders>
              <w:top w:val="nil"/>
              <w:left w:val="nil"/>
              <w:bottom w:val="nil"/>
              <w:right w:val="nil"/>
            </w:tcBorders>
            <w:shd w:val="clear" w:color="auto" w:fill="auto"/>
            <w:noWrap/>
            <w:tcMar>
              <w:top w:w="15" w:type="dxa"/>
              <w:left w:w="15" w:type="dxa"/>
              <w:right w:w="15" w:type="dxa"/>
            </w:tcMar>
            <w:vAlign w:val="bottom"/>
          </w:tcPr>
          <w:p w14:paraId="4FFE383D">
            <w:pPr>
              <w:rPr>
                <w:rFonts w:hint="default" w:ascii="Arial" w:hAnsi="Arial" w:cs="Arial"/>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1DA0F64">
            <w:pPr>
              <w:rPr>
                <w:rFonts w:hint="default" w:ascii="Arial" w:hAnsi="Arial" w:cs="Arial"/>
                <w:i w:val="0"/>
                <w:color w:val="000000"/>
                <w:sz w:val="20"/>
                <w:szCs w:val="20"/>
                <w:u w:val="none"/>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399EED7A">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14:paraId="0E2257B0">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8EAA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w:t>
            </w:r>
          </w:p>
        </w:tc>
        <w:tc>
          <w:tcPr>
            <w:tcW w:w="0" w:type="auto"/>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A974BE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本年支出</w:t>
            </w:r>
          </w:p>
        </w:tc>
      </w:tr>
      <w:tr w14:paraId="5B670F21">
        <w:tblPrEx>
          <w:tblCellMar>
            <w:top w:w="0" w:type="dxa"/>
            <w:left w:w="0" w:type="dxa"/>
            <w:bottom w:w="0" w:type="dxa"/>
            <w:right w:w="0" w:type="dxa"/>
          </w:tblCellMar>
        </w:tblPrEx>
        <w:trPr>
          <w:trHeight w:val="615" w:hRule="atLeast"/>
          <w:jc w:val="center"/>
        </w:trPr>
        <w:tc>
          <w:tcPr>
            <w:tcW w:w="160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571E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36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B344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719D8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85841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7F12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项目支出</w:t>
            </w:r>
          </w:p>
        </w:tc>
      </w:tr>
      <w:tr w14:paraId="7B258818">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0E0B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7E03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4E4F9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3474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r>
      <w:tr w14:paraId="56264605">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FF167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113A28">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6A9113">
            <w:pPr>
              <w:jc w:val="right"/>
              <w:rPr>
                <w:rFonts w:hint="eastAsia" w:ascii="宋体" w:hAnsi="宋体" w:eastAsia="宋体" w:cs="宋体"/>
                <w:b/>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10990B">
            <w:pPr>
              <w:jc w:val="right"/>
              <w:rPr>
                <w:rFonts w:hint="eastAsia" w:ascii="宋体" w:hAnsi="宋体" w:eastAsia="宋体" w:cs="宋体"/>
                <w:b/>
                <w:i w:val="0"/>
                <w:color w:val="000000"/>
                <w:sz w:val="22"/>
                <w:szCs w:val="22"/>
                <w:u w:val="none"/>
              </w:rPr>
            </w:pPr>
          </w:p>
        </w:tc>
      </w:tr>
      <w:tr w14:paraId="3E4022D8">
        <w:tblPrEx>
          <w:tblCellMar>
            <w:top w:w="0" w:type="dxa"/>
            <w:left w:w="0" w:type="dxa"/>
            <w:bottom w:w="0" w:type="dxa"/>
            <w:right w:w="0" w:type="dxa"/>
          </w:tblCellMar>
        </w:tblPrEx>
        <w:trPr>
          <w:trHeight w:val="308" w:hRule="atLeast"/>
          <w:jc w:val="center"/>
        </w:trPr>
        <w:tc>
          <w:tcPr>
            <w:tcW w:w="16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8D8BE">
            <w:pPr>
              <w:jc w:val="left"/>
              <w:rPr>
                <w:rFonts w:hint="eastAsia" w:ascii="宋体" w:hAnsi="宋体" w:eastAsia="宋体" w:cs="宋体"/>
                <w:i w:val="0"/>
                <w:color w:val="000000"/>
                <w:sz w:val="22"/>
                <w:szCs w:val="22"/>
                <w:u w:val="none"/>
              </w:rPr>
            </w:pPr>
          </w:p>
        </w:tc>
        <w:tc>
          <w:tcPr>
            <w:tcW w:w="36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8A3398">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DA8407">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9C64C8">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E3971D">
            <w:pPr>
              <w:jc w:val="right"/>
              <w:rPr>
                <w:rFonts w:hint="eastAsia" w:ascii="宋体" w:hAnsi="宋体" w:eastAsia="宋体" w:cs="宋体"/>
                <w:i w:val="0"/>
                <w:color w:val="000000"/>
                <w:sz w:val="22"/>
                <w:szCs w:val="22"/>
                <w:u w:val="none"/>
              </w:rPr>
            </w:pPr>
          </w:p>
        </w:tc>
      </w:tr>
      <w:tr w14:paraId="176657A3">
        <w:tblPrEx>
          <w:tblCellMar>
            <w:top w:w="0" w:type="dxa"/>
            <w:left w:w="0" w:type="dxa"/>
            <w:bottom w:w="0" w:type="dxa"/>
            <w:right w:w="0" w:type="dxa"/>
          </w:tblCellMar>
        </w:tblPrEx>
        <w:trPr>
          <w:trHeight w:val="308" w:hRule="atLeast"/>
          <w:jc w:val="center"/>
        </w:trPr>
        <w:tc>
          <w:tcPr>
            <w:tcW w:w="16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2C72B">
            <w:pPr>
              <w:jc w:val="left"/>
              <w:rPr>
                <w:rFonts w:hint="eastAsia" w:ascii="宋体" w:hAnsi="宋体" w:eastAsia="宋体" w:cs="宋体"/>
                <w:i w:val="0"/>
                <w:color w:val="000000"/>
                <w:sz w:val="22"/>
                <w:szCs w:val="22"/>
                <w:u w:val="none"/>
              </w:rPr>
            </w:pPr>
          </w:p>
        </w:tc>
        <w:tc>
          <w:tcPr>
            <w:tcW w:w="36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7750F9">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5EE3C">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7E9697">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E89B16">
            <w:pPr>
              <w:jc w:val="right"/>
              <w:rPr>
                <w:rFonts w:hint="eastAsia" w:ascii="宋体" w:hAnsi="宋体" w:eastAsia="宋体" w:cs="宋体"/>
                <w:i w:val="0"/>
                <w:color w:val="000000"/>
                <w:sz w:val="22"/>
                <w:szCs w:val="22"/>
                <w:u w:val="none"/>
              </w:rPr>
            </w:pPr>
          </w:p>
        </w:tc>
      </w:tr>
      <w:tr w14:paraId="4589E413">
        <w:tblPrEx>
          <w:tblCellMar>
            <w:top w:w="0" w:type="dxa"/>
            <w:left w:w="0" w:type="dxa"/>
            <w:bottom w:w="0" w:type="dxa"/>
            <w:right w:w="0" w:type="dxa"/>
          </w:tblCellMar>
        </w:tblPrEx>
        <w:trPr>
          <w:trHeight w:val="308" w:hRule="atLeast"/>
          <w:jc w:val="center"/>
        </w:trPr>
        <w:tc>
          <w:tcPr>
            <w:tcW w:w="16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D33DD">
            <w:pPr>
              <w:jc w:val="left"/>
              <w:rPr>
                <w:rFonts w:hint="eastAsia" w:ascii="宋体" w:hAnsi="宋体" w:eastAsia="宋体" w:cs="宋体"/>
                <w:i w:val="0"/>
                <w:color w:val="000000"/>
                <w:sz w:val="22"/>
                <w:szCs w:val="22"/>
                <w:u w:val="none"/>
              </w:rPr>
            </w:pPr>
          </w:p>
        </w:tc>
        <w:tc>
          <w:tcPr>
            <w:tcW w:w="36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9561CA">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0F2CD">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96A64D">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43AE2">
            <w:pPr>
              <w:jc w:val="right"/>
              <w:rPr>
                <w:rFonts w:hint="eastAsia" w:ascii="宋体" w:hAnsi="宋体" w:eastAsia="宋体" w:cs="宋体"/>
                <w:i w:val="0"/>
                <w:color w:val="000000"/>
                <w:sz w:val="22"/>
                <w:szCs w:val="22"/>
                <w:u w:val="none"/>
              </w:rPr>
            </w:pPr>
          </w:p>
        </w:tc>
      </w:tr>
      <w:tr w14:paraId="6AB5FFA5">
        <w:tblPrEx>
          <w:tblCellMar>
            <w:top w:w="0" w:type="dxa"/>
            <w:left w:w="0" w:type="dxa"/>
            <w:bottom w:w="0" w:type="dxa"/>
            <w:right w:w="0" w:type="dxa"/>
          </w:tblCellMar>
        </w:tblPrEx>
        <w:trPr>
          <w:trHeight w:val="308" w:hRule="atLeast"/>
          <w:jc w:val="center"/>
        </w:trPr>
        <w:tc>
          <w:tcPr>
            <w:tcW w:w="16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0B82D">
            <w:pPr>
              <w:jc w:val="left"/>
              <w:rPr>
                <w:rFonts w:hint="eastAsia" w:ascii="宋体" w:hAnsi="宋体" w:eastAsia="宋体" w:cs="宋体"/>
                <w:i w:val="0"/>
                <w:color w:val="000000"/>
                <w:sz w:val="22"/>
                <w:szCs w:val="22"/>
                <w:u w:val="none"/>
              </w:rPr>
            </w:pPr>
          </w:p>
        </w:tc>
        <w:tc>
          <w:tcPr>
            <w:tcW w:w="36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372D48">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F013B6">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EF2175">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A9BE4">
            <w:pPr>
              <w:jc w:val="right"/>
              <w:rPr>
                <w:rFonts w:hint="eastAsia" w:ascii="宋体" w:hAnsi="宋体" w:eastAsia="宋体" w:cs="宋体"/>
                <w:i w:val="0"/>
                <w:color w:val="000000"/>
                <w:sz w:val="22"/>
                <w:szCs w:val="22"/>
                <w:u w:val="none"/>
              </w:rPr>
            </w:pPr>
          </w:p>
        </w:tc>
      </w:tr>
      <w:tr w14:paraId="677EB043">
        <w:tblPrEx>
          <w:tblCellMar>
            <w:top w:w="0" w:type="dxa"/>
            <w:left w:w="0" w:type="dxa"/>
            <w:bottom w:w="0" w:type="dxa"/>
            <w:right w:w="0" w:type="dxa"/>
          </w:tblCellMar>
        </w:tblPrEx>
        <w:trPr>
          <w:trHeight w:val="308" w:hRule="atLeast"/>
          <w:jc w:val="center"/>
        </w:trPr>
        <w:tc>
          <w:tcPr>
            <w:tcW w:w="16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E22AA">
            <w:pPr>
              <w:jc w:val="left"/>
              <w:rPr>
                <w:rFonts w:hint="eastAsia" w:ascii="宋体" w:hAnsi="宋体" w:eastAsia="宋体" w:cs="宋体"/>
                <w:i w:val="0"/>
                <w:color w:val="000000"/>
                <w:sz w:val="22"/>
                <w:szCs w:val="22"/>
                <w:u w:val="none"/>
              </w:rPr>
            </w:pPr>
          </w:p>
        </w:tc>
        <w:tc>
          <w:tcPr>
            <w:tcW w:w="36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7CB699">
            <w:pPr>
              <w:jc w:val="lef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E9BD58">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2C7C56">
            <w:pPr>
              <w:jc w:val="right"/>
              <w:rPr>
                <w:rFonts w:hint="eastAsia" w:ascii="宋体" w:hAnsi="宋体" w:eastAsia="宋体" w:cs="宋体"/>
                <w:i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A09163">
            <w:pPr>
              <w:jc w:val="right"/>
              <w:rPr>
                <w:rFonts w:hint="eastAsia" w:ascii="宋体" w:hAnsi="宋体" w:eastAsia="宋体" w:cs="宋体"/>
                <w:i w:val="0"/>
                <w:color w:val="000000"/>
                <w:sz w:val="22"/>
                <w:szCs w:val="22"/>
                <w:u w:val="none"/>
              </w:rPr>
            </w:pPr>
          </w:p>
        </w:tc>
      </w:tr>
    </w:tbl>
    <w:p w14:paraId="1B478114">
      <w:pPr>
        <w:rPr>
          <w:rFonts w:hint="eastAsia" w:eastAsiaTheme="minorEastAsia"/>
          <w:lang w:val="en-US" w:eastAsia="zh-CN"/>
        </w:rPr>
      </w:pPr>
      <w:r>
        <w:rPr>
          <w:rFonts w:hint="default" w:ascii="宋体" w:hAnsi="宋体" w:eastAsia="宋体" w:cs="宋体"/>
          <w:lang w:val="en-US" w:eastAsia="zh-CN"/>
        </w:rPr>
        <w:t>本部门本年度无相关支</w:t>
      </w:r>
      <w:r>
        <w:rPr>
          <w:rFonts w:hint="eastAsia" w:ascii="宋体" w:hAnsi="宋体" w:eastAsia="宋体" w:cs="宋体"/>
          <w:lang w:val="en-US" w:eastAsia="zh-CN"/>
        </w:rPr>
        <w:t>出情况，按要求空表列式。</w:t>
      </w:r>
    </w:p>
    <w:p w14:paraId="64C1A3E6">
      <w:pPr>
        <w:rPr>
          <w:rFonts w:hint="default"/>
          <w:lang w:val="en-US" w:eastAsia="zh-CN"/>
        </w:rPr>
      </w:pPr>
      <w:r>
        <w:rPr>
          <w:rFonts w:hint="eastAsia"/>
          <w:lang w:val="en-US" w:eastAsia="zh-CN"/>
        </w:rPr>
        <w:t>qi</w:t>
      </w:r>
      <w:r>
        <w:rPr>
          <w:rFonts w:hint="default"/>
          <w:lang w:val="en-US" w:eastAsia="zh-CN"/>
        </w:rPr>
        <w:drawing>
          <wp:inline distT="0" distB="0" distL="114300" distR="114300">
            <wp:extent cx="5534025" cy="7381875"/>
            <wp:effectExtent l="0" t="0" r="9525" b="9525"/>
            <wp:docPr id="29" name="图片 29" descr="决算批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决算批复11"/>
                    <pic:cNvPicPr>
                      <a:picLocks noChangeAspect="1"/>
                    </pic:cNvPicPr>
                  </pic:nvPicPr>
                  <pic:blipFill>
                    <a:blip r:embed="rId28"/>
                    <a:stretch>
                      <a:fillRect/>
                    </a:stretch>
                  </pic:blipFill>
                  <pic:spPr>
                    <a:xfrm>
                      <a:off x="0" y="0"/>
                      <a:ext cx="5534025" cy="7381875"/>
                    </a:xfrm>
                    <a:prstGeom prst="rect">
                      <a:avLst/>
                    </a:prstGeom>
                  </pic:spPr>
                </pic:pic>
              </a:graphicData>
            </a:graphic>
          </wp:inline>
        </w:drawing>
      </w:r>
      <w:r>
        <w:rPr>
          <w:rFonts w:hint="default"/>
          <w:lang w:val="en-US" w:eastAsia="zh-CN"/>
        </w:rPr>
        <w:drawing>
          <wp:inline distT="0" distB="0" distL="114300" distR="114300">
            <wp:extent cx="5610225" cy="7381875"/>
            <wp:effectExtent l="0" t="0" r="9525" b="9525"/>
            <wp:docPr id="28" name="图片 28" descr="决算批复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决算批复22"/>
                    <pic:cNvPicPr>
                      <a:picLocks noChangeAspect="1"/>
                    </pic:cNvPicPr>
                  </pic:nvPicPr>
                  <pic:blipFill>
                    <a:blip r:embed="rId29"/>
                    <a:stretch>
                      <a:fillRect/>
                    </a:stretch>
                  </pic:blipFill>
                  <pic:spPr>
                    <a:xfrm>
                      <a:off x="0" y="0"/>
                      <a:ext cx="5610225" cy="7381875"/>
                    </a:xfrm>
                    <a:prstGeom prst="rect">
                      <a:avLst/>
                    </a:prstGeom>
                  </pic:spPr>
                </pic:pic>
              </a:graphicData>
            </a:graphic>
          </wp:inline>
        </w:drawing>
      </w:r>
      <w:r>
        <w:rPr>
          <w:rFonts w:hint="default"/>
          <w:lang w:val="en-US" w:eastAsia="zh-CN"/>
        </w:rPr>
        <w:br w:type="page"/>
      </w:r>
    </w:p>
    <w:p w14:paraId="1720B897">
      <w:pPr>
        <w:bidi w:val="0"/>
        <w:jc w:val="both"/>
        <w:rPr>
          <w:rFonts w:hint="default"/>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-895350</wp:posOffset>
                </wp:positionH>
                <wp:positionV relativeFrom="paragraph">
                  <wp:posOffset>-1082675</wp:posOffset>
                </wp:positionV>
                <wp:extent cx="7557770" cy="10682605"/>
                <wp:effectExtent l="0" t="0" r="5080" b="444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85.25pt;height:841.15pt;width:595.1pt;z-index:251671552;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gm8tf3QAAAA8BAAAPAAAAAAAAAAEAIAAA&#10;ACIAAABkcnMvZG93bnJldi54bWxQSwECFAAUAAAACACHTuJACmAlp3kCAADaBAAADgAAAAAAAAAB&#10;ACAAAAAsAQAAZHJzL2Uyb0RvYy54bWxQSwUGAAAAAAYABgBZAQAAFwYAAAAA&#10;">
                <v:fill on="t" focussize="0,0"/>
                <v:stroke on="f" weight="1pt" miterlimit="8" joinstyle="miter"/>
                <v:imagedata o:title=""/>
                <o:lock v:ext="edit" aspectratio="f"/>
              </v:rect>
            </w:pict>
          </mc:Fallback>
        </mc:AlternateContent>
      </w:r>
    </w:p>
    <w:sectPr>
      <w:headerReference r:id="rId19" w:type="first"/>
      <w:headerReference r:id="rId18" w:type="default"/>
      <w:footerReference r:id="rId20" w:type="default"/>
      <w:pgSz w:w="11906" w:h="16838"/>
      <w:pgMar w:top="1701" w:right="1417" w:bottom="1281" w:left="141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Yu Gothic UI Semibold">
    <w:altName w:val="Meiryo UI"/>
    <w:panose1 w:val="020B0700000000000000"/>
    <w:charset w:val="80"/>
    <w:family w:val="swiss"/>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 w:name="思源黑体 HW Bold">
    <w:altName w:val="黑体"/>
    <w:panose1 w:val="020B0800000000000000"/>
    <w:charset w:val="86"/>
    <w:family w:val="swiss"/>
    <w:pitch w:val="default"/>
    <w:sig w:usb0="00000000" w:usb1="00000000" w:usb2="00000016" w:usb3="00000000" w:csb0="002E0107" w:csb1="0000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方正仿宋简体">
    <w:panose1 w:val="02000000000000000000"/>
    <w:charset w:val="86"/>
    <w:family w:val="auto"/>
    <w:pitch w:val="default"/>
    <w:sig w:usb0="A00002BF" w:usb1="184F6CFA" w:usb2="00000012" w:usb3="00000000" w:csb0="00040001"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CEC6D">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4F8DA">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F5F0B">
    <w:pPr>
      <w:pStyle w:val="4"/>
    </w:pPr>
    <w:r>
      <w:rPr>
        <w:sz w:val="18"/>
      </w:rPr>
      <mc:AlternateContent>
        <mc:Choice Requires="wps">
          <w:drawing>
            <wp:anchor distT="0" distB="0" distL="114300" distR="114300" simplePos="0" relativeHeight="251682816"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7B10C">
                          <w:pPr>
                            <w:pStyle w:val="4"/>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6</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9.65pt;margin-top:-12.95pt;height:14.3pt;width:30.6pt;mso-position-horizontal-relative:margin;z-index:251682816;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lHE/2QAAAAkBAAAPAAAAAAAAAAEAIAAAACIAAABkcnMvZG93bnJl&#10;di54bWxQSwECFAAUAAAACACHTuJAOPvX+TUCAABhBAAADgAAAAAAAAABACAAAAAoAQAAZHJzL2Uy&#10;b0RvYy54bWxQSwUGAAAAAAYABgBZAQAAzwUAAAAA&#10;">
              <v:fill on="f" focussize="0,0"/>
              <v:stroke on="f" weight="0.5pt"/>
              <v:imagedata o:title=""/>
              <o:lock v:ext="edit" aspectratio="f"/>
              <v:textbox inset="0mm,0mm,0mm,0mm">
                <w:txbxContent>
                  <w:p w14:paraId="3327B10C">
                    <w:pPr>
                      <w:pStyle w:val="4"/>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6</w:t>
                    </w:r>
                    <w:r>
                      <w:rPr>
                        <w:rFonts w:hint="default" w:ascii="Times New Roman" w:hAnsi="Times New Roman" w:cs="Times New Roman"/>
                        <w:sz w:val="24"/>
                        <w:szCs w:val="24"/>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B271C">
    <w:pPr>
      <w:pStyle w:val="4"/>
    </w:pPr>
    <w:r>
      <w:rPr>
        <w:sz w:val="18"/>
      </w:rPr>
      <mc:AlternateContent>
        <mc:Choice Requires="wps">
          <w:drawing>
            <wp:anchor distT="0" distB="0" distL="114300" distR="114300" simplePos="0" relativeHeight="251683840"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B4176">
                          <w:pPr>
                            <w:pStyle w:val="4"/>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6.55pt;margin-top:-22.45pt;height:35.15pt;width:34pt;mso-position-horizontal-relative:margin;z-index:251683840;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1c372QAAAAoBAAAPAAAAAAAAAAEAIAAAACIAAABkcnMvZG93&#10;bnJldi54bWxQSwECFAAUAAAACACHTuJA9IZ3pDgCAABhBAAADgAAAAAAAAABACAAAAAoAQAAZHJz&#10;L2Uyb0RvYy54bWxQSwUGAAAAAAYABgBZAQAA0gUAAAAA&#10;">
              <v:fill on="f" focussize="0,0"/>
              <v:stroke on="f" weight="0.5pt"/>
              <v:imagedata o:title=""/>
              <o:lock v:ext="edit" aspectratio="f"/>
              <v:textbox inset="0mm,0mm,0mm,0mm">
                <w:txbxContent>
                  <w:p w14:paraId="5A4B4176">
                    <w:pPr>
                      <w:pStyle w:val="4"/>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239B4">
    <w:pPr>
      <w:pStyle w:val="4"/>
    </w:pPr>
    <w:r>
      <w:rPr>
        <w:sz w:val="18"/>
      </w:rPr>
      <mc:AlternateContent>
        <mc:Choice Requires="wps">
          <w:drawing>
            <wp:anchor distT="0" distB="0" distL="114300" distR="114300" simplePos="0" relativeHeight="251684864"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8263D7">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14</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84864;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fd/c9kAAAAKAQAADwAAAAAAAAABACAAAAAiAAAAZHJzL2Rvd25y&#10;ZXYueG1sUEsBAhQAFAAAAAgAh07iQPFG5/42AgAAYAQAAA4AAAAAAAAAAQAgAAAAKAEAAGRycy9l&#10;Mm9Eb2MueG1sUEsFBgAAAAAGAAYAWQEAANAFAAAAAA==&#10;">
              <v:fill on="f" focussize="0,0"/>
              <v:stroke on="f" weight="0.5pt"/>
              <v:imagedata o:title=""/>
              <o:lock v:ext="edit" aspectratio="f"/>
              <v:textbox inset="0mm,0mm,0mm,0mm">
                <w:txbxContent>
                  <w:p w14:paraId="6D8263D7">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14</w:t>
                    </w:r>
                    <w:r>
                      <w:rPr>
                        <w:rFonts w:hint="default" w:ascii="Times New Roman" w:hAnsi="Times New Roman" w:cs="Times New Roman"/>
                        <w:sz w:val="24"/>
                        <w:szCs w:val="24"/>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0013D">
    <w:pPr>
      <w:pStyle w:val="4"/>
    </w:pPr>
    <w:r>
      <w:rPr>
        <w:sz w:val="18"/>
      </w:rPr>
      <mc:AlternateContent>
        <mc:Choice Requires="wps">
          <w:drawing>
            <wp:anchor distT="0" distB="0" distL="114300" distR="114300" simplePos="0" relativeHeight="251685888"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DA4A1">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13</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45pt;margin-top:-18.75pt;height:31.45pt;width:30.15pt;mso-position-horizontal-relative:margin;z-index:251685888;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paM2gAAAAoBAAAPAAAAAAAAAAEAIAAAACIAAABkcnMv&#10;ZG93bnJldi54bWxQSwECFAAUAAAACACHTuJAIpLgBToCAABjBAAADgAAAAAAAAABACAAAAApAQAA&#10;ZHJzL2Uyb0RvYy54bWxQSwUGAAAAAAYABgBZAQAA1QUAAAAA&#10;">
              <v:fill on="f" focussize="0,0"/>
              <v:stroke on="f" weight="0.5pt"/>
              <v:imagedata o:title=""/>
              <o:lock v:ext="edit" aspectratio="f"/>
              <v:textbox inset="0mm,0mm,0mm,0mm">
                <w:txbxContent>
                  <w:p w14:paraId="00CDA4A1">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13</w:t>
                    </w:r>
                    <w:r>
                      <w:rPr>
                        <w:rFonts w:hint="default" w:ascii="Times New Roman" w:hAnsi="Times New Roman" w:cs="Times New Roman"/>
                        <w:sz w:val="24"/>
                        <w:szCs w:val="24"/>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1075">
    <w:pPr>
      <w:pStyle w:val="4"/>
    </w:pPr>
    <w:r>
      <w:rPr>
        <w:sz w:val="18"/>
      </w:rPr>
      <mc:AlternateContent>
        <mc:Choice Requires="wps">
          <w:drawing>
            <wp:anchor distT="0" distB="0" distL="114300" distR="114300" simplePos="0" relativeHeight="251688960"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7336DB">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14</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9.15pt;margin-top:-6pt;height:18.7pt;width:144pt;mso-position-horizontal-relative:margin;mso-wrap-style:none;z-index:251688960;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fd/c9kAAAAKAQAADwAAAAAAAAABACAAAAAiAAAAZHJzL2Rvd25y&#10;ZXYueG1sUEsBAhQAFAAAAAgAh07iQCSEgzY2AgAAYgQAAA4AAAAAAAAAAQAgAAAAKAEAAGRycy9l&#10;Mm9Eb2MueG1sUEsFBgAAAAAGAAYAWQEAANAFAAAAAA==&#10;">
              <v:fill on="f" focussize="0,0"/>
              <v:stroke on="f" weight="0.5pt"/>
              <v:imagedata o:title=""/>
              <o:lock v:ext="edit" aspectratio="f"/>
              <v:textbox inset="0mm,0mm,0mm,0mm">
                <w:txbxContent>
                  <w:p w14:paraId="607336DB">
                    <w:pPr>
                      <w:pStyle w:val="4"/>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14</w:t>
                    </w:r>
                    <w:r>
                      <w:rPr>
                        <w:rFonts w:hint="default" w:ascii="Times New Roman" w:hAnsi="Times New Roman" w:cs="Times New Roman"/>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827D4">
    <w:pPr>
      <w:pStyle w:val="5"/>
      <w:pBdr>
        <w:bottom w:val="none" w:color="auto" w:sz="0" w:space="1"/>
      </w:pBdr>
    </w:pPr>
    <w:r>
      <w:rPr>
        <w:sz w:val="18"/>
      </w:rPr>
      <mc:AlternateContent>
        <mc:Choice Requires="wpg">
          <w:drawing>
            <wp:anchor distT="0" distB="0" distL="114300" distR="114300" simplePos="0" relativeHeight="251673600"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76"/>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7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7C4D8">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157.5pt;mso-position-horizontal:left;mso-position-horizontal-relative:page;mso-position-vertical-relative:page;z-index:251673600;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OzG97nXAAAABwEAAA8AAAAAAAAAAQAgAAAAIgAAAGRycy9kb3ducmV2LnhtbFBLAQIUABQAAAAI&#10;AIdO4kBK9U6LRAMAAIMIAAAOAAAAAAAAAAEAIAAAACYBAABkcnMvZTJvRG9jLnhtbFBLBQYAAAAA&#10;BgAGAFkBAADcBg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BE7C4D8">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20XX 企业业务制定</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w:rPr>
        <w:sz w:val="18"/>
      </w:rPr>
      <mc:AlternateContent>
        <mc:Choice Requires="wpg">
          <w:drawing>
            <wp:anchor distT="0" distB="0" distL="114300" distR="114300" simplePos="0" relativeHeight="251672576" behindDoc="0" locked="0" layoutInCell="1" allowOverlap="1">
              <wp:simplePos x="0" y="0"/>
              <wp:positionH relativeFrom="page">
                <wp:align>center</wp:align>
              </wp:positionH>
              <wp:positionV relativeFrom="topMargin">
                <wp:align>bottom</wp:align>
              </wp:positionV>
              <wp:extent cx="7575550" cy="748665"/>
              <wp:effectExtent l="0" t="0" r="6350" b="13335"/>
              <wp:wrapNone/>
              <wp:docPr id="79" name="组合 79"/>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8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72576;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8B82D">
    <w:pPr>
      <w:pStyle w:val="5"/>
      <w:pBdr>
        <w:bottom w:val="none" w:color="auto" w:sz="0" w:space="1"/>
      </w:pBdr>
    </w:pPr>
    <w:r>
      <w:rPr>
        <w:sz w:val="18"/>
      </w:rPr>
      <mc:AlternateContent>
        <mc:Choice Requires="wpg">
          <w:drawing>
            <wp:anchor distT="0" distB="0" distL="114300" distR="114300" simplePos="0" relativeHeight="251689984" behindDoc="0" locked="0" layoutInCell="1" allowOverlap="1">
              <wp:simplePos x="0" y="0"/>
              <wp:positionH relativeFrom="page">
                <wp:posOffset>31750</wp:posOffset>
              </wp:positionH>
              <wp:positionV relativeFrom="topMargin">
                <wp:posOffset>365125</wp:posOffset>
              </wp:positionV>
              <wp:extent cx="7553960" cy="447675"/>
              <wp:effectExtent l="0" t="0" r="8890" b="9525"/>
              <wp:wrapNone/>
              <wp:docPr id="49" name="组合 49"/>
              <wp:cNvGraphicFramePr/>
              <a:graphic xmlns:a="http://schemas.openxmlformats.org/drawingml/2006/main">
                <a:graphicData uri="http://schemas.microsoft.com/office/word/2010/wordprocessingGroup">
                  <wpg:wgp>
                    <wpg:cNvGrpSpPr/>
                    <wpg:grpSpPr>
                      <a:xfrm>
                        <a:off x="0" y="0"/>
                        <a:ext cx="7553960" cy="447675"/>
                        <a:chOff x="881" y="505"/>
                        <a:chExt cx="11930" cy="1179"/>
                      </a:xfrm>
                    </wpg:grpSpPr>
                    <wps:wsp>
                      <wps:cNvPr id="5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pt;margin-top:28.75pt;height:35.25pt;width:594.8pt;mso-position-horizontal-relative:page;mso-position-vertical-relative:page;z-index:251689984;mso-width-relative:page;mso-height-relative:page;" coordorigin="881,505" coordsize="11930,1179"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BE/KzX2gAAAAkBAAAPAAAAAAAAAAEAIAAAACIAAABkcnMvZG93bnJldi54bWxQSwEC&#10;FAAUAAAACACHTuJAM+AQwBAFAADuFAAADgAAAAAAAAABACAAAAApAQAAZHJzL2Uyb0RvYy54bWxQ&#10;SwUGAAAAAAYABgBZAQAAqw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377825</wp:posOffset>
              </wp:positionV>
              <wp:extent cx="3556000" cy="406400"/>
              <wp:effectExtent l="0" t="0" r="0" b="0"/>
              <wp:wrapNone/>
              <wp:docPr id="46"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wpg:grpSpPr>
                    <wps:wsp>
                      <wps:cNvPr id="4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543B5">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第四部分 2019年度部门决算报表</w:t>
                            </w:r>
                          </w:p>
                          <w:p w14:paraId="6857B3D5">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29.75pt;height:32pt;width:280pt;mso-position-horizontal-relative:page;mso-position-vertical-relative:page;z-index:251691008;mso-width-relative:page;mso-height-relative:page;" coordorigin="1337,880" coordsize="3150,640"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x6bs&#10;HtcAAAAHAQAADwAAAAAAAAABACAAAAAiAAAAZHJzL2Rvd25yZXYueG1sUEsBAhQAFAAAAAgAh07i&#10;QIdzBYlAAwAAgwgAAA4AAAAAAAAAAQAgAAAAJgEAAGRycy9lMm9Eb2MueG1sUEsFBgAAAAAGAAYA&#10;WQEAANgGAAAAAA==&#10;">
              <o:lock v:ext="edit" aspectratio="f"/>
              <v:shape id="文本框 6" o:spid="_x0000_s1026" o:spt="202" type="#_x0000_t202" style="position:absolute;left:1401;top:880;height:641;width:3087;"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17543B5">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第四部分 2019年度部门决算报表</w:t>
                      </w:r>
                    </w:p>
                    <w:p w14:paraId="6857B3D5">
                      <w:pPr>
                        <w:rPr>
                          <w:rFonts w:hint="eastAsia"/>
                          <w:lang w:val="en-US" w:eastAsia="zh-CN"/>
                        </w:rPr>
                      </w:pPr>
                    </w:p>
                  </w:txbxContent>
                </v:textbox>
              </v:shape>
              <v:rect id="矩形 7" o:spid="_x0000_s1026" o:spt="1" style="position:absolute;left:1337;top:1044;height:330;width:119;v-text-anchor:middle;" fillcolor="#000000 [3213]" filled="t" stroked="f" coordsize="21600,21600"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AD79C">
    <w:pPr>
      <w:pStyle w:val="5"/>
      <w:pBdr>
        <w:bottom w:val="none" w:color="auto" w:sz="0" w:space="1"/>
      </w:pBdr>
    </w:pPr>
    <w:r>
      <w:rPr>
        <w:sz w:val="18"/>
      </w:rPr>
      <mc:AlternateContent>
        <mc:Choice Requires="wpg">
          <w:drawing>
            <wp:anchor distT="0" distB="0" distL="114300" distR="114300" simplePos="0" relativeHeight="251686912" behindDoc="0" locked="0" layoutInCell="1" allowOverlap="1">
              <wp:simplePos x="0" y="0"/>
              <wp:positionH relativeFrom="page">
                <wp:posOffset>9525</wp:posOffset>
              </wp:positionH>
              <wp:positionV relativeFrom="topMargin">
                <wp:posOffset>307340</wp:posOffset>
              </wp:positionV>
              <wp:extent cx="7575550" cy="483235"/>
              <wp:effectExtent l="0" t="0" r="6350" b="12065"/>
              <wp:wrapNone/>
              <wp:docPr id="19" name="组合 19"/>
              <wp:cNvGraphicFramePr/>
              <a:graphic xmlns:a="http://schemas.openxmlformats.org/drawingml/2006/main">
                <a:graphicData uri="http://schemas.microsoft.com/office/word/2010/wordprocessingGroup">
                  <wpg:wgp>
                    <wpg:cNvGrpSpPr/>
                    <wpg:grpSpPr>
                      <a:xfrm>
                        <a:off x="0" y="0"/>
                        <a:ext cx="7575550" cy="483235"/>
                        <a:chOff x="881" y="505"/>
                        <a:chExt cx="11930" cy="1179"/>
                      </a:xfrm>
                    </wpg:grpSpPr>
                    <wps:wsp>
                      <wps:cNvPr id="20"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38.05pt;width:596.5pt;mso-position-horizontal-relative:page;mso-position-vertical-relative:page;z-index:251686912;mso-width-relative:page;mso-height-relative:page;mso-width-percent:1000;" coordorigin="881,505" coordsize="11930,1179"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xkhrE1gAAAAkBAAAPAAAAAAAAAAEAIAAAACIAAABkcnMvZG93bnJldi54bWxQSwECFAAUAAAA&#10;CACHTuJA8S6Wfw4FAADuFAAADgAAAAAAAAABACAAAAAlAQAAZHJzL2Uyb0RvYy54bWxQSwUGAAAA&#10;AAYABgBZAQAAp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87936" behindDoc="0" locked="0" layoutInCell="1" allowOverlap="1">
              <wp:simplePos x="0" y="0"/>
              <wp:positionH relativeFrom="page">
                <wp:align>left</wp:align>
              </wp:positionH>
              <wp:positionV relativeFrom="page">
                <wp:posOffset>377825</wp:posOffset>
              </wp:positionV>
              <wp:extent cx="3228975" cy="406400"/>
              <wp:effectExtent l="0" t="0" r="0" b="0"/>
              <wp:wrapNone/>
              <wp:docPr id="16"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wpg:grpSpPr>
                    <wps:wsp>
                      <wps:cNvPr id="17"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72D4D">
                            <w:pPr>
                              <w:rPr>
                                <w:rFonts w:hint="default"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254.25pt;mso-position-horizontal:left;mso-position-horizontal-relative:page;mso-position-vertical-relative:page;z-index:251687936;mso-width-relative:page;mso-height-relative:page;" coordorigin="1337,880" coordsize="3150,640"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8IBA+1wAAAAcBAAAPAAAAAAAAAAEAIAAAACIAAABkcnMvZG93bnJldi54bWxQSwECFAAUAAAA&#10;CACHTuJAKwudREUDAACDCAAADgAAAAAAAAABACAAAAAmAQAAZHJzL2Uyb0RvYy54bWxQSwUGAAAA&#10;AAYABgBZAQAA3QYAAAAA&#10;">
              <o:lock v:ext="edit" aspectratio="f"/>
              <v:shape id="文本框 6" o:spid="_x0000_s1026" o:spt="202" type="#_x0000_t202" style="position:absolute;left:1401;top:880;height:641;width:3087;"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E72D4D">
                      <w:pPr>
                        <w:rPr>
                          <w:rFonts w:hint="default"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第四部分  2019年度部门决算报表</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14DFE">
    <w:pPr>
      <w:pStyle w:val="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DB99E">
    <w:pPr>
      <w:pStyle w:val="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601BD">
    <w:pPr>
      <w:pStyle w:val="5"/>
      <w:pBdr>
        <w:bottom w:val="none" w:color="auto" w:sz="0" w:space="1"/>
      </w:pBdr>
    </w:pPr>
    <w:r>
      <w:rPr>
        <w:sz w:val="18"/>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topMargin">
                <wp:posOffset>682625</wp:posOffset>
              </wp:positionV>
              <wp:extent cx="7553960" cy="400050"/>
              <wp:effectExtent l="0" t="0" r="8890" b="0"/>
              <wp:wrapNone/>
              <wp:docPr id="240" name="组合 240"/>
              <wp:cNvGraphicFramePr/>
              <a:graphic xmlns:a="http://schemas.openxmlformats.org/drawingml/2006/main">
                <a:graphicData uri="http://schemas.microsoft.com/office/word/2010/wordprocessingGroup">
                  <wpg:wgp>
                    <wpg:cNvGrpSpPr/>
                    <wpg:grpSpPr>
                      <a:xfrm>
                        <a:off x="0" y="0"/>
                        <a:ext cx="7553960" cy="400050"/>
                        <a:chOff x="881" y="505"/>
                        <a:chExt cx="11930" cy="1179"/>
                      </a:xfrm>
                    </wpg:grpSpPr>
                    <wps:wsp>
                      <wps:cNvPr id="241"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2"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3"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53.75pt;height:31.5pt;width:594.8pt;mso-position-horizontal-relative:page;mso-position-vertical-relative:page;z-index:251680768;mso-width-relative:page;mso-height-relative:page;" coordorigin="881,505" coordsize="11930,1179"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CA2E43ZAAAACQEAAA8AAAAAAAAAAQAgAAAAIgAAAGRycy9kb3ducmV2LnhtbFBLAQIUABQA&#10;AAAIAIdO4kDZlDXwDQUAAPMUAAAOAAAAAAAAAAEAIAAAACgBAABkcnMvZTJvRG9jLnhtbFBLBQYA&#10;AAAABgAGAFkBAACn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81792"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237" name="组合 237"/>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238"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A7830">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47.15pt;height:32pt;width:235.7pt;mso-position-horizontal-relative:page;mso-position-vertical-relative:page;z-index:251681792;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FL&#10;iJHZAAAACQEAAA8AAAAAAAAAAQAgAAAAIgAAAGRycy9kb3ducmV2LnhtbFBLAQIUABQAAAAIAIdO&#10;4kDgh/c/PwMAAIcIAAAOAAAAAAAAAAEAIAAAACgBAABkcnMvZTJvRG9jLnhtbFBLBQYAAAAABgAG&#10;AFkBAADZBgAAAAA=&#10;">
              <o:lock v:ext="edit" aspectratio="f"/>
              <v:shape id="文本框 6" o:spid="_x0000_s1026" o:spt="202" type="#_x0000_t202" style="position:absolute;left:1401;top:880;height:641;width:308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28A7830">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第一部分  部门概况</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7FB0">
    <w:pPr>
      <w:pStyle w:val="5"/>
      <w:pBdr>
        <w:bottom w:val="none" w:color="auto" w:sz="0" w:space="1"/>
      </w:pBdr>
    </w:pPr>
    <w:r>
      <w:rPr>
        <w:sz w:val="18"/>
      </w:rPr>
      <mc:AlternateContent>
        <mc:Choice Requires="wpg">
          <w:drawing>
            <wp:anchor distT="0" distB="0" distL="114300" distR="114300" simplePos="0" relativeHeight="251674624" behindDoc="0" locked="0" layoutInCell="1" allowOverlap="1">
              <wp:simplePos x="0" y="0"/>
              <wp:positionH relativeFrom="page">
                <wp:posOffset>34925</wp:posOffset>
              </wp:positionH>
              <wp:positionV relativeFrom="topMargin">
                <wp:posOffset>596265</wp:posOffset>
              </wp:positionV>
              <wp:extent cx="7579995" cy="416560"/>
              <wp:effectExtent l="0" t="0" r="1905" b="2540"/>
              <wp:wrapNone/>
              <wp:docPr id="138" name="组合 138"/>
              <wp:cNvGraphicFramePr/>
              <a:graphic xmlns:a="http://schemas.openxmlformats.org/drawingml/2006/main">
                <a:graphicData uri="http://schemas.microsoft.com/office/word/2010/wordprocessingGroup">
                  <wpg:wgp>
                    <wpg:cNvGrpSpPr/>
                    <wpg:grpSpPr>
                      <a:xfrm>
                        <a:off x="0" y="0"/>
                        <a:ext cx="7579995" cy="416560"/>
                        <a:chOff x="881" y="505"/>
                        <a:chExt cx="11971" cy="1179"/>
                      </a:xfrm>
                    </wpg:grpSpPr>
                    <wps:wsp>
                      <wps:cNvPr id="139"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0"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任意多边形 4"/>
                      <wps:cNvSpPr/>
                      <wps:spPr>
                        <a:xfrm>
                          <a:off x="10467" y="505"/>
                          <a:ext cx="2385" cy="1107"/>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5pt;margin-top:46.95pt;height:32.8pt;width:596.85pt;mso-position-horizontal-relative:page;mso-position-vertical-relative:page;z-index:251674624;mso-width-relative:page;mso-height-relative:page;" coordorigin="881,505" coordsize="11971,1179"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RVgshdkAAAAJAQAADwAAAAAAAAABACAAAAAiAAAAZHJzL2Rvd25yZXYueG1sUEsBAhQA&#10;FAAAAAgAh07iQG/fh1wPBQAA8xQAAA4AAAAAAAAAAQAgAAAAKAEAAGRycy9lMm9Eb2MueG1sUEsF&#10;BgAAAAAGAAYAWQEAAKkI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7;width:2385;v-text-anchor:middle;" fillcolor="#FFD966 [1943]" filled="t" stroked="f" coordsize="2619,1265"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path="m668,0l2619,10,2619,1265,0,1265,668,0xe">
                <v:path o:connectlocs="608,0;2385,8;2385,1107;0,1107;60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75648" behindDoc="0" locked="0" layoutInCell="1" allowOverlap="1">
              <wp:simplePos x="0" y="0"/>
              <wp:positionH relativeFrom="page">
                <wp:posOffset>24765</wp:posOffset>
              </wp:positionH>
              <wp:positionV relativeFrom="page">
                <wp:posOffset>598170</wp:posOffset>
              </wp:positionV>
              <wp:extent cx="2993390" cy="406400"/>
              <wp:effectExtent l="0" t="0" r="0" b="0"/>
              <wp:wrapNone/>
              <wp:docPr id="135" name="组合 135"/>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36"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DDDF7">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5pt;margin-top:47.1pt;height:32pt;width:235.7pt;mso-position-horizontal-relative:page;mso-position-vertical-relative:page;z-index:251675648;mso-width-relative:page;mso-height-relative:page;" coordorigin="1337,880" coordsize="3150,640"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AuHaInZAAAACAEAAA8AAAAAAAAAAQAgAAAAIgAAAGRycy9kb3ducmV2LnhtbFBLAQIU&#10;ABQAAAAIAIdO4kBdQwsVSAMAAIcIAAAOAAAAAAAAAAEAIAAAACgBAABkcnMvZTJvRG9jLnhtbFBL&#10;BQYAAAAABgAGAFkBAADiBgAAAAA=&#10;">
              <o:lock v:ext="edit" aspectratio="f"/>
              <v:shape id="文本框 6" o:spid="_x0000_s1026" o:spt="202" type="#_x0000_t202" style="position:absolute;left:1401;top:880;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5ADDDF7">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第二部分  部门决算情况说明</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A6A3B">
    <w:pPr>
      <w:pStyle w:val="5"/>
      <w:pBdr>
        <w:bottom w:val="none" w:color="auto" w:sz="0" w:space="1"/>
      </w:pBdr>
    </w:pPr>
    <w:r>
      <w:rPr>
        <w:sz w:val="18"/>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topMargin">
                <wp:posOffset>550545</wp:posOffset>
              </wp:positionV>
              <wp:extent cx="7553960" cy="480695"/>
              <wp:effectExtent l="0" t="0" r="8890" b="14605"/>
              <wp:wrapNone/>
              <wp:docPr id="183" name="组合 183"/>
              <wp:cNvGraphicFramePr/>
              <a:graphic xmlns:a="http://schemas.openxmlformats.org/drawingml/2006/main">
                <a:graphicData uri="http://schemas.microsoft.com/office/word/2010/wordprocessingGroup">
                  <wpg:wgp>
                    <wpg:cNvGrpSpPr/>
                    <wpg:grpSpPr>
                      <a:xfrm>
                        <a:off x="0" y="0"/>
                        <a:ext cx="7553960" cy="480695"/>
                        <a:chOff x="881" y="505"/>
                        <a:chExt cx="11930" cy="1179"/>
                      </a:xfrm>
                    </wpg:grpSpPr>
                    <wps:wsp>
                      <wps:cNvPr id="184"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0pt;height:37.85pt;width:594.8pt;mso-position-horizontal-relative:page;mso-position-vertical-relative:page;z-index:251676672;mso-width-relative:page;mso-height-relative:page;" coordorigin="881,505" coordsize="11930,1179"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Kmj7RjZAAAACAEAAA8AAAAAAAAAAQAgAAAAIgAAAGRycy9kb3ducmV2LnhtbFBLAQIUABQA&#10;AAAIAIdO4kBzm16bDQUAAPMUAAAOAAAAAAAAAAEAIAAAACgBAABkcnMvZTJvRG9jLnhtbFBLBQYA&#10;AAAABgAGAFkBAACnCAAAAAA=&#10;">
              <o:lock v:ext="edit" aspectratio="f"/>
              <v:rect id="矩形 2" o:spid="_x0000_s1026" o:spt="1" style="position:absolute;left:881;top:1538;height:146;width:11925;v-text-anchor:middle;" fillcolor="#FFD966 [1943]" filled="t" stroked="f" coordsize="21600,21600"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r>
      <w:rPr>
        <w:sz w:val="18"/>
      </w:rPr>
      <mc:AlternateContent>
        <mc:Choice Requires="wpg">
          <w:drawing>
            <wp:anchor distT="0" distB="0" distL="114300" distR="114300" simplePos="0" relativeHeight="251677696"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180" name="组合 180"/>
              <wp:cNvGraphicFramePr/>
              <a:graphic xmlns:a="http://schemas.openxmlformats.org/drawingml/2006/main">
                <a:graphicData uri="http://schemas.microsoft.com/office/word/2010/wordprocessingGroup">
                  <wpg:wgp>
                    <wpg:cNvGrpSpPr/>
                    <wpg:grpSpPr>
                      <a:xfrm>
                        <a:off x="0" y="0"/>
                        <a:ext cx="2993390" cy="406400"/>
                        <a:chOff x="1337" y="880"/>
                        <a:chExt cx="3150" cy="640"/>
                      </a:xfrm>
                    </wpg:grpSpPr>
                    <wps:wsp>
                      <wps:cNvPr id="181"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180C4">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5pt;margin-top:47.15pt;height:32pt;width:235.7pt;mso-position-horizontal-relative:page;mso-position-vertical-relative:page;z-index:251677696;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NFLiJHZAAAACQEAAA8AAAAAAAAAAQAgAAAAIgAAAGRycy9kb3ducmV2LnhtbFBLAQIU&#10;ABQAAAAIAIdO4kAtA+7hSAMAAIcIAAAOAAAAAAAAAAEAIAAAACgBAABkcnMvZTJvRG9jLnhtbFBL&#10;BQYAAAAABgAGAFkBAADiBgAAAAA=&#10;">
              <o:lock v:ext="edit" aspectratio="f"/>
              <v:shape id="文本框 6" o:spid="_x0000_s1026"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33180C4">
                      <w:pPr>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第三部分  名词解释</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57B95">
    <w:pPr>
      <w:pStyle w:val="5"/>
      <w:pBdr>
        <w:bottom w:val="none" w:color="auto" w:sz="0" w:space="1"/>
      </w:pBdr>
    </w:pPr>
    <w:r>
      <w:rPr>
        <w:sz w:val="18"/>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ge">
                <wp:posOffset>377825</wp:posOffset>
              </wp:positionV>
              <wp:extent cx="2000250" cy="406400"/>
              <wp:effectExtent l="0" t="0" r="0" b="0"/>
              <wp:wrapNone/>
              <wp:docPr id="189" name="组合 189"/>
              <wp:cNvGraphicFramePr/>
              <a:graphic xmlns:a="http://schemas.openxmlformats.org/drawingml/2006/main">
                <a:graphicData uri="http://schemas.microsoft.com/office/word/2010/wordprocessingGroup">
                  <wpg:wgp>
                    <wpg:cNvGrpSpPr/>
                    <wpg:grpSpPr>
                      <a:xfrm>
                        <a:off x="0" y="0"/>
                        <a:ext cx="2000250" cy="406400"/>
                        <a:chOff x="1337" y="880"/>
                        <a:chExt cx="3150" cy="640"/>
                      </a:xfrm>
                    </wpg:grpSpPr>
                    <wps:wsp>
                      <wps:cNvPr id="190" name="文本框 6"/>
                      <wps:cNvSpPr txBox="1"/>
                      <wps:spPr>
                        <a:xfrm>
                          <a:off x="1401" y="880"/>
                          <a:ext cx="3087" cy="6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D6953">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29.75pt;height:32pt;width:157.5pt;mso-position-horizontal:left;mso-position-horizontal-relative:page;mso-position-vertical-relative:page;z-index:251679744;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sxve51wAAAAcBAAAPAAAAAAAAAAEAIAAAACIAAABkcnMvZG93bnJldi54bWxQSwECFAAU&#10;AAAACACHTuJApJ6XBEgDAACHCAAADgAAAAAAAAABACAAAAAmAQAAZHJzL2Uyb0RvYy54bWxQSwUG&#10;AAAAAAYABgBZAQAA4AYAAAAA&#10;">
              <o:lock v:ext="edit" aspectratio="f"/>
              <v:shape id="文本框 6" o:spid="_x0000_s1026"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70D6953">
                      <w:pP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20XX 企业业务制定</w:t>
                      </w:r>
                    </w:p>
                  </w:txbxContent>
                </v:textbox>
              </v:shape>
              <v:rect id="矩形 7" o:spid="_x0000_s1026" o:spt="1" style="position:absolute;left:1337;top:1044;height:330;width:119;v-text-anchor:middle;" fillcolor="#000000 [3213]"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w:rPr>
        <w:sz w:val="18"/>
      </w:rPr>
      <mc:AlternateContent>
        <mc:Choice Requires="wpg">
          <w:drawing>
            <wp:anchor distT="0" distB="0" distL="114300" distR="114300" simplePos="0" relativeHeight="251678720" behindDoc="0" locked="0" layoutInCell="1" allowOverlap="1">
              <wp:simplePos x="0" y="0"/>
              <wp:positionH relativeFrom="page">
                <wp:align>center</wp:align>
              </wp:positionH>
              <wp:positionV relativeFrom="topMargin">
                <wp:align>bottom</wp:align>
              </wp:positionV>
              <wp:extent cx="7575550" cy="748665"/>
              <wp:effectExtent l="0" t="0" r="6350" b="13335"/>
              <wp:wrapNone/>
              <wp:docPr id="192" name="组合 192"/>
              <wp:cNvGraphicFramePr/>
              <a:graphic xmlns:a="http://schemas.openxmlformats.org/drawingml/2006/main">
                <a:graphicData uri="http://schemas.microsoft.com/office/word/2010/wordprocessingGroup">
                  <wpg:wgp>
                    <wpg:cNvGrpSpPr/>
                    <wpg:grpSpPr>
                      <a:xfrm>
                        <a:off x="0" y="0"/>
                        <a:ext cx="7575550" cy="748665"/>
                        <a:chOff x="881" y="505"/>
                        <a:chExt cx="11930" cy="1179"/>
                      </a:xfrm>
                    </wpg:grpSpPr>
                    <wps:wsp>
                      <wps:cNvPr id="193" name="矩形 2"/>
                      <wps:cNvSpPr/>
                      <wps:spPr>
                        <a:xfrm>
                          <a:off x="881" y="1538"/>
                          <a:ext cx="11925" cy="1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任意多边形 3"/>
                      <wps:cNvSpPr/>
                      <wps:spPr>
                        <a:xfrm>
                          <a:off x="10177" y="686"/>
                          <a:ext cx="2619" cy="862"/>
                        </a:xfrm>
                        <a:custGeom>
                          <a:avLst/>
                          <a:gdLst>
                            <a:gd name="connsiteX0" fmla="*/ 595 w 2619"/>
                            <a:gd name="connsiteY0" fmla="*/ 1 h 862"/>
                            <a:gd name="connsiteX1" fmla="*/ 2619 w 2619"/>
                            <a:gd name="connsiteY1" fmla="*/ 0 h 862"/>
                            <a:gd name="connsiteX2" fmla="*/ 2619 w 2619"/>
                            <a:gd name="connsiteY2" fmla="*/ 862 h 862"/>
                            <a:gd name="connsiteX3" fmla="*/ 0 w 2619"/>
                            <a:gd name="connsiteY3" fmla="*/ 862 h 862"/>
                            <a:gd name="connsiteX4" fmla="*/ 595 w 2619"/>
                            <a:gd name="connsiteY4" fmla="*/ 1 h 8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862">
                              <a:moveTo>
                                <a:pt x="595" y="1"/>
                              </a:moveTo>
                              <a:lnTo>
                                <a:pt x="2619" y="0"/>
                              </a:lnTo>
                              <a:lnTo>
                                <a:pt x="2619" y="862"/>
                              </a:lnTo>
                              <a:lnTo>
                                <a:pt x="0" y="862"/>
                              </a:lnTo>
                              <a:lnTo>
                                <a:pt x="595" y="1"/>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 name="任意多边形 4"/>
                      <wps:cNvSpPr/>
                      <wps:spPr>
                        <a:xfrm>
                          <a:off x="10467" y="505"/>
                          <a:ext cx="2345" cy="1108"/>
                        </a:xfrm>
                        <a:custGeom>
                          <a:avLst/>
                          <a:gdLst>
                            <a:gd name="connsiteX0" fmla="*/ 668 w 2619"/>
                            <a:gd name="connsiteY0" fmla="*/ 0 h 1265"/>
                            <a:gd name="connsiteX1" fmla="*/ 2619 w 2619"/>
                            <a:gd name="connsiteY1" fmla="*/ 10 h 1265"/>
                            <a:gd name="connsiteX2" fmla="*/ 2619 w 2619"/>
                            <a:gd name="connsiteY2" fmla="*/ 1265 h 1265"/>
                            <a:gd name="connsiteX3" fmla="*/ 0 w 2619"/>
                            <a:gd name="connsiteY3" fmla="*/ 1265 h 1265"/>
                            <a:gd name="connsiteX4" fmla="*/ 668 w 2619"/>
                            <a:gd name="connsiteY4" fmla="*/ 0 h 1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9" h="1265">
                              <a:moveTo>
                                <a:pt x="668" y="0"/>
                              </a:moveTo>
                              <a:lnTo>
                                <a:pt x="2619" y="10"/>
                              </a:lnTo>
                              <a:lnTo>
                                <a:pt x="2619" y="1265"/>
                              </a:lnTo>
                              <a:lnTo>
                                <a:pt x="0" y="1265"/>
                              </a:lnTo>
                              <a:lnTo>
                                <a:pt x="668"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0</wp14:pctHeight>
              </wp14:sizeRelV>
            </wp:anchor>
          </w:drawing>
        </mc:Choice>
        <mc:Fallback>
          <w:pict>
            <v:group id="_x0000_s1026" o:spid="_x0000_s1026" o:spt="203" style="position:absolute;left:0pt;margin-left:0pt;margin-top:0pt;height:58.95pt;width:596.5pt;mso-position-horizontal-relative:page;mso-position-vertical-relative:page;z-index:251678720;mso-width-relative:page;mso-height-relative:page;mso-width-percent:1000;" coordorigin="881,505" coordsize="11930,1179"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U0b31QAAAAYBAAAPAAAAAAAAAAEAIAAAACIAAABkcnMvZG93bnJldi54bWxQSwECFAAUAAAA&#10;CACHTuJAAWusgQ8FAADzFAAADgAAAAAAAAABACAAAAAkAQAAZHJzL2Uyb0RvYy54bWxQSwUGAAAA&#10;AAYABgBZAQAApQgAAAAA&#10;">
              <o:lock v:ext="edit" aspectratio="f"/>
              <v:rect id="矩形 2" o:spid="_x0000_s1026" o:spt="1" style="position:absolute;left:881;top:1538;height:146;width:11925;v-text-anchor:middle;" fillcolor="#FFD966 [1943]" filled="t" stroked="f" coordsize="21600,21600"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任意多边形 3" o:spid="_x0000_s1026" o:spt="100" style="position:absolute;left:10177;top:686;height:862;width:2619;v-text-anchor:middle;" fillcolor="#000000 [3213]" filled="t" stroked="f" coordsize="2619,862"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path="m595,1l2619,0,2619,862,0,862,595,1xe">
                <v:path o:connectlocs="595,1;2619,0;2619,862;0,862;595,1" o:connectangles="0,0,0,0,0"/>
                <v:fill on="t" focussize="0,0"/>
                <v:stroke on="f" weight="1pt" miterlimit="8" joinstyle="miter"/>
                <v:imagedata o:title=""/>
                <o:lock v:ext="edit" aspectratio="f"/>
              </v:shape>
              <v:shape id="任意多边形 4" o:spid="_x0000_s1026" o:spt="100" style="position:absolute;left:10467;top:505;height:1108;width:2345;v-text-anchor:middle;" fillcolor="#FFD966 [1943]" filled="t" stroked="f" coordsize="2619,1265"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path="m668,0l2619,10,2619,1265,0,1265,668,0xe">
                <v:path o:connectlocs="598,0;2345,8;2345,1108;0,1108;598,0" o:connectangles="0,0,0,0,0"/>
                <v:fill on="t" focussize="0,0"/>
                <v:stroke on="f" weight="1pt" miterlimit="8" joinstyle="miter"/>
                <v:imagedata o:title=""/>
                <o:lock v:ext="edit" aspectratio="f"/>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5D977">
    <w:pPr>
      <w:pStyle w:val="5"/>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682AA">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AAF1C96"/>
    <w:rsid w:val="0007063E"/>
    <w:rsid w:val="00073392"/>
    <w:rsid w:val="00073F4E"/>
    <w:rsid w:val="00086C89"/>
    <w:rsid w:val="000A39FB"/>
    <w:rsid w:val="00117746"/>
    <w:rsid w:val="00163F95"/>
    <w:rsid w:val="00180A9A"/>
    <w:rsid w:val="001829C0"/>
    <w:rsid w:val="00184809"/>
    <w:rsid w:val="00192112"/>
    <w:rsid w:val="001B0127"/>
    <w:rsid w:val="001C12D5"/>
    <w:rsid w:val="001C69F7"/>
    <w:rsid w:val="002650EC"/>
    <w:rsid w:val="002A6C46"/>
    <w:rsid w:val="002C19B5"/>
    <w:rsid w:val="003A4EE8"/>
    <w:rsid w:val="00442CC2"/>
    <w:rsid w:val="00446244"/>
    <w:rsid w:val="00473C20"/>
    <w:rsid w:val="004D61CB"/>
    <w:rsid w:val="005011D6"/>
    <w:rsid w:val="00503F2E"/>
    <w:rsid w:val="00552226"/>
    <w:rsid w:val="00566120"/>
    <w:rsid w:val="00582E6D"/>
    <w:rsid w:val="005954D5"/>
    <w:rsid w:val="005A53FA"/>
    <w:rsid w:val="005D1293"/>
    <w:rsid w:val="00644D5F"/>
    <w:rsid w:val="006727AD"/>
    <w:rsid w:val="00691425"/>
    <w:rsid w:val="006A516E"/>
    <w:rsid w:val="006B0830"/>
    <w:rsid w:val="00716E2B"/>
    <w:rsid w:val="00770F18"/>
    <w:rsid w:val="00773B74"/>
    <w:rsid w:val="0078290C"/>
    <w:rsid w:val="007C06CA"/>
    <w:rsid w:val="008163FB"/>
    <w:rsid w:val="0082605B"/>
    <w:rsid w:val="00855C36"/>
    <w:rsid w:val="00857DBE"/>
    <w:rsid w:val="008701BC"/>
    <w:rsid w:val="00883D92"/>
    <w:rsid w:val="008A5362"/>
    <w:rsid w:val="008F21F1"/>
    <w:rsid w:val="008F221B"/>
    <w:rsid w:val="008F5A2D"/>
    <w:rsid w:val="00921602"/>
    <w:rsid w:val="00957EA1"/>
    <w:rsid w:val="00966E5B"/>
    <w:rsid w:val="009B4EF0"/>
    <w:rsid w:val="009D271F"/>
    <w:rsid w:val="00A929C2"/>
    <w:rsid w:val="00AD097F"/>
    <w:rsid w:val="00B844F4"/>
    <w:rsid w:val="00BA06A1"/>
    <w:rsid w:val="00BA770A"/>
    <w:rsid w:val="00C054DE"/>
    <w:rsid w:val="00C679A9"/>
    <w:rsid w:val="00C7541C"/>
    <w:rsid w:val="00CC0FAA"/>
    <w:rsid w:val="00CD0736"/>
    <w:rsid w:val="00D1570F"/>
    <w:rsid w:val="00D32830"/>
    <w:rsid w:val="00DB7153"/>
    <w:rsid w:val="00DB7F05"/>
    <w:rsid w:val="00E028C3"/>
    <w:rsid w:val="00E14F77"/>
    <w:rsid w:val="00E3076B"/>
    <w:rsid w:val="00E36978"/>
    <w:rsid w:val="00E82A1E"/>
    <w:rsid w:val="00EC06F4"/>
    <w:rsid w:val="00EE4E36"/>
    <w:rsid w:val="00F5327E"/>
    <w:rsid w:val="00F665F4"/>
    <w:rsid w:val="00FD225F"/>
    <w:rsid w:val="02F77379"/>
    <w:rsid w:val="03071968"/>
    <w:rsid w:val="03B210E7"/>
    <w:rsid w:val="03BC7357"/>
    <w:rsid w:val="05046839"/>
    <w:rsid w:val="05412EE5"/>
    <w:rsid w:val="058C656C"/>
    <w:rsid w:val="0752286F"/>
    <w:rsid w:val="080808EE"/>
    <w:rsid w:val="08292E00"/>
    <w:rsid w:val="0A86325F"/>
    <w:rsid w:val="0AC72712"/>
    <w:rsid w:val="0C1C6F29"/>
    <w:rsid w:val="0C2B3AA7"/>
    <w:rsid w:val="0D565176"/>
    <w:rsid w:val="0DCE45AA"/>
    <w:rsid w:val="0ED51D94"/>
    <w:rsid w:val="100E66EF"/>
    <w:rsid w:val="11512774"/>
    <w:rsid w:val="118B53BA"/>
    <w:rsid w:val="12264E23"/>
    <w:rsid w:val="140168E2"/>
    <w:rsid w:val="14F01327"/>
    <w:rsid w:val="15A41CAD"/>
    <w:rsid w:val="168A20BA"/>
    <w:rsid w:val="16FA341A"/>
    <w:rsid w:val="17C70682"/>
    <w:rsid w:val="181D22BB"/>
    <w:rsid w:val="18D25177"/>
    <w:rsid w:val="1A251A3C"/>
    <w:rsid w:val="1ABA5C48"/>
    <w:rsid w:val="1C6B0AB7"/>
    <w:rsid w:val="1C862CFF"/>
    <w:rsid w:val="1D0D2303"/>
    <w:rsid w:val="1F0520A8"/>
    <w:rsid w:val="2331716E"/>
    <w:rsid w:val="25E0230D"/>
    <w:rsid w:val="262802C3"/>
    <w:rsid w:val="264937B6"/>
    <w:rsid w:val="279A0357"/>
    <w:rsid w:val="292408DB"/>
    <w:rsid w:val="29AF0B5A"/>
    <w:rsid w:val="29C16747"/>
    <w:rsid w:val="2B603628"/>
    <w:rsid w:val="2BFC33E8"/>
    <w:rsid w:val="2C3B31E6"/>
    <w:rsid w:val="2C961A13"/>
    <w:rsid w:val="2DE14DAA"/>
    <w:rsid w:val="2DEF0DC3"/>
    <w:rsid w:val="31C2036A"/>
    <w:rsid w:val="320D02A5"/>
    <w:rsid w:val="341B0B9C"/>
    <w:rsid w:val="348E566F"/>
    <w:rsid w:val="352F0FA1"/>
    <w:rsid w:val="3666787A"/>
    <w:rsid w:val="371C0095"/>
    <w:rsid w:val="37D3139B"/>
    <w:rsid w:val="39893245"/>
    <w:rsid w:val="39E7709B"/>
    <w:rsid w:val="3A226944"/>
    <w:rsid w:val="3AEE6A48"/>
    <w:rsid w:val="3B0A08FB"/>
    <w:rsid w:val="3B6D595C"/>
    <w:rsid w:val="3C1620AA"/>
    <w:rsid w:val="3D8F080F"/>
    <w:rsid w:val="3EB14902"/>
    <w:rsid w:val="434C181C"/>
    <w:rsid w:val="440862D2"/>
    <w:rsid w:val="443B67D4"/>
    <w:rsid w:val="44CE1FA4"/>
    <w:rsid w:val="44EB2E03"/>
    <w:rsid w:val="45724101"/>
    <w:rsid w:val="460D7F65"/>
    <w:rsid w:val="46AA2976"/>
    <w:rsid w:val="48555292"/>
    <w:rsid w:val="487F73ED"/>
    <w:rsid w:val="48F17704"/>
    <w:rsid w:val="499F3BEF"/>
    <w:rsid w:val="49F520A9"/>
    <w:rsid w:val="4A347EAE"/>
    <w:rsid w:val="4B036CF4"/>
    <w:rsid w:val="4BF04460"/>
    <w:rsid w:val="4C0302FC"/>
    <w:rsid w:val="4D7500C1"/>
    <w:rsid w:val="4D7B4BC4"/>
    <w:rsid w:val="4E460378"/>
    <w:rsid w:val="4E561E72"/>
    <w:rsid w:val="4FAC3270"/>
    <w:rsid w:val="50542DBF"/>
    <w:rsid w:val="506447C6"/>
    <w:rsid w:val="50D16ACD"/>
    <w:rsid w:val="52600405"/>
    <w:rsid w:val="52624E73"/>
    <w:rsid w:val="52697F1A"/>
    <w:rsid w:val="529B4319"/>
    <w:rsid w:val="54AC38E9"/>
    <w:rsid w:val="55567E55"/>
    <w:rsid w:val="5585000A"/>
    <w:rsid w:val="56101979"/>
    <w:rsid w:val="567B0C43"/>
    <w:rsid w:val="571010E8"/>
    <w:rsid w:val="57773DD6"/>
    <w:rsid w:val="578B79AB"/>
    <w:rsid w:val="58E803B4"/>
    <w:rsid w:val="58EB62D4"/>
    <w:rsid w:val="5A6C18EF"/>
    <w:rsid w:val="5A79689E"/>
    <w:rsid w:val="5BFF4D3D"/>
    <w:rsid w:val="5C9A7394"/>
    <w:rsid w:val="5CCD3FD5"/>
    <w:rsid w:val="5FA416FE"/>
    <w:rsid w:val="5FE834E4"/>
    <w:rsid w:val="6118232E"/>
    <w:rsid w:val="612E1081"/>
    <w:rsid w:val="61FA5F9D"/>
    <w:rsid w:val="62E01603"/>
    <w:rsid w:val="62E3262E"/>
    <w:rsid w:val="63B9757C"/>
    <w:rsid w:val="63F657B6"/>
    <w:rsid w:val="64CD6910"/>
    <w:rsid w:val="65A40171"/>
    <w:rsid w:val="65BE5E6C"/>
    <w:rsid w:val="66E64B46"/>
    <w:rsid w:val="6789158D"/>
    <w:rsid w:val="67D81BA4"/>
    <w:rsid w:val="68650AB1"/>
    <w:rsid w:val="6A345B68"/>
    <w:rsid w:val="6AAF1C96"/>
    <w:rsid w:val="6B1A126A"/>
    <w:rsid w:val="6C075E14"/>
    <w:rsid w:val="70ED5305"/>
    <w:rsid w:val="72761F5A"/>
    <w:rsid w:val="73526EC1"/>
    <w:rsid w:val="74ED66C4"/>
    <w:rsid w:val="750C5BD2"/>
    <w:rsid w:val="75607EDA"/>
    <w:rsid w:val="75681757"/>
    <w:rsid w:val="75843E88"/>
    <w:rsid w:val="75A346A8"/>
    <w:rsid w:val="75EB1A17"/>
    <w:rsid w:val="76381C49"/>
    <w:rsid w:val="78994AAE"/>
    <w:rsid w:val="798C3F76"/>
    <w:rsid w:val="79B9382C"/>
    <w:rsid w:val="7A5D77B5"/>
    <w:rsid w:val="7A6873C6"/>
    <w:rsid w:val="7A8E5E6E"/>
    <w:rsid w:val="7AB92BDE"/>
    <w:rsid w:val="7B043B76"/>
    <w:rsid w:val="7BB26FA5"/>
    <w:rsid w:val="7C041A6A"/>
    <w:rsid w:val="7CE0226B"/>
    <w:rsid w:val="7D001AEE"/>
    <w:rsid w:val="7DD857D0"/>
    <w:rsid w:val="7E0C3860"/>
    <w:rsid w:val="7E327570"/>
    <w:rsid w:val="7F8652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rPr>
      <w:rFonts w:ascii="仿宋_GB2312" w:hAnsi="仿宋_GB2312" w:eastAsia="仿宋_GB2312" w:cs="仿宋_GB2312"/>
      <w:sz w:val="32"/>
      <w:szCs w:val="32"/>
      <w:lang w:val="zh-CN" w:eastAsia="zh-CN" w:bidi="zh-CN"/>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Theme="minorAscii" w:hAnsiTheme="minorAscii" w:eastAsiaTheme="minorEastAsia"/>
      <w:sz w:val="18"/>
      <w:szCs w:val="18"/>
    </w:rPr>
  </w:style>
  <w:style w:type="table" w:styleId="7">
    <w:name w:val="Table Grid"/>
    <w:qFormat/>
    <w:uiPriority w:val="1"/>
    <w:pPr>
      <w:spacing w:after="0" w:line="240" w:lineRule="auto"/>
    </w:pPr>
    <w:rPr>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眉 字符"/>
    <w:basedOn w:val="8"/>
    <w:link w:val="5"/>
    <w:qFormat/>
    <w:uiPriority w:val="99"/>
    <w:rPr>
      <w:rFonts w:asciiTheme="minorAscii" w:hAnsiTheme="minorAscii" w:eastAsiaTheme="minorEastAsia"/>
      <w:sz w:val="18"/>
      <w:szCs w:val="18"/>
    </w:rPr>
  </w:style>
  <w:style w:type="character" w:customStyle="1" w:styleId="10">
    <w:name w:val="页脚 字符"/>
    <w:basedOn w:val="8"/>
    <w:link w:val="4"/>
    <w:qFormat/>
    <w:uiPriority w:val="99"/>
    <w:rPr>
      <w:sz w:val="18"/>
      <w:szCs w:val="18"/>
    </w:rPr>
  </w:style>
  <w:style w:type="paragraph" w:customStyle="1" w:styleId="11">
    <w:name w:val="List Paragraph"/>
    <w:basedOn w:val="1"/>
    <w:qFormat/>
    <w:uiPriority w:val="1"/>
    <w:pPr>
      <w:spacing w:before="2"/>
      <w:ind w:left="119" w:right="434" w:firstLine="643"/>
      <w:jc w:val="both"/>
    </w:pPr>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chart" Target="charts/chart4.xml"/><Relationship Id="rId26" Type="http://schemas.openxmlformats.org/officeDocument/2006/relationships/chart" Target="charts/chart3.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2.bmp"/><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支出构成情况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0233990738787845"/>
                  <c:y val="0.0019255644607243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5378331743968"/>
                  <c:y val="-0.23314975072209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strCache>
            </c:strRef>
          </c:cat>
          <c:val>
            <c:numRef>
              <c:f>Sheet1!$B$2:$B$5</c:f>
              <c:numCache>
                <c:formatCode>0.00%</c:formatCode>
                <c:ptCount val="4"/>
                <c:pt idx="0">
                  <c:v>0.0602</c:v>
                </c:pt>
                <c:pt idx="1">
                  <c:v>0.9398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68fcc3d-89b8-4c88-8e43-fd38c58f6e8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2018-2019</a:t>
            </a:r>
            <a:r>
              <a:t>财政拨款收支情况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财政拨款</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2019年收入</c:v>
                </c:pt>
                <c:pt idx="1">
                  <c:v>2018年收入</c:v>
                </c:pt>
                <c:pt idx="2">
                  <c:v>2019年支出</c:v>
                </c:pt>
                <c:pt idx="3">
                  <c:v>2018年支出</c:v>
                </c:pt>
              </c:strCache>
            </c:strRef>
          </c:cat>
          <c:val>
            <c:numRef>
              <c:f>Sheet1!$B$2:$B$5</c:f>
              <c:numCache>
                <c:formatCode>General</c:formatCode>
                <c:ptCount val="4"/>
                <c:pt idx="0">
                  <c:v>12392.97</c:v>
                </c:pt>
                <c:pt idx="1">
                  <c:v>13202.12</c:v>
                </c:pt>
                <c:pt idx="2">
                  <c:v>10944.5</c:v>
                </c:pt>
                <c:pt idx="3">
                  <c:v>13204.97</c:v>
                </c:pt>
              </c:numCache>
            </c:numRef>
          </c:val>
        </c:ser>
        <c:ser>
          <c:idx val="1"/>
          <c:order val="1"/>
          <c:tx>
            <c:strRef>
              <c:f>Sheet1!$C$1</c:f>
              <c:strCache>
                <c:ptCount val="1"/>
                <c:pt idx="0">
                  <c:v>一般公共预算</c:v>
                </c:pt>
              </c:strCache>
            </c:strRef>
          </c:tx>
          <c:spPr>
            <a:solidFill>
              <a:schemeClr val="accent2"/>
            </a:solidFill>
            <a:ln>
              <a:noFill/>
            </a:ln>
            <a:effectLst/>
          </c:spPr>
          <c:invertIfNegative val="0"/>
          <c:dLbls>
            <c:dLbl>
              <c:idx val="1"/>
              <c:layout>
                <c:manualLayout>
                  <c:x val="0.0159157401989468"/>
                  <c:y val="-0.03377821716922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23522527794032"/>
                  <c:y val="-0.074147305981216"/>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9251023990638"/>
                      <c:h val="0.0547042346350305"/>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2019年收入</c:v>
                </c:pt>
                <c:pt idx="1">
                  <c:v>2018年收入</c:v>
                </c:pt>
                <c:pt idx="2">
                  <c:v>2019年支出</c:v>
                </c:pt>
                <c:pt idx="3">
                  <c:v>2018年支出</c:v>
                </c:pt>
              </c:strCache>
            </c:strRef>
          </c:cat>
          <c:val>
            <c:numRef>
              <c:f>Sheet1!$C$2:$C$5</c:f>
              <c:numCache>
                <c:formatCode>General</c:formatCode>
                <c:ptCount val="4"/>
                <c:pt idx="0">
                  <c:v>11714.06</c:v>
                </c:pt>
                <c:pt idx="1">
                  <c:v>13202.12</c:v>
                </c:pt>
                <c:pt idx="2">
                  <c:v>10265.58</c:v>
                </c:pt>
                <c:pt idx="3">
                  <c:v>13204.97</c:v>
                </c:pt>
              </c:numCache>
            </c:numRef>
          </c:val>
        </c:ser>
        <c:ser>
          <c:idx val="2"/>
          <c:order val="2"/>
          <c:tx>
            <c:strRef>
              <c:f>Sheet1!$D$1</c:f>
              <c:strCache>
                <c:ptCount val="1"/>
                <c:pt idx="0">
                  <c:v>政府性基金预算</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2019年收入</c:v>
                </c:pt>
                <c:pt idx="1">
                  <c:v>2018年收入</c:v>
                </c:pt>
                <c:pt idx="2">
                  <c:v>2019年支出</c:v>
                </c:pt>
                <c:pt idx="3">
                  <c:v>2018年支出</c:v>
                </c:pt>
              </c:strCache>
            </c:strRef>
          </c:cat>
          <c:val>
            <c:numRef>
              <c:f>Sheet1!$D$2:$D$5</c:f>
              <c:numCache>
                <c:formatCode>General</c:formatCode>
                <c:ptCount val="4"/>
                <c:pt idx="0">
                  <c:v>678.91</c:v>
                </c:pt>
                <c:pt idx="1">
                  <c:v>0</c:v>
                </c:pt>
                <c:pt idx="2">
                  <c:v>678.91</c:v>
                </c:pt>
              </c:numCache>
            </c:numRef>
          </c:val>
        </c:ser>
        <c:dLbls>
          <c:showLegendKey val="0"/>
          <c:showVal val="1"/>
          <c:showCatName val="0"/>
          <c:showSerName val="0"/>
          <c:showPercent val="0"/>
          <c:showBubbleSize val="0"/>
        </c:dLbls>
        <c:gapWidth val="219"/>
        <c:overlap val="-27"/>
        <c:axId val="926633661"/>
        <c:axId val="852427091"/>
      </c:barChart>
      <c:catAx>
        <c:axId val="92663366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2427091"/>
        <c:crosses val="autoZero"/>
        <c:auto val="1"/>
        <c:lblAlgn val="ctr"/>
        <c:lblOffset val="100"/>
        <c:noMultiLvlLbl val="0"/>
      </c:catAx>
      <c:valAx>
        <c:axId val="8524270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63366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bab9157-c280-488d-b7ac-cf49d9b352f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2019</a:t>
            </a:r>
            <a:r>
              <a:rPr altLang="en-US"/>
              <a:t>年</a:t>
            </a:r>
            <a:r>
              <a:t>财政拨款支出与年初预算对比情况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财政拨款</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471.07</c:v>
                </c:pt>
                <c:pt idx="1">
                  <c:v>12392.97</c:v>
                </c:pt>
                <c:pt idx="2">
                  <c:v>471.07</c:v>
                </c:pt>
                <c:pt idx="3">
                  <c:v>10944.5</c:v>
                </c:pt>
              </c:numCache>
            </c:numRef>
          </c:val>
        </c:ser>
        <c:ser>
          <c:idx val="1"/>
          <c:order val="1"/>
          <c:tx>
            <c:strRef>
              <c:f>Sheet1!$C$1</c:f>
              <c:strCache>
                <c:ptCount val="1"/>
                <c:pt idx="0">
                  <c:v>一般公共预算</c:v>
                </c:pt>
              </c:strCache>
            </c:strRef>
          </c:tx>
          <c:spPr>
            <a:solidFill>
              <a:schemeClr val="accent2"/>
            </a:solidFill>
            <a:ln>
              <a:noFill/>
            </a:ln>
            <a:effectLst/>
          </c:spPr>
          <c:invertIfNegative val="0"/>
          <c:dLbls>
            <c:dLbl>
              <c:idx val="0"/>
              <c:layout>
                <c:manualLayout>
                  <c:x val="-0.00163838502047981"/>
                  <c:y val="-0.06333907056798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807489760093622"/>
                  <c:y val="-0.07986230636833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Sheet1!$C$2:$C$5</c:f>
              <c:numCache>
                <c:formatCode>General</c:formatCode>
                <c:ptCount val="4"/>
                <c:pt idx="0">
                  <c:v>471.07</c:v>
                </c:pt>
                <c:pt idx="1">
                  <c:v>11714.06</c:v>
                </c:pt>
                <c:pt idx="2">
                  <c:v>471.07</c:v>
                </c:pt>
                <c:pt idx="3">
                  <c:v>10265.58</c:v>
                </c:pt>
              </c:numCache>
            </c:numRef>
          </c:val>
        </c:ser>
        <c:ser>
          <c:idx val="2"/>
          <c:order val="2"/>
          <c:tx>
            <c:strRef>
              <c:f>Sheet1!$D$1</c:f>
              <c:strCache>
                <c:ptCount val="1"/>
                <c:pt idx="0">
                  <c:v>政府性基金预算</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Sheet1!$D$2:$D$5</c:f>
              <c:numCache>
                <c:formatCode>General</c:formatCode>
                <c:ptCount val="4"/>
                <c:pt idx="0">
                  <c:v>0</c:v>
                </c:pt>
                <c:pt idx="1">
                  <c:v>678.91</c:v>
                </c:pt>
                <c:pt idx="2">
                  <c:v>0</c:v>
                </c:pt>
                <c:pt idx="3">
                  <c:v>678.91</c:v>
                </c:pt>
              </c:numCache>
            </c:numRef>
          </c:val>
        </c:ser>
        <c:dLbls>
          <c:showLegendKey val="0"/>
          <c:showVal val="1"/>
          <c:showCatName val="0"/>
          <c:showSerName val="0"/>
          <c:showPercent val="0"/>
          <c:showBubbleSize val="0"/>
        </c:dLbls>
        <c:gapWidth val="219"/>
        <c:overlap val="-27"/>
        <c:axId val="926633661"/>
        <c:axId val="852427091"/>
      </c:barChart>
      <c:catAx>
        <c:axId val="92663366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2427091"/>
        <c:crosses val="autoZero"/>
        <c:auto val="1"/>
        <c:lblAlgn val="ctr"/>
        <c:lblOffset val="100"/>
        <c:noMultiLvlLbl val="0"/>
      </c:catAx>
      <c:valAx>
        <c:axId val="8524270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63366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2a2de9c-8382-4ad3-9a60-d06a088531d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财政拨款支出决算结构（按功能分类）</a:t>
            </a: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delete val="1"/>
            </c:dLbl>
            <c:dLbl>
              <c:idx val="2"/>
              <c:delete val="1"/>
            </c:dLbl>
            <c:dLbl>
              <c:idx val="3"/>
              <c:layout>
                <c:manualLayout>
                  <c:x val="0.0304380657044644"/>
                  <c:y val="-0.037621611472430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04111646189563"/>
                  <c:y val="0.029488945045064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27135035634971"/>
                  <c:y val="0.045436395493284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dLblPos val="bestFit"/>
              <c:showLegendKey val="0"/>
              <c:showVal val="1"/>
              <c:showCatName val="0"/>
              <c:showSerName val="0"/>
              <c:showPercent val="0"/>
              <c:showBubbleSize val="0"/>
              <c:extLst>
                <c:ext xmlns:c15="http://schemas.microsoft.com/office/drawing/2012/chart" uri="{CE6537A1-D6FC-4f65-9D91-7224C49458BB}"/>
              </c:extLst>
            </c:dLbl>
            <c:dLbl>
              <c:idx val="8"/>
              <c:layout/>
              <c:dLblPos val="bestFit"/>
              <c:showLegendKey val="0"/>
              <c:showVal val="1"/>
              <c:showCatName val="0"/>
              <c:showSerName val="0"/>
              <c:showPercent val="0"/>
              <c:showBubbleSize val="0"/>
              <c:extLst>
                <c:ext xmlns:c15="http://schemas.microsoft.com/office/drawing/2012/chart" uri="{CE6537A1-D6FC-4f65-9D91-7224C49458BB}"/>
              </c:extLst>
            </c:dLbl>
            <c:dLbl>
              <c:idx val="9"/>
              <c:layout/>
              <c:dLblPos val="bestFit"/>
              <c:showLegendKey val="0"/>
              <c:showVal val="1"/>
              <c:showCatName val="0"/>
              <c:showSerName val="0"/>
              <c:showPercent val="0"/>
              <c:showBubbleSize val="0"/>
              <c:extLst>
                <c:ext xmlns:c15="http://schemas.microsoft.com/office/drawing/2012/chart" uri="{CE6537A1-D6FC-4f65-9D91-7224C49458BB}"/>
              </c:extLst>
            </c:dLbl>
            <c:dLbl>
              <c:idx val="10"/>
              <c:layout>
                <c:manualLayout>
                  <c:x val="-0.0710325829072833"/>
                  <c:y val="-0.051318147620972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1"/>
              <c:layout/>
              <c:dLblPos val="bestFit"/>
              <c:showLegendKey val="0"/>
              <c:showVal val="1"/>
              <c:showCatName val="0"/>
              <c:showSerName val="0"/>
              <c:showPercent val="0"/>
              <c:showBubbleSize val="0"/>
              <c:extLst>
                <c:ext xmlns:c15="http://schemas.microsoft.com/office/drawing/2012/chart" uri="{CE6537A1-D6FC-4f65-9D91-7224C49458BB}"/>
              </c:extLst>
            </c:dLbl>
            <c:dLbl>
              <c:idx val="12"/>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一般公共服务（类）</c:v>
                </c:pt>
                <c:pt idx="1">
                  <c:v>科学技术（类）</c:v>
                </c:pt>
                <c:pt idx="2">
                  <c:v>社会保障和就业（类）</c:v>
                </c:pt>
                <c:pt idx="3">
                  <c:v>卫生健康（类）</c:v>
                </c:pt>
                <c:pt idx="4">
                  <c:v>节能环保（类）</c:v>
                </c:pt>
                <c:pt idx="5">
                  <c:v>城乡社区（类）</c:v>
                </c:pt>
                <c:pt idx="6">
                  <c:v>农林水（类）</c:v>
                </c:pt>
                <c:pt idx="7">
                  <c:v>交通运输（类）</c:v>
                </c:pt>
                <c:pt idx="8">
                  <c:v>资源勘探信息（类）</c:v>
                </c:pt>
                <c:pt idx="9">
                  <c:v>商业服务业等（类）</c:v>
                </c:pt>
                <c:pt idx="10">
                  <c:v>住房保障（类）</c:v>
                </c:pt>
                <c:pt idx="11">
                  <c:v>粮油物资储备（类）</c:v>
                </c:pt>
                <c:pt idx="12">
                  <c:v>灾害防治及应急管理（类）</c:v>
                </c:pt>
              </c:strCache>
            </c:strRef>
          </c:cat>
          <c:val>
            <c:numRef>
              <c:f>Sheet1!$B$2:$B$14</c:f>
              <c:numCache>
                <c:formatCode>0.00%</c:formatCode>
                <c:ptCount val="13"/>
                <c:pt idx="0">
                  <c:v>0.0632</c:v>
                </c:pt>
                <c:pt idx="1">
                  <c:v>0.0009</c:v>
                </c:pt>
                <c:pt idx="2">
                  <c:v>0.0051</c:v>
                </c:pt>
                <c:pt idx="3">
                  <c:v>0.0056</c:v>
                </c:pt>
                <c:pt idx="4">
                  <c:v>0.3746</c:v>
                </c:pt>
                <c:pt idx="5">
                  <c:v>0.0092</c:v>
                </c:pt>
                <c:pt idx="6">
                  <c:v>0.032</c:v>
                </c:pt>
                <c:pt idx="7">
                  <c:v>0.0529</c:v>
                </c:pt>
                <c:pt idx="8">
                  <c:v>0.069</c:v>
                </c:pt>
                <c:pt idx="9">
                  <c:v>0.3061</c:v>
                </c:pt>
                <c:pt idx="10">
                  <c:v>0.0075</c:v>
                </c:pt>
                <c:pt idx="11">
                  <c:v>0.073</c:v>
                </c:pt>
                <c:pt idx="12">
                  <c:v>0.001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4068585-910c-4e3f-9de7-194105aa80c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F299C-5D08-4D94-9343-26C73D8AA868}">
  <ds:schemaRefs/>
</ds:datastoreItem>
</file>

<file path=docProps/app.xml><?xml version="1.0" encoding="utf-8"?>
<Properties xmlns="http://schemas.openxmlformats.org/officeDocument/2006/extended-properties" xmlns:vt="http://schemas.openxmlformats.org/officeDocument/2006/docPropsVTypes">
  <Template>简约文档封面模板.docx</Template>
  <Pages>46</Pages>
  <Words>11815</Words>
  <Characters>15396</Characters>
  <Lines>1</Lines>
  <Paragraphs>1</Paragraphs>
  <TotalTime>11</TotalTime>
  <ScaleCrop>false</ScaleCrop>
  <LinksUpToDate>false</LinksUpToDate>
  <CharactersWithSpaces>15844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瑞雪</cp:lastModifiedBy>
  <cp:lastPrinted>2020-07-30T02:37:00Z</cp:lastPrinted>
  <dcterms:modified xsi:type="dcterms:W3CDTF">2025-01-15T06:55:02Z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03F9FBCCF5F84904874DD247F044FFA0_13</vt:lpwstr>
  </property>
  <property fmtid="{D5CDD505-2E9C-101B-9397-08002B2CF9AE}" pid="4" name="KSOTemplateDocerSaveRecord">
    <vt:lpwstr>eyJoZGlkIjoiZmQ5NmQ2MThmYzI5ZmJjMDc4MmQ4ZWRmYzA1NjUzM2IiLCJ1c2VySWQiOiIzMzE5NzU2ODUifQ==</vt:lpwstr>
  </property>
</Properties>
</file>