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2EED0">
      <w:pPr>
        <w:rPr>
          <w:rFonts w:hint="eastAsia" w:ascii="仿宋" w:hAnsi="仿宋" w:eastAsia="仿宋" w:cs="仿宋"/>
        </w:rPr>
        <w:sectPr>
          <w:headerReference r:id="rId3" w:type="default"/>
          <w:pgSz w:w="11906" w:h="16838"/>
          <w:pgMar w:top="0" w:right="0" w:bottom="0" w:left="0" w:header="851" w:footer="992" w:gutter="0"/>
          <w:cols w:space="425" w:num="1"/>
          <w:titlePg/>
          <w:docGrid w:type="lines" w:linePitch="312" w:charSpace="0"/>
        </w:sectPr>
      </w:pPr>
      <w:bookmarkStart w:id="1" w:name="_GoBack"/>
      <w:bookmarkEnd w:id="1"/>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14:paraId="08B4FE26">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14:paraId="08B4FE26">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Dgk+0LrAQAAygMAAA4AAABkcnMvZTJvRG9jLnhtbK1T&#10;zY7TMBC+I/EOlu80aQVsiZruYatyQbDSwgNMHTux5D95vE37AjwFR648FjwHYyfbheWyB3xwZuzJ&#10;N/N9M95cn6xhRxlRe9fy5aLmTDrhO+36ln/5vH+15gwTuA6Md7LlZ4n8evvyxWYMjVz5wZtORkYg&#10;DpsxtHxIKTRVhWKQFnDhg3R0qXy0kMiNfdVFGAndmmpV12+r0ccuRC8kIp3upks+I8bnAHqltJA7&#10;L+6tdGlCjdJAIko46IB8W6pVSor0SSmUiZmWE9NUdkpC9iHv1XYDTR8hDFrMJcBzSnjCyYJ2lPQC&#10;tYME7D7qf6CsFtGjV2khvK0mIkURYrGsn2hzN0CQhQtJjeEiOv4/WPHxeBuZ7lr+jjMHlhr+6/uP&#10;n9++snXWZgzYUMhduI2zh2RmoicVbf4SBXYqep4vespTYoIOl29er69WS84E3T04hFM9/h4ipvfS&#10;W5aNlktjqH2ZMzRw/IBpin6Iysfoje722pjixP5wYyI7AvV3X1YumxL8FWYcG6mC1VVNfRdAU6to&#10;Wsi0gZij6zkD09NzECmW3M7nDIQETc69AxymHAV2mhqrEz0Eo23L13Vec2bjqIAs3CRVtg6+O5PM&#10;MZkbPw0iODF4msOcMBeco6jFpfR5HPMM/emXqMcnu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slzntkAAAALAQAADwAAAAAAAAABACAAAAAiAAAAZHJzL2Rvd25yZXYueG1sUEsBAhQAFAAAAAgA&#10;h07iQDgk+0LrAQAAygMAAA4AAAAAAAAAAQAgAAAAKAEAAGRycy9lMm9Eb2MueG1sUEsFBgAAAAAG&#10;AAYAWQEAAIUFAAAAAA==&#10;">
                <v:fill on="t" focussize="0,0"/>
                <v:stroke on="f" weight="1pt" miterlimit="8" joinstyle="miter"/>
                <v:imagedata o:title=""/>
                <o:lock v:ext="edit" aspectratio="f"/>
              </v:shape>
            </w:pict>
          </mc:Fallback>
        </mc:AlternateContent>
      </w:r>
      <w:r>
        <w:rPr>
          <w:rFonts w:hint="eastAsia" w:ascii="仿宋" w:hAnsi="仿宋" w:eastAsia="仿宋" w:cs="仿宋"/>
          <w:sz w:val="21"/>
        </w:rP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14:paraId="728A3662">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14:paraId="728A3662">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rFonts w:hint="eastAsia" w:ascii="仿宋" w:hAnsi="仿宋" w:eastAsia="仿宋" w:cs="仿宋"/>
          <w:sz w:val="21"/>
        </w:rP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ZazmW/oBAADWAwAADgAAAGRycy9lMm9Eb2MueG1srVNL&#10;btswEN0X6B0I7mt9XDeyYDmLGO6maAOkPcCYoiQC/IHDWPYFeoouu+2x2nN0KDlJm26yqBbkDDl6&#10;j+9xuLk+Gc2OMqBytuHFIudMWuFaZfuGf/m8f1NxhhFsC9pZ2fCzRH69ff1qM/palm5wupWBEYjF&#10;evQNH2L0dZahGKQBXDgvLW12LhiIlIY+awOMhG50Vub5u2x0ofXBCYlIq7t5k18Qw0sAXdcpIXdO&#10;3Btp44wapIZIknBQHvl2Om3XSRE/dR3KyHTDSWmcRiKh+JDGbLuBug/gByUuR4CXHOGZJgPKEukj&#10;1A4isPug/oEySgSHrosL4Uw2C5kcIRVF/sybuwG8nLSQ1egfTcf/Bys+Hm8DUy11AlliwdCN//r+&#10;4+e3r2ydzBk91lRz52/DJUMKk9JTF0yaSQM7NfyqWq/fEsS54cu8KtflavZWniITtF8si2VVrDgT&#10;VPGQEGT2hOQDxvfSGZaChkut6SqTfqjh+AHjXP1QlZbRadXuldZTEvrDjQ7sCHTXxb5cryYFRPBX&#10;mbZspP3yKqfTCqAO7qhzKDSeXEDbcwa6p6chYpi4rUsMRA514t4BDjPHBDurNCrSo9DKNLzK05eW&#10;iVlbmpKHs2spOrj2TJaHqG/c3JRgxeCoJxNh+i1V0XVPAJfWTP30Zz5VPT3H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hgu2AAAAAsBAAAPAAAAAAAAAAEAIAAAACIAAABkcnMvZG93bnJldi54&#10;bWxQSwECFAAUAAAACACHTuJAZazmW/oBAADWAwAADgAAAAAAAAABACAAAAAnAQAAZHJzL2Uyb0Rv&#10;Yy54bWxQSwUGAAAAAAYABgBZAQAAkwUAAAAA&#10;">
                <v:fill on="t" focussize="0,0"/>
                <v:stroke on="f" weight="1pt" miterlimit="8" joinstyle="miter"/>
                <v:imagedata o:title=""/>
                <o:lock v:ext="edit" aspectratio="f"/>
              </v:shape>
            </w:pict>
          </mc:Fallback>
        </mc:AlternateContent>
      </w:r>
      <w:r>
        <w:rPr>
          <w:rFonts w:hint="eastAsia" w:ascii="仿宋" w:hAnsi="仿宋" w:eastAsia="仿宋" w:cs="仿宋"/>
          <w:sz w:val="21"/>
        </w:rP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rFonts w:hint="eastAsia" w:ascii="仿宋" w:hAnsi="仿宋" w:eastAsia="仿宋" w:cs="仿宋"/>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14:paraId="53F3DCF6">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53F3DCF6">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14:paraId="66756A74"/>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14:paraId="66756A74"/>
                  </w:txbxContent>
                </v:textbox>
              </v:rect>
            </w:pict>
          </mc:Fallback>
        </mc:AlternateContent>
      </w:r>
    </w:p>
    <w:p w14:paraId="553542F8">
      <w:pPr>
        <w:rPr>
          <w:rFonts w:hint="eastAsia" w:ascii="仿宋" w:hAnsi="仿宋" w:eastAsia="仿宋" w:cs="仿宋"/>
        </w:rPr>
      </w:pPr>
    </w:p>
    <w:p w14:paraId="1F43BC22">
      <w:pPr>
        <w:jc w:val="center"/>
        <w:rPr>
          <w:rFonts w:hint="eastAsia" w:ascii="仿宋" w:hAnsi="仿宋" w:eastAsia="仿宋" w:cs="仿宋"/>
          <w:sz w:val="56"/>
          <w:szCs w:val="72"/>
          <w:lang w:val="en-US" w:eastAsia="zh-CN"/>
        </w:rPr>
      </w:pPr>
    </w:p>
    <w:p w14:paraId="2B5FD58D">
      <w:pPr>
        <w:jc w:val="center"/>
        <w:rPr>
          <w:rFonts w:hint="eastAsia" w:ascii="仿宋" w:hAnsi="仿宋" w:eastAsia="仿宋" w:cs="仿宋"/>
          <w:sz w:val="56"/>
          <w:szCs w:val="72"/>
          <w:lang w:val="en-US" w:eastAsia="zh-CN"/>
        </w:rPr>
      </w:pPr>
    </w:p>
    <w:p w14:paraId="502706CA">
      <w:pPr>
        <w:rPr>
          <w:rFonts w:hint="eastAsia" w:ascii="仿宋" w:hAnsi="仿宋" w:eastAsia="仿宋" w:cs="仿宋"/>
          <w:sz w:val="48"/>
          <w:szCs w:val="48"/>
        </w:rPr>
      </w:pPr>
      <w:r>
        <w:rPr>
          <w:rFonts w:hint="eastAsia" w:ascii="仿宋" w:hAnsi="仿宋" w:eastAsia="仿宋" w:cs="仿宋"/>
          <w:sz w:val="48"/>
          <w:szCs w:val="48"/>
        </w:rPr>
        <w:br w:type="page"/>
      </w:r>
    </w:p>
    <w:p w14:paraId="7C529FE6">
      <w:pPr>
        <w:tabs>
          <w:tab w:val="left" w:pos="2728"/>
        </w:tabs>
        <w:rPr>
          <w:rFonts w:hint="eastAsia" w:ascii="仿宋" w:hAnsi="仿宋" w:eastAsia="仿宋" w:cs="仿宋"/>
          <w:sz w:val="48"/>
          <w:szCs w:val="48"/>
          <w:lang w:eastAsia="zh-CN"/>
        </w:rPr>
      </w:pPr>
    </w:p>
    <w:p w14:paraId="45AE57BA">
      <w:pPr>
        <w:jc w:val="both"/>
        <w:rPr>
          <w:rFonts w:hint="eastAsia" w:ascii="仿宋" w:hAnsi="仿宋" w:eastAsia="仿宋" w:cs="仿宋"/>
          <w:sz w:val="56"/>
          <w:szCs w:val="72"/>
          <w:lang w:val="en-US" w:eastAsia="zh-CN"/>
        </w:rPr>
      </w:pPr>
      <w:r>
        <w:rPr>
          <w:rFonts w:hint="eastAsia" w:ascii="仿宋" w:hAnsi="仿宋" w:eastAsia="仿宋" w:cs="仿宋"/>
          <w:sz w:val="56"/>
          <w:szCs w:val="72"/>
          <w:lang w:val="en-US" w:eastAsia="zh-CN"/>
        </w:rPr>
        <w:drawing>
          <wp:inline distT="0" distB="0" distL="114300" distR="114300">
            <wp:extent cx="5606415" cy="7475220"/>
            <wp:effectExtent l="0" t="0" r="13335" b="11430"/>
            <wp:docPr id="31" name="图片 31" descr="bb287b7c495272ed4fae08b032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bb287b7c495272ed4fae08b03208736"/>
                    <pic:cNvPicPr>
                      <a:picLocks noChangeAspect="1"/>
                    </pic:cNvPicPr>
                  </pic:nvPicPr>
                  <pic:blipFill>
                    <a:blip r:embed="rId24"/>
                    <a:stretch>
                      <a:fillRect/>
                    </a:stretch>
                  </pic:blipFill>
                  <pic:spPr>
                    <a:xfrm>
                      <a:off x="0" y="0"/>
                      <a:ext cx="5606415" cy="7475220"/>
                    </a:xfrm>
                    <a:prstGeom prst="rect">
                      <a:avLst/>
                    </a:prstGeom>
                  </pic:spPr>
                </pic:pic>
              </a:graphicData>
            </a:graphic>
          </wp:inline>
        </w:drawing>
      </w:r>
    </w:p>
    <w:p w14:paraId="728E97FA">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p>
    <w:p w14:paraId="2F5E621C">
      <w:pPr>
        <w:tabs>
          <w:tab w:val="left" w:pos="2728"/>
        </w:tabs>
        <w:jc w:val="both"/>
        <w:rPr>
          <w:rFonts w:hint="eastAsia" w:ascii="仿宋" w:hAnsi="仿宋" w:eastAsia="仿宋" w:cs="仿宋"/>
          <w:sz w:val="48"/>
          <w:szCs w:val="48"/>
        </w:rPr>
      </w:pPr>
    </w:p>
    <w:p w14:paraId="7732F754">
      <w:pPr>
        <w:tabs>
          <w:tab w:val="left" w:pos="2728"/>
        </w:tabs>
        <w:jc w:val="center"/>
        <w:rPr>
          <w:rFonts w:hint="eastAsia" w:ascii="仿宋" w:hAnsi="仿宋" w:eastAsia="仿宋" w:cs="仿宋"/>
          <w:sz w:val="48"/>
          <w:szCs w:val="48"/>
        </w:rPr>
      </w:pPr>
      <w:r>
        <w:rPr>
          <w:rFonts w:hint="eastAsia" w:ascii="仿宋" w:hAnsi="仿宋" w:eastAsia="仿宋" w:cs="仿宋"/>
          <w:sz w:val="48"/>
          <w:szCs w:val="48"/>
        </w:rPr>
        <w:t>目</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录</w:t>
      </w:r>
    </w:p>
    <w:p w14:paraId="2A406357">
      <w:pPr>
        <w:widowControl/>
        <w:spacing w:after="160" w:line="580" w:lineRule="exact"/>
        <w:ind w:firstLine="640" w:firstLineChars="200"/>
        <w:rPr>
          <w:rFonts w:hint="eastAsia" w:ascii="仿宋" w:hAnsi="仿宋" w:eastAsia="仿宋" w:cs="仿宋"/>
          <w:sz w:val="32"/>
          <w:szCs w:val="32"/>
        </w:rPr>
      </w:pPr>
    </w:p>
    <w:p w14:paraId="050F0963">
      <w:pPr>
        <w:widowControl/>
        <w:spacing w:after="160" w:line="580" w:lineRule="exact"/>
        <w:ind w:firstLine="640" w:firstLineChars="200"/>
        <w:rPr>
          <w:rFonts w:hint="eastAsia" w:ascii="黑体" w:hAnsi="黑体" w:eastAsia="黑体" w:cs="黑体"/>
          <w:b w:val="0"/>
          <w:bCs w:val="0"/>
          <w:sz w:val="24"/>
          <w:szCs w:val="32"/>
        </w:rPr>
      </w:pPr>
      <w:r>
        <w:rPr>
          <w:rFonts w:hint="eastAsia" w:ascii="黑体" w:hAnsi="黑体" w:eastAsia="黑体" w:cs="黑体"/>
          <w:b w:val="0"/>
          <w:bCs w:val="0"/>
          <w:sz w:val="32"/>
          <w:szCs w:val="32"/>
        </w:rPr>
        <w:t>第一部分   部门概况</w:t>
      </w:r>
    </w:p>
    <w:p w14:paraId="493D82E5">
      <w:pPr>
        <w:widowControl/>
        <w:spacing w:after="160" w:line="580" w:lineRule="exact"/>
        <w:ind w:firstLine="1273" w:firstLineChars="398"/>
        <w:rPr>
          <w:rFonts w:hint="eastAsia" w:ascii="仿宋" w:hAnsi="仿宋" w:eastAsia="仿宋" w:cs="仿宋"/>
          <w:sz w:val="32"/>
          <w:szCs w:val="32"/>
        </w:rPr>
      </w:pPr>
      <w:r>
        <w:rPr>
          <w:rFonts w:hint="eastAsia" w:ascii="仿宋" w:hAnsi="仿宋" w:eastAsia="仿宋" w:cs="仿宋"/>
          <w:sz w:val="32"/>
          <w:szCs w:val="32"/>
        </w:rPr>
        <w:t>一、部门职责</w:t>
      </w:r>
    </w:p>
    <w:p w14:paraId="28C83453">
      <w:pPr>
        <w:widowControl/>
        <w:spacing w:after="160" w:line="580" w:lineRule="exact"/>
        <w:ind w:firstLine="1273" w:firstLineChars="398"/>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机构设置</w:t>
      </w:r>
    </w:p>
    <w:p w14:paraId="175095E1">
      <w:pPr>
        <w:widowControl/>
        <w:spacing w:after="160"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第二部分   201</w:t>
      </w: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年部门决算情况说明</w:t>
      </w:r>
    </w:p>
    <w:p w14:paraId="08ADA6EE">
      <w:pPr>
        <w:widowControl/>
        <w:spacing w:after="160"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一、收入支出决算总体情况说明</w:t>
      </w:r>
    </w:p>
    <w:p w14:paraId="5FF6EC1E">
      <w:pPr>
        <w:widowControl/>
        <w:spacing w:after="160"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二、收入决算情况说明</w:t>
      </w:r>
    </w:p>
    <w:p w14:paraId="46908355">
      <w:pPr>
        <w:widowControl/>
        <w:spacing w:after="160"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三、支出决算情况说明</w:t>
      </w:r>
    </w:p>
    <w:p w14:paraId="4290B4F4">
      <w:pPr>
        <w:widowControl/>
        <w:spacing w:after="160"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14:paraId="0DB1FF0D">
      <w:pPr>
        <w:widowControl/>
        <w:spacing w:after="160"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五、一般公共预算</w:t>
      </w:r>
      <w:r>
        <w:rPr>
          <w:rFonts w:hint="eastAsia" w:ascii="仿宋" w:hAnsi="仿宋" w:eastAsia="仿宋" w:cs="仿宋"/>
          <w:sz w:val="32"/>
          <w:szCs w:val="32"/>
        </w:rPr>
        <w:t>“三公”经费支出决算情况说明</w:t>
      </w:r>
    </w:p>
    <w:p w14:paraId="3346A9F0">
      <w:pPr>
        <w:widowControl/>
        <w:spacing w:after="160"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、预算绩效情况说明</w:t>
      </w:r>
    </w:p>
    <w:p w14:paraId="2EB154BD">
      <w:pPr>
        <w:widowControl/>
        <w:spacing w:after="160" w:line="580" w:lineRule="exact"/>
        <w:ind w:left="64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、其他重要事项的说明</w:t>
      </w:r>
    </w:p>
    <w:p w14:paraId="7C1FBE68">
      <w:pPr>
        <w:widowControl/>
        <w:spacing w:after="16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14:paraId="28692F26">
      <w:pPr>
        <w:widowControl/>
        <w:spacing w:after="160" w:line="580" w:lineRule="exact"/>
        <w:ind w:firstLine="640" w:firstLineChars="200"/>
        <w:rPr>
          <w:rFonts w:hint="eastAsia" w:ascii="黑体" w:hAnsi="黑体" w:eastAsia="黑体" w:cs="黑体"/>
          <w:sz w:val="20"/>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年度部门决算报表</w:t>
      </w:r>
    </w:p>
    <w:p w14:paraId="1B776E51">
      <w:pPr>
        <w:widowControl/>
        <w:spacing w:after="160" w:line="580" w:lineRule="exact"/>
        <w:ind w:firstLine="640" w:firstLineChars="200"/>
        <w:rPr>
          <w:rFonts w:hint="eastAsia" w:ascii="仿宋" w:hAnsi="仿宋" w:eastAsia="仿宋" w:cs="仿宋"/>
          <w:sz w:val="32"/>
          <w:szCs w:val="32"/>
        </w:rPr>
      </w:pPr>
    </w:p>
    <w:p w14:paraId="2F6C813F">
      <w:pPr>
        <w:widowControl/>
        <w:spacing w:after="160" w:line="580" w:lineRule="exact"/>
        <w:ind w:firstLine="640" w:firstLineChars="200"/>
        <w:rPr>
          <w:rFonts w:hint="eastAsia" w:ascii="仿宋" w:hAnsi="仿宋" w:eastAsia="仿宋" w:cs="仿宋"/>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14:paraId="202A7D91">
      <w:pPr>
        <w:widowControl/>
        <w:spacing w:line="580" w:lineRule="exact"/>
        <w:ind w:firstLine="640" w:firstLineChars="200"/>
        <w:rPr>
          <w:rFonts w:hint="eastAsia" w:ascii="仿宋" w:hAnsi="仿宋" w:eastAsia="仿宋" w:cs="仿宋"/>
          <w:sz w:val="32"/>
          <w:szCs w:val="32"/>
        </w:rPr>
      </w:pPr>
    </w:p>
    <w:p w14:paraId="4E7C4CBF">
      <w:pPr>
        <w:widowControl/>
        <w:spacing w:line="580" w:lineRule="exact"/>
        <w:ind w:firstLine="640" w:firstLineChars="200"/>
        <w:rPr>
          <w:rFonts w:hint="eastAsia" w:ascii="仿宋" w:hAnsi="仿宋" w:eastAsia="仿宋" w:cs="仿宋"/>
          <w:sz w:val="32"/>
          <w:szCs w:val="32"/>
        </w:rPr>
      </w:pPr>
    </w:p>
    <w:p w14:paraId="0B57C72B">
      <w:pPr>
        <w:widowControl/>
        <w:spacing w:line="580" w:lineRule="exact"/>
        <w:ind w:firstLine="640" w:firstLineChars="200"/>
        <w:rPr>
          <w:rFonts w:hint="eastAsia" w:ascii="仿宋" w:hAnsi="仿宋" w:eastAsia="仿宋" w:cs="仿宋"/>
          <w:sz w:val="32"/>
          <w:szCs w:val="32"/>
        </w:rPr>
      </w:pPr>
    </w:p>
    <w:p w14:paraId="05A92C6B">
      <w:pPr>
        <w:rPr>
          <w:rFonts w:hint="eastAsia" w:ascii="仿宋" w:hAnsi="仿宋" w:eastAsia="仿宋" w:cs="仿宋"/>
        </w:rPr>
      </w:pPr>
      <w:r>
        <w:rPr>
          <w:rFonts w:hint="eastAsia" w:ascii="仿宋" w:hAnsi="仿宋" w:eastAsia="仿宋" w:cs="仿宋"/>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14:paraId="5047E39E">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5"/>
                <v:stroke weight="1pt" color="#FFD966 [3204]" joinstyle="round"/>
                <v:imagedata o:title=""/>
                <o:lock v:ext="edit" aspectratio="f"/>
                <v:textbox>
                  <w:txbxContent>
                    <w:p w14:paraId="5047E39E">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rPr>
          <w:rFonts w:hint="eastAsia" w:ascii="仿宋" w:hAnsi="仿宋" w:eastAsia="仿宋" w:cs="仿宋"/>
        </w:rPr>
        <w:br w:type="page"/>
      </w:r>
    </w:p>
    <w:p w14:paraId="79FCCCA5">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仿宋" w:hAnsi="仿宋" w:eastAsia="仿宋" w:cs="仿宋"/>
          <w:b w:val="0"/>
          <w:bCs w:val="0"/>
          <w:kern w:val="0"/>
          <w:sz w:val="32"/>
          <w:szCs w:val="32"/>
        </w:rPr>
      </w:pPr>
      <w:r>
        <w:rPr>
          <w:rFonts w:hint="eastAsia" w:ascii="黑体" w:hAnsi="黑体" w:eastAsia="黑体" w:cs="黑体"/>
          <w:b w:val="0"/>
          <w:bCs w:val="0"/>
          <w:kern w:val="0"/>
          <w:sz w:val="32"/>
          <w:szCs w:val="32"/>
        </w:rPr>
        <w:t>一、部门职责</w:t>
      </w:r>
    </w:p>
    <w:p w14:paraId="0F83EBF2">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唐山市曹妃甸区行政审批局（简称区行政审批局）为区政府工作部门，机构规格正科级，挂唐山市曹妃甸区政务服务管理办公室牌子。贯彻执行党中央和省委、市委、区委关于行政审批、政务服务管理工作的方针政策和决策部署，坚持和加强党对行政审批、政务服务管理工作的集中统一领导。主要职责是：</w:t>
      </w:r>
    </w:p>
    <w:p w14:paraId="36FA22E9">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（一）贯彻执行</w:t>
      </w:r>
      <w:r>
        <w:rPr>
          <w:rFonts w:hint="eastAsia" w:ascii="仿宋" w:hAnsi="仿宋" w:eastAsia="仿宋" w:cs="仿宋"/>
          <w:color w:val="000000"/>
          <w:sz w:val="32"/>
          <w:szCs w:val="32"/>
          <w:lang w:eastAsia="zh-CN"/>
        </w:rPr>
        <w:t>党中央、国务院</w:t>
      </w:r>
      <w:r>
        <w:rPr>
          <w:rFonts w:hint="eastAsia" w:ascii="仿宋" w:hAnsi="仿宋" w:eastAsia="仿宋" w:cs="仿宋"/>
          <w:color w:val="000000"/>
          <w:sz w:val="32"/>
          <w:szCs w:val="32"/>
        </w:rPr>
        <w:t>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0A8232F2">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（二）组织协调全区“放管服”改革工作。指导、督促贯彻落实</w:t>
      </w:r>
      <w:r>
        <w:rPr>
          <w:rFonts w:hint="eastAsia" w:ascii="仿宋" w:hAnsi="仿宋" w:eastAsia="仿宋" w:cs="仿宋"/>
          <w:color w:val="000000"/>
          <w:sz w:val="32"/>
          <w:szCs w:val="32"/>
          <w:lang w:eastAsia="zh-CN"/>
        </w:rPr>
        <w:t>党中央、国务院</w:t>
      </w:r>
      <w:r>
        <w:rPr>
          <w:rFonts w:hint="eastAsia" w:ascii="仿宋" w:hAnsi="仿宋" w:eastAsia="仿宋" w:cs="仿宋"/>
          <w:color w:val="000000"/>
          <w:sz w:val="32"/>
          <w:szCs w:val="32"/>
        </w:rPr>
        <w:t>和省委省政府、市委市政府、区委区政府关于“放管服”改革重要领域、关键环节重大政策措施，承担区推进政府职能转变和“放管服”改革协调小组办公室的日常工作。</w:t>
      </w:r>
    </w:p>
    <w:p w14:paraId="17C0AC66">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6515B82D">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2D0E368D">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（五）负责综合协调和监督管理区级各部门行政审批等事项和公共服务事项的集中统一办理；依据权限划分，组织相关部门开展审批服务事项的联合办理和联审会办；研究推进并联审批服务工作。</w:t>
      </w:r>
    </w:p>
    <w:p w14:paraId="4885EE4B">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5F89CDAB">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1FC0B018">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208057F4">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九）建立健全全区政务服务、行政审批服务效能可量化的考核评价制度；对具有政务服务职能的部门进行综合考评，对进驻事项的办理情况、办理效能，以及办事人员的服务质量等进行管理、培训、监督和考核。</w:t>
      </w:r>
    </w:p>
    <w:p w14:paraId="2E3CF17B">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（十）优化政务服务管理模式，指导和监督全区政务服务中心和公共资源交易中心规范化建设，与区有关部门建立完善审批服务联动工作机制。</w:t>
      </w:r>
    </w:p>
    <w:p w14:paraId="22C577A8">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（十一）负责职责范围内区本级行政许可事项和相关行政服务事项的办理，并承担相应的法律责任。</w:t>
      </w:r>
    </w:p>
    <w:p w14:paraId="39D2F53C">
      <w:pPr>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sz w:val="32"/>
          <w:szCs w:val="32"/>
        </w:rPr>
        <w:t>（十二）完成区委、区政府交办的其他任务。</w:t>
      </w:r>
    </w:p>
    <w:p w14:paraId="1C87E4C6">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二、机构设置</w:t>
      </w:r>
    </w:p>
    <w:p w14:paraId="27140728">
      <w:pPr>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根据上述职责，唐山市曹妃甸区行政审批局设</w:t>
      </w:r>
      <w:r>
        <w:rPr>
          <w:rFonts w:hint="eastAsia" w:ascii="仿宋" w:hAnsi="仿宋" w:eastAsia="仿宋" w:cs="仿宋"/>
          <w:sz w:val="32"/>
          <w:szCs w:val="32"/>
          <w:lang w:val="en-US" w:eastAsia="zh-CN"/>
        </w:rPr>
        <w:t>10</w:t>
      </w:r>
      <w:r>
        <w:rPr>
          <w:rFonts w:hint="eastAsia" w:ascii="仿宋" w:hAnsi="仿宋" w:eastAsia="仿宋" w:cs="仿宋"/>
          <w:sz w:val="32"/>
          <w:szCs w:val="32"/>
        </w:rPr>
        <w:t>个内设机构。</w:t>
      </w:r>
    </w:p>
    <w:p w14:paraId="74A3CBE2">
      <w:pPr>
        <w:widowControl/>
        <w:spacing w:line="56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（一）办公室。</w:t>
      </w:r>
      <w:r>
        <w:rPr>
          <w:rFonts w:hint="eastAsia" w:ascii="仿宋" w:hAnsi="仿宋" w:eastAsia="仿宋" w:cs="仿宋"/>
          <w:color w:val="000000"/>
          <w:sz w:val="32"/>
          <w:szCs w:val="32"/>
        </w:rPr>
        <w:t>负责处理机关日常政务工作；负责文字综合、会议组织、文电运转、档案管理、机要保密、对外宣传、政务督办、政务值班、印章管理、机要通信、标准化建设等行政事务；负责机关和直属单位财务及固定资产、基本建设的管理工作；负责行政审批局（含所属事业单位）的后勤保障、安全保卫等工作；负责内部审计工作；承担人大代表建议和政协提案的组织协调工作。负责机关和所属事业单位的机构编制、人事劳动、考核考评、干部职工选拔录用、职称评定、社会保险、教育培训、队伍建设和老干部管理等工作；负责办理机关及所属事业单位工作人员出国政审手续。承担机关和直属事业单位的党群工作。</w:t>
      </w:r>
    </w:p>
    <w:p w14:paraId="73C72543">
      <w:pPr>
        <w:widowControl/>
        <w:spacing w:line="56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（二）政策法规科。</w:t>
      </w:r>
      <w:r>
        <w:rPr>
          <w:rFonts w:hint="eastAsia" w:ascii="仿宋" w:hAnsi="仿宋" w:eastAsia="仿宋" w:cs="仿宋"/>
          <w:color w:val="000000"/>
          <w:sz w:val="32"/>
          <w:szCs w:val="32"/>
        </w:rPr>
        <w:t>负责全区“放管服”改革、行政审批制度改革、政务服务管理、公共资源交易市场管理等相关规范性文件及制度的审核，并监督执行；承担其他规范性文件的审核和政策征求意见的回复工作；参与综合性文件起草；承担本部门政务公开工作；对审批服务事项的设定依据、受理条件、办理流程进行审核；承办有关行政复议和行政应诉工作；组织实施有关法律法规宣传教育；承办法治考核工作。负责起草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区政务服务中心、公共资源交易中心及其工作人员的投诉及信访接待，会同、协调相关部门按规定处理；负责对行政审批事项实施电子监察，督查并通报工作纪律，纠正违规行为。</w:t>
      </w:r>
    </w:p>
    <w:p w14:paraId="3EE77CAD">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（三）</w:t>
      </w:r>
      <w:r>
        <w:rPr>
          <w:rFonts w:hint="eastAsia" w:ascii="仿宋" w:hAnsi="仿宋" w:eastAsia="仿宋" w:cs="仿宋"/>
          <w:b/>
          <w:color w:val="000000"/>
          <w:sz w:val="32"/>
          <w:szCs w:val="32"/>
          <w:lang w:eastAsia="zh-CN"/>
        </w:rPr>
        <w:t>政务服务管理</w:t>
      </w:r>
      <w:r>
        <w:rPr>
          <w:rFonts w:hint="eastAsia" w:ascii="仿宋" w:hAnsi="仿宋" w:eastAsia="仿宋" w:cs="仿宋"/>
          <w:b/>
          <w:color w:val="000000"/>
          <w:sz w:val="32"/>
          <w:szCs w:val="32"/>
        </w:rPr>
        <w:t>科。</w:t>
      </w:r>
      <w:r>
        <w:rPr>
          <w:rFonts w:hint="eastAsia" w:ascii="仿宋" w:hAnsi="仿宋" w:eastAsia="仿宋" w:cs="仿宋"/>
          <w:color w:val="000000"/>
          <w:sz w:val="32"/>
          <w:szCs w:val="32"/>
        </w:rPr>
        <w:t>负责组织起草行政审批制度改革、政务服务管理等规范性文件；负责全区行政审批制度改革工作；负责推进审批服务的事项管理、流程、服务、受理场所、监督检查的规范化、标准化；负责政务服务大厅规范化建设和业务指导；负责推进管理机构、实体大厅、网上平台“三位一体”的管理体系建设。负责贯彻落实国家和省、市</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行政审批制度改革方针政策；协调推进全</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行政审批制度改革工作；负责行政许可事项的取消调整、目录和办事指南编制、审批流程等标准化管理工作；负责推进相对集中行政许可权改革；组织</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级行政许可事项入驻</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政务服务大厅集中办理，对进驻</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政务服务大厅的部门办理行政许可事项实施统一管理；负责推进全</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审批服务便民化；指导全</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政务服务大厅建设；</w:t>
      </w:r>
      <w:r>
        <w:rPr>
          <w:rFonts w:hint="eastAsia" w:ascii="仿宋" w:hAnsi="仿宋" w:eastAsia="仿宋" w:cs="仿宋"/>
          <w:color w:val="000000"/>
          <w:sz w:val="32"/>
          <w:szCs w:val="32"/>
          <w:lang w:eastAsia="zh-CN"/>
        </w:rPr>
        <w:t>统筹协调</w:t>
      </w:r>
      <w:r>
        <w:rPr>
          <w:rFonts w:hint="eastAsia" w:ascii="仿宋" w:hAnsi="仿宋" w:eastAsia="仿宋" w:cs="仿宋"/>
          <w:color w:val="000000"/>
          <w:sz w:val="32"/>
          <w:szCs w:val="32"/>
        </w:rPr>
        <w:t>与区有关部门建立完善审批服务联动工作机制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承担</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行攻审批制度改革工作领导小组办公室的日常工作。负责规范除行政许可之外依申请办理的公共服务事项，编制公开全</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统一的事项目录、标准化工作规程和办事指南；组织</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级公共服务事项入驻</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政务服务大厅集中办理，对进驻</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政务服务大厅的部门办理公共服务事项实施统一管理；创新公共服务方式，优化简化办理流程，推动公共服务便民化。负责组织起草全区“放管服”改革相关规范性文件；负责沟通协调区政府推进政府职能转变和“放管服”改革协调小组各专题组、保障组工作；组织开展“放管服”改革重大问题调查研究；组织各专题组、保障组统筹研究推进全区“放管服”改革重要领域、关键环节的重大政策措施，协调推动解决重点难点问题；联系主管部门组织新闻媒体做好政策宣传解读和舆论引导工作；督促各部门落实改革措施；承担区推进政府职能转变和“放管服”改革协调小组办公室的日常工作。负责组织起草全区公共资源交易市场管理规范性文件；负责协调指导全区公共资源交易市场工作；负责区公共资源交易中心内部管理制度和规则的审查、备案；指导全区公共资源交易电子服务系统的统一使用；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指导、监督区公共资源交易中心工作。</w:t>
      </w:r>
    </w:p>
    <w:p w14:paraId="5B5B0CCE">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（四）信息信用科。</w:t>
      </w:r>
      <w:r>
        <w:rPr>
          <w:rFonts w:hint="eastAsia" w:ascii="仿宋" w:hAnsi="仿宋" w:eastAsia="仿宋" w:cs="仿宋"/>
          <w:color w:val="000000"/>
          <w:sz w:val="32"/>
          <w:szCs w:val="32"/>
        </w:rPr>
        <w:t>负责统筹推进全区“互联网+政务服务”工作，建设全区一体化在线政务</w:t>
      </w:r>
      <w:r>
        <w:rPr>
          <w:rFonts w:hint="eastAsia" w:ascii="仿宋" w:hAnsi="仿宋" w:eastAsia="仿宋" w:cs="仿宋"/>
          <w:color w:val="000000"/>
          <w:sz w:val="32"/>
          <w:szCs w:val="32"/>
          <w:lang w:eastAsia="zh-CN"/>
        </w:rPr>
        <w:t>服务平台</w:t>
      </w:r>
      <w:r>
        <w:rPr>
          <w:rFonts w:hint="eastAsia" w:ascii="仿宋" w:hAnsi="仿宋" w:eastAsia="仿宋" w:cs="仿宋"/>
          <w:color w:val="000000"/>
          <w:sz w:val="32"/>
          <w:szCs w:val="32"/>
        </w:rPr>
        <w:t>；推进全区在线政务服务平台规范化、标准化、集约化建设，推动各级政务服务事项网上办理，打破“信息孤岛”，实现互联互通；牵头负责政务服务数据采集、汇聚和开放共享工作，建设全区政务平台事项库，编制公开政务数据资源目录并及时动态更新，推进政务服务同一事项，同一编码，同一网上技术规范；负责全区电子证照库建设和管理；指导政务服务平台和公共资源交易电子服务系统建设。负责研究起草全区社会信用体系建设的规范性文件、发展规划和年度工作要点；推动全区社会信用体系建设；推动全区社会信用体系建设规范化、标准化；负责区级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2C24B536">
      <w:pPr>
        <w:spacing w:line="570" w:lineRule="exact"/>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color w:val="000000"/>
          <w:sz w:val="32"/>
          <w:szCs w:val="32"/>
        </w:rPr>
        <w:t>（五）综合协调科。</w:t>
      </w:r>
      <w:r>
        <w:rPr>
          <w:rFonts w:hint="eastAsia" w:ascii="仿宋" w:hAnsi="仿宋" w:eastAsia="仿宋" w:cs="仿宋"/>
          <w:color w:val="000000"/>
          <w:sz w:val="32"/>
          <w:szCs w:val="32"/>
        </w:rPr>
        <w:t>负责推进重点项目审批服务的综合协调和督办；组织相关部门开展审批服务事项的联合办理和联合会办；研究和推进并联审批服务</w:t>
      </w:r>
      <w:r>
        <w:rPr>
          <w:rFonts w:hint="eastAsia" w:ascii="仿宋" w:hAnsi="仿宋" w:eastAsia="仿宋" w:cs="仿宋"/>
          <w:color w:val="000000"/>
          <w:sz w:val="32"/>
          <w:szCs w:val="32"/>
          <w:lang w:eastAsia="zh-CN"/>
        </w:rPr>
        <w:t>；统筹协调审批科室间的工作运转。</w:t>
      </w:r>
    </w:p>
    <w:p w14:paraId="133E168D">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（六）统一受理科。</w:t>
      </w:r>
      <w:r>
        <w:rPr>
          <w:rFonts w:hint="eastAsia" w:ascii="仿宋" w:hAnsi="仿宋" w:eastAsia="仿宋" w:cs="仿宋"/>
          <w:color w:val="000000"/>
          <w:sz w:val="32"/>
          <w:szCs w:val="32"/>
        </w:rPr>
        <w:t>负责审批事项统一受理的指导和组织实施；负责起草和完善审批事项受理标准；负责将接收的资料转交相关审批</w:t>
      </w:r>
      <w:r>
        <w:rPr>
          <w:rFonts w:hint="eastAsia" w:ascii="仿宋" w:hAnsi="仿宋" w:eastAsia="仿宋" w:cs="仿宋"/>
          <w:color w:val="000000"/>
          <w:sz w:val="32"/>
          <w:szCs w:val="32"/>
          <w:lang w:eastAsia="zh-CN"/>
        </w:rPr>
        <w:t>科室</w:t>
      </w:r>
      <w:r>
        <w:rPr>
          <w:rFonts w:hint="eastAsia" w:ascii="仿宋" w:hAnsi="仿宋" w:eastAsia="仿宋" w:cs="仿宋"/>
          <w:color w:val="000000"/>
          <w:sz w:val="32"/>
          <w:szCs w:val="32"/>
        </w:rPr>
        <w:t>；负责其他进驻审批事项的统一登记工作。</w:t>
      </w:r>
    </w:p>
    <w:p w14:paraId="35B6126B">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（七）勘查评审科。</w:t>
      </w:r>
      <w:r>
        <w:rPr>
          <w:rFonts w:hint="eastAsia" w:ascii="仿宋" w:hAnsi="仿宋" w:eastAsia="仿宋" w:cs="仿宋"/>
          <w:color w:val="000000"/>
          <w:sz w:val="32"/>
          <w:szCs w:val="32"/>
        </w:rPr>
        <w:t>依照划转行政权力事项目录，负责组织召开相关评审会、听证会，委托专家或专业机构出具检验、检测、检疫、鉴定意见，进行现场核查、核对、勘查、勘验及委托组织专业人员（机构）进行现场检验、检测、检疫、鉴定等工作，负责行政审批涉及专家评审等工作的组织管理。</w:t>
      </w:r>
    </w:p>
    <w:p w14:paraId="2FAC5C0E">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（八）审批一科。</w:t>
      </w:r>
      <w:r>
        <w:rPr>
          <w:rFonts w:hint="eastAsia" w:ascii="仿宋" w:hAnsi="仿宋" w:eastAsia="仿宋" w:cs="仿宋"/>
          <w:color w:val="000000"/>
          <w:sz w:val="32"/>
          <w:szCs w:val="32"/>
        </w:rPr>
        <w:t>负责涉及企业设立登记类及前置、后置行政审批事项的办理工作，涵盖中介机构从事代理记账业务审批；劳务派遣经营、设立人力资源服务机构（含业务范围审批）、地方企业实行不定时和综合计算工时工作制审批；道路运输站（场）经营许可；机动车驾驶员培训许可；水产苗种生产审批；农作物种子生产经营许可证核发；食用菌菌种生产经营许可证核发（母种、原种）；种畜禽生产经营许可（含生猪定点屠宰厂设置审查）；兽药经营许可证核发（兽用生物制品）；互联网上网服务营业场所经营单位设立审批；营业性演出审批；文艺表演团体设立审批；娱乐场所设立审批；医疗机构设置审批；医疗机构执业登记；母婴保健技术服务机构执业许可；公共场所卫生许可；名称预先核准（包括企业、企业集团、个体工商户、农民专业合作社名称预先核准）；个体工商户注册、变更、注销登记；农民专业合作社设立、变更、注销登记；企业设立、变更、注销登记与企业集团核准登记；出版物零售单位和个体工商户设立、变更审批；电影放映单位设立审批；除剧毒化学品、易制爆化学品外其他危险化学品（不含仓储经营）经营许可；烟花爆竹经营(零售)许可；林木种子生产经营许可核发；粮食收购资格认定；会计代理记账机构设立审批；中外合作音像制品零售企业设立与变更审批；药品零售企业许可（含第二类精神药品零售、第三类医疗器械经营许可）；出版物零售业务审批；公共场所改、扩建卫生许可；食品小作坊小餐饮登记；洗染业经营者备案；再生资源回收经营者备案；农药经营许可；燃气经营许可证核发；内部资料性出版物准印证核发；经营高危险性体育项目许可；旅行社设立许可及导游证核发；食品（含保健食品）生产经营许可。负责上述事项审批的政策起草及解读、流程梳理、办事指南编制等标准化建设工作；负责与相关监管部门进行信息互通及沟通协调。负责与上级业务部门和相关部门的联系、对接、协调工作。</w:t>
      </w:r>
    </w:p>
    <w:p w14:paraId="1B1B80B9">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（九）审批二科。</w:t>
      </w:r>
      <w:r>
        <w:rPr>
          <w:rFonts w:hint="eastAsia" w:ascii="仿宋" w:hAnsi="仿宋" w:eastAsia="仿宋" w:cs="仿宋"/>
          <w:color w:val="000000"/>
          <w:sz w:val="32"/>
          <w:szCs w:val="32"/>
        </w:rPr>
        <w:t>负责涉及投资项目建设类审批事项的办理工作，涵盖企业、事业单位、社会团体等投资建设的固定资产投资项目核准及节能评估和审查；建设工程地震安全性评价审定及抗震设防要求确定；依法必须招标的基建工程、特许经营项目招标方式和招标范围的核准；县管权限的外商投资项目核准；非限制类限额以下外商投资项目备案；结合民用建筑修建防空地下室标准审批，拆除人民防空工程审批；人防工程利用、人防工程及人防设备设施拆除、报废、改造、迁移许可；防空地下室竣工验收备案；技术改造项目备案；政府投资项目审批；冷轧钢项目备案（企业投资项目备案的子项）；纸浆项目备案（企业投资项目备案的子项）；日处理糖料1500吨及以上项目备案（企业投资项目备案的子项）；改扩建乙烯项目备案（企业投资项目备案的子项）；精对苯二甲酸（PTA）项目备案（企业投资项目备案的子项）；对二甲苯（PX）改扩建项目备案（企业投资项目备案的子项）；甲苯二异氰酸酯（TDI）项目备案（企业投资项目备案的子项）；日产300吨及以上聚酯项目备案（企业投资项目备案的子项）；钢铁类金属制品、碳素制品、耐火材料等项目备案（企业投资项目备案的子项）；汽车天然气加气站项目备案（固定资产投资项目备案的子项）；商品房预售许可；城镇污水排入排水管网许可（含拆除、改动城镇排水与污水处理设施方案审核）；占用挖掘（含禁挖期内）城市道路、依附于城市道路桥梁建设各种管线杆线、占道施工审批；改变绿化规划及绿地使用性质、临时占用城市绿地、管线建设穿越城市绿化用地、砍伐城市树木审批；占用、挖掘公路、公路用地或者使公路改线审批；公路建设项目施工许可（设置子项：在公路增设或改造平面交叉道口审批；在公路用地范围内与控制区内，架设、铺设电缆管线等设施许可；设置非公路标志；更新采伐护路林；公路项目竣工验收）；跨越、穿越公路及在公路用地范围内架设、埋设管线、电缆等设施，或者利用公路桥梁、公路隧道、涵洞铺设电缆等设施许可；取水许可；水工程建设规划同意书审核；河道管理范围内建设项目工程建设方案审批；河道管理范围内建设项目工程建设方案、非防洪建设项目洪水影响评价报告及蓄滞洪区避洪设施建设审批；生产建设项目水土保持方案审批；生产、储存烟花爆竹建设项目安全设施设计审查；勘查开采矿藏及各项建设工程占用、临时占用、征收、征用林地审核；管线建设穿越城市绿地批准；占用防洪规划保留区内土地审批；城市建筑垃圾处置核准；建筑工程安全生产备案；施工合同备案；项目监理部备案；加气站准建初审；在航道上（内）建设过船、过木、过鱼建筑物的设计任务书、设计文件和施工方案的同意；商品住房销售价格备案；房地产开发资质初审；施工企业资质初审；城市基础设施配套费征收。负责上述事项审批的政策起草及解读、流程梳理、办事指南编制等标准化建设工作；负责与相关监管部门进行信息互通及沟通协调；负责与上级业务部门和相关部门的联系、对接、协调工作。</w:t>
      </w:r>
    </w:p>
    <w:p w14:paraId="79B75BE8">
      <w:pPr>
        <w:spacing w:line="550" w:lineRule="exact"/>
        <w:ind w:firstLine="643" w:firstLineChars="200"/>
        <w:rPr>
          <w:rFonts w:hint="eastAsia" w:ascii="仿宋" w:hAnsi="仿宋" w:eastAsia="仿宋" w:cs="仿宋"/>
          <w:sz w:val="32"/>
          <w:szCs w:val="32"/>
          <w:lang w:eastAsia="zh-CN"/>
        </w:rPr>
      </w:pPr>
      <w:r>
        <w:rPr>
          <w:rFonts w:hint="eastAsia" w:ascii="仿宋" w:hAnsi="仿宋" w:eastAsia="仿宋" w:cs="仿宋"/>
          <w:b/>
          <w:color w:val="000000"/>
          <w:sz w:val="32"/>
          <w:szCs w:val="32"/>
        </w:rPr>
        <w:t>（十）审批三科。</w:t>
      </w:r>
      <w:r>
        <w:rPr>
          <w:rFonts w:hint="eastAsia" w:ascii="仿宋" w:hAnsi="仿宋" w:eastAsia="仿宋" w:cs="仿宋"/>
          <w:color w:val="000000"/>
          <w:sz w:val="32"/>
          <w:szCs w:val="32"/>
        </w:rPr>
        <w:t>负责社会事务及其他类审批事项办理工作，涵盖实施中等及中等以下学历教育、学前教育、自学考试助学及其他文化教育的学校设立、变更和终止审批；社会团体和民办非企业的成立、变更、注销登记及修改章程核准；民办职业培训学校设立、分立、合并、变更及终止审批；建设项目环境影响评价文件审批及环境保护设施竣工验收；排污许可(含入海排污口位置审批、辐射安全许可)；建筑工程施工许可证核发；燃气经营者改动市政燃气设施审批；特殊车辆在城市道路上行驶（包括经过城市桥梁）审批；专用航标设置、撤除、位置移动和其他状况改变审批；水域滩涂养殖证的审核；农业植物及其产品调运检疫及植物检疫证书签发；母婴保健服务人员资格认定；医师执业注册（含外籍医师来华短期执业许可）；饮用水供水单位卫生许可；内部资料性出版物准印证核发；设置卫星电视广播地面接收设施审批；林业植物检疫证书核发；林木采伐许可证核发；木材运输证核发；临时占用林地审批；博物馆处理不够入藏标准、无保存价值的文物或标本审批；对新闻出版广电总局负责的广播电台、电视台设立、终止审批的初审；拆除环境卫生设施拆迁方案批准；民办教育机构名称冠名“河北”审批；农业植物及其产品产地检疫合格证签发；执业医师申请个体行医审批；森林植物及其产品调运植物检疫证书核发；接收卫星传送的境外电视节目许可证初审；计划生育技术服务机构设立许可；计划生育技术服务人员合格证核发；再生育审批；地震应急预案的备案；林木种子采种林确定；从事城市生活垃圾经营性清扫、收集、运输、处理服务审批；设置大型户外广告及在城市建筑物、设施上悬挂、张贴宣传品审批；文物保护单位保护范围内作业许可初审；销售文物监管物品许可初审；利用文物保护单位从事宗教活动许可初审；第二类非药品类易制毒化学品生产、经营和第三类非药品类易制毒化学品生产备案；民族成份更改核准审批；绿色食品年检；物业服务收费备案；融资性担保机构经营许可证初审；零售商促销行为备案登记；禽类养殖场（含种畜禽场）、养殖小区备案；城镇房屋廉租住房申请的审核登记；技术合同认定登记；中高考加分；社会体育指导员（三级）资格许可；实行政府定价、政府指导价的商品和服务价格及收费标准审批；组织机构代码的办理；计量标准器具核准；船舶进行散装液体污染危害性货物过驳作业审批；船舶进入或穿越禁航区审批；通航水域岸线安全使用和水上水下活动许可；载运危险货物和污染危险性货物进出港口审批；船舶油污损害民事责任保险证书或者财务保证证书核发；民办教育收费备案；校车使用许可；养老机构设立许可；建设殡仪馆、火葬场、殡仪服务站、骨灰堂、经营性公墓、农村公益性墓地审批；地名命名更名审核；慈善组织认定；慈善组织公开募捐资格认定；社会福利机构筹办、开业、变更、歇业或终止服务审批；特种设备使用登记及从业人员资格认定；非煤矿矿山企业安全生产许可及建设项目安全设施设计审查；水利基建项目初步设计文件审批（含水工程建设规划同意书审核、不同行政区域边界水工程批准、新建改建或者扩大排污口审核）；国内水路、道路运输经营许可（设置子项：旅客运输、道路货运经验、出租车经营、公路超限运输、车辆运营证核发）；放射源诊疗技术和医用辐射机构许可；海洋与渔业科技成果保密项目审批；新选育或引进蚕品种中间试验同意；科研和教学用毒性药品购买审批；麻醉药品和精神药品邮寄证明及运输证明核发；对外劳务合作经营资格核准。负责上述事项审批的政策起草及解读、流程梳理、办事指南编制等标准化建设工作；负责与相关监管部门进行信息互通及沟通协调；负责与上级业务部门和市本级相关部门的联系、对接、协调</w:t>
      </w:r>
      <w:r>
        <w:rPr>
          <w:rFonts w:hint="eastAsia" w:ascii="仿宋" w:hAnsi="仿宋" w:eastAsia="仿宋" w:cs="仿宋"/>
          <w:color w:val="000000"/>
          <w:sz w:val="32"/>
          <w:szCs w:val="32"/>
          <w:lang w:eastAsia="zh-CN"/>
        </w:rPr>
        <w:t>。</w:t>
      </w:r>
    </w:p>
    <w:p w14:paraId="210847F6">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仿宋" w:hAnsi="仿宋" w:eastAsia="仿宋" w:cs="仿宋"/>
          <w:b w:val="0"/>
          <w:bCs w:val="0"/>
          <w:kern w:val="0"/>
          <w:sz w:val="32"/>
          <w:szCs w:val="32"/>
          <w:lang w:val="en-US" w:eastAsia="zh-CN" w:bidi="ar-SA"/>
        </w:rPr>
      </w:pPr>
    </w:p>
    <w:p w14:paraId="57135041">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从决算编报单位构成看，纳入</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 xml:space="preserve"> 年度本部门决算汇编范围的独立核算单位（以下简称“单位”）共</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5755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7DB778FF">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3485" w:type="dxa"/>
            <w:vAlign w:val="center"/>
          </w:tcPr>
          <w:p w14:paraId="14C5C070">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单位名称</w:t>
            </w:r>
          </w:p>
        </w:tc>
        <w:tc>
          <w:tcPr>
            <w:tcW w:w="2445" w:type="dxa"/>
            <w:vAlign w:val="center"/>
          </w:tcPr>
          <w:p w14:paraId="1C81314C">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单位基本性质</w:t>
            </w:r>
          </w:p>
        </w:tc>
        <w:tc>
          <w:tcPr>
            <w:tcW w:w="2665" w:type="dxa"/>
            <w:vAlign w:val="center"/>
          </w:tcPr>
          <w:p w14:paraId="1D503D4E">
            <w:pPr>
              <w:spacing w:after="0" w:line="5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经费形式</w:t>
            </w:r>
          </w:p>
        </w:tc>
      </w:tr>
      <w:tr w14:paraId="67DB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FDBDAF4">
            <w:pPr>
              <w:spacing w:after="0"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3485" w:type="dxa"/>
          </w:tcPr>
          <w:p w14:paraId="69904F45">
            <w:pPr>
              <w:spacing w:after="0"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唐山市曹妃甸区行政审批局</w:t>
            </w:r>
          </w:p>
        </w:tc>
        <w:tc>
          <w:tcPr>
            <w:tcW w:w="2445" w:type="dxa"/>
          </w:tcPr>
          <w:p w14:paraId="350A3D5C">
            <w:pPr>
              <w:spacing w:after="0"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行政单位</w:t>
            </w:r>
          </w:p>
        </w:tc>
        <w:tc>
          <w:tcPr>
            <w:tcW w:w="2665" w:type="dxa"/>
          </w:tcPr>
          <w:p w14:paraId="04144368">
            <w:pPr>
              <w:spacing w:after="0" w:line="5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财政拨款</w:t>
            </w:r>
          </w:p>
        </w:tc>
      </w:tr>
      <w:tr w14:paraId="4BB0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14:paraId="31590227">
            <w:pPr>
              <w:spacing w:after="0" w:line="560" w:lineRule="exact"/>
              <w:jc w:val="left"/>
              <w:rPr>
                <w:rFonts w:hint="eastAsia" w:ascii="仿宋" w:hAnsi="仿宋" w:eastAsia="仿宋" w:cs="仿宋"/>
                <w:kern w:val="0"/>
                <w:sz w:val="28"/>
                <w:szCs w:val="28"/>
                <w:highlight w:val="yellow"/>
                <w:vertAlign w:val="baseline"/>
                <w:lang w:val="en-US" w:eastAsia="zh-CN"/>
              </w:rPr>
            </w:pPr>
          </w:p>
        </w:tc>
      </w:tr>
    </w:tbl>
    <w:p w14:paraId="7FB1D99C">
      <w:pPr>
        <w:widowControl/>
        <w:spacing w:after="160" w:line="580" w:lineRule="exact"/>
        <w:ind w:firstLine="640" w:firstLineChars="200"/>
        <w:rPr>
          <w:rFonts w:hint="eastAsia" w:ascii="仿宋" w:hAnsi="仿宋" w:eastAsia="仿宋" w:cs="仿宋"/>
          <w:sz w:val="32"/>
          <w:szCs w:val="32"/>
        </w:rPr>
      </w:pPr>
    </w:p>
    <w:p w14:paraId="5B1AD45A">
      <w:pPr>
        <w:widowControl/>
        <w:spacing w:after="160" w:line="580" w:lineRule="exact"/>
        <w:ind w:firstLine="640" w:firstLineChars="200"/>
        <w:rPr>
          <w:rFonts w:hint="eastAsia" w:ascii="仿宋" w:hAnsi="仿宋" w:eastAsia="仿宋" w:cs="仿宋"/>
          <w:sz w:val="32"/>
          <w:szCs w:val="32"/>
        </w:rPr>
      </w:pPr>
    </w:p>
    <w:p w14:paraId="3B24A8D5">
      <w:pPr>
        <w:widowControl/>
        <w:spacing w:after="160" w:line="580" w:lineRule="exact"/>
        <w:ind w:firstLine="640" w:firstLineChars="200"/>
        <w:rPr>
          <w:rFonts w:hint="eastAsia" w:ascii="仿宋" w:hAnsi="仿宋" w:eastAsia="仿宋" w:cs="仿宋"/>
          <w:sz w:val="32"/>
          <w:szCs w:val="32"/>
        </w:rPr>
      </w:pPr>
    </w:p>
    <w:p w14:paraId="261B41F8">
      <w:pPr>
        <w:widowControl/>
        <w:spacing w:after="160" w:line="580" w:lineRule="exact"/>
        <w:ind w:firstLine="640" w:firstLineChars="200"/>
        <w:rPr>
          <w:rFonts w:hint="eastAsia" w:ascii="仿宋" w:hAnsi="仿宋" w:eastAsia="仿宋" w:cs="仿宋"/>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14:paraId="55AD0ADC">
      <w:pPr>
        <w:widowControl/>
        <w:spacing w:after="160" w:line="580" w:lineRule="exact"/>
        <w:ind w:firstLine="640" w:firstLineChars="200"/>
        <w:rPr>
          <w:rFonts w:hint="eastAsia" w:ascii="仿宋" w:hAnsi="仿宋" w:eastAsia="仿宋" w:cs="仿宋"/>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14:paraId="3A33F1C5">
      <w:pPr>
        <w:widowControl/>
        <w:spacing w:after="160" w:line="580" w:lineRule="exact"/>
        <w:ind w:firstLine="1440" w:firstLineChars="200"/>
        <w:rPr>
          <w:rFonts w:hint="eastAsia" w:ascii="仿宋" w:hAnsi="仿宋" w:eastAsia="仿宋" w:cs="仿宋"/>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rFonts w:hint="eastAsia" w:ascii="仿宋" w:hAnsi="仿宋" w:eastAsia="仿宋" w:cs="仿宋"/>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BD9D7">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14:paraId="3DDEC2A1">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60DBD9D7">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14:paraId="3DDEC2A1">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14:paraId="5CBF5C61">
      <w:pPr>
        <w:widowControl/>
        <w:spacing w:line="580" w:lineRule="exact"/>
        <w:ind w:firstLine="640" w:firstLineChars="200"/>
        <w:rPr>
          <w:rFonts w:hint="eastAsia" w:ascii="仿宋" w:hAnsi="仿宋" w:eastAsia="仿宋" w:cs="仿宋"/>
          <w:sz w:val="32"/>
          <w:szCs w:val="32"/>
        </w:rPr>
      </w:pPr>
    </w:p>
    <w:p w14:paraId="31E35EE3">
      <w:pPr>
        <w:jc w:val="center"/>
        <w:rPr>
          <w:rFonts w:hint="eastAsia" w:ascii="仿宋" w:hAnsi="仿宋" w:eastAsia="仿宋" w:cs="仿宋"/>
          <w:sz w:val="56"/>
          <w:szCs w:val="72"/>
          <w:lang w:val="en-US" w:eastAsia="zh-CN"/>
        </w:rPr>
      </w:pPr>
    </w:p>
    <w:p w14:paraId="6C4398BA">
      <w:pPr>
        <w:jc w:val="center"/>
        <w:rPr>
          <w:rFonts w:hint="eastAsia" w:ascii="仿宋" w:hAnsi="仿宋" w:eastAsia="仿宋" w:cs="仿宋"/>
          <w:sz w:val="56"/>
          <w:szCs w:val="72"/>
          <w:lang w:val="en-US" w:eastAsia="zh-CN"/>
        </w:rPr>
      </w:pPr>
    </w:p>
    <w:p w14:paraId="58C5B664">
      <w:pPr>
        <w:jc w:val="center"/>
        <w:rPr>
          <w:rFonts w:hint="eastAsia" w:ascii="仿宋" w:hAnsi="仿宋" w:eastAsia="仿宋" w:cs="仿宋"/>
          <w:sz w:val="56"/>
          <w:szCs w:val="72"/>
          <w:lang w:val="en-US" w:eastAsia="zh-CN"/>
        </w:rPr>
      </w:pPr>
      <w:r>
        <w:rPr>
          <w:rFonts w:hint="eastAsia" w:ascii="仿宋" w:hAnsi="仿宋" w:eastAsia="仿宋" w:cs="仿宋"/>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7C749A5C">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14:paraId="3C41D908">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14:paraId="2EF2B184">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5"/>
                <v:stroke weight="0.5pt" color="#FFD966 [3204]" joinstyle="round"/>
                <v:imagedata o:title=""/>
                <o:lock v:ext="edit" aspectratio="f"/>
                <v:textbox>
                  <w:txbxContent>
                    <w:p w14:paraId="7C749A5C">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14:paraId="3C41D908">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14:paraId="2EF2B184">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14:paraId="653D31C3">
      <w:pPr>
        <w:jc w:val="center"/>
        <w:rPr>
          <w:rFonts w:hint="eastAsia" w:ascii="仿宋" w:hAnsi="仿宋" w:eastAsia="仿宋" w:cs="仿宋"/>
          <w:sz w:val="56"/>
          <w:szCs w:val="72"/>
          <w:lang w:val="en-US" w:eastAsia="zh-CN"/>
        </w:rPr>
      </w:pPr>
    </w:p>
    <w:p w14:paraId="6F4B764C">
      <w:pPr>
        <w:jc w:val="center"/>
        <w:rPr>
          <w:rFonts w:hint="eastAsia" w:ascii="仿宋" w:hAnsi="仿宋" w:eastAsia="仿宋" w:cs="仿宋"/>
          <w:sz w:val="56"/>
          <w:szCs w:val="72"/>
          <w:lang w:val="en-US" w:eastAsia="zh-CN"/>
        </w:rPr>
      </w:pPr>
    </w:p>
    <w:p w14:paraId="280CB9FB">
      <w:pPr>
        <w:jc w:val="center"/>
        <w:rPr>
          <w:rFonts w:hint="eastAsia" w:ascii="仿宋" w:hAnsi="仿宋" w:eastAsia="仿宋" w:cs="仿宋"/>
          <w:sz w:val="56"/>
          <w:szCs w:val="72"/>
          <w:lang w:val="en-US" w:eastAsia="zh-CN"/>
        </w:rPr>
      </w:pPr>
    </w:p>
    <w:p w14:paraId="298B73BA">
      <w:pPr>
        <w:jc w:val="center"/>
        <w:rPr>
          <w:rFonts w:hint="eastAsia" w:ascii="仿宋" w:hAnsi="仿宋" w:eastAsia="仿宋" w:cs="仿宋"/>
          <w:sz w:val="56"/>
          <w:szCs w:val="72"/>
          <w:lang w:val="en-US" w:eastAsia="zh-CN"/>
        </w:rPr>
      </w:pPr>
    </w:p>
    <w:p w14:paraId="4030831E">
      <w:pPr>
        <w:jc w:val="center"/>
        <w:rPr>
          <w:rFonts w:hint="eastAsia" w:ascii="仿宋" w:hAnsi="仿宋" w:eastAsia="仿宋" w:cs="仿宋"/>
          <w:sz w:val="56"/>
          <w:szCs w:val="72"/>
          <w:lang w:val="en-US" w:eastAsia="zh-CN"/>
        </w:rPr>
      </w:pPr>
    </w:p>
    <w:p w14:paraId="6B1AB38F">
      <w:pPr>
        <w:jc w:val="center"/>
        <w:rPr>
          <w:rFonts w:hint="eastAsia" w:ascii="仿宋" w:hAnsi="仿宋" w:eastAsia="仿宋" w:cs="仿宋"/>
          <w:sz w:val="56"/>
          <w:szCs w:val="72"/>
          <w:lang w:val="en-US" w:eastAsia="zh-CN"/>
        </w:rPr>
      </w:pPr>
    </w:p>
    <w:p w14:paraId="78EF233C">
      <w:pPr>
        <w:jc w:val="center"/>
        <w:rPr>
          <w:rFonts w:hint="eastAsia" w:ascii="仿宋" w:hAnsi="仿宋" w:eastAsia="仿宋" w:cs="仿宋"/>
          <w:sz w:val="56"/>
          <w:szCs w:val="72"/>
          <w:lang w:val="en-US" w:eastAsia="zh-CN"/>
        </w:rPr>
      </w:pPr>
    </w:p>
    <w:p w14:paraId="1CA21EA0">
      <w:pPr>
        <w:jc w:val="center"/>
        <w:rPr>
          <w:rFonts w:hint="eastAsia" w:ascii="仿宋" w:hAnsi="仿宋" w:eastAsia="仿宋" w:cs="仿宋"/>
          <w:sz w:val="56"/>
          <w:szCs w:val="72"/>
          <w:lang w:val="en-US" w:eastAsia="zh-CN"/>
        </w:rPr>
      </w:pPr>
    </w:p>
    <w:p w14:paraId="0240E0AC">
      <w:pPr>
        <w:jc w:val="center"/>
        <w:rPr>
          <w:rFonts w:hint="eastAsia" w:ascii="仿宋" w:hAnsi="仿宋" w:eastAsia="仿宋" w:cs="仿宋"/>
          <w:sz w:val="56"/>
          <w:szCs w:val="72"/>
          <w:lang w:val="en-US" w:eastAsia="zh-CN"/>
        </w:rPr>
      </w:pPr>
    </w:p>
    <w:p w14:paraId="623A6815">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一、收入</w:t>
      </w:r>
      <w:r>
        <w:rPr>
          <w:rFonts w:hint="eastAsia" w:ascii="黑体" w:hAnsi="黑体" w:eastAsia="黑体" w:cs="黑体"/>
          <w:b w:val="0"/>
          <w:bCs w:val="0"/>
          <w:kern w:val="0"/>
          <w:sz w:val="32"/>
          <w:szCs w:val="32"/>
          <w:lang w:val="en-US" w:eastAsia="zh-CN" w:bidi="ar-SA"/>
        </w:rPr>
        <w:t>支出</w:t>
      </w:r>
      <w:r>
        <w:rPr>
          <w:rFonts w:hint="eastAsia" w:ascii="黑体" w:hAnsi="黑体" w:eastAsia="黑体" w:cs="黑体"/>
          <w:b w:val="0"/>
          <w:bCs w:val="0"/>
          <w:kern w:val="2"/>
          <w:sz w:val="32"/>
          <w:szCs w:val="32"/>
          <w:lang w:val="en-US" w:eastAsia="zh-CN" w:bidi="ar-SA"/>
        </w:rPr>
        <w:t>决算总体情况说明</w:t>
      </w:r>
    </w:p>
    <w:p w14:paraId="3A77CEDB">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w:t>
      </w:r>
      <w:r>
        <w:rPr>
          <w:rFonts w:hint="eastAsia" w:ascii="仿宋" w:hAnsi="仿宋" w:eastAsia="仿宋" w:cs="仿宋"/>
          <w:sz w:val="32"/>
          <w:szCs w:val="32"/>
          <w:lang w:val="en-US" w:eastAsia="zh-CN"/>
        </w:rPr>
        <w:t>收支总计（含</w:t>
      </w:r>
      <w:r>
        <w:rPr>
          <w:rFonts w:hint="eastAsia" w:ascii="仿宋" w:hAnsi="仿宋" w:eastAsia="仿宋" w:cs="仿宋"/>
          <w:sz w:val="32"/>
          <w:szCs w:val="32"/>
        </w:rPr>
        <w:t>结转和结余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3316.52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eastAsia" w:ascii="仿宋" w:hAnsi="仿宋" w:eastAsia="仿宋" w:cs="仿宋"/>
          <w:sz w:val="32"/>
          <w:szCs w:val="32"/>
          <w:lang w:eastAsia="zh-CN"/>
        </w:rPr>
        <w:t>2018年</w:t>
      </w:r>
      <w:r>
        <w:rPr>
          <w:rFonts w:hint="eastAsia" w:ascii="仿宋" w:hAnsi="仿宋" w:eastAsia="仿宋" w:cs="仿宋"/>
          <w:sz w:val="32"/>
          <w:szCs w:val="32"/>
        </w:rPr>
        <w:t>度决算相比，</w:t>
      </w:r>
      <w:r>
        <w:rPr>
          <w:rFonts w:hint="eastAsia" w:ascii="仿宋" w:hAnsi="仿宋" w:eastAsia="仿宋" w:cs="仿宋"/>
          <w:sz w:val="32"/>
          <w:szCs w:val="32"/>
          <w:lang w:val="en-US" w:eastAsia="zh-CN"/>
        </w:rPr>
        <w:t>收支各增加698.4万元，增长26.68%，</w:t>
      </w:r>
      <w:r>
        <w:rPr>
          <w:rFonts w:hint="eastAsia" w:ascii="仿宋" w:hAnsi="仿宋" w:eastAsia="仿宋" w:cs="仿宋"/>
          <w:sz w:val="32"/>
          <w:szCs w:val="32"/>
        </w:rPr>
        <w:t>主要</w:t>
      </w:r>
      <w:r>
        <w:rPr>
          <w:rFonts w:hint="eastAsia" w:ascii="仿宋" w:hAnsi="仿宋" w:eastAsia="仿宋" w:cs="仿宋"/>
          <w:sz w:val="32"/>
          <w:szCs w:val="32"/>
          <w:lang w:val="en-US" w:eastAsia="zh-CN"/>
        </w:rPr>
        <w:t>原因</w:t>
      </w:r>
      <w:r>
        <w:rPr>
          <w:rFonts w:hint="eastAsia" w:ascii="仿宋" w:hAnsi="仿宋" w:eastAsia="仿宋" w:cs="仿宋"/>
          <w:sz w:val="32"/>
          <w:szCs w:val="32"/>
        </w:rPr>
        <w:t>是</w:t>
      </w:r>
      <w:r>
        <w:rPr>
          <w:rFonts w:hint="eastAsia" w:ascii="仿宋" w:hAnsi="仿宋" w:eastAsia="仿宋" w:cs="仿宋"/>
          <w:sz w:val="32"/>
          <w:szCs w:val="32"/>
          <w:lang w:val="en-US" w:eastAsia="zh-CN"/>
        </w:rPr>
        <w:t>2019年度人员增加、窗口费用增加、设施设备增加，导致财政收支有所增加</w:t>
      </w:r>
      <w:r>
        <w:rPr>
          <w:rFonts w:hint="eastAsia" w:ascii="仿宋" w:hAnsi="仿宋" w:eastAsia="仿宋" w:cs="仿宋"/>
          <w:sz w:val="32"/>
          <w:szCs w:val="32"/>
        </w:rPr>
        <w:t>。</w:t>
      </w:r>
    </w:p>
    <w:p w14:paraId="1AC7180E">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二、收入决算情况说明</w:t>
      </w:r>
    </w:p>
    <w:p w14:paraId="790EFD9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度本年收入合计</w:t>
      </w:r>
      <w:r>
        <w:rPr>
          <w:rFonts w:hint="eastAsia" w:ascii="仿宋" w:hAnsi="仿宋" w:eastAsia="仿宋" w:cs="仿宋"/>
          <w:sz w:val="32"/>
          <w:szCs w:val="32"/>
          <w:lang w:val="en-US" w:eastAsia="zh-CN"/>
        </w:rPr>
        <w:t>3195.2</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3195.2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72663203">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三、支出决算情况说明</w:t>
      </w:r>
    </w:p>
    <w:p w14:paraId="60118386">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度本年支出合计</w:t>
      </w:r>
      <w:r>
        <w:rPr>
          <w:rFonts w:hint="eastAsia" w:ascii="仿宋" w:hAnsi="仿宋" w:eastAsia="仿宋" w:cs="仿宋"/>
          <w:sz w:val="32"/>
          <w:szCs w:val="32"/>
          <w:lang w:val="en-US" w:eastAsia="zh-CN"/>
        </w:rPr>
        <w:t>2988.12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1727.44</w:t>
      </w:r>
      <w:r>
        <w:rPr>
          <w:rFonts w:hint="eastAsia" w:ascii="仿宋" w:hAnsi="仿宋" w:eastAsia="仿宋" w:cs="仿宋"/>
          <w:sz w:val="32"/>
          <w:szCs w:val="32"/>
        </w:rPr>
        <w:t>万元，占</w:t>
      </w:r>
      <w:r>
        <w:rPr>
          <w:rFonts w:hint="eastAsia" w:ascii="仿宋" w:hAnsi="仿宋" w:eastAsia="仿宋" w:cs="仿宋"/>
          <w:sz w:val="32"/>
          <w:szCs w:val="32"/>
          <w:lang w:val="en-US" w:eastAsia="zh-CN"/>
        </w:rPr>
        <w:t>57.81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1260.69</w:t>
      </w:r>
      <w:r>
        <w:rPr>
          <w:rFonts w:hint="eastAsia" w:ascii="仿宋" w:hAnsi="仿宋" w:eastAsia="仿宋" w:cs="仿宋"/>
          <w:sz w:val="32"/>
          <w:szCs w:val="32"/>
        </w:rPr>
        <w:t>万元，占</w:t>
      </w:r>
      <w:r>
        <w:rPr>
          <w:rFonts w:hint="eastAsia" w:ascii="仿宋" w:hAnsi="仿宋" w:eastAsia="仿宋" w:cs="仿宋"/>
          <w:sz w:val="32"/>
          <w:szCs w:val="32"/>
          <w:lang w:val="en-US" w:eastAsia="zh-CN"/>
        </w:rPr>
        <w:t>42.19</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p>
    <w:p w14:paraId="402120F6">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kern w:val="0"/>
          <w:sz w:val="32"/>
          <w:szCs w:val="32"/>
          <w:lang w:val="en-US" w:eastAsia="zh-CN" w:bidi="ar-SA"/>
        </w:rPr>
        <w:t>财政</w:t>
      </w:r>
      <w:r>
        <w:rPr>
          <w:rFonts w:hint="eastAsia" w:ascii="黑体" w:hAnsi="黑体" w:eastAsia="黑体" w:cs="黑体"/>
          <w:b w:val="0"/>
          <w:bCs w:val="0"/>
          <w:kern w:val="2"/>
          <w:sz w:val="32"/>
          <w:szCs w:val="32"/>
          <w:lang w:val="en-US" w:eastAsia="zh-CN" w:bidi="ar-SA"/>
        </w:rPr>
        <w:t>拨款收入支出决算总体情况说明</w:t>
      </w:r>
    </w:p>
    <w:p w14:paraId="3C546D3D">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b/>
          <w:bCs/>
          <w:sz w:val="32"/>
          <w:szCs w:val="32"/>
        </w:rPr>
        <w:t>（一）财政拨款收支与</w:t>
      </w:r>
      <w:r>
        <w:rPr>
          <w:rFonts w:hint="eastAsia" w:ascii="仿宋" w:hAnsi="仿宋" w:eastAsia="仿宋" w:cs="仿宋"/>
          <w:b/>
          <w:bCs/>
          <w:sz w:val="32"/>
          <w:szCs w:val="32"/>
          <w:lang w:eastAsia="zh-CN"/>
        </w:rPr>
        <w:t>2018</w:t>
      </w:r>
      <w:r>
        <w:rPr>
          <w:rFonts w:hint="eastAsia" w:ascii="仿宋" w:hAnsi="仿宋" w:eastAsia="仿宋" w:cs="仿宋"/>
          <w:b/>
          <w:bCs/>
          <w:sz w:val="32"/>
          <w:szCs w:val="32"/>
        </w:rPr>
        <w:t xml:space="preserve"> 年度决算对比情况</w:t>
      </w:r>
    </w:p>
    <w:p w14:paraId="39B8ECD4">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w:t>
      </w:r>
      <w:r>
        <w:rPr>
          <w:rFonts w:hint="eastAsia" w:ascii="仿宋" w:hAnsi="仿宋" w:eastAsia="仿宋" w:cs="仿宋"/>
          <w:sz w:val="32"/>
          <w:szCs w:val="32"/>
          <w:lang w:val="en-US" w:eastAsia="zh-CN"/>
        </w:rPr>
        <w:t>形成的财政拨款收支均为一般公共预算</w:t>
      </w:r>
      <w:r>
        <w:rPr>
          <w:rFonts w:hint="eastAsia" w:ascii="仿宋" w:hAnsi="仿宋" w:eastAsia="仿宋" w:cs="仿宋"/>
          <w:sz w:val="32"/>
          <w:szCs w:val="32"/>
        </w:rPr>
        <w:t>财政拨款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其中本年收入3195.2</w:t>
      </w:r>
      <w:r>
        <w:rPr>
          <w:rFonts w:hint="eastAsia" w:ascii="仿宋" w:hAnsi="仿宋" w:eastAsia="仿宋" w:cs="仿宋"/>
          <w:sz w:val="32"/>
          <w:szCs w:val="32"/>
        </w:rPr>
        <w:t>万元</w:t>
      </w:r>
      <w:r>
        <w:rPr>
          <w:rFonts w:hint="eastAsia" w:ascii="仿宋" w:hAnsi="仿宋" w:eastAsia="仿宋" w:cs="仿宋"/>
          <w:sz w:val="32"/>
          <w:szCs w:val="32"/>
          <w:lang w:val="en-US" w:eastAsia="zh-CN"/>
        </w:rPr>
        <w:t>,比2018年度</w:t>
      </w:r>
      <w:r>
        <w:rPr>
          <w:rFonts w:hint="eastAsia" w:ascii="仿宋" w:hAnsi="仿宋" w:eastAsia="仿宋" w:cs="仿宋"/>
          <w:sz w:val="32"/>
          <w:szCs w:val="32"/>
        </w:rPr>
        <w:t>增加</w:t>
      </w:r>
      <w:r>
        <w:rPr>
          <w:rFonts w:hint="eastAsia" w:ascii="仿宋" w:hAnsi="仿宋" w:eastAsia="仿宋" w:cs="仿宋"/>
          <w:sz w:val="32"/>
          <w:szCs w:val="32"/>
          <w:lang w:val="en-US" w:eastAsia="zh-CN"/>
        </w:rPr>
        <w:t>589.64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22.63</w:t>
      </w:r>
      <w:r>
        <w:rPr>
          <w:rFonts w:hint="eastAsia" w:ascii="仿宋" w:hAnsi="仿宋" w:eastAsia="仿宋" w:cs="仿宋"/>
          <w:sz w:val="32"/>
          <w:szCs w:val="32"/>
        </w:rPr>
        <w:t>%，主要是</w:t>
      </w:r>
      <w:r>
        <w:rPr>
          <w:rFonts w:hint="eastAsia" w:ascii="仿宋" w:hAnsi="仿宋" w:eastAsia="仿宋" w:cs="仿宋"/>
          <w:sz w:val="32"/>
          <w:szCs w:val="32"/>
          <w:lang w:eastAsia="zh-CN"/>
        </w:rPr>
        <w:t>本年人员增加、窗口流量增加、派驻窗口增多，财政拨款收入有所增加</w:t>
      </w:r>
      <w:r>
        <w:rPr>
          <w:rFonts w:hint="eastAsia" w:ascii="仿宋" w:hAnsi="仿宋" w:eastAsia="仿宋" w:cs="仿宋"/>
          <w:sz w:val="32"/>
          <w:szCs w:val="32"/>
        </w:rPr>
        <w:t>；</w:t>
      </w:r>
      <w:r>
        <w:rPr>
          <w:rFonts w:hint="eastAsia" w:ascii="仿宋" w:hAnsi="仿宋" w:eastAsia="仿宋" w:cs="仿宋"/>
          <w:sz w:val="32"/>
          <w:szCs w:val="32"/>
          <w:lang w:val="en-US" w:eastAsia="zh-CN"/>
        </w:rPr>
        <w:t>本年</w:t>
      </w:r>
      <w:r>
        <w:rPr>
          <w:rFonts w:hint="eastAsia" w:ascii="仿宋" w:hAnsi="仿宋" w:eastAsia="仿宋" w:cs="仿宋"/>
          <w:sz w:val="32"/>
          <w:szCs w:val="32"/>
        </w:rPr>
        <w:t>支出</w:t>
      </w:r>
      <w:r>
        <w:rPr>
          <w:rFonts w:hint="eastAsia" w:ascii="仿宋" w:hAnsi="仿宋" w:eastAsia="仿宋" w:cs="仿宋"/>
          <w:sz w:val="32"/>
          <w:szCs w:val="32"/>
          <w:lang w:val="en-US" w:eastAsia="zh-CN"/>
        </w:rPr>
        <w:t>3316.52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增加</w:t>
      </w:r>
      <w:r>
        <w:rPr>
          <w:rFonts w:hint="eastAsia" w:ascii="仿宋" w:hAnsi="仿宋" w:eastAsia="仿宋" w:cs="仿宋"/>
          <w:sz w:val="32"/>
          <w:szCs w:val="32"/>
          <w:lang w:val="en-US" w:eastAsia="zh-CN"/>
        </w:rPr>
        <w:t>825.59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33.14</w:t>
      </w:r>
      <w:r>
        <w:rPr>
          <w:rFonts w:hint="eastAsia" w:ascii="仿宋" w:hAnsi="仿宋" w:eastAsia="仿宋" w:cs="仿宋"/>
          <w:sz w:val="32"/>
          <w:szCs w:val="32"/>
        </w:rPr>
        <w:t>%，主要是</w:t>
      </w:r>
      <w:r>
        <w:rPr>
          <w:rFonts w:hint="eastAsia" w:ascii="仿宋" w:hAnsi="仿宋" w:eastAsia="仿宋" w:cs="仿宋"/>
          <w:sz w:val="32"/>
          <w:szCs w:val="32"/>
          <w:lang w:eastAsia="zh-CN"/>
        </w:rPr>
        <w:t>入驻人员增多、业务量增大、窗口费用增加、项目增多</w:t>
      </w:r>
      <w:r>
        <w:rPr>
          <w:rFonts w:hint="eastAsia" w:ascii="仿宋" w:hAnsi="仿宋" w:eastAsia="仿宋" w:cs="仿宋"/>
          <w:sz w:val="32"/>
          <w:szCs w:val="32"/>
        </w:rPr>
        <w:t>。</w:t>
      </w:r>
    </w:p>
    <w:p w14:paraId="5AFD4179">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b/>
          <w:bCs/>
          <w:sz w:val="32"/>
          <w:szCs w:val="32"/>
        </w:rPr>
        <w:t>（二）财政拨款收支与年初预算数对比情况</w:t>
      </w:r>
    </w:p>
    <w:p w14:paraId="64A9CA06">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highlight w:val="yellow"/>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w:t>
      </w:r>
      <w:r>
        <w:rPr>
          <w:rFonts w:hint="eastAsia" w:ascii="仿宋" w:hAnsi="仿宋" w:eastAsia="仿宋" w:cs="仿宋"/>
          <w:sz w:val="32"/>
          <w:szCs w:val="32"/>
          <w:lang w:val="en-US" w:eastAsia="zh-CN"/>
        </w:rPr>
        <w:t>一般公共预算</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3195.2万元，完成年初预算的186.89%,比年初预算增加1485.5</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决算数大于预算数主要原因</w:t>
      </w:r>
      <w:r>
        <w:rPr>
          <w:rFonts w:hint="eastAsia" w:ascii="仿宋" w:hAnsi="仿宋" w:eastAsia="仿宋" w:cs="仿宋"/>
          <w:sz w:val="32"/>
          <w:szCs w:val="32"/>
        </w:rPr>
        <w:t>是</w:t>
      </w:r>
      <w:r>
        <w:rPr>
          <w:rFonts w:hint="eastAsia" w:ascii="仿宋" w:hAnsi="仿宋" w:eastAsia="仿宋" w:cs="仿宋"/>
          <w:sz w:val="32"/>
          <w:szCs w:val="32"/>
          <w:lang w:eastAsia="zh-CN"/>
        </w:rPr>
        <w:t>人员变化、项目增多</w:t>
      </w:r>
      <w:r>
        <w:rPr>
          <w:rFonts w:hint="eastAsia" w:ascii="仿宋" w:hAnsi="仿宋" w:eastAsia="仿宋" w:cs="仿宋"/>
          <w:sz w:val="32"/>
          <w:szCs w:val="32"/>
        </w:rPr>
        <w:t>；本年支出</w:t>
      </w:r>
      <w:r>
        <w:rPr>
          <w:rFonts w:hint="eastAsia" w:ascii="仿宋" w:hAnsi="仿宋" w:eastAsia="仿宋" w:cs="仿宋"/>
          <w:sz w:val="32"/>
          <w:szCs w:val="32"/>
          <w:lang w:val="en-US" w:eastAsia="zh-CN"/>
        </w:rPr>
        <w:t>2988.12万元，完成年初预算的174.77%,比年初预算增加1278.42</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决算数大于预算数主要原因</w:t>
      </w:r>
      <w:r>
        <w:rPr>
          <w:rFonts w:hint="eastAsia" w:ascii="仿宋" w:hAnsi="仿宋" w:eastAsia="仿宋" w:cs="仿宋"/>
          <w:sz w:val="32"/>
          <w:szCs w:val="32"/>
        </w:rPr>
        <w:t>是主要是</w:t>
      </w:r>
      <w:r>
        <w:rPr>
          <w:rFonts w:hint="eastAsia" w:ascii="仿宋" w:hAnsi="仿宋" w:eastAsia="仿宋" w:cs="仿宋"/>
          <w:sz w:val="32"/>
          <w:szCs w:val="32"/>
          <w:lang w:eastAsia="zh-CN"/>
        </w:rPr>
        <w:t>业务量增大、窗口费用增加、项目增多</w:t>
      </w:r>
      <w:r>
        <w:rPr>
          <w:rFonts w:hint="eastAsia" w:ascii="仿宋" w:hAnsi="仿宋" w:eastAsia="仿宋" w:cs="仿宋"/>
          <w:sz w:val="32"/>
          <w:szCs w:val="32"/>
        </w:rPr>
        <w:t>。</w:t>
      </w:r>
    </w:p>
    <w:p w14:paraId="3B23B327">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财政拨款支出决算结构情况。</w:t>
      </w:r>
    </w:p>
    <w:p w14:paraId="5909F348">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2019 年度财政拨款支出2988.12万元，主要用于以下方面一般公共服务（类）支出2612.2万元，占87.42%，；卫生健康类（类）支出123.46万元，占4.13%；社会保障和就业（类）支出151.8万元，占5.08%；住房保障（类）支出100.66万元，占3.37%;</w:t>
      </w:r>
    </w:p>
    <w:p w14:paraId="19B287A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仿宋" w:hAnsi="仿宋" w:eastAsia="仿宋" w:cs="仿宋"/>
          <w:sz w:val="32"/>
          <w:szCs w:val="32"/>
          <w:highlight w:val="yellow"/>
        </w:rPr>
      </w:pPr>
      <w:r>
        <w:rPr>
          <w:rFonts w:hint="eastAsia" w:ascii="仿宋" w:hAnsi="仿宋" w:eastAsia="仿宋" w:cs="仿宋"/>
          <w:b/>
          <w:bCs/>
          <w:sz w:val="32"/>
          <w:szCs w:val="32"/>
          <w:lang w:val="en-US" w:eastAsia="zh-CN"/>
        </w:rPr>
        <w:t>（四）一般公共预算基本支出决算情况说明</w:t>
      </w:r>
    </w:p>
    <w:p w14:paraId="452DDB8E">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2019 年度财政拨款基本支出1727.44万元，其中：人员经费1601.49万元，主要包括基本工资397.41万元、津贴补贴118.01万元、奖金182.4万元、绩效工资393.3万元、机关事业单位基本养老保险缴费139.2万元、职工基本医疗保险缴费56.48万元、公务员医疗补助缴费64.97万元、住房公积金100.66万元、其他工资福利支出138.19万元、退休费0.5万元；公用经费125.95万元，主要包括办公费19.97万元、电费6.17万元、邮电费24.34万元、差旅费3.74万元、培训费1.76万元、公务接待费0.11万元、劳务费9.35万元、工会经费8.91万元、福利费7.95万元、公务用车运行维护费20.94万元、其他交通费用14.72万元、其他商品和服务支出8万元。</w:t>
      </w:r>
    </w:p>
    <w:p w14:paraId="1C0CD06F">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黑体" w:eastAsia="黑体" w:cs="黑体"/>
          <w:b w:val="0"/>
          <w:bCs w:val="0"/>
          <w:kern w:val="2"/>
          <w:sz w:val="32"/>
          <w:szCs w:val="32"/>
          <w:highlight w:val="yellow"/>
          <w:lang w:val="en-US" w:eastAsia="zh-CN" w:bidi="ar-SA"/>
        </w:rPr>
      </w:pPr>
      <w:r>
        <w:rPr>
          <w:rFonts w:hint="eastAsia" w:ascii="黑体" w:hAnsi="黑体" w:eastAsia="黑体" w:cs="黑体"/>
          <w:b w:val="0"/>
          <w:bCs w:val="0"/>
          <w:kern w:val="2"/>
          <w:sz w:val="32"/>
          <w:szCs w:val="32"/>
          <w:lang w:val="en-US" w:eastAsia="zh-CN" w:bidi="ar-SA"/>
        </w:rPr>
        <w:t>五、一般公共预算“三公” 经费支出决算情况说明</w:t>
      </w:r>
    </w:p>
    <w:p w14:paraId="75858CCF">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度“三公”经费支出共计</w:t>
      </w:r>
      <w:r>
        <w:rPr>
          <w:rFonts w:hint="eastAsia" w:ascii="仿宋" w:hAnsi="仿宋" w:eastAsia="仿宋" w:cs="仿宋"/>
          <w:sz w:val="32"/>
          <w:szCs w:val="32"/>
          <w:lang w:val="en-US" w:eastAsia="zh-CN"/>
        </w:rPr>
        <w:t>21.05</w:t>
      </w:r>
      <w:r>
        <w:rPr>
          <w:rFonts w:hint="eastAsia" w:ascii="仿宋" w:hAnsi="仿宋" w:eastAsia="仿宋" w:cs="仿宋"/>
          <w:sz w:val="32"/>
          <w:szCs w:val="32"/>
        </w:rPr>
        <w:t>万元，</w:t>
      </w:r>
      <w:r>
        <w:rPr>
          <w:rFonts w:hint="eastAsia" w:ascii="仿宋" w:hAnsi="仿宋" w:eastAsia="仿宋" w:cs="仿宋"/>
          <w:sz w:val="32"/>
          <w:szCs w:val="32"/>
          <w:lang w:eastAsia="zh-CN"/>
        </w:rPr>
        <w:t>完成预算的</w:t>
      </w:r>
      <w:r>
        <w:rPr>
          <w:rFonts w:hint="eastAsia" w:ascii="仿宋" w:hAnsi="仿宋" w:eastAsia="仿宋" w:cs="仿宋"/>
          <w:sz w:val="32"/>
          <w:szCs w:val="32"/>
          <w:lang w:val="en-US" w:eastAsia="zh-CN"/>
        </w:rPr>
        <w:t>37.26%,</w:t>
      </w:r>
      <w:r>
        <w:rPr>
          <w:rFonts w:hint="eastAsia" w:ascii="仿宋" w:hAnsi="仿宋" w:eastAsia="仿宋" w:cs="仿宋"/>
          <w:b w:val="0"/>
          <w:bCs w:val="0"/>
          <w:sz w:val="32"/>
          <w:szCs w:val="32"/>
        </w:rPr>
        <w:t>较预算减少</w:t>
      </w:r>
      <w:r>
        <w:rPr>
          <w:rFonts w:hint="eastAsia" w:ascii="仿宋" w:hAnsi="仿宋" w:eastAsia="仿宋" w:cs="仿宋"/>
          <w:b w:val="0"/>
          <w:bCs w:val="0"/>
          <w:sz w:val="32"/>
          <w:szCs w:val="32"/>
          <w:lang w:val="en-US" w:eastAsia="zh-CN"/>
        </w:rPr>
        <w:t>35.45</w:t>
      </w:r>
      <w:r>
        <w:rPr>
          <w:rFonts w:hint="eastAsia" w:ascii="仿宋" w:hAnsi="仿宋" w:eastAsia="仿宋" w:cs="仿宋"/>
          <w:b w:val="0"/>
          <w:bCs w:val="0"/>
          <w:sz w:val="32"/>
          <w:szCs w:val="32"/>
        </w:rPr>
        <w:t>万元，降低</w:t>
      </w:r>
      <w:r>
        <w:rPr>
          <w:rFonts w:hint="eastAsia" w:ascii="仿宋" w:hAnsi="仿宋" w:eastAsia="仿宋" w:cs="仿宋"/>
          <w:b w:val="0"/>
          <w:bCs w:val="0"/>
          <w:sz w:val="32"/>
          <w:szCs w:val="32"/>
          <w:lang w:val="en-US" w:eastAsia="zh-CN"/>
        </w:rPr>
        <w:t>62.74</w:t>
      </w:r>
      <w:r>
        <w:rPr>
          <w:rFonts w:hint="eastAsia" w:ascii="仿宋" w:hAnsi="仿宋" w:eastAsia="仿宋" w:cs="仿宋"/>
          <w:b w:val="0"/>
          <w:bCs w:val="0"/>
          <w:sz w:val="32"/>
          <w:szCs w:val="32"/>
        </w:rPr>
        <w:t>%，</w:t>
      </w:r>
      <w:r>
        <w:rPr>
          <w:rFonts w:hint="eastAsia" w:ascii="仿宋" w:hAnsi="仿宋" w:eastAsia="仿宋" w:cs="仿宋"/>
          <w:sz w:val="32"/>
          <w:szCs w:val="32"/>
        </w:rPr>
        <w:t>主要是</w:t>
      </w:r>
      <w:r>
        <w:rPr>
          <w:rFonts w:hint="eastAsia" w:ascii="仿宋" w:hAnsi="仿宋" w:eastAsia="仿宋" w:cs="仿宋"/>
          <w:sz w:val="32"/>
          <w:szCs w:val="32"/>
          <w:lang w:eastAsia="zh-CN"/>
        </w:rPr>
        <w:t>节省经费、压减开支</w:t>
      </w:r>
      <w:r>
        <w:rPr>
          <w:rFonts w:hint="eastAsia" w:ascii="仿宋" w:hAnsi="仿宋" w:eastAsia="仿宋" w:cs="仿宋"/>
          <w:sz w:val="32"/>
          <w:szCs w:val="32"/>
        </w:rPr>
        <w:t>；较</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年</w:t>
      </w:r>
      <w:r>
        <w:rPr>
          <w:rFonts w:hint="eastAsia" w:ascii="仿宋" w:hAnsi="仿宋" w:eastAsia="仿宋" w:cs="仿宋"/>
          <w:sz w:val="32"/>
          <w:szCs w:val="32"/>
        </w:rPr>
        <w:t>度增加减少</w:t>
      </w:r>
      <w:r>
        <w:rPr>
          <w:rFonts w:hint="eastAsia" w:ascii="仿宋" w:hAnsi="仿宋" w:eastAsia="仿宋" w:cs="仿宋"/>
          <w:sz w:val="32"/>
          <w:szCs w:val="32"/>
          <w:lang w:val="en-US" w:eastAsia="zh-CN"/>
        </w:rPr>
        <w:t>15.72</w:t>
      </w:r>
      <w:r>
        <w:rPr>
          <w:rFonts w:hint="eastAsia" w:ascii="仿宋" w:hAnsi="仿宋" w:eastAsia="仿宋" w:cs="仿宋"/>
          <w:sz w:val="32"/>
          <w:szCs w:val="32"/>
        </w:rPr>
        <w:t>万元，降低</w:t>
      </w:r>
      <w:r>
        <w:rPr>
          <w:rFonts w:hint="eastAsia" w:ascii="仿宋" w:hAnsi="仿宋" w:eastAsia="仿宋" w:cs="仿宋"/>
          <w:sz w:val="32"/>
          <w:szCs w:val="32"/>
          <w:lang w:val="en-US" w:eastAsia="zh-CN"/>
        </w:rPr>
        <w:t>42.75</w:t>
      </w:r>
      <w:r>
        <w:rPr>
          <w:rFonts w:hint="eastAsia" w:ascii="仿宋" w:hAnsi="仿宋" w:eastAsia="仿宋" w:cs="仿宋"/>
          <w:sz w:val="32"/>
          <w:szCs w:val="32"/>
        </w:rPr>
        <w:t>%，主要是</w:t>
      </w:r>
      <w:r>
        <w:rPr>
          <w:rFonts w:hint="eastAsia" w:ascii="仿宋" w:hAnsi="仿宋" w:eastAsia="仿宋" w:cs="仿宋"/>
          <w:sz w:val="32"/>
          <w:szCs w:val="32"/>
          <w:lang w:eastAsia="zh-CN"/>
        </w:rPr>
        <w:t>压减开支、车辆运行维护费支出较少</w:t>
      </w:r>
      <w:r>
        <w:rPr>
          <w:rFonts w:hint="eastAsia" w:ascii="仿宋" w:hAnsi="仿宋" w:eastAsia="仿宋" w:cs="仿宋"/>
          <w:sz w:val="32"/>
          <w:szCs w:val="32"/>
        </w:rPr>
        <w:t>。具体情况如下：</w:t>
      </w:r>
    </w:p>
    <w:p w14:paraId="6EAA6892">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（一）因公出国（境）费支出</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参加其他单位组织的因公出国（境）团组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个、共</w:t>
      </w:r>
      <w:r>
        <w:rPr>
          <w:rFonts w:hint="eastAsia" w:ascii="仿宋" w:hAnsi="仿宋" w:eastAsia="仿宋" w:cs="仿宋"/>
          <w:sz w:val="32"/>
          <w:szCs w:val="32"/>
          <w:lang w:val="en-US" w:eastAsia="zh-CN"/>
        </w:rPr>
        <w:t>0</w:t>
      </w:r>
      <w:r>
        <w:rPr>
          <w:rFonts w:hint="eastAsia" w:ascii="仿宋" w:hAnsi="仿宋" w:eastAsia="仿宋" w:cs="仿宋"/>
          <w:sz w:val="32"/>
          <w:szCs w:val="32"/>
        </w:rPr>
        <w:t>人/无本单位组织的出国（境）团组。</w:t>
      </w:r>
      <w:r>
        <w:rPr>
          <w:rFonts w:hint="eastAsia" w:ascii="仿宋" w:hAnsi="仿宋" w:eastAsia="仿宋" w:cs="仿宋"/>
          <w:sz w:val="32"/>
          <w:szCs w:val="32"/>
          <w:lang w:eastAsia="zh-CN"/>
        </w:rPr>
        <w:t>未发生“</w:t>
      </w:r>
      <w:r>
        <w:rPr>
          <w:rFonts w:hint="eastAsia" w:ascii="仿宋" w:hAnsi="仿宋" w:eastAsia="仿宋" w:cs="仿宋"/>
          <w:sz w:val="32"/>
          <w:szCs w:val="32"/>
        </w:rPr>
        <w:t>因公出国（境）</w:t>
      </w:r>
      <w:r>
        <w:rPr>
          <w:rFonts w:hint="eastAsia" w:ascii="仿宋" w:hAnsi="仿宋" w:eastAsia="仿宋" w:cs="仿宋"/>
          <w:sz w:val="32"/>
          <w:szCs w:val="32"/>
          <w:lang w:eastAsia="zh-CN"/>
        </w:rPr>
        <w:t>”经费支出</w:t>
      </w:r>
      <w:r>
        <w:rPr>
          <w:rFonts w:hint="eastAsia" w:ascii="仿宋" w:hAnsi="仿宋" w:eastAsia="仿宋" w:cs="仿宋"/>
          <w:sz w:val="32"/>
          <w:szCs w:val="32"/>
        </w:rPr>
        <w:t>。</w:t>
      </w:r>
    </w:p>
    <w:p w14:paraId="51768C6F">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（二）公务用车购置及运行维护费支出</w:t>
      </w:r>
      <w:r>
        <w:rPr>
          <w:rFonts w:hint="eastAsia" w:ascii="仿宋" w:hAnsi="仿宋" w:eastAsia="仿宋" w:cs="仿宋"/>
          <w:b/>
          <w:bCs/>
          <w:sz w:val="32"/>
          <w:szCs w:val="32"/>
          <w:lang w:val="en-US" w:eastAsia="zh-CN"/>
        </w:rPr>
        <w:t>20.94</w:t>
      </w:r>
      <w:r>
        <w:rPr>
          <w:rFonts w:hint="eastAsia" w:ascii="仿宋" w:hAnsi="仿宋" w:eastAsia="仿宋" w:cs="仿宋"/>
          <w:b/>
          <w:bCs/>
          <w:sz w:val="32"/>
          <w:szCs w:val="32"/>
        </w:rPr>
        <w:t>万元。</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度公务用车购置及运行维护费较预算减少</w:t>
      </w:r>
      <w:r>
        <w:rPr>
          <w:rFonts w:hint="eastAsia" w:ascii="仿宋" w:hAnsi="仿宋" w:eastAsia="仿宋" w:cs="仿宋"/>
          <w:sz w:val="32"/>
          <w:szCs w:val="32"/>
          <w:lang w:val="en-US" w:eastAsia="zh-CN"/>
        </w:rPr>
        <w:t>33.06</w:t>
      </w:r>
      <w:r>
        <w:rPr>
          <w:rFonts w:hint="eastAsia" w:ascii="仿宋" w:hAnsi="仿宋" w:eastAsia="仿宋" w:cs="仿宋"/>
          <w:sz w:val="32"/>
          <w:szCs w:val="32"/>
        </w:rPr>
        <w:t>万元，降低</w:t>
      </w:r>
      <w:r>
        <w:rPr>
          <w:rFonts w:hint="eastAsia" w:ascii="仿宋" w:hAnsi="仿宋" w:eastAsia="仿宋" w:cs="仿宋"/>
          <w:sz w:val="32"/>
          <w:szCs w:val="32"/>
          <w:lang w:val="en-US" w:eastAsia="zh-CN"/>
        </w:rPr>
        <w:t>61.22</w:t>
      </w:r>
      <w:r>
        <w:rPr>
          <w:rFonts w:hint="eastAsia" w:ascii="仿宋" w:hAnsi="仿宋" w:eastAsia="仿宋" w:cs="仿宋"/>
          <w:sz w:val="32"/>
          <w:szCs w:val="32"/>
        </w:rPr>
        <w:t>%,主要是</w:t>
      </w:r>
      <w:r>
        <w:rPr>
          <w:rFonts w:hint="eastAsia" w:ascii="仿宋" w:hAnsi="仿宋" w:eastAsia="仿宋" w:cs="仿宋"/>
          <w:sz w:val="32"/>
          <w:szCs w:val="32"/>
          <w:lang w:eastAsia="zh-CN"/>
        </w:rPr>
        <w:t>节省经费、压减开支</w:t>
      </w:r>
      <w:r>
        <w:rPr>
          <w:rFonts w:hint="eastAsia" w:ascii="仿宋" w:hAnsi="仿宋" w:eastAsia="仿宋" w:cs="仿宋"/>
          <w:sz w:val="32"/>
          <w:szCs w:val="32"/>
        </w:rPr>
        <w:t>；较</w:t>
      </w:r>
      <w:r>
        <w:rPr>
          <w:rFonts w:hint="eastAsia" w:ascii="仿宋" w:hAnsi="仿宋" w:eastAsia="仿宋" w:cs="仿宋"/>
          <w:sz w:val="32"/>
          <w:szCs w:val="32"/>
          <w:lang w:val="en-US" w:eastAsia="zh-CN"/>
        </w:rPr>
        <w:t>上</w:t>
      </w:r>
      <w:r>
        <w:rPr>
          <w:rFonts w:hint="eastAsia" w:ascii="仿宋" w:hAnsi="仿宋" w:eastAsia="仿宋" w:cs="仿宋"/>
          <w:sz w:val="32"/>
          <w:szCs w:val="32"/>
          <w:lang w:eastAsia="zh-CN"/>
        </w:rPr>
        <w:t>年</w:t>
      </w:r>
      <w:r>
        <w:rPr>
          <w:rFonts w:hint="eastAsia" w:ascii="仿宋" w:hAnsi="仿宋" w:eastAsia="仿宋" w:cs="仿宋"/>
          <w:sz w:val="32"/>
          <w:szCs w:val="32"/>
        </w:rPr>
        <w:t>减少</w:t>
      </w:r>
      <w:r>
        <w:rPr>
          <w:rFonts w:hint="eastAsia" w:ascii="仿宋" w:hAnsi="仿宋" w:eastAsia="仿宋" w:cs="仿宋"/>
          <w:sz w:val="32"/>
          <w:szCs w:val="32"/>
          <w:lang w:val="en-US" w:eastAsia="zh-CN"/>
        </w:rPr>
        <w:t>15.83</w:t>
      </w:r>
      <w:r>
        <w:rPr>
          <w:rFonts w:hint="eastAsia" w:ascii="仿宋" w:hAnsi="仿宋" w:eastAsia="仿宋" w:cs="仿宋"/>
          <w:sz w:val="32"/>
          <w:szCs w:val="32"/>
        </w:rPr>
        <w:t>万元，降低</w:t>
      </w:r>
      <w:r>
        <w:rPr>
          <w:rFonts w:hint="eastAsia" w:ascii="仿宋" w:hAnsi="仿宋" w:eastAsia="仿宋" w:cs="仿宋"/>
          <w:sz w:val="32"/>
          <w:szCs w:val="32"/>
          <w:lang w:val="en-US" w:eastAsia="zh-CN"/>
        </w:rPr>
        <w:t>43.05</w:t>
      </w:r>
      <w:r>
        <w:rPr>
          <w:rFonts w:hint="eastAsia" w:ascii="仿宋" w:hAnsi="仿宋" w:eastAsia="仿宋" w:cs="仿宋"/>
          <w:sz w:val="32"/>
          <w:szCs w:val="32"/>
        </w:rPr>
        <w:t>%,主要是</w:t>
      </w:r>
      <w:r>
        <w:rPr>
          <w:rFonts w:hint="eastAsia" w:ascii="仿宋" w:hAnsi="仿宋" w:eastAsia="仿宋" w:cs="仿宋"/>
          <w:sz w:val="32"/>
          <w:szCs w:val="32"/>
          <w:lang w:eastAsia="zh-CN"/>
        </w:rPr>
        <w:t>压减开支、车辆运行维护费支出较少</w:t>
      </w:r>
      <w:r>
        <w:rPr>
          <w:rFonts w:hint="eastAsia" w:ascii="仿宋" w:hAnsi="仿宋" w:eastAsia="仿宋" w:cs="仿宋"/>
          <w:sz w:val="32"/>
          <w:szCs w:val="32"/>
        </w:rPr>
        <w:t>。</w:t>
      </w:r>
      <w:r>
        <w:rPr>
          <w:rFonts w:hint="eastAsia" w:ascii="仿宋" w:hAnsi="仿宋" w:eastAsia="仿宋" w:cs="仿宋"/>
          <w:b/>
          <w:bCs/>
          <w:sz w:val="32"/>
          <w:szCs w:val="32"/>
        </w:rPr>
        <w:t>其中：</w:t>
      </w:r>
    </w:p>
    <w:p w14:paraId="212DE69E">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color w:val="000000"/>
          <w:sz w:val="32"/>
          <w:szCs w:val="32"/>
        </w:rPr>
      </w:pPr>
      <w:r>
        <w:rPr>
          <w:rFonts w:hint="eastAsia" w:ascii="仿宋" w:hAnsi="仿宋" w:eastAsia="仿宋" w:cs="仿宋"/>
          <w:b/>
          <w:sz w:val="32"/>
          <w:szCs w:val="32"/>
        </w:rPr>
        <w:t>公务用车购置费：</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度公务用车购置量</w:t>
      </w:r>
      <w:r>
        <w:rPr>
          <w:rFonts w:hint="eastAsia" w:ascii="仿宋" w:hAnsi="仿宋" w:eastAsia="仿宋" w:cs="仿宋"/>
          <w:sz w:val="32"/>
          <w:szCs w:val="32"/>
          <w:lang w:val="en-US" w:eastAsia="zh-CN"/>
        </w:rPr>
        <w:t>0</w:t>
      </w:r>
      <w:r>
        <w:rPr>
          <w:rFonts w:hint="eastAsia" w:ascii="仿宋" w:hAnsi="仿宋" w:eastAsia="仿宋" w:cs="仿宋"/>
          <w:sz w:val="32"/>
          <w:szCs w:val="32"/>
        </w:rPr>
        <w:t>辆，发生“公务用车购置”经费支出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未发生“</w:t>
      </w:r>
      <w:r>
        <w:rPr>
          <w:rFonts w:hint="eastAsia" w:ascii="仿宋" w:hAnsi="仿宋" w:eastAsia="仿宋" w:cs="仿宋"/>
          <w:sz w:val="32"/>
          <w:szCs w:val="32"/>
        </w:rPr>
        <w:t>公务用车购置</w:t>
      </w:r>
      <w:r>
        <w:rPr>
          <w:rFonts w:hint="eastAsia" w:ascii="仿宋" w:hAnsi="仿宋" w:eastAsia="仿宋" w:cs="仿宋"/>
          <w:sz w:val="32"/>
          <w:szCs w:val="32"/>
          <w:lang w:eastAsia="zh-CN"/>
        </w:rPr>
        <w:t>”经</w:t>
      </w:r>
      <w:r>
        <w:rPr>
          <w:rFonts w:hint="eastAsia" w:ascii="仿宋" w:hAnsi="仿宋" w:eastAsia="仿宋" w:cs="仿宋"/>
          <w:sz w:val="32"/>
          <w:szCs w:val="32"/>
        </w:rPr>
        <w:t>费支出。</w:t>
      </w:r>
    </w:p>
    <w:p w14:paraId="149689A6">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公务用车运行维护费：</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度单位公务用车保有量</w:t>
      </w:r>
      <w:r>
        <w:rPr>
          <w:rFonts w:hint="eastAsia" w:ascii="仿宋" w:hAnsi="仿宋" w:eastAsia="仿宋" w:cs="仿宋"/>
          <w:sz w:val="32"/>
          <w:szCs w:val="32"/>
          <w:lang w:val="en-US" w:eastAsia="zh-CN"/>
        </w:rPr>
        <w:t>9</w:t>
      </w:r>
      <w:r>
        <w:rPr>
          <w:rFonts w:hint="eastAsia" w:ascii="仿宋" w:hAnsi="仿宋" w:eastAsia="仿宋" w:cs="仿宋"/>
          <w:sz w:val="32"/>
          <w:szCs w:val="32"/>
        </w:rPr>
        <w:t>辆。公车运行维护费支出较预算减少</w:t>
      </w:r>
      <w:r>
        <w:rPr>
          <w:rFonts w:hint="eastAsia" w:ascii="仿宋" w:hAnsi="仿宋" w:eastAsia="仿宋" w:cs="仿宋"/>
          <w:sz w:val="32"/>
          <w:szCs w:val="32"/>
          <w:lang w:val="en-US" w:eastAsia="zh-CN"/>
        </w:rPr>
        <w:t>33.06</w:t>
      </w:r>
      <w:r>
        <w:rPr>
          <w:rFonts w:hint="eastAsia" w:ascii="仿宋" w:hAnsi="仿宋" w:eastAsia="仿宋" w:cs="仿宋"/>
          <w:sz w:val="32"/>
          <w:szCs w:val="32"/>
        </w:rPr>
        <w:t>万元，降低</w:t>
      </w:r>
      <w:r>
        <w:rPr>
          <w:rFonts w:hint="eastAsia" w:ascii="仿宋" w:hAnsi="仿宋" w:eastAsia="仿宋" w:cs="仿宋"/>
          <w:sz w:val="32"/>
          <w:szCs w:val="32"/>
          <w:lang w:val="en-US" w:eastAsia="zh-CN"/>
        </w:rPr>
        <w:t>61.22</w:t>
      </w:r>
      <w:r>
        <w:rPr>
          <w:rFonts w:hint="eastAsia" w:ascii="仿宋" w:hAnsi="仿宋" w:eastAsia="仿宋" w:cs="仿宋"/>
          <w:sz w:val="32"/>
          <w:szCs w:val="32"/>
        </w:rPr>
        <w:t>%,主要是</w:t>
      </w:r>
      <w:r>
        <w:rPr>
          <w:rFonts w:hint="eastAsia" w:ascii="仿宋" w:hAnsi="仿宋" w:eastAsia="仿宋" w:cs="仿宋"/>
          <w:sz w:val="32"/>
          <w:szCs w:val="32"/>
          <w:lang w:eastAsia="zh-CN"/>
        </w:rPr>
        <w:t>节省经费、压减开支</w:t>
      </w:r>
      <w:r>
        <w:rPr>
          <w:rFonts w:hint="eastAsia" w:ascii="仿宋" w:hAnsi="仿宋" w:eastAsia="仿宋" w:cs="仿宋"/>
          <w:sz w:val="32"/>
          <w:szCs w:val="32"/>
        </w:rPr>
        <w:t>；较</w:t>
      </w:r>
      <w:r>
        <w:rPr>
          <w:rFonts w:hint="eastAsia" w:ascii="仿宋" w:hAnsi="仿宋" w:eastAsia="仿宋" w:cs="仿宋"/>
          <w:sz w:val="32"/>
          <w:szCs w:val="32"/>
          <w:lang w:val="en-US" w:eastAsia="zh-CN"/>
        </w:rPr>
        <w:t>上</w:t>
      </w:r>
      <w:r>
        <w:rPr>
          <w:rFonts w:hint="eastAsia" w:ascii="仿宋" w:hAnsi="仿宋" w:eastAsia="仿宋" w:cs="仿宋"/>
          <w:sz w:val="32"/>
          <w:szCs w:val="32"/>
          <w:lang w:eastAsia="zh-CN"/>
        </w:rPr>
        <w:t>年</w:t>
      </w:r>
      <w:r>
        <w:rPr>
          <w:rFonts w:hint="eastAsia" w:ascii="仿宋" w:hAnsi="仿宋" w:eastAsia="仿宋" w:cs="仿宋"/>
          <w:sz w:val="32"/>
          <w:szCs w:val="32"/>
        </w:rPr>
        <w:t>减少</w:t>
      </w:r>
      <w:r>
        <w:rPr>
          <w:rFonts w:hint="eastAsia" w:ascii="仿宋" w:hAnsi="仿宋" w:eastAsia="仿宋" w:cs="仿宋"/>
          <w:sz w:val="32"/>
          <w:szCs w:val="32"/>
          <w:lang w:val="en-US" w:eastAsia="zh-CN"/>
        </w:rPr>
        <w:t>15.83</w:t>
      </w:r>
      <w:r>
        <w:rPr>
          <w:rFonts w:hint="eastAsia" w:ascii="仿宋" w:hAnsi="仿宋" w:eastAsia="仿宋" w:cs="仿宋"/>
          <w:sz w:val="32"/>
          <w:szCs w:val="32"/>
        </w:rPr>
        <w:t>万元，降低</w:t>
      </w:r>
      <w:r>
        <w:rPr>
          <w:rFonts w:hint="eastAsia" w:ascii="仿宋" w:hAnsi="仿宋" w:eastAsia="仿宋" w:cs="仿宋"/>
          <w:sz w:val="32"/>
          <w:szCs w:val="32"/>
          <w:lang w:val="en-US" w:eastAsia="zh-CN"/>
        </w:rPr>
        <w:t>43.05</w:t>
      </w:r>
      <w:r>
        <w:rPr>
          <w:rFonts w:hint="eastAsia" w:ascii="仿宋" w:hAnsi="仿宋" w:eastAsia="仿宋" w:cs="仿宋"/>
          <w:sz w:val="32"/>
          <w:szCs w:val="32"/>
        </w:rPr>
        <w:t>%，主要是</w:t>
      </w:r>
      <w:r>
        <w:rPr>
          <w:rFonts w:hint="eastAsia" w:ascii="仿宋" w:hAnsi="仿宋" w:eastAsia="仿宋" w:cs="仿宋"/>
          <w:sz w:val="32"/>
          <w:szCs w:val="32"/>
          <w:lang w:eastAsia="zh-CN"/>
        </w:rPr>
        <w:t>压减开支、车辆运行维护费支出较少</w:t>
      </w:r>
      <w:r>
        <w:rPr>
          <w:rFonts w:hint="eastAsia" w:ascii="仿宋" w:hAnsi="仿宋" w:eastAsia="仿宋" w:cs="仿宋"/>
          <w:sz w:val="32"/>
          <w:szCs w:val="32"/>
        </w:rPr>
        <w:t>。</w:t>
      </w:r>
    </w:p>
    <w:p w14:paraId="4F4CBC13">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（三）公务接待费支出</w:t>
      </w:r>
      <w:r>
        <w:rPr>
          <w:rFonts w:hint="eastAsia" w:ascii="仿宋" w:hAnsi="仿宋" w:eastAsia="仿宋" w:cs="仿宋"/>
          <w:b/>
          <w:bCs/>
          <w:sz w:val="32"/>
          <w:szCs w:val="32"/>
          <w:lang w:val="en-US" w:eastAsia="zh-CN"/>
        </w:rPr>
        <w:t>0.11</w:t>
      </w:r>
      <w:r>
        <w:rPr>
          <w:rFonts w:hint="eastAsia" w:ascii="仿宋" w:hAnsi="仿宋" w:eastAsia="仿宋" w:cs="仿宋"/>
          <w:b/>
          <w:bCs/>
          <w:sz w:val="32"/>
          <w:szCs w:val="32"/>
        </w:rPr>
        <w:t>万元。</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度公务接待共</w:t>
      </w:r>
      <w:r>
        <w:rPr>
          <w:rFonts w:hint="eastAsia" w:ascii="仿宋" w:hAnsi="仿宋" w:eastAsia="仿宋" w:cs="仿宋"/>
          <w:sz w:val="32"/>
          <w:szCs w:val="32"/>
          <w:lang w:val="en-US" w:eastAsia="zh-CN"/>
        </w:rPr>
        <w:t>1</w:t>
      </w:r>
      <w:r>
        <w:rPr>
          <w:rFonts w:hint="eastAsia" w:ascii="仿宋" w:hAnsi="仿宋" w:eastAsia="仿宋" w:cs="仿宋"/>
          <w:sz w:val="32"/>
          <w:szCs w:val="32"/>
        </w:rPr>
        <w:t>批次、</w:t>
      </w:r>
      <w:r>
        <w:rPr>
          <w:rFonts w:hint="eastAsia" w:ascii="仿宋" w:hAnsi="仿宋" w:eastAsia="仿宋" w:cs="仿宋"/>
          <w:sz w:val="32"/>
          <w:szCs w:val="32"/>
          <w:lang w:val="en-US" w:eastAsia="zh-CN"/>
        </w:rPr>
        <w:t>11</w:t>
      </w:r>
      <w:r>
        <w:rPr>
          <w:rFonts w:hint="eastAsia" w:ascii="仿宋" w:hAnsi="仿宋" w:eastAsia="仿宋" w:cs="仿宋"/>
          <w:sz w:val="32"/>
          <w:szCs w:val="32"/>
        </w:rPr>
        <w:t>人次。公务接待费支出较预算减少</w:t>
      </w:r>
      <w:r>
        <w:rPr>
          <w:rFonts w:hint="eastAsia" w:ascii="仿宋" w:hAnsi="仿宋" w:eastAsia="仿宋" w:cs="仿宋"/>
          <w:sz w:val="32"/>
          <w:szCs w:val="32"/>
          <w:lang w:val="en-US" w:eastAsia="zh-CN"/>
        </w:rPr>
        <w:t>2.39</w:t>
      </w:r>
      <w:r>
        <w:rPr>
          <w:rFonts w:hint="eastAsia" w:ascii="仿宋" w:hAnsi="仿宋" w:eastAsia="仿宋" w:cs="仿宋"/>
          <w:sz w:val="32"/>
          <w:szCs w:val="32"/>
        </w:rPr>
        <w:t>万元，降低</w:t>
      </w:r>
      <w:r>
        <w:rPr>
          <w:rFonts w:hint="eastAsia" w:ascii="仿宋" w:hAnsi="仿宋" w:eastAsia="仿宋" w:cs="仿宋"/>
          <w:sz w:val="32"/>
          <w:szCs w:val="32"/>
          <w:lang w:val="en-US" w:eastAsia="zh-CN"/>
        </w:rPr>
        <w:t>95.6</w:t>
      </w:r>
      <w:r>
        <w:rPr>
          <w:rFonts w:hint="eastAsia" w:ascii="仿宋" w:hAnsi="仿宋" w:eastAsia="仿宋" w:cs="仿宋"/>
          <w:sz w:val="32"/>
          <w:szCs w:val="32"/>
        </w:rPr>
        <w:t>%,主要是</w:t>
      </w:r>
      <w:r>
        <w:rPr>
          <w:rFonts w:hint="eastAsia" w:ascii="仿宋" w:hAnsi="仿宋" w:eastAsia="仿宋" w:cs="仿宋"/>
          <w:sz w:val="32"/>
          <w:szCs w:val="32"/>
          <w:lang w:eastAsia="zh-CN"/>
        </w:rPr>
        <w:t>压减公务接待相关开支</w:t>
      </w:r>
      <w:r>
        <w:rPr>
          <w:rFonts w:hint="eastAsia" w:ascii="仿宋" w:hAnsi="仿宋" w:eastAsia="仿宋" w:cs="仿宋"/>
          <w:sz w:val="32"/>
          <w:szCs w:val="32"/>
        </w:rPr>
        <w:t>；较</w:t>
      </w:r>
      <w:r>
        <w:rPr>
          <w:rFonts w:hint="eastAsia" w:ascii="仿宋" w:hAnsi="仿宋" w:eastAsia="仿宋" w:cs="仿宋"/>
          <w:sz w:val="32"/>
          <w:szCs w:val="32"/>
          <w:lang w:val="en-US" w:eastAsia="zh-CN"/>
        </w:rPr>
        <w:t>上</w:t>
      </w:r>
      <w:r>
        <w:rPr>
          <w:rFonts w:hint="eastAsia" w:ascii="仿宋" w:hAnsi="仿宋" w:eastAsia="仿宋" w:cs="仿宋"/>
          <w:sz w:val="32"/>
          <w:szCs w:val="32"/>
          <w:lang w:eastAsia="zh-CN"/>
        </w:rPr>
        <w:t>年</w:t>
      </w:r>
      <w:r>
        <w:rPr>
          <w:rFonts w:hint="eastAsia" w:ascii="仿宋" w:hAnsi="仿宋" w:eastAsia="仿宋" w:cs="仿宋"/>
          <w:sz w:val="32"/>
          <w:szCs w:val="32"/>
        </w:rPr>
        <w:t>度</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0.11</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2018年度未发生公务接待费用</w:t>
      </w:r>
      <w:r>
        <w:rPr>
          <w:rFonts w:hint="eastAsia" w:ascii="仿宋" w:hAnsi="仿宋" w:eastAsia="仿宋" w:cs="仿宋"/>
          <w:sz w:val="32"/>
          <w:szCs w:val="32"/>
        </w:rPr>
        <w:t>。</w:t>
      </w:r>
    </w:p>
    <w:p w14:paraId="23B9DC9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 w:hAnsi="仿宋" w:eastAsia="仿宋" w:cs="仿宋"/>
          <w:b w:val="0"/>
          <w:bCs w:val="0"/>
          <w:sz w:val="32"/>
          <w:szCs w:val="40"/>
        </w:rPr>
      </w:pPr>
      <w:r>
        <w:rPr>
          <w:rFonts w:hint="eastAsia" w:ascii="黑体" w:hAnsi="黑体" w:eastAsia="黑体" w:cs="黑体"/>
          <w:b w:val="0"/>
          <w:bCs w:val="0"/>
          <w:sz w:val="32"/>
          <w:szCs w:val="40"/>
        </w:rPr>
        <w:t>六、预算绩效情况说明</w:t>
      </w:r>
    </w:p>
    <w:p w14:paraId="21212FC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 预算绩效管理工作开展情况。</w:t>
      </w:r>
    </w:p>
    <w:p w14:paraId="61FBA1E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今年以来，在区委、区政府的正确领导下，行政审批局围绕全区中心工作，持续深化改革，全面提效提速，各项工作稳步推进。截至目前，行政审批局累计办结46370件，办结率100%。新增市场主体8099户，较去年同期增长8.5%。</w:t>
      </w:r>
    </w:p>
    <w:p w14:paraId="356B8F1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 部门决算中项目绩效自评结果。</w:t>
      </w:r>
    </w:p>
    <w:p w14:paraId="62B15D38">
      <w:pPr>
        <w:spacing w:line="57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（一）统筹推进优化营商环境。</w:t>
      </w:r>
      <w:r>
        <w:rPr>
          <w:rFonts w:hint="eastAsia" w:ascii="仿宋" w:hAnsi="仿宋" w:eastAsia="仿宋" w:cs="仿宋"/>
          <w:sz w:val="32"/>
          <w:szCs w:val="32"/>
        </w:rPr>
        <w:t>围绕“四最”唐山营商环境品牌示范区、样板区建设，以政务环境、市场环境、法制环境为重点，持续推进优化营商环境工作。</w:t>
      </w:r>
      <w:r>
        <w:rPr>
          <w:rFonts w:hint="eastAsia" w:ascii="仿宋" w:hAnsi="仿宋" w:eastAsia="仿宋" w:cs="仿宋"/>
          <w:b/>
          <w:sz w:val="32"/>
          <w:szCs w:val="32"/>
        </w:rPr>
        <w:t>一是完善组织机构。</w:t>
      </w:r>
      <w:r>
        <w:rPr>
          <w:rFonts w:hint="eastAsia" w:ascii="仿宋" w:hAnsi="仿宋" w:eastAsia="仿宋" w:cs="仿宋"/>
          <w:sz w:val="32"/>
          <w:szCs w:val="32"/>
        </w:rPr>
        <w:t>结合机构改革，调整了曹妃甸区优化营商环境工作领导小组和办公室组成，顺畅推进工作开展。</w:t>
      </w:r>
      <w:r>
        <w:rPr>
          <w:rFonts w:hint="eastAsia" w:ascii="仿宋" w:hAnsi="仿宋" w:eastAsia="仿宋" w:cs="仿宋"/>
          <w:b/>
          <w:sz w:val="32"/>
          <w:szCs w:val="32"/>
        </w:rPr>
        <w:t>二是明确目标任务。</w:t>
      </w:r>
      <w:r>
        <w:rPr>
          <w:rFonts w:hint="eastAsia" w:ascii="仿宋" w:hAnsi="仿宋" w:eastAsia="仿宋" w:cs="仿宋"/>
          <w:sz w:val="32"/>
          <w:szCs w:val="32"/>
        </w:rPr>
        <w:t>制定下发了优化营商环境工作方案，列出了重点任务、责任单位、完成时限，分别落实到具体责任人，形成责任清晰、各负其责、齐抓共管的局面。</w:t>
      </w:r>
      <w:r>
        <w:rPr>
          <w:rFonts w:hint="eastAsia" w:ascii="仿宋" w:hAnsi="仿宋" w:eastAsia="仿宋" w:cs="仿宋"/>
          <w:b/>
          <w:sz w:val="32"/>
          <w:szCs w:val="32"/>
        </w:rPr>
        <w:t>三是强化调度推进。</w:t>
      </w:r>
      <w:r>
        <w:rPr>
          <w:rFonts w:hint="eastAsia" w:ascii="仿宋" w:hAnsi="仿宋" w:eastAsia="仿宋" w:cs="仿宋"/>
          <w:sz w:val="32"/>
          <w:szCs w:val="32"/>
        </w:rPr>
        <w:t>定期会议调度推进，督导各部门各单位按照要求，推进工作落实。区委巡察办就优化营商环境工作开展了专项巡查，通过常态监督、专项评价、明察暗访和第三方监督等方式，深挖破坏市场营商环境问题线索，倒逼责任落实。上半年全市排名第二。前11个月，有6个月全市排名第一。到年底，力争实现全市第一的目标。</w:t>
      </w:r>
    </w:p>
    <w:p w14:paraId="70C9D66B">
      <w:pPr>
        <w:spacing w:line="57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（二）深化审批制度改革。</w:t>
      </w:r>
      <w:r>
        <w:rPr>
          <w:rFonts w:hint="eastAsia" w:ascii="仿宋" w:hAnsi="仿宋" w:eastAsia="仿宋" w:cs="仿宋"/>
          <w:sz w:val="32"/>
          <w:szCs w:val="32"/>
        </w:rPr>
        <w:t>围绕政务服务提速提效，全力深化审批制度改革。</w:t>
      </w:r>
      <w:r>
        <w:rPr>
          <w:rFonts w:hint="eastAsia" w:ascii="仿宋" w:hAnsi="仿宋" w:eastAsia="仿宋" w:cs="仿宋"/>
          <w:b/>
          <w:sz w:val="32"/>
          <w:szCs w:val="32"/>
        </w:rPr>
        <w:t>一是压缩企业开办时间。</w:t>
      </w:r>
      <w:r>
        <w:rPr>
          <w:rFonts w:hint="eastAsia" w:ascii="仿宋" w:hAnsi="仿宋" w:eastAsia="仿宋" w:cs="仿宋"/>
          <w:sz w:val="32"/>
          <w:szCs w:val="32"/>
        </w:rPr>
        <w:t>压缩企业开办时间，建立企业开办常态化专区，行政审批、市场监管、公安、税务等部门集中办公、信息共享，打通主体注册、公章刻制、领取发票等环节，一次申请，两个工作日完成企业开办(营业执照需要1天，公章刻制0.5天，申领发票0.5天)。继续深化“政银合作”，发挥银行网点便利，推进“银行办照”。</w:t>
      </w:r>
      <w:r>
        <w:rPr>
          <w:rFonts w:hint="eastAsia" w:ascii="仿宋" w:hAnsi="仿宋" w:eastAsia="仿宋" w:cs="仿宋"/>
          <w:b/>
          <w:sz w:val="32"/>
          <w:szCs w:val="32"/>
        </w:rPr>
        <w:t>二是深化工程建设项目审批制度改革</w:t>
      </w:r>
      <w:r>
        <w:rPr>
          <w:rFonts w:hint="eastAsia" w:ascii="仿宋" w:hAnsi="仿宋" w:eastAsia="仿宋" w:cs="仿宋"/>
          <w:sz w:val="32"/>
          <w:szCs w:val="32"/>
        </w:rPr>
        <w:t>。设立工程建设项目审批专区，围绕立项用地、工程规划、施工许可、竣工验收四个阶段，按照“四个一”（一个窗口服务、一个系统管理、一张表单申请、一套机制运行）的要求，整合资源、并联审批、优化流程、精简要件，把工程项目建设全流程手续办理压缩到50个工作日。</w:t>
      </w:r>
      <w:r>
        <w:rPr>
          <w:rFonts w:hint="eastAsia" w:ascii="仿宋" w:hAnsi="仿宋" w:eastAsia="仿宋" w:cs="仿宋"/>
          <w:b/>
          <w:sz w:val="32"/>
          <w:szCs w:val="32"/>
        </w:rPr>
        <w:t>三是推进“无差别受理”。</w:t>
      </w:r>
      <w:r>
        <w:rPr>
          <w:rFonts w:hint="eastAsia" w:ascii="仿宋" w:hAnsi="仿宋" w:eastAsia="仿宋" w:cs="仿宋"/>
          <w:sz w:val="32"/>
          <w:szCs w:val="32"/>
        </w:rPr>
        <w:t xml:space="preserve"> 以行政审批局为试点，推进行政审批制度和行政审批局的“二次改革”，调整理顺审批局内部机构，9月1日起全面铺开窗口的“无差别受理”，以人工传递形式，初步实现了“前台综合受理、后台分类审批、统一窗口出证”，正在加快推进与农行合作的“无差别受理”系统建设，计划年底前全部支撑，同步开展全员轮岗培训，打造全能型受理、审批人才。</w:t>
      </w:r>
    </w:p>
    <w:p w14:paraId="4B7E0305">
      <w:pPr>
        <w:spacing w:line="57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（三）持续提升服务水平。</w:t>
      </w:r>
      <w:r>
        <w:rPr>
          <w:rFonts w:hint="eastAsia" w:ascii="仿宋" w:hAnsi="仿宋" w:eastAsia="仿宋" w:cs="仿宋"/>
          <w:sz w:val="32"/>
          <w:szCs w:val="32"/>
        </w:rPr>
        <w:t>围绕便民高效的目标，</w:t>
      </w:r>
      <w:r>
        <w:rPr>
          <w:rFonts w:hint="eastAsia" w:ascii="仿宋" w:hAnsi="仿宋" w:eastAsia="仿宋" w:cs="仿宋"/>
          <w:b/>
          <w:sz w:val="32"/>
          <w:szCs w:val="32"/>
        </w:rPr>
        <w:t>一是梳理审批事项。</w:t>
      </w:r>
      <w:r>
        <w:rPr>
          <w:rFonts w:hint="eastAsia" w:ascii="仿宋" w:hAnsi="仿宋" w:eastAsia="仿宋" w:cs="仿宋"/>
          <w:sz w:val="32"/>
          <w:szCs w:val="32"/>
        </w:rPr>
        <w:t>落实国家和省、市部署，衔接取消下放审批权限，及时调整完善、承接到位。按照“三级四同”的要求，梳理认领区级政务服务事项430项、监管事项443项，检查事项407项，制定和公布了“马上办、网上办、就近办、一次办”事项清单，全部纳入平台实施。</w:t>
      </w:r>
      <w:r>
        <w:rPr>
          <w:rFonts w:hint="eastAsia" w:ascii="仿宋" w:hAnsi="仿宋" w:eastAsia="仿宋" w:cs="仿宋"/>
          <w:b/>
          <w:sz w:val="32"/>
          <w:szCs w:val="32"/>
        </w:rPr>
        <w:t>二是推进“互联网+政务服务”。</w:t>
      </w:r>
      <w:r>
        <w:rPr>
          <w:rFonts w:hint="eastAsia" w:ascii="仿宋" w:hAnsi="仿宋" w:eastAsia="仿宋" w:cs="仿宋"/>
          <w:sz w:val="32"/>
          <w:szCs w:val="32"/>
        </w:rPr>
        <w:t>全区共309项政务服务事项，已经全部纳入河北政务服务网并实现全流程网上办理。按河北政务网办事流程已经实现网上政务服务统一实名身份认证，并依据事项要件内容实现让企业和群众网上办事“一次认证、全省漫游”。添置自助办理设备，在全市率先实现“自助办照”。</w:t>
      </w:r>
      <w:r>
        <w:rPr>
          <w:rFonts w:hint="eastAsia" w:ascii="仿宋" w:hAnsi="仿宋" w:eastAsia="仿宋" w:cs="仿宋"/>
          <w:b/>
          <w:sz w:val="32"/>
          <w:szCs w:val="32"/>
        </w:rPr>
        <w:t>三是推进“一门办理”。</w:t>
      </w:r>
      <w:r>
        <w:rPr>
          <w:rFonts w:hint="eastAsia" w:ascii="仿宋" w:hAnsi="仿宋" w:eastAsia="仿宋" w:cs="仿宋"/>
          <w:sz w:val="32"/>
          <w:szCs w:val="32"/>
        </w:rPr>
        <w:t>以临港政务服务中心为重点，调整中心窗口布局，优化政务中心环境，深化“两集中、两到位”，推进住建、自规、税务等部门和水电热讯公用企业进驻政务服务中心“一门办理”，打造高标准、多功能、一站式的服务综合体。全力推进曹妃甸区农村综合服务站建设，全区13个场镇共计99个村队的农村综合服务站已经全部建设完成，累计投入资金997.8万元。</w:t>
      </w:r>
      <w:r>
        <w:rPr>
          <w:rFonts w:hint="eastAsia" w:ascii="仿宋" w:hAnsi="仿宋" w:eastAsia="仿宋" w:cs="仿宋"/>
          <w:b/>
          <w:sz w:val="32"/>
          <w:szCs w:val="32"/>
        </w:rPr>
        <w:t>四是下沉服务项目建设。</w:t>
      </w:r>
      <w:r>
        <w:rPr>
          <w:rFonts w:hint="eastAsia" w:ascii="仿宋" w:hAnsi="仿宋" w:eastAsia="仿宋" w:cs="仿宋"/>
          <w:sz w:val="32"/>
          <w:szCs w:val="32"/>
        </w:rPr>
        <w:t>2019年4月以来，共通过9次初审会、14次函询对全区122个项目进行了初审把关和提示指导，从源头指导项目手续办理。倡导“店小二”精神，践行“一线工作法”，变坐等上门为主动敲门，成立项目专班，结合“不忘初心、牢记使命”主题教育，大范围深入到园区、场镇和企业一线，深度对接项目建设需求，指导服务手续办理，用零距离、心贴心的优质服务，确保项目早日开工、顺利达产、快速见效。</w:t>
      </w:r>
    </w:p>
    <w:p w14:paraId="0A0210E6">
      <w:pPr>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（四）牵头开展社会信用体系建设工作。</w:t>
      </w:r>
    </w:p>
    <w:p w14:paraId="55BEAFEC">
      <w:pPr>
        <w:tabs>
          <w:tab w:val="left" w:pos="1701"/>
        </w:tabs>
        <w:spacing w:line="57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一是健全组织机构。</w:t>
      </w:r>
      <w:r>
        <w:rPr>
          <w:rFonts w:hint="eastAsia" w:ascii="仿宋" w:hAnsi="仿宋" w:eastAsia="仿宋" w:cs="仿宋"/>
          <w:sz w:val="32"/>
          <w:szCs w:val="32"/>
        </w:rPr>
        <w:t>成立了由区委常委、区政府常务副区长任组长，其他有关领导为副组长的专项领导小组，下设专门办公室，具体负责工作推进。</w:t>
      </w:r>
      <w:r>
        <w:rPr>
          <w:rFonts w:hint="eastAsia" w:ascii="仿宋" w:hAnsi="仿宋" w:eastAsia="仿宋" w:cs="仿宋"/>
          <w:b/>
          <w:sz w:val="32"/>
          <w:szCs w:val="32"/>
        </w:rPr>
        <w:t>二是加强制度建设。</w:t>
      </w:r>
      <w:r>
        <w:rPr>
          <w:rFonts w:hint="eastAsia" w:ascii="仿宋" w:hAnsi="仿宋" w:eastAsia="仿宋" w:cs="仿宋"/>
          <w:sz w:val="32"/>
          <w:szCs w:val="32"/>
        </w:rPr>
        <w:t>制订下发了《唐山市曹妃甸区2019年加快社会信用体系建设工作方案》</w:t>
      </w:r>
      <w:bookmarkStart w:id="0" w:name="bookmark5"/>
      <w:r>
        <w:rPr>
          <w:rFonts w:hint="eastAsia" w:ascii="仿宋" w:hAnsi="仿宋" w:eastAsia="仿宋" w:cs="仿宋"/>
          <w:sz w:val="32"/>
          <w:szCs w:val="32"/>
        </w:rPr>
        <w:t>、《中国（河北）自由贸易试验区曹妃甸片区社会信用体系建设工作</w:t>
      </w:r>
      <w:bookmarkEnd w:id="0"/>
      <w:r>
        <w:rPr>
          <w:rFonts w:hint="eastAsia" w:ascii="仿宋" w:hAnsi="仿宋" w:eastAsia="仿宋" w:cs="仿宋"/>
          <w:sz w:val="32"/>
          <w:szCs w:val="32"/>
        </w:rPr>
        <w:t>实施方案》，印发了《建立以信用为核心的市场监管体系》和《推进信用评价应用和信用分类监管，建立企业信用承诺制度、守信联合激励制度》等政策说明，对工作进行全面部署。</w:t>
      </w:r>
      <w:r>
        <w:rPr>
          <w:rFonts w:hint="eastAsia" w:ascii="仿宋" w:hAnsi="仿宋" w:eastAsia="仿宋" w:cs="仿宋"/>
          <w:b/>
          <w:sz w:val="32"/>
          <w:szCs w:val="32"/>
        </w:rPr>
        <w:t>三是开展信用信息数据归集工作。</w:t>
      </w:r>
      <w:r>
        <w:rPr>
          <w:rFonts w:hint="eastAsia" w:ascii="仿宋" w:hAnsi="仿宋" w:eastAsia="仿宋" w:cs="仿宋"/>
          <w:sz w:val="32"/>
          <w:szCs w:val="32"/>
        </w:rPr>
        <w:t>梳理曹妃甸区权力清单，上报至省信用办，获得信用信息资源目录，开展信用信息归集工作，截止11月15日，全区23个成员单位，共归集信息信用数据281393条，目前信息归集工作还在进行当中。</w:t>
      </w:r>
      <w:r>
        <w:rPr>
          <w:rFonts w:hint="eastAsia" w:ascii="仿宋" w:hAnsi="仿宋" w:eastAsia="仿宋" w:cs="仿宋"/>
          <w:b/>
          <w:sz w:val="32"/>
          <w:szCs w:val="32"/>
        </w:rPr>
        <w:t>四是推进联合奖惩。</w:t>
      </w:r>
      <w:r>
        <w:rPr>
          <w:rFonts w:hint="eastAsia" w:ascii="仿宋" w:hAnsi="仿宋" w:eastAsia="仿宋" w:cs="仿宋"/>
          <w:sz w:val="32"/>
          <w:szCs w:val="32"/>
        </w:rPr>
        <w:t>印发《唐山市曹妃甸区建立完善守信联合激励和失信联合惩戒制度的实施方案（征求意见稿）》，转发市法院《关于加强对失信被执行人联合惩戒的实施意见》，要求各部门结合工作职能制定相关实施细则，切实加强各级各部门信用数据的交换共享，将联合奖惩相关内容嵌入到部门、行业的行政业务管理系统中，在失信被执行人领域全面开展联合惩戒工作。</w:t>
      </w:r>
    </w:p>
    <w:p w14:paraId="4A188BAA">
      <w:pPr>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（五）高站位做好自贸区工作。一是</w:t>
      </w:r>
      <w:r>
        <w:rPr>
          <w:rFonts w:hint="eastAsia" w:ascii="仿宋" w:hAnsi="仿宋" w:eastAsia="仿宋" w:cs="仿宋"/>
          <w:sz w:val="32"/>
          <w:szCs w:val="32"/>
        </w:rPr>
        <w:t>成立自贸区工作专班，完成了自贸区“43个复制推广案例”、“制度创新清单”、“自贸区159项复制推广政策”及实施方案等我局牵头或相关任务进行认领并进行责任人分工。</w:t>
      </w:r>
      <w:r>
        <w:rPr>
          <w:rFonts w:hint="eastAsia" w:ascii="仿宋" w:hAnsi="仿宋" w:eastAsia="仿宋" w:cs="仿宋"/>
          <w:b/>
          <w:sz w:val="32"/>
          <w:szCs w:val="32"/>
        </w:rPr>
        <w:t>二是</w:t>
      </w:r>
      <w:r>
        <w:rPr>
          <w:rFonts w:hint="eastAsia" w:ascii="仿宋" w:hAnsi="仿宋" w:eastAsia="仿宋" w:cs="仿宋"/>
          <w:sz w:val="32"/>
          <w:szCs w:val="32"/>
        </w:rPr>
        <w:t>坚持制度创新，推进工程建设项目审批制度“函证结合”“容缺后补”、“先建后验”等新模式改革，实施方案（试行》已印发。复制推广了全面落实外商投资准入前国民待遇加负面清单管理制度、对京津冀现有企业整体搬迁来曹妃甸实行“落地签”、完善省级部门推广的社会信用信息平台建设等制度创新。</w:t>
      </w:r>
    </w:p>
    <w:p w14:paraId="50B68548">
      <w:pPr>
        <w:spacing w:line="57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（六）深入开展“不忘初心、牢记使命”主题教育。</w:t>
      </w:r>
    </w:p>
    <w:p w14:paraId="7B3EB68B">
      <w:pPr>
        <w:spacing w:line="570" w:lineRule="exact"/>
        <w:ind w:firstLine="643" w:firstLineChars="200"/>
        <w:rPr>
          <w:rFonts w:hint="eastAsia" w:ascii="仿宋" w:hAnsi="仿宋" w:eastAsia="仿宋" w:cs="仿宋"/>
          <w:color w:val="191919"/>
          <w:sz w:val="32"/>
          <w:szCs w:val="32"/>
        </w:rPr>
      </w:pPr>
      <w:r>
        <w:rPr>
          <w:rFonts w:hint="eastAsia" w:ascii="仿宋" w:hAnsi="仿宋" w:eastAsia="仿宋" w:cs="仿宋"/>
          <w:b/>
          <w:sz w:val="32"/>
          <w:szCs w:val="32"/>
        </w:rPr>
        <w:t>一是聚焦主线开展学习。</w:t>
      </w:r>
      <w:r>
        <w:rPr>
          <w:rFonts w:hint="eastAsia" w:ascii="仿宋" w:hAnsi="仿宋" w:eastAsia="仿宋" w:cs="仿宋"/>
          <w:color w:val="191919"/>
          <w:sz w:val="32"/>
          <w:szCs w:val="32"/>
        </w:rPr>
        <w:t>坚持把学习教育贯穿始终，党组理论中心组及各支部共组织集中学习20余次，开展集中研讨10余次，并不断丰富学习形式，通过印制口袋书、印发主题教育应知应会知识、举行知识问答、开展班子成员讲党课、观看警示教育片、开展主题党日活动等多种形式不断推动学习教育往深里走、往心里走、往实里走。</w:t>
      </w:r>
      <w:r>
        <w:rPr>
          <w:rFonts w:hint="eastAsia" w:ascii="仿宋" w:hAnsi="仿宋" w:eastAsia="仿宋" w:cs="仿宋"/>
          <w:b/>
          <w:sz w:val="32"/>
          <w:szCs w:val="32"/>
        </w:rPr>
        <w:t>二是结合实际开展调研。</w:t>
      </w:r>
      <w:r>
        <w:rPr>
          <w:rFonts w:hint="eastAsia" w:ascii="仿宋" w:hAnsi="仿宋" w:eastAsia="仿宋" w:cs="仿宋"/>
          <w:color w:val="191919"/>
          <w:sz w:val="32"/>
          <w:szCs w:val="32"/>
        </w:rPr>
        <w:t>局领导班子切实本着解决实际问题的宗旨，进行了细致调研，截至目前，班子成员共计开展调研8次，形成调研报告5篇，召开调研成果交流会1次，提出对策措施20余条，能解决的问题马上就办，暂时不能解决的提出了解决措施和建议。</w:t>
      </w:r>
      <w:r>
        <w:rPr>
          <w:rFonts w:hint="eastAsia" w:ascii="仿宋" w:hAnsi="仿宋" w:eastAsia="仿宋" w:cs="仿宋"/>
          <w:b/>
          <w:sz w:val="32"/>
          <w:szCs w:val="32"/>
        </w:rPr>
        <w:t>三是刀刃向内检视问题。</w:t>
      </w:r>
      <w:r>
        <w:rPr>
          <w:rFonts w:hint="eastAsia" w:ascii="仿宋" w:hAnsi="仿宋" w:eastAsia="仿宋" w:cs="仿宋"/>
          <w:color w:val="191919"/>
          <w:sz w:val="32"/>
          <w:szCs w:val="32"/>
        </w:rPr>
        <w:t>按照 “六个对照”、“五个找一找”、“十八个是否”等要求进行查摆检视，结合征求意见情况，截至目前，领导班子及班子成员共查摆出问题42条，已整改20条。</w:t>
      </w:r>
      <w:r>
        <w:rPr>
          <w:rFonts w:hint="eastAsia" w:ascii="仿宋" w:hAnsi="仿宋" w:eastAsia="仿宋" w:cs="仿宋"/>
          <w:b/>
          <w:sz w:val="32"/>
          <w:szCs w:val="32"/>
        </w:rPr>
        <w:t>四是自选动作有声有色。</w:t>
      </w:r>
      <w:r>
        <w:rPr>
          <w:rFonts w:hint="eastAsia" w:ascii="仿宋" w:hAnsi="仿宋" w:eastAsia="仿宋" w:cs="仿宋"/>
          <w:color w:val="191919"/>
          <w:sz w:val="32"/>
          <w:szCs w:val="32"/>
        </w:rPr>
        <w:t>在全局范围内开展“假如我是一名办事群众”换位思考大讨论活动，以支部为主体开展了交流研讨5次，收集研讨材料80余篇，组织了主题征文比赛，征集稿件60余篇，正在谋划主题演讲比赛和“我对办事群众的一句承诺”活动，本次大讨论活动旨在通过换位思考，真正做到站稳群众立场，牢固树立千方百计让群众满意工作理念。</w:t>
      </w:r>
    </w:p>
    <w:p w14:paraId="6D41873E">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519" w:leftChars="0" w:right="0" w:rightChars="0" w:firstLine="321" w:firstLineChars="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评价结果</w:t>
      </w:r>
    </w:p>
    <w:p w14:paraId="69F347BE">
      <w:pPr>
        <w:spacing w:line="570" w:lineRule="exact"/>
        <w:ind w:firstLine="640" w:firstLineChars="200"/>
        <w:rPr>
          <w:rFonts w:hint="eastAsia" w:ascii="仿宋" w:hAnsi="仿宋" w:eastAsia="仿宋" w:cs="仿宋"/>
          <w:color w:val="191919"/>
          <w:sz w:val="32"/>
          <w:szCs w:val="32"/>
        </w:rPr>
      </w:pPr>
      <w:r>
        <w:rPr>
          <w:rFonts w:hint="eastAsia" w:ascii="Times New Roman" w:hAnsi="Times New Roman" w:eastAsia="方正仿宋简体"/>
          <w:color w:val="191919"/>
          <w:sz w:val="32"/>
          <w:szCs w:val="32"/>
          <w:lang w:val="en-US" w:eastAsia="zh-CN"/>
        </w:rPr>
        <w:t>比较好的完成绩效目标，履行了本单位应有的职责。</w:t>
      </w:r>
    </w:p>
    <w:p w14:paraId="6C74738D">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七、其他重要事项的说明</w:t>
      </w:r>
    </w:p>
    <w:p w14:paraId="043EDFE4">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（一）机关运行经费情况</w:t>
      </w:r>
    </w:p>
    <w:p w14:paraId="08243BBA">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度机关运行经费支出</w:t>
      </w:r>
      <w:r>
        <w:rPr>
          <w:rFonts w:hint="eastAsia" w:ascii="仿宋" w:hAnsi="仿宋" w:eastAsia="仿宋" w:cs="仿宋"/>
          <w:sz w:val="32"/>
          <w:szCs w:val="32"/>
          <w:lang w:val="en-US" w:eastAsia="zh-CN"/>
        </w:rPr>
        <w:t>125.95</w:t>
      </w:r>
      <w:r>
        <w:rPr>
          <w:rFonts w:hint="eastAsia" w:ascii="仿宋" w:hAnsi="仿宋" w:eastAsia="仿宋" w:cs="仿宋"/>
          <w:sz w:val="32"/>
          <w:szCs w:val="32"/>
        </w:rPr>
        <w:t>万元，比</w:t>
      </w:r>
      <w:r>
        <w:rPr>
          <w:rFonts w:hint="eastAsia" w:ascii="仿宋" w:hAnsi="仿宋" w:eastAsia="仿宋" w:cs="仿宋"/>
          <w:sz w:val="32"/>
          <w:szCs w:val="32"/>
          <w:lang w:eastAsia="zh-CN"/>
        </w:rPr>
        <w:t>2018年</w:t>
      </w:r>
      <w:r>
        <w:rPr>
          <w:rFonts w:hint="eastAsia" w:ascii="仿宋" w:hAnsi="仿宋" w:eastAsia="仿宋" w:cs="仿宋"/>
          <w:sz w:val="32"/>
          <w:szCs w:val="32"/>
        </w:rPr>
        <w:t>度减少</w:t>
      </w:r>
      <w:r>
        <w:rPr>
          <w:rFonts w:hint="eastAsia" w:ascii="仿宋" w:hAnsi="仿宋" w:eastAsia="仿宋" w:cs="仿宋"/>
          <w:sz w:val="32"/>
          <w:szCs w:val="32"/>
          <w:lang w:val="en-US" w:eastAsia="zh-CN"/>
        </w:rPr>
        <w:t>19.44</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13.37</w:t>
      </w:r>
      <w:r>
        <w:rPr>
          <w:rFonts w:hint="eastAsia" w:ascii="仿宋" w:hAnsi="仿宋" w:eastAsia="仿宋" w:cs="仿宋"/>
          <w:sz w:val="32"/>
          <w:szCs w:val="32"/>
        </w:rPr>
        <w:t>%。主要原因是</w:t>
      </w:r>
      <w:r>
        <w:rPr>
          <w:rFonts w:hint="eastAsia" w:ascii="仿宋" w:hAnsi="仿宋" w:eastAsia="仿宋" w:cs="仿宋"/>
          <w:sz w:val="32"/>
          <w:szCs w:val="32"/>
          <w:lang w:eastAsia="zh-CN"/>
        </w:rPr>
        <w:t>压减日常开销</w:t>
      </w:r>
      <w:r>
        <w:rPr>
          <w:rFonts w:hint="eastAsia" w:ascii="仿宋" w:hAnsi="仿宋" w:eastAsia="仿宋" w:cs="仿宋"/>
          <w:sz w:val="32"/>
          <w:szCs w:val="32"/>
        </w:rPr>
        <w:t>。</w:t>
      </w:r>
    </w:p>
    <w:p w14:paraId="1F004C8C">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（二）政府采购情况</w:t>
      </w:r>
    </w:p>
    <w:p w14:paraId="1AA4F0D8">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度政府采购支出总额</w:t>
      </w:r>
      <w:r>
        <w:rPr>
          <w:rFonts w:hint="eastAsia" w:ascii="仿宋" w:hAnsi="仿宋" w:eastAsia="仿宋" w:cs="仿宋"/>
          <w:sz w:val="32"/>
          <w:szCs w:val="32"/>
          <w:lang w:val="en-US" w:eastAsia="zh-CN"/>
        </w:rPr>
        <w:t>420.76</w:t>
      </w:r>
      <w:r>
        <w:rPr>
          <w:rFonts w:hint="eastAsia" w:ascii="仿宋" w:hAnsi="仿宋" w:eastAsia="仿宋" w:cs="仿宋"/>
          <w:sz w:val="32"/>
          <w:szCs w:val="32"/>
        </w:rPr>
        <w:t>万元，</w:t>
      </w:r>
      <w:r>
        <w:rPr>
          <w:rFonts w:hint="eastAsia" w:ascii="仿宋" w:hAnsi="仿宋" w:eastAsia="仿宋" w:cs="仿宋"/>
          <w:sz w:val="32"/>
          <w:szCs w:val="32"/>
          <w:lang w:val="en-US" w:eastAsia="zh-CN"/>
        </w:rPr>
        <w:t>从采购类型来看，</w:t>
      </w:r>
      <w:r>
        <w:rPr>
          <w:rFonts w:hint="eastAsia" w:ascii="仿宋" w:hAnsi="仿宋" w:eastAsia="仿宋" w:cs="仿宋"/>
          <w:color w:val="000000"/>
          <w:kern w:val="0"/>
          <w:sz w:val="32"/>
          <w:szCs w:val="32"/>
          <w:lang w:val="en-US" w:eastAsia="zh-CN" w:bidi="ar"/>
        </w:rPr>
        <w:t>政府采购货物支出293万元、政府采购工程支出127.76万元、政府采购服务支出0万元。授予中小企业合同金420.76万元，占政府采购支出总额的100%，其中授予小微企业合同金额420.76万元，占政府采购支出总额的100%。</w:t>
      </w:r>
    </w:p>
    <w:p w14:paraId="35B460BE">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（三）国有资产占用情况</w:t>
      </w:r>
    </w:p>
    <w:p w14:paraId="437A6535">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eastAsia="zh-CN"/>
        </w:rPr>
        <w:t>2019年</w:t>
      </w:r>
      <w:r>
        <w:rPr>
          <w:rFonts w:hint="eastAsia" w:ascii="仿宋" w:hAnsi="仿宋" w:eastAsia="仿宋" w:cs="仿宋"/>
          <w:sz w:val="32"/>
          <w:szCs w:val="32"/>
        </w:rPr>
        <w:t>12月31日，本部门共有车辆</w:t>
      </w:r>
      <w:r>
        <w:rPr>
          <w:rFonts w:hint="eastAsia" w:ascii="仿宋" w:hAnsi="仿宋" w:eastAsia="仿宋" w:cs="仿宋"/>
          <w:sz w:val="32"/>
          <w:szCs w:val="32"/>
          <w:lang w:val="en-US" w:eastAsia="zh-CN"/>
        </w:rPr>
        <w:t>9</w:t>
      </w:r>
      <w:r>
        <w:rPr>
          <w:rFonts w:hint="eastAsia" w:ascii="仿宋" w:hAnsi="仿宋" w:eastAsia="仿宋" w:cs="仿宋"/>
          <w:sz w:val="32"/>
          <w:szCs w:val="32"/>
        </w:rPr>
        <w:t>辆，</w:t>
      </w:r>
      <w:r>
        <w:rPr>
          <w:rFonts w:hint="eastAsia" w:ascii="仿宋" w:hAnsi="仿宋" w:eastAsia="仿宋" w:cs="仿宋"/>
          <w:sz w:val="32"/>
          <w:szCs w:val="32"/>
          <w:lang w:val="en-US" w:eastAsia="zh-CN"/>
        </w:rPr>
        <w:t>比上年持平。</w:t>
      </w:r>
      <w:r>
        <w:rPr>
          <w:rFonts w:hint="eastAsia" w:ascii="仿宋" w:hAnsi="仿宋" w:eastAsia="仿宋" w:cs="仿宋"/>
          <w:sz w:val="32"/>
          <w:szCs w:val="32"/>
        </w:rPr>
        <w:t>其中，副部（省）级及以上领导用车</w:t>
      </w:r>
      <w:r>
        <w:rPr>
          <w:rFonts w:hint="eastAsia" w:ascii="仿宋" w:hAnsi="仿宋" w:eastAsia="仿宋" w:cs="仿宋"/>
          <w:sz w:val="32"/>
          <w:szCs w:val="32"/>
          <w:lang w:val="en-US" w:eastAsia="zh-CN"/>
        </w:rPr>
        <w:t>0辆，</w:t>
      </w:r>
      <w:r>
        <w:rPr>
          <w:rFonts w:hint="eastAsia" w:ascii="仿宋" w:hAnsi="仿宋" w:eastAsia="仿宋" w:cs="仿宋"/>
          <w:sz w:val="32"/>
          <w:szCs w:val="32"/>
        </w:rPr>
        <w:t>主要领导干部用车</w:t>
      </w:r>
      <w:r>
        <w:rPr>
          <w:rFonts w:hint="eastAsia" w:ascii="仿宋" w:hAnsi="仿宋" w:eastAsia="仿宋" w:cs="仿宋"/>
          <w:sz w:val="32"/>
          <w:szCs w:val="32"/>
          <w:lang w:val="en-US" w:eastAsia="zh-CN"/>
        </w:rPr>
        <w:t>0辆，</w:t>
      </w:r>
      <w:r>
        <w:rPr>
          <w:rFonts w:hint="eastAsia" w:ascii="仿宋" w:hAnsi="仿宋" w:eastAsia="仿宋" w:cs="仿宋"/>
          <w:sz w:val="32"/>
          <w:szCs w:val="32"/>
        </w:rPr>
        <w:t>机要通信用车</w:t>
      </w:r>
      <w:r>
        <w:rPr>
          <w:rFonts w:hint="eastAsia" w:ascii="仿宋" w:hAnsi="仿宋" w:eastAsia="仿宋" w:cs="仿宋"/>
          <w:sz w:val="32"/>
          <w:szCs w:val="32"/>
          <w:lang w:val="en-US" w:eastAsia="zh-CN"/>
        </w:rPr>
        <w:t>9辆，</w:t>
      </w:r>
      <w:r>
        <w:rPr>
          <w:rFonts w:hint="eastAsia" w:ascii="仿宋" w:hAnsi="仿宋" w:eastAsia="仿宋" w:cs="仿宋"/>
          <w:sz w:val="32"/>
          <w:szCs w:val="32"/>
        </w:rPr>
        <w:t>应急保障用车</w:t>
      </w:r>
      <w:r>
        <w:rPr>
          <w:rFonts w:hint="eastAsia" w:ascii="仿宋" w:hAnsi="仿宋" w:eastAsia="仿宋" w:cs="仿宋"/>
          <w:sz w:val="32"/>
          <w:szCs w:val="32"/>
          <w:lang w:val="en-US" w:eastAsia="zh-CN"/>
        </w:rPr>
        <w:t>0辆，</w:t>
      </w:r>
      <w:r>
        <w:rPr>
          <w:rFonts w:hint="eastAsia" w:ascii="仿宋" w:hAnsi="仿宋" w:eastAsia="仿宋" w:cs="仿宋"/>
          <w:sz w:val="32"/>
          <w:szCs w:val="32"/>
        </w:rPr>
        <w:t>执法执勤用车</w:t>
      </w:r>
      <w:r>
        <w:rPr>
          <w:rFonts w:hint="eastAsia" w:ascii="仿宋" w:hAnsi="仿宋" w:eastAsia="仿宋" w:cs="仿宋"/>
          <w:sz w:val="32"/>
          <w:szCs w:val="32"/>
          <w:lang w:val="en-US" w:eastAsia="zh-CN"/>
        </w:rPr>
        <w:t>0辆，</w:t>
      </w:r>
      <w:r>
        <w:rPr>
          <w:rFonts w:hint="eastAsia" w:ascii="仿宋" w:hAnsi="仿宋" w:eastAsia="仿宋" w:cs="仿宋"/>
          <w:sz w:val="32"/>
          <w:szCs w:val="32"/>
        </w:rPr>
        <w:t>特种专业技术用车</w:t>
      </w:r>
      <w:r>
        <w:rPr>
          <w:rFonts w:hint="eastAsia" w:ascii="仿宋" w:hAnsi="仿宋" w:eastAsia="仿宋" w:cs="仿宋"/>
          <w:sz w:val="32"/>
          <w:szCs w:val="32"/>
          <w:lang w:val="en-US" w:eastAsia="zh-CN"/>
        </w:rPr>
        <w:t>0辆，</w:t>
      </w:r>
      <w:r>
        <w:rPr>
          <w:rFonts w:hint="eastAsia" w:ascii="仿宋" w:hAnsi="仿宋" w:eastAsia="仿宋" w:cs="仿宋"/>
          <w:sz w:val="32"/>
          <w:szCs w:val="32"/>
        </w:rPr>
        <w:t>离退休干部用车</w:t>
      </w:r>
      <w:r>
        <w:rPr>
          <w:rFonts w:hint="eastAsia" w:ascii="仿宋" w:hAnsi="仿宋" w:eastAsia="仿宋" w:cs="仿宋"/>
          <w:sz w:val="32"/>
          <w:szCs w:val="32"/>
          <w:lang w:val="en-US" w:eastAsia="zh-CN"/>
        </w:rPr>
        <w:t>0辆，</w:t>
      </w:r>
      <w:r>
        <w:rPr>
          <w:rFonts w:hint="eastAsia" w:ascii="仿宋" w:hAnsi="仿宋" w:eastAsia="仿宋" w:cs="仿宋"/>
          <w:sz w:val="32"/>
          <w:szCs w:val="32"/>
        </w:rPr>
        <w:t>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14:paraId="721CF039">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sz w:val="32"/>
          <w:szCs w:val="32"/>
        </w:rPr>
        <w:t>单位价值50万元以上</w:t>
      </w:r>
      <w:r>
        <w:rPr>
          <w:rFonts w:hint="eastAsia" w:ascii="仿宋" w:hAnsi="仿宋" w:eastAsia="仿宋" w:cs="仿宋"/>
          <w:sz w:val="32"/>
          <w:szCs w:val="32"/>
          <w:lang w:val="en-US" w:eastAsia="zh-CN"/>
        </w:rPr>
        <w:t>通用</w:t>
      </w:r>
      <w:r>
        <w:rPr>
          <w:rFonts w:hint="eastAsia" w:ascii="仿宋" w:hAnsi="仿宋" w:eastAsia="仿宋" w:cs="仿宋"/>
          <w:sz w:val="32"/>
          <w:szCs w:val="32"/>
        </w:rPr>
        <w:t>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val="en-US" w:eastAsia="zh-CN"/>
        </w:rPr>
        <w:t>比上年持平，</w:t>
      </w:r>
      <w:r>
        <w:rPr>
          <w:rFonts w:hint="eastAsia" w:ascii="仿宋" w:hAnsi="仿宋" w:eastAsia="仿宋" w:cs="仿宋"/>
          <w:sz w:val="32"/>
          <w:szCs w:val="32"/>
        </w:rPr>
        <w:t>单位价值100万元以上</w:t>
      </w:r>
      <w:r>
        <w:rPr>
          <w:rFonts w:hint="eastAsia" w:ascii="仿宋" w:hAnsi="仿宋" w:eastAsia="仿宋" w:cs="仿宋"/>
          <w:sz w:val="32"/>
          <w:szCs w:val="32"/>
          <w:lang w:val="en-US" w:eastAsia="zh-CN"/>
        </w:rPr>
        <w:t>专用</w:t>
      </w:r>
      <w:r>
        <w:rPr>
          <w:rFonts w:hint="eastAsia" w:ascii="仿宋" w:hAnsi="仿宋" w:eastAsia="仿宋" w:cs="仿宋"/>
          <w:sz w:val="32"/>
          <w:szCs w:val="32"/>
        </w:rPr>
        <w:t>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val="en-US" w:eastAsia="zh-CN"/>
        </w:rPr>
        <w:t>比上年持平</w:t>
      </w:r>
      <w:r>
        <w:rPr>
          <w:rFonts w:hint="eastAsia" w:ascii="仿宋" w:hAnsi="仿宋" w:eastAsia="仿宋" w:cs="仿宋"/>
          <w:sz w:val="32"/>
          <w:szCs w:val="32"/>
        </w:rPr>
        <w:t>。</w:t>
      </w:r>
    </w:p>
    <w:p w14:paraId="6C605581">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（四）其他需要说明的情况</w:t>
      </w:r>
    </w:p>
    <w:p w14:paraId="0B333260">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本部门</w:t>
      </w:r>
      <w:r>
        <w:rPr>
          <w:rFonts w:hint="eastAsia" w:ascii="仿宋" w:hAnsi="仿宋" w:eastAsia="仿宋" w:cs="仿宋"/>
          <w:sz w:val="32"/>
          <w:szCs w:val="32"/>
          <w:lang w:eastAsia="zh-CN"/>
        </w:rPr>
        <w:t>2019年</w:t>
      </w:r>
      <w:r>
        <w:rPr>
          <w:rFonts w:hint="eastAsia" w:ascii="仿宋" w:hAnsi="仿宋" w:eastAsia="仿宋" w:cs="仿宋"/>
          <w:sz w:val="32"/>
          <w:szCs w:val="32"/>
        </w:rPr>
        <w:t>度</w:t>
      </w:r>
      <w:r>
        <w:rPr>
          <w:rFonts w:hint="eastAsia" w:ascii="仿宋" w:hAnsi="仿宋" w:eastAsia="仿宋" w:cs="仿宋"/>
          <w:sz w:val="32"/>
          <w:szCs w:val="32"/>
          <w:lang w:eastAsia="zh-CN"/>
        </w:rPr>
        <w:t>政府性基金、国有资本经营</w:t>
      </w:r>
      <w:r>
        <w:rPr>
          <w:rFonts w:hint="eastAsia" w:ascii="仿宋" w:hAnsi="仿宋" w:eastAsia="仿宋" w:cs="仿宋"/>
          <w:sz w:val="32"/>
          <w:szCs w:val="32"/>
        </w:rPr>
        <w:t>无收支及结转结余情况，故政府性基金预算财政拨款</w:t>
      </w:r>
      <w:r>
        <w:rPr>
          <w:rFonts w:hint="eastAsia" w:ascii="仿宋" w:hAnsi="仿宋" w:eastAsia="仿宋" w:cs="仿宋"/>
          <w:sz w:val="32"/>
          <w:szCs w:val="32"/>
        </w:rPr>
        <mc:AlternateContent>
          <mc:Choice Requires="wpg">
            <w:drawing>
              <wp:anchor distT="0" distB="0" distL="114300" distR="114300" simplePos="0" relativeHeight="251672576" behindDoc="0" locked="1" layoutInCell="1" allowOverlap="1">
                <wp:simplePos x="0" y="0"/>
                <wp:positionH relativeFrom="column">
                  <wp:posOffset>-1027430</wp:posOffset>
                </wp:positionH>
                <wp:positionV relativeFrom="page">
                  <wp:posOffset>-1029970</wp:posOffset>
                </wp:positionV>
                <wp:extent cx="3088640" cy="523240"/>
                <wp:effectExtent l="0" t="0" r="5230495" b="33801685"/>
                <wp:wrapNone/>
                <wp:docPr id="25" name="组合 25"/>
                <wp:cNvGraphicFramePr/>
                <a:graphic xmlns:a="http://schemas.openxmlformats.org/drawingml/2006/main">
                  <a:graphicData uri="http://schemas.microsoft.com/office/word/2010/wordprocessingGroup">
                    <wpg:wgp>
                      <wpg:cNvGrpSpPr/>
                      <wpg:grpSpPr>
                        <a:xfrm>
                          <a:off x="0" y="0"/>
                          <a:ext cx="3088640" cy="523240"/>
                          <a:chOff x="0" y="0"/>
                          <a:chExt cx="3088640" cy="523240"/>
                        </a:xfrm>
                      </wpg:grpSpPr>
                      <wps:wsp>
                        <wps:cNvPr id="23" name="矩形 23"/>
                        <wps:cNvSpPr/>
                        <wps:spPr>
                          <a:xfrm>
                            <a:off x="4551" y="52615"/>
                            <a:ext cx="8546" cy="1175"/>
                          </a:xfrm>
                          <a:prstGeom prst="rect">
                            <a:avLst/>
                          </a:prstGeom>
                          <a:solidFill>
                            <a:srgbClr val="D8D8D8"/>
                          </a:solidFill>
                          <a:ln w="25400">
                            <a:noFill/>
                          </a:ln>
                        </wps:spPr>
                        <wps:bodyPr upright="1"/>
                      </wps:wsp>
                      <wps:wsp>
                        <wps:cNvPr id="24" name="矩形 24"/>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wps:spPr>
                        <wps:txbx>
                          <w:txbxContent>
                            <w:p w14:paraId="5787D42D">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7EDD6457">
                              <w:pPr>
                                <w:jc w:val="center"/>
                              </w:pPr>
                            </w:p>
                          </w:txbxContent>
                        </wps:txbx>
                        <wps:bodyPr anchor="ctr" upright="1"/>
                      </wps:wsp>
                    </wpg:wgp>
                  </a:graphicData>
                </a:graphic>
              </wp:anchor>
            </w:drawing>
          </mc:Choice>
          <mc:Fallback>
            <w:pict>
              <v:group id="_x0000_s1026" o:spid="_x0000_s1026" o:spt="203" style="position:absolute;left:0pt;margin-left:-80.9pt;margin-top:-81.1pt;height:41.2pt;width:243.2pt;mso-position-vertical-relative:page;z-index:251672576;mso-width-relative:page;mso-height-relative:page;" coordsize="3088640,523240"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sgBDazAgAA+wYAAA4AAABkcnMvZTJvRG9jLnht&#10;bL1Vy27UMBTdI/EPlvc0j3kSNVNVTNsNgkqFD/A4TmIpfsj2TGb2LFjyB0js+AbE51T8BtdOJm2n&#10;BQoINFLGj5vje885vjk+2YoGbZixXMkcJ0cxRkxSVXBZ5fjtm/Nnc4ysI7IgjZIsxztm8cni6ZPj&#10;VmcsVbVqCmYQgEibtTrHtXM6iyJLayaIPVKaSdgslRHEwdRUUWFIC+iiidI4nkatMoU2ijJrYXXZ&#10;beIe0TwGUJUlp2yp6Fow6TpUwxrioCRbc23xImRbloy612VpmUNNjqFSF55wCIxX/hktjklWGaJr&#10;TvsUyGNSOKhJEC7h0AFqSRxBa8PvQQlOjbKqdEdUiagrJDACVSTxATcXRq11qKXK2koPpINQB6z/&#10;MSx9tbk0iBc5TicYSSJA8W9f3l1/eI9gAdhpdZVB0IXRV/rS9AtVN/MFb0sj/D+UgraB193AK9s6&#10;RGFxFM/n0zFQTmFvko5SGAfiaQ3q3HuN1mc/fzHaHxv57IZkWg2OtDc02b+j6aommgX2rWdgT9No&#10;oOnj5+uvn1A66mgKQQNHNrNA1wMEjSeTBKPAwzQJDJNsz9N8Mp52JCXJLOwNlZJMG+sumBLID3Js&#10;wNrBcWTz0jpgE0L3If5YqxpenPOmCRNTrV40Bm0IXIPl3P980vDKnbBGotYbYRzHAVoqD9AFNhLi&#10;PcNdXX60UsUOWFlrw6saUkoCZq+Cd87/kGN8KMf4N+WYzXo55s97Vw5ygFH3cnQq/ws5TpdxnC5/&#10;JQeiBHptCT0OMhIa7quVVRDpjoL2ttCn57Np2olyILQ3ypLYujNEQPAJkExwx0wY1YwUZ7JAbqeh&#10;JUj4FGBvDsEKjBoGXw4/CpGO8OYxkUDeAyZy29UWYG75iUhaK2jR1Bn8Q3OFmw89MZi479++6d6e&#10;B8PefLM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cmlLK3AAAAA0BAAAPAAAAAAAAAAEAIAAA&#10;ACIAAABkcnMvZG93bnJldi54bWxQSwECFAAUAAAACACHTuJASyAENrMCAAD7BgAADgAAAAAAAAAB&#10;ACAAAAArAQAAZHJzL2Uyb0RvYy54bWxQSwUGAAAAAAYABgBZAQAAUAYAAAAA&#10;">
                <o:lock v:ext="edit" aspectratio="f"/>
                <v:rect id="_x0000_s1026" o:spid="_x0000_s1026" o:spt="1" style="position:absolute;left:4551;top:52615;height:1175;width:8546;" fillcolor="#D8D8D8" filled="t" stroked="f" coordsize="21600,21600" o:gfxdata="UEsDBAoAAAAAAIdO4kAAAAAAAAAAAAAAAAAEAAAAZHJzL1BLAwQUAAAACACHTuJAQ5L9d70AAADb&#10;AAAADwAAAGRycy9kb3ducmV2LnhtbEWPS2sCQRCE74L/YWghN51VQWTj6CEgBEFkfUCOzU5nd3Gn&#10;ZzPTPvbfZwIBj0VVfUWtNk/XqjuF2Hg2MJ1koIhLbxuuDJxP2/ESVBRki61nMtBThM16OFhhbv2D&#10;C7ofpVIJwjFHA7VIl2sdy5ocxonviJP37YNDSTJU2gZ8JLhr9SzLFtphw2mhxo4+aiqvx5szIP2W&#10;LrvrQc4nH3q7uBVf+5/CmLfRNHsHJfSUV/i//WkNzObw9yX9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kv13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BC9M7wAAADb&#10;AAAADwAAAGRycy9kb3ducmV2LnhtbEWPT4vCMBTE74LfITxhb5ooi0g1iiiCXhb8d+jt0TzbYvNS&#10;m9i6++k3Cwseh5n5DbNYvWwlWmp86VjDeKRAEGfOlJxruJx3wxkIH5ANVo5Jwzd5WC37vQUmxnV8&#10;pPYUchEh7BPUUIRQJ1L6rCCLfuRq4ujdXGMxRNnk0jTYRbit5ESpqbRYclwosKZNQdn99LQavjYp&#10;X9MztuqxfdZVOHQ/a+q0/hiM1RxEoFd4h//be6Nh8gl/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QvTO8AAAA&#10;2wAAAA8AAAAAAAAAAQAgAAAAIgAAAGRycy9kb3ducmV2LnhtbFBLAQIUABQAAAAIAIdO4kAzLwWe&#10;OwAAADkAAAAQAAAAAAAAAAEAIAAAAAsBAABkcnMvc2hhcGV4bWwueG1sUEsFBgAAAAAGAAYAWwEA&#10;ALUDAAAAAA==&#10;">
                  <v:fill on="t" focussize="0,0"/>
                  <v:stroke weight="2pt" color="#AF7621" joinstyle="miter"/>
                  <v:imagedata o:title=""/>
                  <o:lock v:ext="edit" aspectratio="f"/>
                  <v:textbox>
                    <w:txbxContent>
                      <w:p w14:paraId="5787D42D">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7EDD6457">
                        <w:pPr>
                          <w:jc w:val="center"/>
                        </w:pPr>
                      </w:p>
                    </w:txbxContent>
                  </v:textbox>
                </v:rect>
                <w10:anchorlock/>
              </v:group>
            </w:pict>
          </mc:Fallback>
        </mc:AlternateContent>
      </w:r>
      <w:r>
        <w:rPr>
          <w:rFonts w:hint="eastAsia" w:ascii="仿宋" w:hAnsi="仿宋" w:eastAsia="仿宋" w:cs="仿宋"/>
          <w:sz w:val="32"/>
          <w:szCs w:val="32"/>
        </w:rPr>
        <w:t>收入支出决算表</w:t>
      </w:r>
      <w:r>
        <w:rPr>
          <w:rFonts w:hint="eastAsia" w:ascii="仿宋" w:hAnsi="仿宋" w:eastAsia="仿宋" w:cs="仿宋"/>
          <w:sz w:val="32"/>
          <w:szCs w:val="32"/>
          <w:lang w:eastAsia="zh-CN"/>
        </w:rPr>
        <w:t>、</w:t>
      </w:r>
      <w:r>
        <w:rPr>
          <w:rFonts w:hint="eastAsia" w:ascii="仿宋" w:hAnsi="仿宋" w:eastAsia="仿宋" w:cs="仿宋"/>
          <w:sz w:val="32"/>
          <w:szCs w:val="32"/>
        </w:rPr>
        <w:t>国有资本经营预算财政拨</w:t>
      </w:r>
      <w:r>
        <w:rPr>
          <w:rFonts w:hint="eastAsia" w:ascii="仿宋" w:hAnsi="仿宋" w:eastAsia="仿宋" w:cs="仿宋"/>
          <w:sz w:val="32"/>
          <w:szCs w:val="32"/>
        </w:rPr>
        <mc:AlternateContent>
          <mc:Choice Requires="wpg">
            <w:drawing>
              <wp:anchor distT="0" distB="0" distL="114300" distR="114300" simplePos="0" relativeHeight="251672576" behindDoc="0" locked="1" layoutInCell="1" allowOverlap="1">
                <wp:simplePos x="0" y="0"/>
                <wp:positionH relativeFrom="column">
                  <wp:posOffset>-875030</wp:posOffset>
                </wp:positionH>
                <wp:positionV relativeFrom="page">
                  <wp:posOffset>-877570</wp:posOffset>
                </wp:positionV>
                <wp:extent cx="3088640" cy="523240"/>
                <wp:effectExtent l="0" t="0" r="5230495" b="33801685"/>
                <wp:wrapNone/>
                <wp:docPr id="28" name="组合 28"/>
                <wp:cNvGraphicFramePr/>
                <a:graphic xmlns:a="http://schemas.openxmlformats.org/drawingml/2006/main">
                  <a:graphicData uri="http://schemas.microsoft.com/office/word/2010/wordprocessingGroup">
                    <wpg:wgp>
                      <wpg:cNvGrpSpPr/>
                      <wpg:grpSpPr>
                        <a:xfrm>
                          <a:off x="0" y="0"/>
                          <a:ext cx="3088640" cy="523240"/>
                          <a:chOff x="0" y="0"/>
                          <a:chExt cx="3088640" cy="523240"/>
                        </a:xfrm>
                      </wpg:grpSpPr>
                      <wps:wsp>
                        <wps:cNvPr id="26" name="矩形 26"/>
                        <wps:cNvSpPr/>
                        <wps:spPr>
                          <a:xfrm>
                            <a:off x="4551" y="52615"/>
                            <a:ext cx="8546" cy="1175"/>
                          </a:xfrm>
                          <a:prstGeom prst="rect">
                            <a:avLst/>
                          </a:prstGeom>
                          <a:solidFill>
                            <a:srgbClr val="D8D8D8"/>
                          </a:solidFill>
                          <a:ln w="25400">
                            <a:noFill/>
                          </a:ln>
                        </wps:spPr>
                        <wps:bodyPr upright="1"/>
                      </wps:wsp>
                      <wps:wsp>
                        <wps:cNvPr id="27" name="矩形 27"/>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wps:spPr>
                        <wps:txbx>
                          <w:txbxContent>
                            <w:p w14:paraId="26B7B65D">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06757118">
                              <w:pPr>
                                <w:jc w:val="center"/>
                              </w:pPr>
                            </w:p>
                          </w:txbxContent>
                        </wps:txbx>
                        <wps:bodyPr anchor="ctr" upright="1"/>
                      </wps:wsp>
                    </wpg:wgp>
                  </a:graphicData>
                </a:graphic>
              </wp:anchor>
            </w:drawing>
          </mc:Choice>
          <mc:Fallback>
            <w:pict>
              <v:group id="_x0000_s1026" o:spid="_x0000_s1026" o:spt="203" style="position:absolute;left:0pt;margin-left:-68.9pt;margin-top:-69.1pt;height:41.2pt;width:243.2pt;mso-position-vertical-relative:page;z-index:251672576;mso-width-relative:page;mso-height-relative:page;" coordsize="3088640,523240" o:gfxdata="UEsDBAoAAAAAAIdO4kAAAAAAAAAAAAAAAAAEAAAAZHJzL1BLAwQUAAAACACHTuJAwpyCB9wAAAAN&#10;AQAADwAAAGRycy9kb3ducmV2LnhtbE2PQUvDQBCF74L/YRnBW7vZxtQQsylS1FMR2gribZpMk9Ds&#10;bMhuk/bfu3rR28ybx3vf5KuL6cRIg2sta1DzCARxaauWaw0f+9dZCsJ55Ao7y6ThSg5Wxe1Njlll&#10;J97SuPO1CCHsMtTQeN9nUrqyIYNubnvicDvawaAP61DLasAphJtOLqJoKQ22HBoa7GndUHnanY2G&#10;twmn51i9jJvTcX392ifvnxtFWt/fqegJhKeL/zPDD35AhyIwHeyZKyc6DTMVPwZ2/zulCxDBEz+k&#10;SxCHICVJCrLI5f8vim9QSwMEFAAAAAgAh07iQE+tRaC5AgAA+wYAAA4AAABkcnMvZTJvRG9jLnht&#10;bL1VSW4UMRTdI3EHy3tSQ3qilOooopJsEEQKHMDtcg1SeZDt7ures2DJDZDYcQbEcSKuwbdrSKcT&#10;IBAJtVTt4dfz/+89/zo53fIGbZg2tRQpjo5CjJigMq9FmeL37y5eLDAyloicNFKwFO+YwafL589O&#10;WpWwWFayyZlGACJM0qoUV9aqJAgMrRgn5kgqJmCzkJoTC1NdBrkmLaDzJojDcBa0UudKS8qMgdWs&#10;28Q9on4MoCyKmrJM0jVnwnaomjXEQkmmqpXBS59tUTBq3xaFYRY1KYZKrX/CITBeuWewPCFJqYmq&#10;atqnQB6TwkFNnNQCDh2hMmIJWuv6HhSvqZZGFvaISh50hXhGoIooPODmUsu18rWUSVuqkXQQ6oD1&#10;f4albzZXGtV5imPQXRAOiv/49uHm00cEC8BOq8oEgi61ulZXul8ou5kreFto7v6hFLT1vO5GXtnW&#10;IgqLx+FiMZsA5RT2pvFxDGNPPK1AnXuv0er89y8Gw7GBy25MplXgSHNLk3kaTdcVUcyzbxwDA02z&#10;kabPX2++f0HxrKPJB40cmcQAXQ8QNJlOI4w8D7No2tEw8LSYTgDdkRRFc783VkoSpY29ZJIjN0ix&#10;Bmt7x5HNa2OBTQgdQtyxRjZ1flE3jZ/ocvWq0WhD4BpkC/dzJ8Mrd8IagVowwnQShh5aSAfQBTYC&#10;4h3DXV1utJL5DlhZK12XFaQUecxeBeec/yHH/FCO+V/KMQcEL8fiZe/KUQ4w6iBHfNwTNvh94PrJ&#10;cpxlYRhnf5IDUQK9toAeBxlxBffViNKLdEdBsy/02cV8FneiHAjtks+IqTpDeASXAEl4bZn2o4qR&#10;/FzkyO4UtAQBnwLszMFZjlHD4MvhRj7Skrp5TCS47QET2e1qCzB7fiKCVhJaNLUa/9Jc/uZDT/Qm&#10;7vu3a7r7c2/Y22/W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CnIIH3AAAAA0BAAAPAAAAAAAA&#10;AAEAIAAAACIAAABkcnMvZG93bnJldi54bWxQSwECFAAUAAAACACHTuJAT61FoLkCAAD7BgAADgAA&#10;AAAAAAABACAAAAArAQAAZHJzL2Uyb0RvYy54bWxQSwUGAAAAAAYABgBZAQAAVgYAAAAA&#10;">
                <o:lock v:ext="edit" aspectratio="f"/>
                <v:rect id="_x0000_s1026" o:spid="_x0000_s1026" o:spt="1" style="position:absolute;left:4551;top:52615;height:1175;width:8546;" fillcolor="#D8D8D8" filled="t" stroked="f" coordsize="21600,21600" o:gfxdata="UEsDBAoAAAAAAIdO4kAAAAAAAAAAAAAAAAAEAAAAZHJzL1BLAwQUAAAACACHTuJAU+Ve770AAADb&#10;AAAADwAAAGRycy9kb3ducmV2LnhtbEWPS2vDMBCE74H+B7GF3hI5OZjiRMmhEAiFUpwH5LhYW9vE&#10;WjnS5uF/HwUKOQ4z8w2zWN1dp64UYuvZwHSSgSKuvG25NrDfrcefoKIgW+w8k4GBIqyWb6MFFtbf&#10;uKTrVmqVIBwLNNCI9IXWsWrIYZz4njh5fz44lCRDrW3AW4K7Ts+yLNcOW04LDfb01VB12l6cARnW&#10;dPg+/cp+58Ng80t5/DmXxny8T7M5KKG7vML/7Y01MMvh+SX9AL1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V7v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SMIjRLwAAADb&#10;AAAADwAAAGRycy9kb3ducmV2LnhtbEWPT4vCMBTE74LfITxhb5roYZVqFFEEvSz479Dbo3m2xeal&#10;NrF199NvFhY8DjPzG2axetlKtNT40rGG8UiBIM6cKTnXcDnvhjMQPiAbrByThm/ysFr2ewtMjOv4&#10;SO0p5CJC2CeooQihTqT0WUEW/cjVxNG7ucZiiLLJpWmwi3BbyYlSn9JiyXGhwJo2BWX309Nq+Nqk&#10;fE3P2KrH9llX4dD9rKnT+mMwVnMQgV7hHf5v742GyRT+vs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CI0S8AAAA&#10;2wAAAA8AAAAAAAAAAQAgAAAAIgAAAGRycy9kb3ducmV2LnhtbFBLAQIUABQAAAAIAIdO4kAzLwWe&#10;OwAAADkAAAAQAAAAAAAAAAEAIAAAAAsBAABkcnMvc2hhcGV4bWwueG1sUEsFBgAAAAAGAAYAWwEA&#10;ALUDAAAAAA==&#10;">
                  <v:fill on="t" focussize="0,0"/>
                  <v:stroke weight="2pt" color="#AF7621" joinstyle="miter"/>
                  <v:imagedata o:title=""/>
                  <o:lock v:ext="edit" aspectratio="f"/>
                  <v:textbox>
                    <w:txbxContent>
                      <w:p w14:paraId="26B7B65D">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14:paraId="06757118">
                        <w:pPr>
                          <w:jc w:val="center"/>
                        </w:pPr>
                      </w:p>
                    </w:txbxContent>
                  </v:textbox>
                </v:rect>
                <w10:anchorlock/>
              </v:group>
            </w:pict>
          </mc:Fallback>
        </mc:AlternateContent>
      </w:r>
      <w:r>
        <w:rPr>
          <w:rFonts w:hint="eastAsia" w:ascii="仿宋" w:hAnsi="仿宋" w:eastAsia="仿宋" w:cs="仿宋"/>
          <w:sz w:val="32"/>
          <w:szCs w:val="32"/>
        </w:rPr>
        <w:t>款支出决算表以空表列示。</w:t>
      </w:r>
    </w:p>
    <w:p w14:paraId="54DBAE7A">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由于决算公开表格中金额数值应当保留两位小数，公开数据为四舍五入计算结果，个别数据合计项与分项之和存在小数点后差额，特此说明。</w:t>
      </w:r>
    </w:p>
    <w:p w14:paraId="5BAB8A61">
      <w:pPr>
        <w:pageBreakBefore w:val="0"/>
        <w:widowControl/>
        <w:kinsoku/>
        <w:wordWrap/>
        <w:overflowPunct/>
        <w:topLinePunct w:val="0"/>
        <w:autoSpaceDE/>
        <w:autoSpaceDN/>
        <w:bidi w:val="0"/>
        <w:spacing w:after="0" w:line="580" w:lineRule="exact"/>
        <w:ind w:firstLine="883" w:firstLineChars="200"/>
        <w:jc w:val="left"/>
        <w:textAlignment w:val="auto"/>
        <w:rPr>
          <w:rFonts w:hint="eastAsia" w:ascii="仿宋" w:hAnsi="仿宋" w:eastAsia="仿宋" w:cs="仿宋"/>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14:paraId="1F28A81A">
      <w:pPr>
        <w:jc w:val="center"/>
        <w:rPr>
          <w:rFonts w:hint="eastAsia" w:ascii="仿宋" w:hAnsi="仿宋" w:eastAsia="仿宋" w:cs="仿宋"/>
          <w:sz w:val="56"/>
          <w:szCs w:val="72"/>
          <w:lang w:val="en-US" w:eastAsia="zh-CN"/>
        </w:rPr>
      </w:pPr>
    </w:p>
    <w:p w14:paraId="53438379">
      <w:pPr>
        <w:jc w:val="center"/>
        <w:rPr>
          <w:rFonts w:hint="eastAsia" w:ascii="仿宋" w:hAnsi="仿宋" w:eastAsia="仿宋" w:cs="仿宋"/>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14:paraId="12B834DB">
      <w:pPr>
        <w:rPr>
          <w:rFonts w:hint="eastAsia" w:ascii="仿宋" w:hAnsi="仿宋" w:eastAsia="仿宋" w:cs="仿宋"/>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eastAsia" w:ascii="仿宋" w:hAnsi="仿宋" w:eastAsia="仿宋" w:cs="仿宋"/>
          <w:sz w:val="56"/>
          <w:szCs w:val="72"/>
          <w:lang w:val="en-US" w:eastAsia="zh-CN"/>
        </w:rPr>
        <w:br w:type="page"/>
      </w:r>
    </w:p>
    <w:p w14:paraId="7B2420AF">
      <w:pPr>
        <w:jc w:val="center"/>
        <w:rPr>
          <w:rFonts w:hint="eastAsia" w:ascii="仿宋" w:hAnsi="仿宋" w:eastAsia="仿宋" w:cs="仿宋"/>
          <w:sz w:val="56"/>
          <w:szCs w:val="72"/>
          <w:lang w:val="en-US" w:eastAsia="zh-CN"/>
        </w:rPr>
      </w:pPr>
      <w:r>
        <w:rPr>
          <w:rFonts w:hint="eastAsia" w:ascii="仿宋" w:hAnsi="仿宋" w:eastAsia="仿宋" w:cs="仿宋"/>
          <w:sz w:val="56"/>
          <w:szCs w:val="72"/>
          <w:lang w:val="en-US" w:eastAsia="zh-CN"/>
        </w:rPr>
        <w:drawing>
          <wp:inline distT="0" distB="0" distL="114300" distR="114300">
            <wp:extent cx="5606415" cy="7475220"/>
            <wp:effectExtent l="0" t="0" r="13335" b="11430"/>
            <wp:docPr id="29" name="图片 29" descr="ca708a5df39a12fe668e2708d005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a708a5df39a12fe668e2708d0051ff"/>
                    <pic:cNvPicPr>
                      <a:picLocks noChangeAspect="1"/>
                    </pic:cNvPicPr>
                  </pic:nvPicPr>
                  <pic:blipFill>
                    <a:blip r:embed="rId26"/>
                    <a:stretch>
                      <a:fillRect/>
                    </a:stretch>
                  </pic:blipFill>
                  <pic:spPr>
                    <a:xfrm>
                      <a:off x="0" y="0"/>
                      <a:ext cx="5606415" cy="7475220"/>
                    </a:xfrm>
                    <a:prstGeom prst="rect">
                      <a:avLst/>
                    </a:prstGeom>
                  </pic:spPr>
                </pic:pic>
              </a:graphicData>
            </a:graphic>
          </wp:inline>
        </w:drawing>
      </w:r>
    </w:p>
    <w:p w14:paraId="777645CF">
      <w:pPr>
        <w:jc w:val="center"/>
        <w:rPr>
          <w:rFonts w:hint="eastAsia" w:ascii="仿宋" w:hAnsi="仿宋" w:eastAsia="仿宋" w:cs="仿宋"/>
          <w:sz w:val="56"/>
          <w:szCs w:val="72"/>
          <w:lang w:val="en-US" w:eastAsia="zh-CN"/>
        </w:rPr>
      </w:pPr>
    </w:p>
    <w:p w14:paraId="3F8C3AC1">
      <w:pPr>
        <w:jc w:val="center"/>
        <w:rPr>
          <w:rFonts w:hint="eastAsia" w:ascii="仿宋" w:hAnsi="仿宋" w:eastAsia="仿宋" w:cs="仿宋"/>
          <w:sz w:val="56"/>
          <w:szCs w:val="72"/>
          <w:lang w:val="en-US" w:eastAsia="zh-CN"/>
        </w:rPr>
      </w:pPr>
      <w:r>
        <w:rPr>
          <w:rFonts w:hint="eastAsia" w:ascii="仿宋" w:hAnsi="仿宋" w:eastAsia="仿宋" w:cs="仿宋"/>
          <w:sz w:val="56"/>
          <w:szCs w:val="72"/>
          <w:lang w:val="en-US" w:eastAsia="zh-CN"/>
        </w:rPr>
        <w:drawing>
          <wp:inline distT="0" distB="0" distL="114300" distR="114300">
            <wp:extent cx="5606415" cy="7475220"/>
            <wp:effectExtent l="0" t="0" r="13335" b="11430"/>
            <wp:docPr id="30" name="图片 30" descr="a95903a3281c05892365ad301051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a95903a3281c05892365ad301051bca"/>
                    <pic:cNvPicPr>
                      <a:picLocks noChangeAspect="1"/>
                    </pic:cNvPicPr>
                  </pic:nvPicPr>
                  <pic:blipFill>
                    <a:blip r:embed="rId27"/>
                    <a:stretch>
                      <a:fillRect/>
                    </a:stretch>
                  </pic:blipFill>
                  <pic:spPr>
                    <a:xfrm>
                      <a:off x="0" y="0"/>
                      <a:ext cx="5606415" cy="7475220"/>
                    </a:xfrm>
                    <a:prstGeom prst="rect">
                      <a:avLst/>
                    </a:prstGeom>
                  </pic:spPr>
                </pic:pic>
              </a:graphicData>
            </a:graphic>
          </wp:inline>
        </w:drawing>
      </w:r>
    </w:p>
    <w:p w14:paraId="47EAAD94">
      <w:pPr>
        <w:jc w:val="center"/>
        <w:rPr>
          <w:rFonts w:hint="eastAsia" w:ascii="仿宋" w:hAnsi="仿宋" w:eastAsia="仿宋" w:cs="仿宋"/>
          <w:sz w:val="56"/>
          <w:szCs w:val="72"/>
          <w:lang w:val="en-US" w:eastAsia="zh-CN"/>
        </w:rPr>
      </w:pPr>
    </w:p>
    <w:p w14:paraId="730A40AC">
      <w:pPr>
        <w:jc w:val="both"/>
        <w:rPr>
          <w:rFonts w:hint="eastAsia" w:ascii="仿宋" w:hAnsi="仿宋" w:eastAsia="仿宋" w:cs="仿宋"/>
          <w:sz w:val="56"/>
          <w:szCs w:val="72"/>
          <w:lang w:val="en-US" w:eastAsia="zh-CN"/>
        </w:rPr>
      </w:pPr>
    </w:p>
    <w:p w14:paraId="345760D9">
      <w:pPr>
        <w:jc w:val="both"/>
        <w:rPr>
          <w:rFonts w:hint="eastAsia" w:ascii="仿宋" w:hAnsi="仿宋" w:eastAsia="仿宋" w:cs="仿宋"/>
          <w:sz w:val="56"/>
          <w:szCs w:val="72"/>
          <w:lang w:val="en-US" w:eastAsia="zh-CN"/>
        </w:rPr>
      </w:pPr>
    </w:p>
    <w:p w14:paraId="370C9541">
      <w:pPr>
        <w:jc w:val="center"/>
        <w:rPr>
          <w:rFonts w:hint="eastAsia" w:ascii="仿宋" w:hAnsi="仿宋" w:eastAsia="仿宋" w:cs="仿宋"/>
          <w:sz w:val="72"/>
        </w:rPr>
      </w:pPr>
      <w:r>
        <w:rPr>
          <w:rFonts w:hint="eastAsia" w:ascii="仿宋" w:hAnsi="仿宋" w:eastAsia="仿宋" w:cs="仿宋"/>
          <w:sz w:val="7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17D0806F">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5"/>
                <v:stroke weight="0.5pt" color="#FFD966 [3204]" joinstyle="round"/>
                <v:imagedata o:title=""/>
                <o:lock v:ext="edit" aspectratio="f"/>
                <v:textbox>
                  <w:txbxContent>
                    <w:p w14:paraId="17D0806F">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14:paraId="7D4706E1">
      <w:pPr>
        <w:bidi w:val="0"/>
        <w:rPr>
          <w:rFonts w:hint="eastAsia" w:ascii="仿宋" w:hAnsi="仿宋" w:eastAsia="仿宋" w:cs="仿宋"/>
          <w:kern w:val="2"/>
          <w:sz w:val="21"/>
          <w:szCs w:val="22"/>
          <w:lang w:val="en-US" w:eastAsia="zh-CN" w:bidi="ar-SA"/>
        </w:rPr>
      </w:pPr>
    </w:p>
    <w:p w14:paraId="4036D1BC">
      <w:pPr>
        <w:bidi w:val="0"/>
        <w:rPr>
          <w:rFonts w:hint="eastAsia" w:ascii="仿宋" w:hAnsi="仿宋" w:eastAsia="仿宋" w:cs="仿宋"/>
          <w:lang w:val="en-US" w:eastAsia="zh-CN"/>
        </w:rPr>
      </w:pPr>
    </w:p>
    <w:p w14:paraId="39CAD442">
      <w:pPr>
        <w:bidi w:val="0"/>
        <w:rPr>
          <w:rFonts w:hint="eastAsia" w:ascii="仿宋" w:hAnsi="仿宋" w:eastAsia="仿宋" w:cs="仿宋"/>
          <w:lang w:val="en-US" w:eastAsia="zh-CN"/>
        </w:rPr>
      </w:pPr>
    </w:p>
    <w:p w14:paraId="36A6866E">
      <w:pPr>
        <w:bidi w:val="0"/>
        <w:rPr>
          <w:rFonts w:hint="eastAsia" w:ascii="仿宋" w:hAnsi="仿宋" w:eastAsia="仿宋" w:cs="仿宋"/>
          <w:lang w:val="en-US" w:eastAsia="zh-CN"/>
        </w:rPr>
      </w:pPr>
    </w:p>
    <w:p w14:paraId="3955FBE8">
      <w:pPr>
        <w:bidi w:val="0"/>
        <w:rPr>
          <w:rFonts w:hint="eastAsia" w:ascii="仿宋" w:hAnsi="仿宋" w:eastAsia="仿宋" w:cs="仿宋"/>
          <w:lang w:val="en-US" w:eastAsia="zh-CN"/>
        </w:rPr>
      </w:pPr>
    </w:p>
    <w:p w14:paraId="7F63E126">
      <w:pPr>
        <w:bidi w:val="0"/>
        <w:rPr>
          <w:rFonts w:hint="eastAsia" w:ascii="仿宋" w:hAnsi="仿宋" w:eastAsia="仿宋" w:cs="仿宋"/>
          <w:lang w:val="en-US" w:eastAsia="zh-CN"/>
        </w:rPr>
      </w:pPr>
    </w:p>
    <w:p w14:paraId="491EA4C1">
      <w:pPr>
        <w:bidi w:val="0"/>
        <w:rPr>
          <w:rFonts w:hint="eastAsia" w:ascii="仿宋" w:hAnsi="仿宋" w:eastAsia="仿宋" w:cs="仿宋"/>
          <w:lang w:val="en-US" w:eastAsia="zh-CN"/>
        </w:rPr>
      </w:pPr>
    </w:p>
    <w:p w14:paraId="027C7BED">
      <w:pPr>
        <w:bidi w:val="0"/>
        <w:rPr>
          <w:rFonts w:hint="eastAsia" w:ascii="仿宋" w:hAnsi="仿宋" w:eastAsia="仿宋" w:cs="仿宋"/>
          <w:lang w:val="en-US" w:eastAsia="zh-CN"/>
        </w:rPr>
      </w:pPr>
    </w:p>
    <w:p w14:paraId="6BA758BF">
      <w:pPr>
        <w:bidi w:val="0"/>
        <w:rPr>
          <w:rFonts w:hint="eastAsia" w:ascii="仿宋" w:hAnsi="仿宋" w:eastAsia="仿宋" w:cs="仿宋"/>
          <w:lang w:val="en-US" w:eastAsia="zh-CN"/>
        </w:rPr>
      </w:pPr>
    </w:p>
    <w:p w14:paraId="4CB9D871">
      <w:pPr>
        <w:ind w:firstLine="643" w:firstLineChars="200"/>
        <w:rPr>
          <w:rFonts w:hint="eastAsia" w:ascii="仿宋" w:hAnsi="仿宋" w:eastAsia="仿宋" w:cs="仿宋"/>
          <w:b/>
          <w:bCs/>
          <w:color w:val="000000"/>
          <w:kern w:val="0"/>
          <w:sz w:val="32"/>
          <w:szCs w:val="32"/>
        </w:rPr>
      </w:pPr>
    </w:p>
    <w:p w14:paraId="5E64634B">
      <w:pPr>
        <w:ind w:firstLine="643" w:firstLineChars="200"/>
        <w:rPr>
          <w:rFonts w:hint="eastAsia" w:ascii="仿宋" w:hAnsi="仿宋" w:eastAsia="仿宋" w:cs="仿宋"/>
          <w:b/>
          <w:bCs/>
          <w:color w:val="000000"/>
          <w:kern w:val="0"/>
          <w:sz w:val="32"/>
          <w:szCs w:val="32"/>
        </w:rPr>
      </w:pPr>
    </w:p>
    <w:p w14:paraId="52C7FA02">
      <w:pPr>
        <w:ind w:firstLine="643" w:firstLineChars="200"/>
        <w:rPr>
          <w:rFonts w:hint="eastAsia" w:ascii="仿宋" w:hAnsi="仿宋" w:eastAsia="仿宋" w:cs="仿宋"/>
          <w:b/>
          <w:bCs/>
          <w:color w:val="000000"/>
          <w:kern w:val="0"/>
          <w:sz w:val="32"/>
          <w:szCs w:val="32"/>
        </w:rPr>
      </w:pPr>
    </w:p>
    <w:p w14:paraId="4C24536F">
      <w:pPr>
        <w:ind w:firstLine="643" w:firstLineChars="200"/>
        <w:rPr>
          <w:rFonts w:hint="eastAsia" w:ascii="仿宋" w:hAnsi="仿宋" w:eastAsia="仿宋" w:cs="仿宋"/>
          <w:b/>
          <w:bCs/>
          <w:color w:val="000000"/>
          <w:kern w:val="0"/>
          <w:sz w:val="32"/>
          <w:szCs w:val="32"/>
        </w:rPr>
      </w:pPr>
    </w:p>
    <w:p w14:paraId="41ACF428">
      <w:pPr>
        <w:ind w:firstLine="643" w:firstLineChars="200"/>
        <w:rPr>
          <w:rFonts w:hint="eastAsia" w:ascii="仿宋" w:hAnsi="仿宋" w:eastAsia="仿宋" w:cs="仿宋"/>
          <w:b/>
          <w:bCs/>
          <w:color w:val="000000"/>
          <w:kern w:val="0"/>
          <w:sz w:val="32"/>
          <w:szCs w:val="32"/>
        </w:rPr>
      </w:pPr>
    </w:p>
    <w:p w14:paraId="1DDB294E">
      <w:pPr>
        <w:ind w:firstLine="643" w:firstLineChars="200"/>
        <w:rPr>
          <w:rFonts w:hint="eastAsia" w:ascii="仿宋" w:hAnsi="仿宋" w:eastAsia="仿宋" w:cs="仿宋"/>
          <w:b/>
          <w:bCs/>
          <w:color w:val="000000"/>
          <w:kern w:val="0"/>
          <w:sz w:val="32"/>
          <w:szCs w:val="32"/>
        </w:rPr>
      </w:pPr>
    </w:p>
    <w:p w14:paraId="1825ACD2">
      <w:pPr>
        <w:ind w:firstLine="643" w:firstLineChars="200"/>
        <w:rPr>
          <w:rFonts w:hint="eastAsia" w:ascii="仿宋" w:hAnsi="仿宋" w:eastAsia="仿宋" w:cs="仿宋"/>
          <w:b/>
          <w:bCs/>
          <w:color w:val="000000"/>
          <w:kern w:val="0"/>
          <w:sz w:val="32"/>
          <w:szCs w:val="32"/>
        </w:rPr>
      </w:pPr>
    </w:p>
    <w:p w14:paraId="102F3E86">
      <w:pPr>
        <w:ind w:firstLine="643" w:firstLineChars="200"/>
        <w:rPr>
          <w:rFonts w:hint="eastAsia" w:ascii="仿宋" w:hAnsi="仿宋" w:eastAsia="仿宋" w:cs="仿宋"/>
          <w:b/>
          <w:bCs/>
          <w:color w:val="000000"/>
          <w:kern w:val="0"/>
          <w:sz w:val="32"/>
          <w:szCs w:val="32"/>
        </w:rPr>
      </w:pPr>
    </w:p>
    <w:p w14:paraId="017ADF01">
      <w:pPr>
        <w:ind w:firstLine="643" w:firstLineChars="200"/>
        <w:rPr>
          <w:rFonts w:hint="eastAsia" w:ascii="仿宋" w:hAnsi="仿宋" w:eastAsia="仿宋" w:cs="仿宋"/>
          <w:b/>
          <w:bCs/>
          <w:color w:val="000000"/>
          <w:kern w:val="0"/>
          <w:sz w:val="32"/>
          <w:szCs w:val="32"/>
        </w:rPr>
      </w:pPr>
    </w:p>
    <w:p w14:paraId="14A9AB06">
      <w:pPr>
        <w:ind w:firstLine="643" w:firstLineChars="200"/>
        <w:rPr>
          <w:rFonts w:hint="eastAsia" w:ascii="仿宋" w:hAnsi="仿宋" w:eastAsia="仿宋" w:cs="仿宋"/>
          <w:b/>
          <w:bCs/>
          <w:color w:val="000000"/>
          <w:kern w:val="0"/>
          <w:sz w:val="32"/>
          <w:szCs w:val="32"/>
        </w:rPr>
      </w:pPr>
    </w:p>
    <w:p w14:paraId="676F8C0B">
      <w:pPr>
        <w:ind w:firstLine="643" w:firstLineChars="200"/>
        <w:rPr>
          <w:rFonts w:hint="eastAsia" w:ascii="仿宋" w:hAnsi="仿宋" w:eastAsia="仿宋" w:cs="仿宋"/>
          <w:b/>
          <w:bCs/>
          <w:color w:val="000000"/>
          <w:kern w:val="0"/>
          <w:sz w:val="32"/>
          <w:szCs w:val="32"/>
        </w:rPr>
      </w:pPr>
    </w:p>
    <w:p w14:paraId="622D2C40">
      <w:pPr>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hint="eastAsia" w:ascii="仿宋" w:hAnsi="仿宋" w:eastAsia="仿宋" w:cs="仿宋"/>
          <w:color w:val="000000"/>
          <w:kern w:val="0"/>
          <w:sz w:val="32"/>
          <w:szCs w:val="32"/>
        </w:rPr>
        <w:t>本年度从本级财政部门取得的财政拨款，包括一般公共预算财政拨款和政府性基金预算财政拨款。</w:t>
      </w:r>
    </w:p>
    <w:p w14:paraId="67B295FB">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597E9BE3">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（三）其他收入：</w:t>
      </w:r>
      <w:r>
        <w:rPr>
          <w:rFonts w:hint="eastAsia" w:ascii="仿宋" w:hAnsi="仿宋" w:eastAsia="仿宋" w:cs="仿宋"/>
          <w:color w:val="000000"/>
          <w:kern w:val="0"/>
          <w:sz w:val="32"/>
          <w:szCs w:val="32"/>
        </w:rPr>
        <w:t>指除上述“财政拨款收入”“事业收入”“经营收入”等以外的收入。</w:t>
      </w:r>
    </w:p>
    <w:p w14:paraId="3BF14C8E">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（四）用事业基金弥补收支差额：</w:t>
      </w:r>
      <w:r>
        <w:rPr>
          <w:rFonts w:hint="eastAsia" w:ascii="仿宋" w:hAnsi="仿宋" w:eastAsia="仿宋" w:cs="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6F1D0883">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（五）年初结转和结余：</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365D7713">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（六）结余分配：</w:t>
      </w:r>
      <w:r>
        <w:rPr>
          <w:rFonts w:hint="eastAsia" w:ascii="仿宋" w:hAnsi="仿宋" w:eastAsia="仿宋" w:cs="仿宋"/>
          <w:color w:val="000000"/>
          <w:kern w:val="0"/>
          <w:sz w:val="32"/>
          <w:szCs w:val="32"/>
        </w:rPr>
        <w:t>指事业单位按照事业单位会计制度的规定从非财政补助结余中分配的事业基金和职工福利基金等。</w:t>
      </w:r>
    </w:p>
    <w:p w14:paraId="52F5FE42">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（七）年末结转和结余：</w:t>
      </w:r>
      <w:r>
        <w:rPr>
          <w:rFonts w:hint="eastAsia" w:ascii="仿宋" w:hAnsi="仿宋" w:eastAsia="仿宋" w:cs="仿宋"/>
          <w:color w:val="000000"/>
          <w:kern w:val="0"/>
          <w:sz w:val="32"/>
          <w:szCs w:val="32"/>
        </w:rPr>
        <w:t>指单位按有关规定结转到下年或以后年度继续使用的资金，或项目已完成等产生的结余资金。</w:t>
      </w:r>
    </w:p>
    <w:p w14:paraId="3DBFD59E">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（八）基本支出：</w:t>
      </w:r>
      <w:r>
        <w:rPr>
          <w:rFonts w:hint="eastAsia" w:ascii="仿宋" w:hAnsi="仿宋" w:eastAsia="仿宋" w:cs="仿宋"/>
          <w:color w:val="000000"/>
          <w:kern w:val="0"/>
          <w:sz w:val="32"/>
          <w:szCs w:val="32"/>
        </w:rPr>
        <w:t>填列单位为保障机构正常运转、完成日常工作任务而发生的各项支出。</w:t>
      </w:r>
    </w:p>
    <w:p w14:paraId="53872719">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（九）项目支出：</w:t>
      </w:r>
      <w:r>
        <w:rPr>
          <w:rFonts w:hint="eastAsia" w:ascii="仿宋" w:hAnsi="仿宋" w:eastAsia="仿宋" w:cs="仿宋"/>
          <w:color w:val="000000"/>
          <w:kern w:val="0"/>
          <w:sz w:val="32"/>
          <w:szCs w:val="32"/>
        </w:rPr>
        <w:t>填列单位为完成特定的行政工作任务或事业发展目标，在基本支出之外发生的各项支出</w:t>
      </w:r>
    </w:p>
    <w:p w14:paraId="4013FA45">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（十）基本建设支出：</w:t>
      </w:r>
      <w:r>
        <w:rPr>
          <w:rFonts w:hint="eastAsia" w:ascii="仿宋" w:hAnsi="仿宋" w:eastAsia="仿宋" w:cs="仿宋"/>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39DB529">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（十一）其他资本性支出：</w:t>
      </w:r>
      <w:r>
        <w:rPr>
          <w:rFonts w:hint="eastAsia" w:ascii="仿宋" w:hAnsi="仿宋" w:eastAsia="仿宋" w:cs="仿宋"/>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79DFA6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（十二）“三公”经费：</w:t>
      </w:r>
      <w:r>
        <w:rPr>
          <w:rFonts w:hint="eastAsia" w:ascii="仿宋" w:hAnsi="仿宋" w:eastAsia="仿宋"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 w:hAnsi="仿宋" w:eastAsia="仿宋" w:cs="仿宋"/>
          <w:color w:val="000000"/>
          <w:kern w:val="0"/>
          <w:sz w:val="32"/>
          <w:szCs w:val="32"/>
          <w:lang w:eastAsia="zh-CN"/>
        </w:rPr>
        <w:t>、牌照费</w:t>
      </w:r>
      <w:r>
        <w:rPr>
          <w:rFonts w:hint="eastAsia" w:ascii="仿宋" w:hAnsi="仿宋" w:eastAsia="仿宋" w:cs="仿宋"/>
          <w:color w:val="000000"/>
          <w:kern w:val="0"/>
          <w:sz w:val="32"/>
          <w:szCs w:val="32"/>
        </w:rPr>
        <w:t>）及</w:t>
      </w:r>
      <w:r>
        <w:rPr>
          <w:rFonts w:hint="eastAsia" w:ascii="仿宋" w:hAnsi="仿宋" w:eastAsia="仿宋" w:cs="仿宋"/>
          <w:color w:val="000000"/>
          <w:kern w:val="0"/>
          <w:sz w:val="32"/>
          <w:szCs w:val="32"/>
          <w:lang w:eastAsia="zh-CN"/>
        </w:rPr>
        <w:t>按规定保留的公务用车燃料费、维修费、过桥过路费、保险费、安全奖励费用等支出</w:t>
      </w:r>
      <w:r>
        <w:rPr>
          <w:rFonts w:hint="eastAsia" w:ascii="仿宋" w:hAnsi="仿宋" w:eastAsia="仿宋" w:cs="仿宋"/>
          <w:color w:val="000000"/>
          <w:kern w:val="0"/>
          <w:sz w:val="32"/>
          <w:szCs w:val="32"/>
        </w:rPr>
        <w:t>；公务接待费反映单位按规定开支的各类公务接待（含外宾接待）支出。</w:t>
      </w:r>
    </w:p>
    <w:p w14:paraId="07D57EE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（十三）其他交通费用：</w:t>
      </w:r>
      <w:r>
        <w:rPr>
          <w:rFonts w:hint="eastAsia" w:ascii="仿宋" w:hAnsi="仿宋" w:eastAsia="仿宋" w:cs="仿宋"/>
          <w:color w:val="000000"/>
          <w:kern w:val="0"/>
          <w:sz w:val="32"/>
          <w:szCs w:val="32"/>
        </w:rPr>
        <w:t>填列单位除公务用车运行维护费以外的其他交通费用。如</w:t>
      </w:r>
      <w:r>
        <w:rPr>
          <w:rFonts w:hint="eastAsia" w:ascii="仿宋" w:hAnsi="仿宋" w:eastAsia="仿宋" w:cs="仿宋"/>
          <w:color w:val="000000"/>
          <w:kern w:val="0"/>
          <w:sz w:val="32"/>
          <w:szCs w:val="32"/>
          <w:lang w:eastAsia="zh-CN"/>
        </w:rPr>
        <w:t>公务交通补贴、租车费用、出租车费用，飞机、船舶等燃料费、维修费、保险费</w:t>
      </w:r>
      <w:r>
        <w:rPr>
          <w:rFonts w:hint="eastAsia" w:ascii="仿宋" w:hAnsi="仿宋" w:eastAsia="仿宋" w:cs="仿宋"/>
          <w:color w:val="000000"/>
          <w:kern w:val="0"/>
          <w:sz w:val="32"/>
          <w:szCs w:val="32"/>
        </w:rPr>
        <w:t>等。</w:t>
      </w:r>
    </w:p>
    <w:p w14:paraId="20858982">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（十四）公务用车购置：</w:t>
      </w:r>
      <w:r>
        <w:rPr>
          <w:rFonts w:hint="eastAsia" w:ascii="仿宋" w:hAnsi="仿宋" w:eastAsia="仿宋" w:cs="仿宋"/>
          <w:b w:val="0"/>
          <w:bCs w:val="0"/>
          <w:color w:val="000000"/>
          <w:kern w:val="0"/>
          <w:sz w:val="32"/>
          <w:szCs w:val="32"/>
        </w:rPr>
        <w:t>填</w:t>
      </w:r>
      <w:r>
        <w:rPr>
          <w:rFonts w:hint="eastAsia" w:ascii="仿宋" w:hAnsi="仿宋" w:eastAsia="仿宋" w:cs="仿宋"/>
          <w:color w:val="000000"/>
          <w:kern w:val="0"/>
          <w:sz w:val="32"/>
          <w:szCs w:val="32"/>
        </w:rPr>
        <w:t>列单位公务用车车辆购置支出（含车辆购置税</w:t>
      </w:r>
      <w:r>
        <w:rPr>
          <w:rFonts w:hint="eastAsia" w:ascii="仿宋" w:hAnsi="仿宋" w:eastAsia="仿宋" w:cs="仿宋"/>
          <w:color w:val="000000"/>
          <w:kern w:val="0"/>
          <w:sz w:val="32"/>
          <w:szCs w:val="32"/>
          <w:lang w:eastAsia="zh-CN"/>
        </w:rPr>
        <w:t>、牌照费</w:t>
      </w:r>
      <w:r>
        <w:rPr>
          <w:rFonts w:hint="eastAsia" w:ascii="仿宋" w:hAnsi="仿宋" w:eastAsia="仿宋" w:cs="仿宋"/>
          <w:color w:val="000000"/>
          <w:kern w:val="0"/>
          <w:sz w:val="32"/>
          <w:szCs w:val="32"/>
        </w:rPr>
        <w:t>）。</w:t>
      </w:r>
    </w:p>
    <w:p w14:paraId="13BC696C">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（十五）其他交通工具购置：</w:t>
      </w:r>
      <w:r>
        <w:rPr>
          <w:rFonts w:hint="eastAsia" w:ascii="仿宋" w:hAnsi="仿宋" w:eastAsia="仿宋" w:cs="仿宋"/>
          <w:color w:val="000000"/>
          <w:kern w:val="0"/>
          <w:sz w:val="32"/>
          <w:szCs w:val="32"/>
        </w:rPr>
        <w:t>填列单位除公务用车外的其他各类交通工具（如船舶、飞机</w:t>
      </w:r>
      <w:r>
        <w:rPr>
          <w:rFonts w:hint="eastAsia" w:ascii="仿宋" w:hAnsi="仿宋" w:eastAsia="仿宋" w:cs="仿宋"/>
          <w:color w:val="000000"/>
          <w:kern w:val="0"/>
          <w:sz w:val="32"/>
          <w:szCs w:val="32"/>
          <w:lang w:eastAsia="zh-CN"/>
        </w:rPr>
        <w:t>等</w:t>
      </w:r>
      <w:r>
        <w:rPr>
          <w:rFonts w:hint="eastAsia" w:ascii="仿宋" w:hAnsi="仿宋" w:eastAsia="仿宋" w:cs="仿宋"/>
          <w:color w:val="000000"/>
          <w:kern w:val="0"/>
          <w:sz w:val="32"/>
          <w:szCs w:val="32"/>
        </w:rPr>
        <w:t>）购置支出（含车辆购置税</w:t>
      </w:r>
      <w:r>
        <w:rPr>
          <w:rFonts w:hint="eastAsia" w:ascii="仿宋" w:hAnsi="仿宋" w:eastAsia="仿宋" w:cs="仿宋"/>
          <w:color w:val="000000"/>
          <w:kern w:val="0"/>
          <w:sz w:val="32"/>
          <w:szCs w:val="32"/>
          <w:lang w:eastAsia="zh-CN"/>
        </w:rPr>
        <w:t>、牌照费</w:t>
      </w:r>
      <w:r>
        <w:rPr>
          <w:rFonts w:hint="eastAsia" w:ascii="仿宋" w:hAnsi="仿宋" w:eastAsia="仿宋" w:cs="仿宋"/>
          <w:color w:val="000000"/>
          <w:kern w:val="0"/>
          <w:sz w:val="32"/>
          <w:szCs w:val="32"/>
        </w:rPr>
        <w:t>）。</w:t>
      </w:r>
    </w:p>
    <w:p w14:paraId="55467CAE">
      <w:pPr>
        <w:widowControl/>
        <w:spacing w:after="0"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（十六）机关运行经费：</w:t>
      </w:r>
      <w:r>
        <w:rPr>
          <w:rFonts w:hint="eastAsia" w:ascii="仿宋" w:hAnsi="仿宋" w:eastAsia="仿宋"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21E4AE32">
      <w:pPr>
        <w:tabs>
          <w:tab w:val="left" w:pos="235"/>
        </w:tabs>
        <w:bidi w:val="0"/>
        <w:ind w:firstLine="643" w:firstLineChars="200"/>
        <w:jc w:val="left"/>
        <w:rPr>
          <w:rFonts w:hint="eastAsia" w:ascii="仿宋" w:hAnsi="仿宋" w:eastAsia="仿宋" w:cs="仿宋"/>
          <w:kern w:val="0"/>
          <w:sz w:val="32"/>
          <w:szCs w:val="32"/>
          <w:vertAlign w:val="baseline"/>
          <w:lang w:val="en-US" w:eastAsia="zh-CN"/>
        </w:rPr>
      </w:pPr>
      <w:r>
        <w:rPr>
          <w:rFonts w:hint="eastAsia" w:ascii="仿宋" w:hAnsi="仿宋" w:eastAsia="仿宋" w:cs="仿宋"/>
          <w:b/>
          <w:bCs/>
          <w:color w:val="000000"/>
          <w:kern w:val="0"/>
          <w:sz w:val="32"/>
          <w:szCs w:val="32"/>
          <w:lang w:val="en-US" w:eastAsia="zh-CN"/>
        </w:rPr>
        <w:t>（十七）经费形式:</w:t>
      </w:r>
      <w:r>
        <w:rPr>
          <w:rFonts w:hint="eastAsia" w:ascii="仿宋" w:hAnsi="仿宋" w:eastAsia="仿宋" w:cs="仿宋"/>
          <w:b w:val="0"/>
          <w:bCs w:val="0"/>
          <w:color w:val="000000"/>
          <w:kern w:val="0"/>
          <w:sz w:val="32"/>
          <w:szCs w:val="32"/>
          <w:lang w:val="en-US" w:eastAsia="zh-CN"/>
        </w:rPr>
        <w:t>按</w:t>
      </w:r>
      <w:r>
        <w:rPr>
          <w:rFonts w:hint="eastAsia" w:ascii="仿宋" w:hAnsi="仿宋" w:eastAsia="仿宋" w:cs="仿宋"/>
          <w:color w:val="000000"/>
          <w:kern w:val="0"/>
          <w:sz w:val="32"/>
          <w:szCs w:val="32"/>
          <w:lang w:val="en-US" w:eastAsia="zh-CN"/>
        </w:rPr>
        <w:t>照经费来源，</w:t>
      </w:r>
      <w:r>
        <w:rPr>
          <w:rFonts w:hint="eastAsia" w:ascii="仿宋" w:hAnsi="仿宋" w:eastAsia="仿宋" w:cs="仿宋"/>
          <w:kern w:val="0"/>
          <w:sz w:val="32"/>
          <w:szCs w:val="32"/>
          <w:vertAlign w:val="baseline"/>
          <w:lang w:val="en-US" w:eastAsia="zh-CN"/>
        </w:rPr>
        <w:t>可分为财政拨款、财政性资金基本保证、财政性资金定额或定项补助、财政性资金零补助四类。</w:t>
      </w:r>
    </w:p>
    <w:p w14:paraId="1960B0F0">
      <w:pPr>
        <w:bidi w:val="0"/>
        <w:rPr>
          <w:rFonts w:hint="eastAsia" w:ascii="仿宋" w:hAnsi="仿宋" w:eastAsia="仿宋" w:cs="仿宋"/>
          <w:kern w:val="2"/>
          <w:sz w:val="21"/>
          <w:szCs w:val="22"/>
          <w:lang w:val="en-US" w:eastAsia="zh-CN" w:bidi="ar-SA"/>
        </w:rPr>
      </w:pPr>
    </w:p>
    <w:p w14:paraId="45A56337">
      <w:pPr>
        <w:bidi w:val="0"/>
        <w:rPr>
          <w:rFonts w:hint="eastAsia" w:ascii="仿宋" w:hAnsi="仿宋" w:eastAsia="仿宋" w:cs="仿宋"/>
          <w:lang w:val="en-US" w:eastAsia="zh-CN"/>
        </w:rPr>
      </w:pPr>
    </w:p>
    <w:p w14:paraId="3F93C80B">
      <w:pPr>
        <w:bidi w:val="0"/>
        <w:rPr>
          <w:rFonts w:hint="eastAsia" w:ascii="仿宋" w:hAnsi="仿宋" w:eastAsia="仿宋" w:cs="仿宋"/>
          <w:lang w:val="en-US" w:eastAsia="zh-CN"/>
        </w:rPr>
      </w:pPr>
    </w:p>
    <w:p w14:paraId="00FB3175">
      <w:pPr>
        <w:bidi w:val="0"/>
        <w:rPr>
          <w:rFonts w:hint="eastAsia" w:ascii="仿宋" w:hAnsi="仿宋" w:eastAsia="仿宋" w:cs="仿宋"/>
          <w:lang w:val="en-US" w:eastAsia="zh-CN"/>
        </w:rPr>
      </w:pPr>
    </w:p>
    <w:p w14:paraId="59FBDCF3">
      <w:pPr>
        <w:bidi w:val="0"/>
        <w:rPr>
          <w:rFonts w:hint="eastAsia" w:ascii="仿宋" w:hAnsi="仿宋" w:eastAsia="仿宋" w:cs="仿宋"/>
          <w:lang w:val="en-US" w:eastAsia="zh-CN"/>
        </w:rPr>
      </w:pPr>
    </w:p>
    <w:p w14:paraId="2B668E45">
      <w:pPr>
        <w:bidi w:val="0"/>
        <w:rPr>
          <w:rFonts w:hint="eastAsia" w:ascii="仿宋" w:hAnsi="仿宋" w:eastAsia="仿宋" w:cs="仿宋"/>
          <w:lang w:val="en-US" w:eastAsia="zh-CN"/>
        </w:rPr>
      </w:pPr>
    </w:p>
    <w:p w14:paraId="03514DCE">
      <w:pPr>
        <w:bidi w:val="0"/>
        <w:rPr>
          <w:rFonts w:hint="eastAsia" w:ascii="仿宋" w:hAnsi="仿宋" w:eastAsia="仿宋" w:cs="仿宋"/>
          <w:lang w:val="en-US" w:eastAsia="zh-CN"/>
        </w:rPr>
      </w:pPr>
    </w:p>
    <w:p w14:paraId="563D54B0">
      <w:pPr>
        <w:bidi w:val="0"/>
        <w:rPr>
          <w:rFonts w:hint="eastAsia" w:ascii="仿宋" w:hAnsi="仿宋" w:eastAsia="仿宋" w:cs="仿宋"/>
          <w:lang w:val="en-US" w:eastAsia="zh-CN"/>
        </w:rPr>
      </w:pPr>
    </w:p>
    <w:p w14:paraId="03C8E91E">
      <w:pPr>
        <w:bidi w:val="0"/>
        <w:rPr>
          <w:rFonts w:hint="eastAsia" w:ascii="仿宋" w:hAnsi="仿宋" w:eastAsia="仿宋" w:cs="仿宋"/>
          <w:lang w:val="en-US" w:eastAsia="zh-CN"/>
        </w:rPr>
      </w:pPr>
    </w:p>
    <w:p w14:paraId="2B92691C">
      <w:pPr>
        <w:bidi w:val="0"/>
        <w:rPr>
          <w:rFonts w:hint="eastAsia" w:ascii="仿宋" w:hAnsi="仿宋" w:eastAsia="仿宋" w:cs="仿宋"/>
          <w:lang w:val="en-US" w:eastAsia="zh-CN"/>
        </w:rPr>
      </w:pPr>
    </w:p>
    <w:p w14:paraId="2970A517">
      <w:pPr>
        <w:bidi w:val="0"/>
        <w:rPr>
          <w:rFonts w:hint="eastAsia" w:ascii="仿宋" w:hAnsi="仿宋" w:eastAsia="仿宋" w:cs="仿宋"/>
          <w:lang w:val="en-US" w:eastAsia="zh-CN"/>
        </w:rPr>
      </w:pPr>
    </w:p>
    <w:p w14:paraId="7539AC87">
      <w:pPr>
        <w:bidi w:val="0"/>
        <w:rPr>
          <w:rFonts w:hint="eastAsia" w:ascii="仿宋" w:hAnsi="仿宋" w:eastAsia="仿宋" w:cs="仿宋"/>
          <w:lang w:val="en-US" w:eastAsia="zh-CN"/>
        </w:rPr>
      </w:pPr>
    </w:p>
    <w:p w14:paraId="353642F9">
      <w:pPr>
        <w:bidi w:val="0"/>
        <w:rPr>
          <w:rFonts w:hint="eastAsia" w:ascii="仿宋" w:hAnsi="仿宋" w:eastAsia="仿宋" w:cs="仿宋"/>
          <w:lang w:val="en-US" w:eastAsia="zh-CN"/>
        </w:rPr>
      </w:pPr>
    </w:p>
    <w:p w14:paraId="6520EE2E">
      <w:pPr>
        <w:bidi w:val="0"/>
        <w:rPr>
          <w:rFonts w:hint="eastAsia" w:ascii="仿宋" w:hAnsi="仿宋" w:eastAsia="仿宋" w:cs="仿宋"/>
          <w:lang w:val="en-US" w:eastAsia="zh-CN"/>
        </w:rPr>
      </w:pPr>
    </w:p>
    <w:p w14:paraId="63A397C0">
      <w:pPr>
        <w:bidi w:val="0"/>
        <w:rPr>
          <w:rFonts w:hint="eastAsia" w:ascii="仿宋" w:hAnsi="仿宋" w:eastAsia="仿宋" w:cs="仿宋"/>
          <w:lang w:val="en-US" w:eastAsia="zh-CN"/>
        </w:rPr>
      </w:pPr>
    </w:p>
    <w:p w14:paraId="69431791">
      <w:pPr>
        <w:bidi w:val="0"/>
        <w:rPr>
          <w:rFonts w:hint="eastAsia" w:ascii="仿宋" w:hAnsi="仿宋" w:eastAsia="仿宋" w:cs="仿宋"/>
          <w:lang w:val="en-US" w:eastAsia="zh-CN"/>
        </w:rPr>
      </w:pPr>
    </w:p>
    <w:p w14:paraId="1D666412">
      <w:pPr>
        <w:bidi w:val="0"/>
        <w:rPr>
          <w:rFonts w:hint="eastAsia" w:ascii="仿宋" w:hAnsi="仿宋" w:eastAsia="仿宋" w:cs="仿宋"/>
          <w:lang w:val="en-US" w:eastAsia="zh-CN"/>
        </w:rPr>
      </w:pPr>
    </w:p>
    <w:p w14:paraId="49C7EC2C">
      <w:pPr>
        <w:bidi w:val="0"/>
        <w:rPr>
          <w:rFonts w:hint="eastAsia" w:ascii="仿宋" w:hAnsi="仿宋" w:eastAsia="仿宋" w:cs="仿宋"/>
          <w:lang w:val="en-US" w:eastAsia="zh-CN"/>
        </w:rPr>
      </w:pPr>
    </w:p>
    <w:p w14:paraId="28A2146A">
      <w:pPr>
        <w:bidi w:val="0"/>
        <w:rPr>
          <w:rFonts w:hint="eastAsia" w:ascii="仿宋" w:hAnsi="仿宋" w:eastAsia="仿宋" w:cs="仿宋"/>
          <w:lang w:val="en-US" w:eastAsia="zh-CN"/>
        </w:rPr>
      </w:pPr>
    </w:p>
    <w:p w14:paraId="609CAF75">
      <w:pPr>
        <w:bidi w:val="0"/>
        <w:rPr>
          <w:rFonts w:hint="eastAsia" w:ascii="仿宋" w:hAnsi="仿宋" w:eastAsia="仿宋" w:cs="仿宋"/>
          <w:lang w:val="en-US" w:eastAsia="zh-CN"/>
        </w:rPr>
      </w:pPr>
    </w:p>
    <w:p w14:paraId="39CC99DD">
      <w:pPr>
        <w:bidi w:val="0"/>
        <w:rPr>
          <w:rFonts w:hint="eastAsia" w:ascii="仿宋" w:hAnsi="仿宋" w:eastAsia="仿宋" w:cs="仿宋"/>
          <w:lang w:val="en-US" w:eastAsia="zh-CN"/>
        </w:rPr>
      </w:pPr>
    </w:p>
    <w:p w14:paraId="2C686C6A">
      <w:pPr>
        <w:bidi w:val="0"/>
        <w:rPr>
          <w:rFonts w:hint="eastAsia" w:ascii="仿宋" w:hAnsi="仿宋" w:eastAsia="仿宋" w:cs="仿宋"/>
          <w:lang w:val="en-US" w:eastAsia="zh-CN"/>
        </w:rPr>
      </w:pPr>
    </w:p>
    <w:p w14:paraId="4591C823">
      <w:pPr>
        <w:bidi w:val="0"/>
        <w:rPr>
          <w:rFonts w:hint="eastAsia" w:ascii="仿宋" w:hAnsi="仿宋" w:eastAsia="仿宋" w:cs="仿宋"/>
          <w:lang w:val="en-US" w:eastAsia="zh-CN"/>
        </w:rPr>
      </w:pPr>
    </w:p>
    <w:p w14:paraId="04ED1AB0">
      <w:pPr>
        <w:bidi w:val="0"/>
        <w:rPr>
          <w:rFonts w:hint="eastAsia" w:ascii="仿宋" w:hAnsi="仿宋" w:eastAsia="仿宋" w:cs="仿宋"/>
          <w:lang w:val="en-US" w:eastAsia="zh-CN"/>
        </w:rPr>
      </w:pPr>
    </w:p>
    <w:p w14:paraId="4EBB5860">
      <w:pPr>
        <w:bidi w:val="0"/>
        <w:rPr>
          <w:rFonts w:hint="eastAsia" w:ascii="仿宋" w:hAnsi="仿宋" w:eastAsia="仿宋" w:cs="仿宋"/>
          <w:lang w:val="en-US" w:eastAsia="zh-CN"/>
        </w:rPr>
      </w:pPr>
    </w:p>
    <w:p w14:paraId="2215D410">
      <w:pPr>
        <w:tabs>
          <w:tab w:val="left" w:pos="235"/>
        </w:tabs>
        <w:bidi w:val="0"/>
        <w:jc w:val="left"/>
        <w:rPr>
          <w:rFonts w:hint="eastAsia" w:ascii="仿宋" w:hAnsi="仿宋" w:eastAsia="仿宋" w:cs="仿宋"/>
          <w:lang w:val="en-US" w:eastAsia="zh-CN"/>
        </w:rPr>
        <w:sectPr>
          <w:headerReference r:id="rId19" w:type="default"/>
          <w:pgSz w:w="11906" w:h="16838"/>
          <w:pgMar w:top="2098" w:right="1474" w:bottom="1985" w:left="1588" w:header="851" w:footer="992" w:gutter="0"/>
          <w:pgNumType w:fmt="numberInDash"/>
          <w:cols w:space="425" w:num="1"/>
          <w:docGrid w:type="lines" w:linePitch="312" w:charSpace="0"/>
        </w:sectPr>
      </w:pPr>
      <w:r>
        <w:rPr>
          <w:rFonts w:hint="eastAsia" w:ascii="仿宋" w:hAnsi="仿宋" w:eastAsia="仿宋" w:cs="仿宋"/>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14:paraId="4746CFF2">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14:paraId="3E1C02B4">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o:title="5%" focussize="0,0" r:id="rId25"/>
                <v:stroke weight="0.5pt" color="#FFD966 [3204]" joinstyle="round"/>
                <v:imagedata o:title=""/>
                <o:lock v:ext="edit" aspectratio="f"/>
                <v:textbox>
                  <w:txbxContent>
                    <w:p w14:paraId="4746CFF2">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14:paraId="3E1C02B4">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14:paraId="31139120">
      <w:pPr>
        <w:tabs>
          <w:tab w:val="left" w:pos="886"/>
        </w:tabs>
        <w:bidi w:val="0"/>
        <w:jc w:val="left"/>
        <w:rPr>
          <w:rFonts w:hint="eastAsia" w:ascii="仿宋" w:hAnsi="仿宋" w:eastAsia="仿宋" w:cs="仿宋"/>
          <w:lang w:val="en-US" w:eastAsia="zh-CN"/>
        </w:rPr>
      </w:pPr>
    </w:p>
    <w:p w14:paraId="29A7F081">
      <w:pPr>
        <w:bidi w:val="0"/>
        <w:jc w:val="left"/>
        <w:rPr>
          <w:rFonts w:hint="eastAsia" w:ascii="仿宋" w:hAnsi="仿宋" w:eastAsia="仿宋" w:cs="仿宋"/>
          <w:lang w:val="en-US" w:eastAsia="zh-CN"/>
        </w:rPr>
      </w:pP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623"/>
        <w:gridCol w:w="870"/>
        <w:gridCol w:w="3403"/>
        <w:gridCol w:w="541"/>
        <w:gridCol w:w="844"/>
      </w:tblGrid>
      <w:tr w14:paraId="4C7AB7D0">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615D5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收入支出决算总表</w:t>
            </w:r>
          </w:p>
        </w:tc>
      </w:tr>
      <w:tr w14:paraId="22E6CC08">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0ABCE344">
            <w:pPr>
              <w:rPr>
                <w:rFonts w:hint="eastAsia" w:ascii="仿宋" w:hAnsi="仿宋" w:eastAsia="仿宋" w:cs="仿宋"/>
                <w:i w:val="0"/>
                <w:color w:val="000000"/>
                <w:sz w:val="20"/>
                <w:szCs w:val="20"/>
                <w:u w:val="none"/>
              </w:rPr>
            </w:pPr>
          </w:p>
        </w:tc>
        <w:tc>
          <w:tcPr>
            <w:tcW w:w="623" w:type="dxa"/>
            <w:tcBorders>
              <w:top w:val="nil"/>
              <w:left w:val="nil"/>
              <w:bottom w:val="nil"/>
              <w:right w:val="nil"/>
            </w:tcBorders>
            <w:shd w:val="clear" w:color="auto" w:fill="auto"/>
            <w:noWrap/>
            <w:tcMar>
              <w:top w:w="15" w:type="dxa"/>
              <w:left w:w="15" w:type="dxa"/>
              <w:right w:w="15" w:type="dxa"/>
            </w:tcMar>
            <w:vAlign w:val="bottom"/>
          </w:tcPr>
          <w:p w14:paraId="1A34A039">
            <w:pPr>
              <w:rPr>
                <w:rFonts w:hint="eastAsia" w:ascii="仿宋" w:hAnsi="仿宋" w:eastAsia="仿宋" w:cs="仿宋"/>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bottom"/>
          </w:tcPr>
          <w:p w14:paraId="3FBE296E">
            <w:pPr>
              <w:rPr>
                <w:rFonts w:hint="eastAsia" w:ascii="仿宋" w:hAnsi="仿宋" w:eastAsia="仿宋" w:cs="仿宋"/>
                <w:i w:val="0"/>
                <w:color w:val="000000"/>
                <w:sz w:val="20"/>
                <w:szCs w:val="20"/>
                <w:u w:val="none"/>
              </w:rPr>
            </w:pPr>
          </w:p>
        </w:tc>
        <w:tc>
          <w:tcPr>
            <w:tcW w:w="4788" w:type="dxa"/>
            <w:gridSpan w:val="3"/>
            <w:tcBorders>
              <w:top w:val="nil"/>
              <w:left w:val="nil"/>
              <w:bottom w:val="nil"/>
              <w:right w:val="nil"/>
            </w:tcBorders>
            <w:shd w:val="clear" w:color="auto" w:fill="auto"/>
            <w:noWrap/>
            <w:tcMar>
              <w:top w:w="15" w:type="dxa"/>
              <w:left w:w="15" w:type="dxa"/>
              <w:right w:w="15" w:type="dxa"/>
            </w:tcMar>
            <w:vAlign w:val="bottom"/>
          </w:tcPr>
          <w:p w14:paraId="50899949">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公开01表</w:t>
            </w:r>
          </w:p>
        </w:tc>
      </w:tr>
      <w:tr w14:paraId="130B617B">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5D11AD7B">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部门：唐山市曹妃甸区行政审批局</w:t>
            </w:r>
          </w:p>
        </w:tc>
        <w:tc>
          <w:tcPr>
            <w:tcW w:w="623" w:type="dxa"/>
            <w:tcBorders>
              <w:top w:val="nil"/>
              <w:left w:val="nil"/>
              <w:bottom w:val="nil"/>
              <w:right w:val="nil"/>
            </w:tcBorders>
            <w:shd w:val="clear" w:color="auto" w:fill="auto"/>
            <w:noWrap/>
            <w:tcMar>
              <w:top w:w="15" w:type="dxa"/>
              <w:left w:w="15" w:type="dxa"/>
              <w:right w:w="15" w:type="dxa"/>
            </w:tcMar>
            <w:vAlign w:val="bottom"/>
          </w:tcPr>
          <w:p w14:paraId="651ED053">
            <w:pPr>
              <w:rPr>
                <w:rFonts w:hint="eastAsia" w:ascii="仿宋" w:hAnsi="仿宋" w:eastAsia="仿宋" w:cs="仿宋"/>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bottom"/>
          </w:tcPr>
          <w:p w14:paraId="3417F06A">
            <w:pPr>
              <w:rPr>
                <w:rFonts w:hint="eastAsia" w:ascii="仿宋" w:hAnsi="仿宋" w:eastAsia="仿宋" w:cs="仿宋"/>
                <w:i w:val="0"/>
                <w:color w:val="000000"/>
                <w:sz w:val="20"/>
                <w:szCs w:val="20"/>
                <w:u w:val="none"/>
              </w:rPr>
            </w:pPr>
          </w:p>
        </w:tc>
        <w:tc>
          <w:tcPr>
            <w:tcW w:w="4788" w:type="dxa"/>
            <w:gridSpan w:val="3"/>
            <w:tcBorders>
              <w:top w:val="nil"/>
              <w:left w:val="nil"/>
              <w:bottom w:val="nil"/>
              <w:right w:val="nil"/>
            </w:tcBorders>
            <w:shd w:val="clear" w:color="auto" w:fill="auto"/>
            <w:noWrap/>
            <w:tcMar>
              <w:top w:w="15" w:type="dxa"/>
              <w:left w:w="15" w:type="dxa"/>
              <w:right w:w="15" w:type="dxa"/>
            </w:tcMar>
            <w:vAlign w:val="bottom"/>
          </w:tcPr>
          <w:p w14:paraId="25F7C538">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4D4A0C2D">
        <w:tblPrEx>
          <w:tblCellMar>
            <w:top w:w="0" w:type="dxa"/>
            <w:left w:w="0" w:type="dxa"/>
            <w:bottom w:w="0" w:type="dxa"/>
            <w:right w:w="0" w:type="dxa"/>
          </w:tblCellMar>
        </w:tblPrEx>
        <w:trPr>
          <w:trHeight w:val="284" w:hRule="atLeast"/>
          <w:jc w:val="center"/>
        </w:trPr>
        <w:tc>
          <w:tcPr>
            <w:tcW w:w="472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320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收入</w:t>
            </w:r>
          </w:p>
        </w:tc>
        <w:tc>
          <w:tcPr>
            <w:tcW w:w="4788"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F6CE8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支出</w:t>
            </w:r>
          </w:p>
        </w:tc>
      </w:tr>
      <w:tr w14:paraId="361C24BC">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234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A157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行次</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613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A74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337B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C6A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w:t>
            </w:r>
          </w:p>
        </w:tc>
      </w:tr>
      <w:tr w14:paraId="7333A29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4F0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栏次</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D7D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B58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BFE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91A5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7154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14:paraId="007ECA7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165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一、一般公共预算财政拨款收入</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F406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502DD">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3195.2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0D6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1C1E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8EFF7">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2612.2　</w:t>
            </w:r>
          </w:p>
        </w:tc>
      </w:tr>
      <w:tr w14:paraId="238A030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91D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二、政府性基金预算财政拨款收入</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4E9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9EE8A">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140E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63D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CC62C">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732A37FE">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9794">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三、上级补助收入</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E43C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6D01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FFCA">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F72B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269E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773BDD6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BED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四、事业收入</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092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5965">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3D4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B89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11503">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6C4A99B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22C5">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五、经营收入</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8ECA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C2724">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C4EC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ACC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A36F6">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4FDA449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4EB5">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六、附属单位上缴收入</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C1F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7032">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426C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9863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784B">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5E4A687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B5F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七、其他收入</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2B28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CBE5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668A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E68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4511B">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4E78597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1FF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15F4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F8B1">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0B6F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410E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54B6">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151.8　</w:t>
            </w:r>
          </w:p>
        </w:tc>
      </w:tr>
      <w:tr w14:paraId="5E78F0D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50C8">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A63E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5A83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0B7E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BB1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381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123.46　</w:t>
            </w:r>
          </w:p>
        </w:tc>
      </w:tr>
      <w:tr w14:paraId="3298799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9D8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542F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EA8DA">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8F0B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CC40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239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44F3DE1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09F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9A41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E8C77">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2B66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CBA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ADB62">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57A82B6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C31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02F5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7F63">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E3B0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6EF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7E3D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2F79AA6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9B4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E950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4A265">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1487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5598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49B3">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48DDC94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B0E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3CA6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7A4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DF36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4EDE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4383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28F8A47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FF3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099F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728D">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C1F2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F83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927A4">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2AAA060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D7F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6633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B26FD">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7DED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AAA1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63FB7">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6461C7C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F8E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1616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8BBAF">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9600C">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1BF2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B1605">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1673C19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569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7721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15B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E5C2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469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C2AC">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080C6F4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BDE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F50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45D5F">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E86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4677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DEA46">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100.66　</w:t>
            </w:r>
          </w:p>
        </w:tc>
      </w:tr>
      <w:tr w14:paraId="7E15ED6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508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642B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0A3B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D86E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34D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68F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1703047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4E6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E9B1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9CB8F">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0B19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4253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54C7D">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596D70E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E09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C06E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BE29">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07E7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79C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58A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5725554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FE1E">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951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D18A">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333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1BE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DB0E0">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7B2E618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C9C1">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本年收入合计</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B5F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F0DE">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3195.2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55B2B">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628B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3EB9">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2988.12　</w:t>
            </w:r>
          </w:p>
        </w:tc>
      </w:tr>
      <w:tr w14:paraId="1DEEA67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6295">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用事业基金弥补收支差额</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265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9B5E2">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3E99F">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B785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269AF">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262C56D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CE62">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年初结转和结余</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BECF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5C43">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121.32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A031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5B9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094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328.39　</w:t>
            </w:r>
          </w:p>
        </w:tc>
      </w:tr>
      <w:tr w14:paraId="70AE0BB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BE8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63C9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994F">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432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31C5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FD23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w:t>
            </w:r>
          </w:p>
        </w:tc>
      </w:tr>
      <w:tr w14:paraId="736617A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19C1">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总计</w:t>
            </w: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4B06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CAA38">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3316.52　</w:t>
            </w:r>
          </w:p>
        </w:tc>
        <w:tc>
          <w:tcPr>
            <w:tcW w:w="3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8FC5">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B4B4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F9090">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3316.52　</w:t>
            </w:r>
          </w:p>
        </w:tc>
      </w:tr>
      <w:tr w14:paraId="3464BEFF">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55E4CF7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注：本表反映部门本年度的总收支和年末结转结余情况。</w:t>
            </w:r>
          </w:p>
          <w:p w14:paraId="1CAED01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p w14:paraId="1190FAF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bl>
    <w:tbl>
      <w:tblPr>
        <w:tblStyle w:val="6"/>
        <w:tblW w:w="9681" w:type="dxa"/>
        <w:jc w:val="center"/>
        <w:shd w:val="clear" w:color="auto" w:fill="auto"/>
        <w:tblLayout w:type="autofit"/>
        <w:tblCellMar>
          <w:top w:w="0" w:type="dxa"/>
          <w:left w:w="0" w:type="dxa"/>
          <w:bottom w:w="0" w:type="dxa"/>
          <w:right w:w="0" w:type="dxa"/>
        </w:tblCellMar>
      </w:tblPr>
      <w:tblGrid>
        <w:gridCol w:w="718"/>
        <w:gridCol w:w="41"/>
        <w:gridCol w:w="41"/>
        <w:gridCol w:w="4374"/>
        <w:gridCol w:w="1342"/>
        <w:gridCol w:w="1021"/>
        <w:gridCol w:w="433"/>
        <w:gridCol w:w="433"/>
        <w:gridCol w:w="455"/>
        <w:gridCol w:w="495"/>
        <w:gridCol w:w="480"/>
      </w:tblGrid>
      <w:tr w14:paraId="69519E5A">
        <w:tblPrEx>
          <w:shd w:val="clear" w:color="auto" w:fill="auto"/>
          <w:tblCellMar>
            <w:top w:w="0" w:type="dxa"/>
            <w:left w:w="0" w:type="dxa"/>
            <w:bottom w:w="0" w:type="dxa"/>
            <w:right w:w="0" w:type="dxa"/>
          </w:tblCellMar>
        </w:tblPrEx>
        <w:trPr>
          <w:trHeight w:val="670" w:hRule="atLeast"/>
          <w:jc w:val="center"/>
        </w:trPr>
        <w:tc>
          <w:tcPr>
            <w:tcW w:w="9681" w:type="dxa"/>
            <w:gridSpan w:val="11"/>
            <w:tcBorders>
              <w:top w:val="nil"/>
              <w:left w:val="nil"/>
              <w:bottom w:val="nil"/>
              <w:right w:val="nil"/>
            </w:tcBorders>
            <w:shd w:val="clear" w:color="auto" w:fill="auto"/>
            <w:noWrap/>
            <w:tcMar>
              <w:top w:w="15" w:type="dxa"/>
              <w:left w:w="15" w:type="dxa"/>
              <w:right w:w="15" w:type="dxa"/>
            </w:tcMar>
            <w:vAlign w:val="bottom"/>
          </w:tcPr>
          <w:p w14:paraId="086D9E9D">
            <w:pPr>
              <w:keepNext w:val="0"/>
              <w:keepLines w:val="0"/>
              <w:widowControl/>
              <w:suppressLineNumbers w:val="0"/>
              <w:jc w:val="center"/>
              <w:textAlignment w:val="bottom"/>
              <w:rPr>
                <w:rFonts w:hint="eastAsia" w:ascii="仿宋" w:hAnsi="仿宋" w:eastAsia="仿宋" w:cs="仿宋"/>
                <w:i w:val="0"/>
                <w:color w:val="000000"/>
                <w:kern w:val="0"/>
                <w:sz w:val="32"/>
                <w:szCs w:val="32"/>
                <w:u w:val="none"/>
                <w:lang w:val="en-US" w:eastAsia="zh-CN" w:bidi="ar"/>
              </w:rPr>
            </w:pPr>
          </w:p>
          <w:p w14:paraId="6CC660E3">
            <w:pPr>
              <w:keepNext w:val="0"/>
              <w:keepLines w:val="0"/>
              <w:widowControl/>
              <w:suppressLineNumbers w:val="0"/>
              <w:jc w:val="center"/>
              <w:textAlignment w:val="bottom"/>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收入决算表</w:t>
            </w:r>
          </w:p>
        </w:tc>
      </w:tr>
      <w:tr w14:paraId="3662CECE">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7D7F454">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FAB62DD">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E9C2F37">
            <w:pPr>
              <w:rPr>
                <w:rFonts w:hint="eastAsia" w:ascii="仿宋" w:hAnsi="仿宋" w:eastAsia="仿宋" w:cs="仿宋"/>
                <w:i w:val="0"/>
                <w:color w:val="000000"/>
                <w:sz w:val="20"/>
                <w:szCs w:val="20"/>
                <w:u w:val="none"/>
              </w:rPr>
            </w:pPr>
          </w:p>
        </w:tc>
        <w:tc>
          <w:tcPr>
            <w:tcW w:w="3951" w:type="dxa"/>
            <w:tcBorders>
              <w:top w:val="nil"/>
              <w:left w:val="nil"/>
              <w:bottom w:val="nil"/>
              <w:right w:val="nil"/>
            </w:tcBorders>
            <w:shd w:val="clear" w:color="auto" w:fill="auto"/>
            <w:noWrap/>
            <w:tcMar>
              <w:top w:w="15" w:type="dxa"/>
              <w:left w:w="15" w:type="dxa"/>
              <w:right w:w="15" w:type="dxa"/>
            </w:tcMar>
            <w:vAlign w:val="bottom"/>
          </w:tcPr>
          <w:p w14:paraId="09309548">
            <w:pPr>
              <w:rPr>
                <w:rFonts w:hint="eastAsia" w:ascii="仿宋" w:hAnsi="仿宋" w:eastAsia="仿宋" w:cs="仿宋"/>
                <w:i w:val="0"/>
                <w:color w:val="000000"/>
                <w:sz w:val="20"/>
                <w:szCs w:val="20"/>
                <w:u w:val="none"/>
              </w:rPr>
            </w:pPr>
          </w:p>
        </w:tc>
        <w:tc>
          <w:tcPr>
            <w:tcW w:w="1212" w:type="dxa"/>
            <w:tcBorders>
              <w:top w:val="nil"/>
              <w:left w:val="nil"/>
              <w:bottom w:val="nil"/>
              <w:right w:val="nil"/>
            </w:tcBorders>
            <w:shd w:val="clear" w:color="auto" w:fill="auto"/>
            <w:noWrap/>
            <w:tcMar>
              <w:top w:w="15" w:type="dxa"/>
              <w:left w:w="15" w:type="dxa"/>
              <w:right w:w="15" w:type="dxa"/>
            </w:tcMar>
            <w:vAlign w:val="bottom"/>
          </w:tcPr>
          <w:p w14:paraId="33765776">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780D3F1">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D81EA01">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D66FF45">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B5AA3F8">
            <w:pPr>
              <w:rPr>
                <w:rFonts w:hint="eastAsia" w:ascii="仿宋" w:hAnsi="仿宋" w:eastAsia="仿宋" w:cs="仿宋"/>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A466EE6">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公开02表</w:t>
            </w:r>
          </w:p>
        </w:tc>
      </w:tr>
      <w:tr w14:paraId="5829A672">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62DE97D0">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5DE818DA">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BE26B16">
            <w:pPr>
              <w:rPr>
                <w:rFonts w:hint="eastAsia" w:ascii="仿宋" w:hAnsi="仿宋" w:eastAsia="仿宋" w:cs="仿宋"/>
                <w:i w:val="0"/>
                <w:color w:val="000000"/>
                <w:sz w:val="20"/>
                <w:szCs w:val="20"/>
                <w:u w:val="none"/>
              </w:rPr>
            </w:pPr>
          </w:p>
        </w:tc>
        <w:tc>
          <w:tcPr>
            <w:tcW w:w="3951" w:type="dxa"/>
            <w:tcBorders>
              <w:top w:val="nil"/>
              <w:left w:val="nil"/>
              <w:bottom w:val="nil"/>
              <w:right w:val="nil"/>
            </w:tcBorders>
            <w:shd w:val="clear" w:color="auto" w:fill="auto"/>
            <w:noWrap/>
            <w:tcMar>
              <w:top w:w="15" w:type="dxa"/>
              <w:left w:w="15" w:type="dxa"/>
              <w:right w:w="15" w:type="dxa"/>
            </w:tcMar>
            <w:vAlign w:val="bottom"/>
          </w:tcPr>
          <w:p w14:paraId="56B58CE1">
            <w:pP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唐山市曹妃甸区行政审批局</w:t>
            </w:r>
          </w:p>
        </w:tc>
        <w:tc>
          <w:tcPr>
            <w:tcW w:w="1212" w:type="dxa"/>
            <w:tcBorders>
              <w:top w:val="nil"/>
              <w:left w:val="nil"/>
              <w:bottom w:val="nil"/>
              <w:right w:val="nil"/>
            </w:tcBorders>
            <w:shd w:val="clear" w:color="auto" w:fill="auto"/>
            <w:noWrap/>
            <w:tcMar>
              <w:top w:w="15" w:type="dxa"/>
              <w:left w:w="15" w:type="dxa"/>
              <w:right w:w="15" w:type="dxa"/>
            </w:tcMar>
            <w:vAlign w:val="bottom"/>
          </w:tcPr>
          <w:p w14:paraId="0A28E3AF">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0A1D082">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0367472">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55E0AF3">
            <w:pPr>
              <w:rPr>
                <w:rFonts w:hint="eastAsia" w:ascii="仿宋" w:hAnsi="仿宋" w:eastAsia="仿宋" w:cs="仿宋"/>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19C9855C">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1329C1C1">
        <w:tblPrEx>
          <w:tblCellMar>
            <w:top w:w="0" w:type="dxa"/>
            <w:left w:w="0" w:type="dxa"/>
            <w:bottom w:w="0" w:type="dxa"/>
            <w:right w:w="0" w:type="dxa"/>
          </w:tblCellMar>
        </w:tblPrEx>
        <w:trPr>
          <w:trHeight w:val="385" w:hRule="atLeast"/>
          <w:jc w:val="center"/>
        </w:trPr>
        <w:tc>
          <w:tcPr>
            <w:tcW w:w="47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F3E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w:t>
            </w:r>
          </w:p>
        </w:tc>
        <w:tc>
          <w:tcPr>
            <w:tcW w:w="12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EF47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本年收入合计</w:t>
            </w:r>
          </w:p>
        </w:tc>
        <w:tc>
          <w:tcPr>
            <w:tcW w:w="10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C7BCF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财政拨款收入</w:t>
            </w:r>
          </w:p>
        </w:tc>
        <w:tc>
          <w:tcPr>
            <w:tcW w:w="5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87BDC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上级补助收入</w:t>
            </w:r>
          </w:p>
        </w:tc>
        <w:tc>
          <w:tcPr>
            <w:tcW w:w="5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7AC6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事业收入</w:t>
            </w:r>
          </w:p>
        </w:tc>
        <w:tc>
          <w:tcPr>
            <w:tcW w:w="5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2357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经营收入</w:t>
            </w:r>
          </w:p>
        </w:tc>
        <w:tc>
          <w:tcPr>
            <w:tcW w:w="5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3C3FE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附属单位上缴收入</w:t>
            </w:r>
          </w:p>
        </w:tc>
        <w:tc>
          <w:tcPr>
            <w:tcW w:w="5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8A7F3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其他收入</w:t>
            </w:r>
          </w:p>
        </w:tc>
      </w:tr>
      <w:tr w14:paraId="3A6E8B4F">
        <w:tblPrEx>
          <w:tblCellMar>
            <w:top w:w="0" w:type="dxa"/>
            <w:left w:w="0" w:type="dxa"/>
            <w:bottom w:w="0" w:type="dxa"/>
            <w:right w:w="0" w:type="dxa"/>
          </w:tblCellMar>
        </w:tblPrEx>
        <w:trPr>
          <w:trHeight w:val="380" w:hRule="atLeast"/>
          <w:jc w:val="center"/>
        </w:trPr>
        <w:tc>
          <w:tcPr>
            <w:tcW w:w="81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1C0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功能分类科目编码</w:t>
            </w:r>
          </w:p>
        </w:tc>
        <w:tc>
          <w:tcPr>
            <w:tcW w:w="395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C904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12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E9F026">
            <w:pPr>
              <w:jc w:val="center"/>
              <w:rPr>
                <w:rFonts w:hint="eastAsia" w:ascii="仿宋" w:hAnsi="仿宋" w:eastAsia="仿宋" w:cs="仿宋"/>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BB8996">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8F31D7">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4C2125">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867922">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42F841">
            <w:pPr>
              <w:jc w:val="center"/>
              <w:rPr>
                <w:rFonts w:hint="eastAsia" w:ascii="仿宋" w:hAnsi="仿宋" w:eastAsia="仿宋" w:cs="仿宋"/>
                <w:i w:val="0"/>
                <w:color w:val="000000"/>
                <w:sz w:val="22"/>
                <w:szCs w:val="22"/>
                <w:u w:val="none"/>
              </w:rPr>
            </w:pPr>
          </w:p>
        </w:tc>
        <w:tc>
          <w:tcPr>
            <w:tcW w:w="5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C3DBCE">
            <w:pPr>
              <w:jc w:val="center"/>
              <w:rPr>
                <w:rFonts w:hint="eastAsia" w:ascii="仿宋" w:hAnsi="仿宋" w:eastAsia="仿宋" w:cs="仿宋"/>
                <w:i w:val="0"/>
                <w:color w:val="000000"/>
                <w:sz w:val="22"/>
                <w:szCs w:val="22"/>
                <w:u w:val="none"/>
              </w:rPr>
            </w:pPr>
          </w:p>
        </w:tc>
      </w:tr>
      <w:tr w14:paraId="2EB3230F">
        <w:tblPrEx>
          <w:tblCellMar>
            <w:top w:w="0" w:type="dxa"/>
            <w:left w:w="0" w:type="dxa"/>
            <w:bottom w:w="0" w:type="dxa"/>
            <w:right w:w="0" w:type="dxa"/>
          </w:tblCellMar>
        </w:tblPrEx>
        <w:trPr>
          <w:trHeight w:val="380" w:hRule="atLeast"/>
          <w:jc w:val="center"/>
        </w:trPr>
        <w:tc>
          <w:tcPr>
            <w:tcW w:w="81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7DF3">
            <w:pPr>
              <w:jc w:val="center"/>
              <w:rPr>
                <w:rFonts w:hint="eastAsia" w:ascii="仿宋" w:hAnsi="仿宋" w:eastAsia="仿宋" w:cs="仿宋"/>
                <w:i w:val="0"/>
                <w:color w:val="000000"/>
                <w:sz w:val="22"/>
                <w:szCs w:val="22"/>
                <w:u w:val="none"/>
              </w:rPr>
            </w:pPr>
          </w:p>
        </w:tc>
        <w:tc>
          <w:tcPr>
            <w:tcW w:w="395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FC82F">
            <w:pPr>
              <w:jc w:val="center"/>
              <w:rPr>
                <w:rFonts w:hint="eastAsia" w:ascii="仿宋" w:hAnsi="仿宋" w:eastAsia="仿宋" w:cs="仿宋"/>
                <w:i w:val="0"/>
                <w:color w:val="000000"/>
                <w:sz w:val="22"/>
                <w:szCs w:val="22"/>
                <w:u w:val="none"/>
              </w:rPr>
            </w:pPr>
          </w:p>
        </w:tc>
        <w:tc>
          <w:tcPr>
            <w:tcW w:w="12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2F8ADB">
            <w:pPr>
              <w:jc w:val="center"/>
              <w:rPr>
                <w:rFonts w:hint="eastAsia" w:ascii="仿宋" w:hAnsi="仿宋" w:eastAsia="仿宋" w:cs="仿宋"/>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C9FE12">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E869DB">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96397E">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EE78BF">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7910A2">
            <w:pPr>
              <w:jc w:val="center"/>
              <w:rPr>
                <w:rFonts w:hint="eastAsia" w:ascii="仿宋" w:hAnsi="仿宋" w:eastAsia="仿宋" w:cs="仿宋"/>
                <w:i w:val="0"/>
                <w:color w:val="000000"/>
                <w:sz w:val="22"/>
                <w:szCs w:val="22"/>
                <w:u w:val="none"/>
              </w:rPr>
            </w:pPr>
          </w:p>
        </w:tc>
        <w:tc>
          <w:tcPr>
            <w:tcW w:w="5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7B2A0">
            <w:pPr>
              <w:jc w:val="center"/>
              <w:rPr>
                <w:rFonts w:hint="eastAsia" w:ascii="仿宋" w:hAnsi="仿宋" w:eastAsia="仿宋" w:cs="仿宋"/>
                <w:i w:val="0"/>
                <w:color w:val="000000"/>
                <w:sz w:val="22"/>
                <w:szCs w:val="22"/>
                <w:u w:val="none"/>
              </w:rPr>
            </w:pPr>
          </w:p>
        </w:tc>
      </w:tr>
      <w:tr w14:paraId="46362858">
        <w:tblPrEx>
          <w:tblCellMar>
            <w:top w:w="0" w:type="dxa"/>
            <w:left w:w="0" w:type="dxa"/>
            <w:bottom w:w="0" w:type="dxa"/>
            <w:right w:w="0" w:type="dxa"/>
          </w:tblCellMar>
        </w:tblPrEx>
        <w:trPr>
          <w:trHeight w:val="380" w:hRule="atLeast"/>
          <w:jc w:val="center"/>
        </w:trPr>
        <w:tc>
          <w:tcPr>
            <w:tcW w:w="81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3310">
            <w:pPr>
              <w:jc w:val="center"/>
              <w:rPr>
                <w:rFonts w:hint="eastAsia" w:ascii="仿宋" w:hAnsi="仿宋" w:eastAsia="仿宋" w:cs="仿宋"/>
                <w:i w:val="0"/>
                <w:color w:val="000000"/>
                <w:sz w:val="22"/>
                <w:szCs w:val="22"/>
                <w:u w:val="none"/>
              </w:rPr>
            </w:pPr>
          </w:p>
        </w:tc>
        <w:tc>
          <w:tcPr>
            <w:tcW w:w="395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A60B4">
            <w:pPr>
              <w:jc w:val="center"/>
              <w:rPr>
                <w:rFonts w:hint="eastAsia" w:ascii="仿宋" w:hAnsi="仿宋" w:eastAsia="仿宋" w:cs="仿宋"/>
                <w:i w:val="0"/>
                <w:color w:val="000000"/>
                <w:sz w:val="22"/>
                <w:szCs w:val="22"/>
                <w:u w:val="none"/>
              </w:rPr>
            </w:pPr>
          </w:p>
        </w:tc>
        <w:tc>
          <w:tcPr>
            <w:tcW w:w="12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5FF527">
            <w:pPr>
              <w:jc w:val="center"/>
              <w:rPr>
                <w:rFonts w:hint="eastAsia" w:ascii="仿宋" w:hAnsi="仿宋" w:eastAsia="仿宋" w:cs="仿宋"/>
                <w:i w:val="0"/>
                <w:color w:val="000000"/>
                <w:sz w:val="22"/>
                <w:szCs w:val="22"/>
                <w:u w:val="none"/>
              </w:rPr>
            </w:pPr>
          </w:p>
        </w:tc>
        <w:tc>
          <w:tcPr>
            <w:tcW w:w="10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E942A9">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5C8E6C">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FD5830">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C4825">
            <w:pPr>
              <w:jc w:val="center"/>
              <w:rPr>
                <w:rFonts w:hint="eastAsia" w:ascii="仿宋" w:hAnsi="仿宋" w:eastAsia="仿宋" w:cs="仿宋"/>
                <w:i w:val="0"/>
                <w:color w:val="000000"/>
                <w:sz w:val="22"/>
                <w:szCs w:val="22"/>
                <w:u w:val="none"/>
              </w:rPr>
            </w:pPr>
          </w:p>
        </w:tc>
        <w:tc>
          <w:tcPr>
            <w:tcW w:w="5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F47593">
            <w:pPr>
              <w:jc w:val="center"/>
              <w:rPr>
                <w:rFonts w:hint="eastAsia" w:ascii="仿宋" w:hAnsi="仿宋" w:eastAsia="仿宋" w:cs="仿宋"/>
                <w:i w:val="0"/>
                <w:color w:val="000000"/>
                <w:sz w:val="22"/>
                <w:szCs w:val="22"/>
                <w:u w:val="none"/>
              </w:rPr>
            </w:pPr>
          </w:p>
        </w:tc>
        <w:tc>
          <w:tcPr>
            <w:tcW w:w="5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56AD87">
            <w:pPr>
              <w:jc w:val="center"/>
              <w:rPr>
                <w:rFonts w:hint="eastAsia" w:ascii="仿宋" w:hAnsi="仿宋" w:eastAsia="仿宋" w:cs="仿宋"/>
                <w:i w:val="0"/>
                <w:color w:val="000000"/>
                <w:sz w:val="22"/>
                <w:szCs w:val="22"/>
                <w:u w:val="none"/>
              </w:rPr>
            </w:pPr>
          </w:p>
        </w:tc>
      </w:tr>
      <w:tr w14:paraId="39EA5063">
        <w:tblPrEx>
          <w:tblCellMar>
            <w:top w:w="0" w:type="dxa"/>
            <w:left w:w="0" w:type="dxa"/>
            <w:bottom w:w="0" w:type="dxa"/>
            <w:right w:w="0" w:type="dxa"/>
          </w:tblCellMar>
        </w:tblPrEx>
        <w:trPr>
          <w:trHeight w:val="385" w:hRule="atLeast"/>
          <w:jc w:val="center"/>
        </w:trPr>
        <w:tc>
          <w:tcPr>
            <w:tcW w:w="476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A23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栏次</w:t>
            </w:r>
          </w:p>
        </w:tc>
        <w:tc>
          <w:tcPr>
            <w:tcW w:w="12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931E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C1C0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27E3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DDAD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6DF5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A29F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5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C306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r>
      <w:tr w14:paraId="3344E6C2">
        <w:tblPrEx>
          <w:tblCellMar>
            <w:top w:w="0" w:type="dxa"/>
            <w:left w:w="0" w:type="dxa"/>
            <w:bottom w:w="0" w:type="dxa"/>
            <w:right w:w="0" w:type="dxa"/>
          </w:tblCellMar>
        </w:tblPrEx>
        <w:trPr>
          <w:trHeight w:val="385" w:hRule="atLeast"/>
          <w:jc w:val="center"/>
        </w:trPr>
        <w:tc>
          <w:tcPr>
            <w:tcW w:w="476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6BA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244A5">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97EE">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3C5D">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01A0">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0EF68">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60403">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8C83B">
            <w:pPr>
              <w:jc w:val="right"/>
              <w:rPr>
                <w:rFonts w:hint="eastAsia" w:ascii="仿宋" w:hAnsi="仿宋" w:eastAsia="仿宋" w:cs="仿宋"/>
                <w:b/>
                <w:i w:val="0"/>
                <w:color w:val="000000"/>
                <w:sz w:val="22"/>
                <w:szCs w:val="22"/>
                <w:u w:val="none"/>
              </w:rPr>
            </w:pPr>
          </w:p>
        </w:tc>
      </w:tr>
      <w:tr w14:paraId="3BA7E525">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4B18">
            <w:pPr>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2010306</w:t>
            </w:r>
          </w:p>
        </w:tc>
        <w:tc>
          <w:tcPr>
            <w:tcW w:w="3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BAB0">
            <w:pPr>
              <w:jc w:val="left"/>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政务公开审批</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986EB">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2727.11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D11CD">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2727.11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A187B">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15F8A">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53A22">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19888">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0D58F">
            <w:pPr>
              <w:jc w:val="right"/>
              <w:rPr>
                <w:rFonts w:hint="eastAsia" w:ascii="仿宋" w:hAnsi="仿宋" w:eastAsia="仿宋" w:cs="仿宋"/>
                <w:i w:val="0"/>
                <w:color w:val="000000"/>
                <w:sz w:val="22"/>
                <w:szCs w:val="22"/>
                <w:u w:val="none"/>
              </w:rPr>
            </w:pPr>
          </w:p>
        </w:tc>
      </w:tr>
      <w:tr w14:paraId="04B9467F">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5086">
            <w:pPr>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2080106</w:t>
            </w:r>
          </w:p>
        </w:tc>
        <w:tc>
          <w:tcPr>
            <w:tcW w:w="3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76CD1">
            <w:pPr>
              <w:jc w:val="left"/>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就业管理事务</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E806">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574E">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3D00D">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0DF3">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30374">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F25A">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8025F">
            <w:pPr>
              <w:jc w:val="right"/>
              <w:rPr>
                <w:rFonts w:hint="eastAsia" w:ascii="仿宋" w:hAnsi="仿宋" w:eastAsia="仿宋" w:cs="仿宋"/>
                <w:i w:val="0"/>
                <w:color w:val="000000"/>
                <w:sz w:val="22"/>
                <w:szCs w:val="22"/>
                <w:u w:val="none"/>
              </w:rPr>
            </w:pPr>
          </w:p>
        </w:tc>
      </w:tr>
      <w:tr w14:paraId="19D5463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DF66">
            <w:pPr>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2080505</w:t>
            </w:r>
          </w:p>
        </w:tc>
        <w:tc>
          <w:tcPr>
            <w:tcW w:w="3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2B9B">
            <w:pPr>
              <w:jc w:val="left"/>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机关事业单位基本养老保险缴费支出</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D7B2">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164.47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5F5F9">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164.47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24050">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FD51C">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D742A">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30EA">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F32BE">
            <w:pPr>
              <w:jc w:val="right"/>
              <w:rPr>
                <w:rFonts w:hint="eastAsia" w:ascii="仿宋" w:hAnsi="仿宋" w:eastAsia="仿宋" w:cs="仿宋"/>
                <w:i w:val="0"/>
                <w:color w:val="000000"/>
                <w:sz w:val="22"/>
                <w:szCs w:val="22"/>
                <w:u w:val="none"/>
              </w:rPr>
            </w:pPr>
          </w:p>
        </w:tc>
      </w:tr>
      <w:tr w14:paraId="57FCD26C">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A23A">
            <w:pPr>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2080506</w:t>
            </w:r>
          </w:p>
        </w:tc>
        <w:tc>
          <w:tcPr>
            <w:tcW w:w="3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02F50">
            <w:pPr>
              <w:jc w:val="left"/>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机关事业单位职业年金缴费支出</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307F6">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36FFA">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DC7C0">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D18E2">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EA812">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3CB26">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CE57C">
            <w:pPr>
              <w:jc w:val="right"/>
              <w:rPr>
                <w:rFonts w:hint="eastAsia" w:ascii="仿宋" w:hAnsi="仿宋" w:eastAsia="仿宋" w:cs="仿宋"/>
                <w:i w:val="0"/>
                <w:color w:val="000000"/>
                <w:sz w:val="22"/>
                <w:szCs w:val="22"/>
                <w:u w:val="none"/>
              </w:rPr>
            </w:pPr>
          </w:p>
        </w:tc>
      </w:tr>
      <w:tr w14:paraId="7326A7BA">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D321">
            <w:pPr>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2101101</w:t>
            </w:r>
          </w:p>
        </w:tc>
        <w:tc>
          <w:tcPr>
            <w:tcW w:w="3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6BE9">
            <w:pPr>
              <w:jc w:val="left"/>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行政单位医疗</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2751">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58.49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13BBB">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58.49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3B2D7">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B0743">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A5880">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4D627">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D668">
            <w:pPr>
              <w:jc w:val="right"/>
              <w:rPr>
                <w:rFonts w:hint="eastAsia" w:ascii="仿宋" w:hAnsi="仿宋" w:eastAsia="仿宋" w:cs="仿宋"/>
                <w:i w:val="0"/>
                <w:color w:val="000000"/>
                <w:sz w:val="22"/>
                <w:szCs w:val="22"/>
                <w:u w:val="none"/>
              </w:rPr>
            </w:pPr>
          </w:p>
        </w:tc>
      </w:tr>
      <w:tr w14:paraId="23E114C5">
        <w:tblPrEx>
          <w:tblCellMar>
            <w:top w:w="0" w:type="dxa"/>
            <w:left w:w="0" w:type="dxa"/>
            <w:bottom w:w="0" w:type="dxa"/>
            <w:right w:w="0" w:type="dxa"/>
          </w:tblCellMar>
        </w:tblPrEx>
        <w:trPr>
          <w:trHeight w:val="49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535E">
            <w:pPr>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2101103</w:t>
            </w:r>
          </w:p>
        </w:tc>
        <w:tc>
          <w:tcPr>
            <w:tcW w:w="3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2191C">
            <w:pPr>
              <w:jc w:val="left"/>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公务员医疗补助</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675B">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64.97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5ABD5">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64.97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AF12">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D8D9">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764D">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C9A5F">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D769">
            <w:pPr>
              <w:jc w:val="right"/>
              <w:rPr>
                <w:rFonts w:hint="eastAsia" w:ascii="仿宋" w:hAnsi="仿宋" w:eastAsia="仿宋" w:cs="仿宋"/>
                <w:i w:val="0"/>
                <w:color w:val="000000"/>
                <w:sz w:val="22"/>
                <w:szCs w:val="22"/>
                <w:u w:val="none"/>
              </w:rPr>
            </w:pPr>
          </w:p>
        </w:tc>
      </w:tr>
      <w:tr w14:paraId="77938E13">
        <w:tblPrEx>
          <w:tblCellMar>
            <w:top w:w="0" w:type="dxa"/>
            <w:left w:w="0" w:type="dxa"/>
            <w:bottom w:w="0" w:type="dxa"/>
            <w:right w:w="0" w:type="dxa"/>
          </w:tblCellMar>
        </w:tblPrEx>
        <w:trPr>
          <w:trHeight w:val="49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2CF0">
            <w:pPr>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2210201</w:t>
            </w:r>
          </w:p>
        </w:tc>
        <w:tc>
          <w:tcPr>
            <w:tcW w:w="3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E716">
            <w:pPr>
              <w:jc w:val="left"/>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住房公积金</w:t>
            </w:r>
          </w:p>
        </w:tc>
        <w:tc>
          <w:tcPr>
            <w:tcW w:w="12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5005">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F01A">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B4CC4">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85A6">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87F4F">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E74EB">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E3A9C">
            <w:pPr>
              <w:jc w:val="right"/>
              <w:rPr>
                <w:rFonts w:hint="eastAsia" w:ascii="仿宋" w:hAnsi="仿宋" w:eastAsia="仿宋" w:cs="仿宋"/>
                <w:i w:val="0"/>
                <w:color w:val="000000"/>
                <w:sz w:val="22"/>
                <w:szCs w:val="22"/>
                <w:u w:val="none"/>
              </w:rPr>
            </w:pPr>
          </w:p>
        </w:tc>
      </w:tr>
      <w:tr w14:paraId="75FA347D">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4E6E0AC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注：本表反映部门本年度取得的各项收入情况。</w:t>
            </w:r>
          </w:p>
        </w:tc>
      </w:tr>
      <w:tr w14:paraId="6646BEAF">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3CFCCDE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49ED7804">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678CE65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bl>
    <w:p w14:paraId="5DDA3603">
      <w:pPr>
        <w:bidi w:val="0"/>
        <w:jc w:val="left"/>
        <w:rPr>
          <w:rFonts w:hint="eastAsia" w:ascii="仿宋" w:hAnsi="仿宋" w:eastAsia="仿宋" w:cs="仿宋"/>
          <w:lang w:val="en-US" w:eastAsia="zh-CN"/>
        </w:rPr>
      </w:pPr>
    </w:p>
    <w:p w14:paraId="3582E1AA">
      <w:pPr>
        <w:rPr>
          <w:rFonts w:hint="eastAsia" w:ascii="仿宋" w:hAnsi="仿宋" w:eastAsia="仿宋" w:cs="仿宋"/>
          <w:lang w:val="en-US" w:eastAsia="zh-CN"/>
        </w:rPr>
      </w:pPr>
      <w:r>
        <w:rPr>
          <w:rFonts w:hint="eastAsia" w:ascii="仿宋" w:hAnsi="仿宋" w:eastAsia="仿宋" w:cs="仿宋"/>
          <w:lang w:val="en-US" w:eastAsia="zh-CN"/>
        </w:rPr>
        <w:br w:type="page"/>
      </w:r>
    </w:p>
    <w:tbl>
      <w:tblPr>
        <w:tblStyle w:val="6"/>
        <w:tblW w:w="9717" w:type="dxa"/>
        <w:jc w:val="center"/>
        <w:shd w:val="clear" w:color="auto" w:fill="auto"/>
        <w:tblLayout w:type="fixed"/>
        <w:tblCellMar>
          <w:top w:w="0" w:type="dxa"/>
          <w:left w:w="0" w:type="dxa"/>
          <w:bottom w:w="0" w:type="dxa"/>
          <w:right w:w="0" w:type="dxa"/>
        </w:tblCellMar>
      </w:tblPr>
      <w:tblGrid>
        <w:gridCol w:w="941"/>
        <w:gridCol w:w="240"/>
        <w:gridCol w:w="53"/>
        <w:gridCol w:w="37"/>
        <w:gridCol w:w="1193"/>
        <w:gridCol w:w="37"/>
        <w:gridCol w:w="1124"/>
        <w:gridCol w:w="37"/>
        <w:gridCol w:w="1124"/>
        <w:gridCol w:w="37"/>
        <w:gridCol w:w="1124"/>
        <w:gridCol w:w="37"/>
        <w:gridCol w:w="1124"/>
        <w:gridCol w:w="37"/>
        <w:gridCol w:w="1124"/>
        <w:gridCol w:w="37"/>
        <w:gridCol w:w="1374"/>
        <w:gridCol w:w="37"/>
      </w:tblGrid>
      <w:tr w14:paraId="6B8179B8">
        <w:tblPrEx>
          <w:shd w:val="clear" w:color="auto" w:fill="auto"/>
          <w:tblCellMar>
            <w:top w:w="0" w:type="dxa"/>
            <w:left w:w="0" w:type="dxa"/>
            <w:bottom w:w="0" w:type="dxa"/>
            <w:right w:w="0" w:type="dxa"/>
          </w:tblCellMar>
        </w:tblPrEx>
        <w:trPr>
          <w:gridAfter w:val="1"/>
          <w:wAfter w:w="37" w:type="dxa"/>
          <w:trHeight w:val="612" w:hRule="atLeast"/>
          <w:jc w:val="center"/>
        </w:trPr>
        <w:tc>
          <w:tcPr>
            <w:tcW w:w="9680" w:type="dxa"/>
            <w:gridSpan w:val="17"/>
            <w:tcBorders>
              <w:top w:val="nil"/>
              <w:left w:val="nil"/>
              <w:bottom w:val="nil"/>
              <w:right w:val="nil"/>
            </w:tcBorders>
            <w:shd w:val="clear" w:color="auto" w:fill="auto"/>
            <w:noWrap/>
            <w:tcMar>
              <w:top w:w="15" w:type="dxa"/>
              <w:left w:w="15" w:type="dxa"/>
              <w:right w:w="15" w:type="dxa"/>
            </w:tcMar>
            <w:vAlign w:val="center"/>
          </w:tcPr>
          <w:p w14:paraId="23450DC8">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支出决算表</w:t>
            </w:r>
          </w:p>
        </w:tc>
      </w:tr>
      <w:tr w14:paraId="0CBFFFAF">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651400BC">
            <w:pPr>
              <w:rPr>
                <w:rFonts w:hint="eastAsia" w:ascii="仿宋" w:hAnsi="仿宋" w:eastAsia="仿宋" w:cs="仿宋"/>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14:paraId="7ECCFA65">
            <w:pPr>
              <w:rPr>
                <w:rFonts w:hint="eastAsia" w:ascii="仿宋" w:hAnsi="仿宋" w:eastAsia="仿宋" w:cs="仿宋"/>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03EEA28D">
            <w:pPr>
              <w:rPr>
                <w:rFonts w:hint="eastAsia" w:ascii="仿宋" w:hAnsi="仿宋" w:eastAsia="仿宋" w:cs="仿宋"/>
                <w:i w:val="0"/>
                <w:color w:val="000000"/>
                <w:sz w:val="20"/>
                <w:szCs w:val="20"/>
                <w:u w:val="none"/>
              </w:rPr>
            </w:pPr>
          </w:p>
        </w:tc>
        <w:tc>
          <w:tcPr>
            <w:tcW w:w="1230" w:type="dxa"/>
            <w:gridSpan w:val="2"/>
            <w:tcBorders>
              <w:top w:val="nil"/>
              <w:left w:val="nil"/>
              <w:bottom w:val="nil"/>
              <w:right w:val="nil"/>
            </w:tcBorders>
            <w:shd w:val="clear" w:color="auto" w:fill="auto"/>
            <w:noWrap/>
            <w:tcMar>
              <w:top w:w="15" w:type="dxa"/>
              <w:left w:w="15" w:type="dxa"/>
              <w:right w:w="15" w:type="dxa"/>
            </w:tcMar>
            <w:vAlign w:val="bottom"/>
          </w:tcPr>
          <w:p w14:paraId="04844523">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408C0DB3">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25F1A26A">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5E74A0F9">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25FD863A">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212B3CAC">
            <w:pPr>
              <w:rPr>
                <w:rFonts w:hint="eastAsia" w:ascii="仿宋" w:hAnsi="仿宋" w:eastAsia="仿宋" w:cs="仿宋"/>
                <w:i w:val="0"/>
                <w:color w:val="000000"/>
                <w:sz w:val="20"/>
                <w:szCs w:val="20"/>
                <w:u w:val="none"/>
              </w:rPr>
            </w:pPr>
          </w:p>
        </w:tc>
        <w:tc>
          <w:tcPr>
            <w:tcW w:w="1411" w:type="dxa"/>
            <w:gridSpan w:val="2"/>
            <w:tcBorders>
              <w:top w:val="nil"/>
              <w:left w:val="nil"/>
              <w:bottom w:val="nil"/>
              <w:right w:val="nil"/>
            </w:tcBorders>
            <w:shd w:val="clear" w:color="auto" w:fill="auto"/>
            <w:noWrap/>
            <w:tcMar>
              <w:top w:w="15" w:type="dxa"/>
              <w:left w:w="15" w:type="dxa"/>
              <w:right w:w="15" w:type="dxa"/>
            </w:tcMar>
            <w:vAlign w:val="bottom"/>
          </w:tcPr>
          <w:p w14:paraId="5B0FF28F">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公开03表</w:t>
            </w:r>
          </w:p>
        </w:tc>
      </w:tr>
      <w:tr w14:paraId="6FAC316F">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14:paraId="79AF4878">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部门：唐山市曹妃甸区行政审批局</w:t>
            </w:r>
          </w:p>
        </w:tc>
        <w:tc>
          <w:tcPr>
            <w:tcW w:w="240" w:type="dxa"/>
            <w:tcBorders>
              <w:top w:val="nil"/>
              <w:left w:val="nil"/>
              <w:bottom w:val="nil"/>
              <w:right w:val="nil"/>
            </w:tcBorders>
            <w:shd w:val="clear" w:color="auto" w:fill="auto"/>
            <w:noWrap/>
            <w:tcMar>
              <w:top w:w="15" w:type="dxa"/>
              <w:left w:w="15" w:type="dxa"/>
              <w:right w:w="15" w:type="dxa"/>
            </w:tcMar>
            <w:vAlign w:val="bottom"/>
          </w:tcPr>
          <w:p w14:paraId="31D6E1B3">
            <w:pPr>
              <w:rPr>
                <w:rFonts w:hint="eastAsia" w:ascii="仿宋" w:hAnsi="仿宋" w:eastAsia="仿宋" w:cs="仿宋"/>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7066F0D1">
            <w:pPr>
              <w:rPr>
                <w:rFonts w:hint="eastAsia" w:ascii="仿宋" w:hAnsi="仿宋" w:eastAsia="仿宋" w:cs="仿宋"/>
                <w:i w:val="0"/>
                <w:color w:val="000000"/>
                <w:sz w:val="20"/>
                <w:szCs w:val="20"/>
                <w:u w:val="none"/>
              </w:rPr>
            </w:pPr>
          </w:p>
        </w:tc>
        <w:tc>
          <w:tcPr>
            <w:tcW w:w="1230" w:type="dxa"/>
            <w:gridSpan w:val="2"/>
            <w:tcBorders>
              <w:top w:val="nil"/>
              <w:left w:val="nil"/>
              <w:bottom w:val="nil"/>
              <w:right w:val="nil"/>
            </w:tcBorders>
            <w:shd w:val="clear" w:color="auto" w:fill="auto"/>
            <w:noWrap/>
            <w:tcMar>
              <w:top w:w="15" w:type="dxa"/>
              <w:left w:w="15" w:type="dxa"/>
              <w:right w:w="15" w:type="dxa"/>
            </w:tcMar>
            <w:vAlign w:val="bottom"/>
          </w:tcPr>
          <w:p w14:paraId="64C5ECDD">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34008D0E">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334EABA6">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47EF20F0">
            <w:pPr>
              <w:rPr>
                <w:rFonts w:hint="eastAsia" w:ascii="仿宋" w:hAnsi="仿宋" w:eastAsia="仿宋" w:cs="仿宋"/>
                <w:i w:val="0"/>
                <w:color w:val="000000"/>
                <w:sz w:val="20"/>
                <w:szCs w:val="20"/>
                <w:u w:val="none"/>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14:paraId="5C21ADDD">
            <w:pPr>
              <w:rPr>
                <w:rFonts w:hint="eastAsia" w:ascii="仿宋" w:hAnsi="仿宋" w:eastAsia="仿宋" w:cs="仿宋"/>
                <w:i w:val="0"/>
                <w:color w:val="000000"/>
                <w:sz w:val="20"/>
                <w:szCs w:val="20"/>
                <w:u w:val="none"/>
              </w:rPr>
            </w:pPr>
          </w:p>
        </w:tc>
        <w:tc>
          <w:tcPr>
            <w:tcW w:w="2572" w:type="dxa"/>
            <w:gridSpan w:val="4"/>
            <w:tcBorders>
              <w:top w:val="nil"/>
              <w:left w:val="nil"/>
              <w:bottom w:val="nil"/>
              <w:right w:val="nil"/>
            </w:tcBorders>
            <w:shd w:val="clear" w:color="auto" w:fill="auto"/>
            <w:noWrap/>
            <w:tcMar>
              <w:top w:w="15" w:type="dxa"/>
              <w:left w:w="15" w:type="dxa"/>
              <w:right w:w="15" w:type="dxa"/>
            </w:tcMar>
            <w:vAlign w:val="bottom"/>
          </w:tcPr>
          <w:p w14:paraId="3CF3F5FB">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6BA736F6">
        <w:tblPrEx>
          <w:tblCellMar>
            <w:top w:w="0" w:type="dxa"/>
            <w:left w:w="0" w:type="dxa"/>
            <w:bottom w:w="0" w:type="dxa"/>
            <w:right w:w="0" w:type="dxa"/>
          </w:tblCellMar>
        </w:tblPrEx>
        <w:trPr>
          <w:gridAfter w:val="1"/>
          <w:wAfter w:w="37" w:type="dxa"/>
          <w:trHeight w:val="323" w:hRule="atLeast"/>
          <w:jc w:val="center"/>
        </w:trPr>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562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5A41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本年支出合计</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FDAC7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基本支出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6623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0A3A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上缴上级支出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94AE6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经营支出</w:t>
            </w:r>
          </w:p>
        </w:tc>
        <w:tc>
          <w:tcPr>
            <w:tcW w:w="141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A8B6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对附属单位补助支出</w:t>
            </w:r>
          </w:p>
        </w:tc>
      </w:tr>
      <w:tr w14:paraId="55862E10">
        <w:tblPrEx>
          <w:tblCellMar>
            <w:top w:w="0" w:type="dxa"/>
            <w:left w:w="0" w:type="dxa"/>
            <w:bottom w:w="0" w:type="dxa"/>
            <w:right w:w="0" w:type="dxa"/>
          </w:tblCellMar>
        </w:tblPrEx>
        <w:trPr>
          <w:gridAfter w:val="1"/>
          <w:wAfter w:w="37" w:type="dxa"/>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16F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功能分类科目编码</w:t>
            </w:r>
          </w:p>
        </w:tc>
        <w:tc>
          <w:tcPr>
            <w:tcW w:w="1230"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C0F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44F009">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149B99">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0BCD8">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A22F0B">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D4E16">
            <w:pPr>
              <w:jc w:val="center"/>
              <w:rPr>
                <w:rFonts w:hint="eastAsia" w:ascii="仿宋" w:hAnsi="仿宋" w:eastAsia="仿宋" w:cs="仿宋"/>
                <w:i w:val="0"/>
                <w:color w:val="000000"/>
                <w:sz w:val="22"/>
                <w:szCs w:val="22"/>
                <w:u w:val="none"/>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6D19E7">
            <w:pPr>
              <w:jc w:val="center"/>
              <w:rPr>
                <w:rFonts w:hint="eastAsia" w:ascii="仿宋" w:hAnsi="仿宋" w:eastAsia="仿宋" w:cs="仿宋"/>
                <w:i w:val="0"/>
                <w:color w:val="000000"/>
                <w:sz w:val="22"/>
                <w:szCs w:val="22"/>
                <w:u w:val="none"/>
              </w:rPr>
            </w:pPr>
          </w:p>
        </w:tc>
      </w:tr>
      <w:tr w14:paraId="5C8DF53D">
        <w:tblPrEx>
          <w:tblCellMar>
            <w:top w:w="0" w:type="dxa"/>
            <w:left w:w="0" w:type="dxa"/>
            <w:bottom w:w="0" w:type="dxa"/>
            <w:right w:w="0" w:type="dxa"/>
          </w:tblCellMar>
        </w:tblPrEx>
        <w:trPr>
          <w:gridAfter w:val="1"/>
          <w:wAfter w:w="37" w:type="dxa"/>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CF15">
            <w:pPr>
              <w:jc w:val="center"/>
              <w:rPr>
                <w:rFonts w:hint="eastAsia" w:ascii="仿宋" w:hAnsi="仿宋" w:eastAsia="仿宋" w:cs="仿宋"/>
                <w:i w:val="0"/>
                <w:color w:val="000000"/>
                <w:sz w:val="22"/>
                <w:szCs w:val="22"/>
                <w:u w:val="none"/>
              </w:rPr>
            </w:pPr>
          </w:p>
        </w:tc>
        <w:tc>
          <w:tcPr>
            <w:tcW w:w="1230"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5DCCA">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D661F1">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E303A2">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18CC15">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9FA2E9">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2D0BAC">
            <w:pPr>
              <w:jc w:val="center"/>
              <w:rPr>
                <w:rFonts w:hint="eastAsia" w:ascii="仿宋" w:hAnsi="仿宋" w:eastAsia="仿宋" w:cs="仿宋"/>
                <w:i w:val="0"/>
                <w:color w:val="000000"/>
                <w:sz w:val="22"/>
                <w:szCs w:val="22"/>
                <w:u w:val="none"/>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6B52C8">
            <w:pPr>
              <w:jc w:val="center"/>
              <w:rPr>
                <w:rFonts w:hint="eastAsia" w:ascii="仿宋" w:hAnsi="仿宋" w:eastAsia="仿宋" w:cs="仿宋"/>
                <w:i w:val="0"/>
                <w:color w:val="000000"/>
                <w:sz w:val="22"/>
                <w:szCs w:val="22"/>
                <w:u w:val="none"/>
              </w:rPr>
            </w:pPr>
          </w:p>
        </w:tc>
      </w:tr>
      <w:tr w14:paraId="48578CAD">
        <w:tblPrEx>
          <w:tblCellMar>
            <w:top w:w="0" w:type="dxa"/>
            <w:left w:w="0" w:type="dxa"/>
            <w:bottom w:w="0" w:type="dxa"/>
            <w:right w:w="0" w:type="dxa"/>
          </w:tblCellMar>
        </w:tblPrEx>
        <w:trPr>
          <w:gridAfter w:val="1"/>
          <w:wAfter w:w="37" w:type="dxa"/>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A39A">
            <w:pPr>
              <w:jc w:val="center"/>
              <w:rPr>
                <w:rFonts w:hint="eastAsia" w:ascii="仿宋" w:hAnsi="仿宋" w:eastAsia="仿宋" w:cs="仿宋"/>
                <w:i w:val="0"/>
                <w:color w:val="000000"/>
                <w:sz w:val="22"/>
                <w:szCs w:val="22"/>
                <w:u w:val="none"/>
              </w:rPr>
            </w:pPr>
          </w:p>
        </w:tc>
        <w:tc>
          <w:tcPr>
            <w:tcW w:w="1230"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1647">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70941">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B0A457">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28BF3B">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DB151">
            <w:pPr>
              <w:jc w:val="center"/>
              <w:rPr>
                <w:rFonts w:hint="eastAsia" w:ascii="仿宋" w:hAnsi="仿宋" w:eastAsia="仿宋" w:cs="仿宋"/>
                <w:i w:val="0"/>
                <w:color w:val="000000"/>
                <w:sz w:val="22"/>
                <w:szCs w:val="22"/>
                <w:u w:val="none"/>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EE941F">
            <w:pPr>
              <w:jc w:val="center"/>
              <w:rPr>
                <w:rFonts w:hint="eastAsia" w:ascii="仿宋" w:hAnsi="仿宋" w:eastAsia="仿宋" w:cs="仿宋"/>
                <w:i w:val="0"/>
                <w:color w:val="000000"/>
                <w:sz w:val="22"/>
                <w:szCs w:val="22"/>
                <w:u w:val="none"/>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EB7CAC">
            <w:pPr>
              <w:jc w:val="center"/>
              <w:rPr>
                <w:rFonts w:hint="eastAsia" w:ascii="仿宋" w:hAnsi="仿宋" w:eastAsia="仿宋" w:cs="仿宋"/>
                <w:i w:val="0"/>
                <w:color w:val="000000"/>
                <w:sz w:val="22"/>
                <w:szCs w:val="22"/>
                <w:u w:val="none"/>
              </w:rPr>
            </w:pPr>
          </w:p>
        </w:tc>
      </w:tr>
      <w:tr w14:paraId="6553DA12">
        <w:tblPrEx>
          <w:tblCellMar>
            <w:top w:w="0" w:type="dxa"/>
            <w:left w:w="0" w:type="dxa"/>
            <w:bottom w:w="0" w:type="dxa"/>
            <w:right w:w="0" w:type="dxa"/>
          </w:tblCellMar>
        </w:tblPrEx>
        <w:trPr>
          <w:gridAfter w:val="1"/>
          <w:wAfter w:w="37" w:type="dxa"/>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0F9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AD8E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9E1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3FA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5454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8C66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AABD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14:paraId="58CFC38C">
        <w:tblPrEx>
          <w:tblCellMar>
            <w:top w:w="0" w:type="dxa"/>
            <w:left w:w="0" w:type="dxa"/>
            <w:bottom w:w="0" w:type="dxa"/>
            <w:right w:w="0" w:type="dxa"/>
          </w:tblCellMar>
        </w:tblPrEx>
        <w:trPr>
          <w:gridAfter w:val="1"/>
          <w:wAfter w:w="37" w:type="dxa"/>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083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EEFF">
            <w:pPr>
              <w:jc w:val="right"/>
              <w:rPr>
                <w:rFonts w:hint="eastAsia" w:ascii="仿宋" w:hAnsi="仿宋" w:eastAsia="仿宋" w:cs="仿宋"/>
                <w:b/>
                <w:i w:val="0"/>
                <w:color w:val="000000"/>
                <w:sz w:val="22"/>
                <w:szCs w:val="22"/>
                <w:u w:val="none"/>
                <w:lang w:val="en-US" w:eastAsia="zh-CN"/>
              </w:rPr>
            </w:pPr>
            <w:r>
              <w:rPr>
                <w:rFonts w:hint="eastAsia" w:ascii="仿宋" w:hAnsi="仿宋" w:eastAsia="仿宋" w:cs="仿宋"/>
                <w:b/>
                <w:i w:val="0"/>
                <w:color w:val="000000"/>
                <w:sz w:val="22"/>
                <w:szCs w:val="22"/>
                <w:u w:val="none"/>
                <w:lang w:val="en-US" w:eastAsia="zh-CN"/>
              </w:rPr>
              <w:t>2988.12</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A612">
            <w:pPr>
              <w:jc w:val="right"/>
              <w:rPr>
                <w:rFonts w:hint="eastAsia" w:ascii="仿宋" w:hAnsi="仿宋" w:eastAsia="仿宋" w:cs="仿宋"/>
                <w:b/>
                <w:i w:val="0"/>
                <w:color w:val="000000"/>
                <w:sz w:val="22"/>
                <w:szCs w:val="22"/>
                <w:u w:val="none"/>
                <w:lang w:val="en-US" w:eastAsia="zh-CN"/>
              </w:rPr>
            </w:pPr>
            <w:r>
              <w:rPr>
                <w:rFonts w:hint="eastAsia" w:ascii="仿宋" w:hAnsi="仿宋" w:eastAsia="仿宋" w:cs="仿宋"/>
                <w:b/>
                <w:i w:val="0"/>
                <w:color w:val="000000"/>
                <w:sz w:val="22"/>
                <w:szCs w:val="22"/>
                <w:u w:val="none"/>
                <w:lang w:val="en-US" w:eastAsia="zh-CN"/>
              </w:rPr>
              <w:t>1727.43</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8A72">
            <w:pPr>
              <w:jc w:val="right"/>
              <w:rPr>
                <w:rFonts w:hint="eastAsia" w:ascii="仿宋" w:hAnsi="仿宋" w:eastAsia="仿宋" w:cs="仿宋"/>
                <w:b/>
                <w:i w:val="0"/>
                <w:color w:val="000000"/>
                <w:sz w:val="22"/>
                <w:szCs w:val="22"/>
                <w:u w:val="none"/>
                <w:lang w:val="en-US" w:eastAsia="zh-CN"/>
              </w:rPr>
            </w:pPr>
            <w:r>
              <w:rPr>
                <w:rFonts w:hint="eastAsia" w:ascii="仿宋" w:hAnsi="仿宋" w:eastAsia="仿宋" w:cs="仿宋"/>
                <w:b/>
                <w:i w:val="0"/>
                <w:color w:val="000000"/>
                <w:sz w:val="22"/>
                <w:szCs w:val="22"/>
                <w:u w:val="none"/>
                <w:lang w:val="en-US" w:eastAsia="zh-CN"/>
              </w:rPr>
              <w:t>1260.69</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057E">
            <w:pPr>
              <w:jc w:val="right"/>
              <w:rPr>
                <w:rFonts w:hint="eastAsia" w:ascii="仿宋" w:hAnsi="仿宋" w:eastAsia="仿宋" w:cs="仿宋"/>
                <w:b/>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AFDD4">
            <w:pPr>
              <w:jc w:val="right"/>
              <w:rPr>
                <w:rFonts w:hint="eastAsia" w:ascii="仿宋" w:hAnsi="仿宋" w:eastAsia="仿宋" w:cs="仿宋"/>
                <w:b/>
                <w:i w:val="0"/>
                <w:color w:val="000000"/>
                <w:sz w:val="22"/>
                <w:szCs w:val="22"/>
                <w:u w:val="none"/>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4CAF2">
            <w:pPr>
              <w:jc w:val="right"/>
              <w:rPr>
                <w:rFonts w:hint="eastAsia" w:ascii="仿宋" w:hAnsi="仿宋" w:eastAsia="仿宋" w:cs="仿宋"/>
                <w:b/>
                <w:i w:val="0"/>
                <w:color w:val="000000"/>
                <w:sz w:val="22"/>
                <w:szCs w:val="22"/>
                <w:u w:val="none"/>
              </w:rPr>
            </w:pPr>
          </w:p>
        </w:tc>
      </w:tr>
      <w:tr w14:paraId="6574C10D">
        <w:tblPrEx>
          <w:tblCellMar>
            <w:top w:w="0" w:type="dxa"/>
            <w:left w:w="0" w:type="dxa"/>
            <w:bottom w:w="0" w:type="dxa"/>
            <w:right w:w="0" w:type="dxa"/>
          </w:tblCellMar>
        </w:tblPrEx>
        <w:trPr>
          <w:gridAfter w:val="1"/>
          <w:wAfter w:w="37" w:type="dxa"/>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4D57">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2010306</w:t>
            </w:r>
          </w:p>
        </w:tc>
        <w:tc>
          <w:tcPr>
            <w:tcW w:w="12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2D7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政务公开审批</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4402">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2612.2</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C7F8F">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1351.51</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5F818">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1260.69</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8F47F">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0A4D1">
            <w:pPr>
              <w:jc w:val="right"/>
              <w:rPr>
                <w:rFonts w:hint="eastAsia" w:ascii="仿宋" w:hAnsi="仿宋" w:eastAsia="仿宋" w:cs="仿宋"/>
                <w:i w:val="0"/>
                <w:color w:val="000000"/>
                <w:sz w:val="22"/>
                <w:szCs w:val="22"/>
                <w:u w:val="none"/>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407F">
            <w:pPr>
              <w:jc w:val="right"/>
              <w:rPr>
                <w:rFonts w:hint="eastAsia" w:ascii="仿宋" w:hAnsi="仿宋" w:eastAsia="仿宋" w:cs="仿宋"/>
                <w:i w:val="0"/>
                <w:color w:val="000000"/>
                <w:sz w:val="22"/>
                <w:szCs w:val="22"/>
                <w:u w:val="none"/>
              </w:rPr>
            </w:pPr>
          </w:p>
        </w:tc>
      </w:tr>
      <w:tr w14:paraId="3D63F133">
        <w:tblPrEx>
          <w:tblCellMar>
            <w:top w:w="0" w:type="dxa"/>
            <w:left w:w="0" w:type="dxa"/>
            <w:bottom w:w="0" w:type="dxa"/>
            <w:right w:w="0" w:type="dxa"/>
          </w:tblCellMar>
        </w:tblPrEx>
        <w:trPr>
          <w:gridAfter w:val="1"/>
          <w:wAfter w:w="37" w:type="dxa"/>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DD70">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2080106</w:t>
            </w:r>
          </w:p>
        </w:tc>
        <w:tc>
          <w:tcPr>
            <w:tcW w:w="12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258E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就业管理事务</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2056">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12.6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AB17F">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12.6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A4A2">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94D01">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6F68C">
            <w:pPr>
              <w:jc w:val="right"/>
              <w:rPr>
                <w:rFonts w:hint="eastAsia" w:ascii="仿宋" w:hAnsi="仿宋" w:eastAsia="仿宋" w:cs="仿宋"/>
                <w:i w:val="0"/>
                <w:color w:val="000000"/>
                <w:sz w:val="22"/>
                <w:szCs w:val="22"/>
                <w:u w:val="none"/>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AEDCB">
            <w:pPr>
              <w:jc w:val="right"/>
              <w:rPr>
                <w:rFonts w:hint="eastAsia" w:ascii="仿宋" w:hAnsi="仿宋" w:eastAsia="仿宋" w:cs="仿宋"/>
                <w:i w:val="0"/>
                <w:color w:val="000000"/>
                <w:sz w:val="22"/>
                <w:szCs w:val="22"/>
                <w:u w:val="none"/>
              </w:rPr>
            </w:pPr>
          </w:p>
        </w:tc>
      </w:tr>
      <w:tr w14:paraId="5B4AFE03">
        <w:tblPrEx>
          <w:tblCellMar>
            <w:top w:w="0" w:type="dxa"/>
            <w:left w:w="0" w:type="dxa"/>
            <w:bottom w:w="0" w:type="dxa"/>
            <w:right w:w="0" w:type="dxa"/>
          </w:tblCellMar>
        </w:tblPrEx>
        <w:trPr>
          <w:gridAfter w:val="1"/>
          <w:wAfter w:w="37" w:type="dxa"/>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D60C">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2080505</w:t>
            </w:r>
          </w:p>
        </w:tc>
        <w:tc>
          <w:tcPr>
            <w:tcW w:w="12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1B5B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机关事业单位基本养老保险缴费支出</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6BBEC">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139.2</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1C226">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139.2</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963F">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C5FA">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DC195">
            <w:pPr>
              <w:jc w:val="right"/>
              <w:rPr>
                <w:rFonts w:hint="eastAsia" w:ascii="仿宋" w:hAnsi="仿宋" w:eastAsia="仿宋" w:cs="仿宋"/>
                <w:i w:val="0"/>
                <w:color w:val="000000"/>
                <w:sz w:val="22"/>
                <w:szCs w:val="22"/>
                <w:u w:val="none"/>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DF8B1">
            <w:pPr>
              <w:jc w:val="right"/>
              <w:rPr>
                <w:rFonts w:hint="eastAsia" w:ascii="仿宋" w:hAnsi="仿宋" w:eastAsia="仿宋" w:cs="仿宋"/>
                <w:i w:val="0"/>
                <w:color w:val="000000"/>
                <w:sz w:val="22"/>
                <w:szCs w:val="22"/>
                <w:u w:val="none"/>
              </w:rPr>
            </w:pPr>
          </w:p>
        </w:tc>
      </w:tr>
      <w:tr w14:paraId="364F44D7">
        <w:tblPrEx>
          <w:tblCellMar>
            <w:top w:w="0" w:type="dxa"/>
            <w:left w:w="0" w:type="dxa"/>
            <w:bottom w:w="0" w:type="dxa"/>
            <w:right w:w="0" w:type="dxa"/>
          </w:tblCellMar>
        </w:tblPrEx>
        <w:trPr>
          <w:gridAfter w:val="1"/>
          <w:wAfter w:w="37" w:type="dxa"/>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59D1">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2101101</w:t>
            </w:r>
          </w:p>
        </w:tc>
        <w:tc>
          <w:tcPr>
            <w:tcW w:w="12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F34C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行政单位医疗</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5F917">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58.49</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F6E96">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58.49</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8120">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6A17E">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1D93">
            <w:pPr>
              <w:jc w:val="right"/>
              <w:rPr>
                <w:rFonts w:hint="eastAsia" w:ascii="仿宋" w:hAnsi="仿宋" w:eastAsia="仿宋" w:cs="仿宋"/>
                <w:i w:val="0"/>
                <w:color w:val="000000"/>
                <w:sz w:val="22"/>
                <w:szCs w:val="22"/>
                <w:u w:val="none"/>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BDF34">
            <w:pPr>
              <w:jc w:val="right"/>
              <w:rPr>
                <w:rFonts w:hint="eastAsia" w:ascii="仿宋" w:hAnsi="仿宋" w:eastAsia="仿宋" w:cs="仿宋"/>
                <w:i w:val="0"/>
                <w:color w:val="000000"/>
                <w:sz w:val="22"/>
                <w:szCs w:val="22"/>
                <w:u w:val="none"/>
              </w:rPr>
            </w:pPr>
          </w:p>
        </w:tc>
      </w:tr>
      <w:tr w14:paraId="2E214628">
        <w:tblPrEx>
          <w:tblCellMar>
            <w:top w:w="0" w:type="dxa"/>
            <w:left w:w="0" w:type="dxa"/>
            <w:bottom w:w="0" w:type="dxa"/>
            <w:right w:w="0" w:type="dxa"/>
          </w:tblCellMar>
        </w:tblPrEx>
        <w:trPr>
          <w:gridAfter w:val="1"/>
          <w:wAfter w:w="37" w:type="dxa"/>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A232">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2101103</w:t>
            </w:r>
          </w:p>
        </w:tc>
        <w:tc>
          <w:tcPr>
            <w:tcW w:w="12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69D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公务员医疗补助</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97378">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64.97</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6AC8">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64.97</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6575">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3938E">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53DDF">
            <w:pPr>
              <w:jc w:val="right"/>
              <w:rPr>
                <w:rFonts w:hint="eastAsia" w:ascii="仿宋" w:hAnsi="仿宋" w:eastAsia="仿宋" w:cs="仿宋"/>
                <w:i w:val="0"/>
                <w:color w:val="000000"/>
                <w:sz w:val="22"/>
                <w:szCs w:val="22"/>
                <w:u w:val="none"/>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CD6EE">
            <w:pPr>
              <w:jc w:val="right"/>
              <w:rPr>
                <w:rFonts w:hint="eastAsia" w:ascii="仿宋" w:hAnsi="仿宋" w:eastAsia="仿宋" w:cs="仿宋"/>
                <w:i w:val="0"/>
                <w:color w:val="000000"/>
                <w:sz w:val="22"/>
                <w:szCs w:val="22"/>
                <w:u w:val="none"/>
              </w:rPr>
            </w:pPr>
          </w:p>
        </w:tc>
      </w:tr>
      <w:tr w14:paraId="209BB40E">
        <w:tblPrEx>
          <w:tblCellMar>
            <w:top w:w="0" w:type="dxa"/>
            <w:left w:w="0" w:type="dxa"/>
            <w:bottom w:w="0" w:type="dxa"/>
            <w:right w:w="0" w:type="dxa"/>
          </w:tblCellMar>
        </w:tblPrEx>
        <w:trPr>
          <w:gridAfter w:val="1"/>
          <w:wAfter w:w="37" w:type="dxa"/>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C043">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2210201</w:t>
            </w:r>
          </w:p>
        </w:tc>
        <w:tc>
          <w:tcPr>
            <w:tcW w:w="12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EA6A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住房公积金</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9279">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100.66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CC314">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100.66</w:t>
            </w: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96815">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2B958">
            <w:pPr>
              <w:jc w:val="right"/>
              <w:rPr>
                <w:rFonts w:hint="eastAsia" w:ascii="仿宋" w:hAnsi="仿宋" w:eastAsia="仿宋" w:cs="仿宋"/>
                <w:i w:val="0"/>
                <w:color w:val="000000"/>
                <w:sz w:val="22"/>
                <w:szCs w:val="22"/>
                <w:u w:val="none"/>
              </w:rPr>
            </w:pPr>
          </w:p>
        </w:tc>
        <w:tc>
          <w:tcPr>
            <w:tcW w:w="1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B6283">
            <w:pPr>
              <w:jc w:val="right"/>
              <w:rPr>
                <w:rFonts w:hint="eastAsia" w:ascii="仿宋" w:hAnsi="仿宋" w:eastAsia="仿宋" w:cs="仿宋"/>
                <w:i w:val="0"/>
                <w:color w:val="000000"/>
                <w:sz w:val="22"/>
                <w:szCs w:val="22"/>
                <w:u w:val="none"/>
              </w:rPr>
            </w:pPr>
          </w:p>
        </w:tc>
        <w:tc>
          <w:tcPr>
            <w:tcW w:w="14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349D">
            <w:pPr>
              <w:jc w:val="right"/>
              <w:rPr>
                <w:rFonts w:hint="eastAsia" w:ascii="仿宋" w:hAnsi="仿宋" w:eastAsia="仿宋" w:cs="仿宋"/>
                <w:i w:val="0"/>
                <w:color w:val="000000"/>
                <w:sz w:val="22"/>
                <w:szCs w:val="22"/>
                <w:u w:val="none"/>
              </w:rPr>
            </w:pPr>
          </w:p>
        </w:tc>
      </w:tr>
      <w:tr w14:paraId="096D8050">
        <w:tblPrEx>
          <w:tblCellMar>
            <w:top w:w="0" w:type="dxa"/>
            <w:left w:w="0" w:type="dxa"/>
            <w:bottom w:w="0" w:type="dxa"/>
            <w:right w:w="0" w:type="dxa"/>
          </w:tblCellMar>
        </w:tblPrEx>
        <w:trPr>
          <w:gridAfter w:val="1"/>
          <w:wAfter w:w="37" w:type="dxa"/>
          <w:trHeight w:val="323" w:hRule="atLeast"/>
          <w:jc w:val="center"/>
        </w:trPr>
        <w:tc>
          <w:tcPr>
            <w:tcW w:w="9680" w:type="dxa"/>
            <w:gridSpan w:val="17"/>
            <w:tcBorders>
              <w:top w:val="nil"/>
              <w:left w:val="nil"/>
              <w:bottom w:val="nil"/>
              <w:right w:val="nil"/>
            </w:tcBorders>
            <w:shd w:val="clear" w:color="auto" w:fill="auto"/>
            <w:noWrap/>
            <w:tcMar>
              <w:top w:w="15" w:type="dxa"/>
              <w:left w:w="15" w:type="dxa"/>
              <w:right w:w="15" w:type="dxa"/>
            </w:tcMar>
            <w:vAlign w:val="center"/>
          </w:tcPr>
          <w:p w14:paraId="4AD240E3">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注：本表反映部门本年度各项支出情况。</w:t>
            </w:r>
          </w:p>
        </w:tc>
      </w:tr>
    </w:tbl>
    <w:p w14:paraId="792D7BE8">
      <w:pPr>
        <w:rPr>
          <w:rFonts w:hint="eastAsia" w:ascii="仿宋" w:hAnsi="仿宋" w:eastAsia="仿宋" w:cs="仿宋"/>
          <w:lang w:val="en-US" w:eastAsia="zh-CN"/>
        </w:rPr>
      </w:pPr>
      <w:r>
        <w:rPr>
          <w:rFonts w:hint="eastAsia" w:ascii="仿宋" w:hAnsi="仿宋" w:eastAsia="仿宋" w:cs="仿宋"/>
          <w:lang w:val="en-US" w:eastAsia="zh-CN"/>
        </w:rPr>
        <w:br w:type="page"/>
      </w:r>
    </w:p>
    <w:tbl>
      <w:tblPr>
        <w:tblStyle w:val="6"/>
        <w:tblW w:w="9725" w:type="dxa"/>
        <w:jc w:val="center"/>
        <w:shd w:val="clear" w:color="auto" w:fill="auto"/>
        <w:tblLayout w:type="fixed"/>
        <w:tblCellMar>
          <w:top w:w="0" w:type="dxa"/>
          <w:left w:w="0" w:type="dxa"/>
          <w:bottom w:w="0" w:type="dxa"/>
          <w:right w:w="0" w:type="dxa"/>
        </w:tblCellMar>
      </w:tblPr>
      <w:tblGrid>
        <w:gridCol w:w="2973"/>
        <w:gridCol w:w="302"/>
        <w:gridCol w:w="778"/>
        <w:gridCol w:w="3062"/>
        <w:gridCol w:w="328"/>
        <w:gridCol w:w="840"/>
        <w:gridCol w:w="810"/>
        <w:gridCol w:w="632"/>
      </w:tblGrid>
      <w:tr w14:paraId="7671EABD">
        <w:tblPrEx>
          <w:shd w:val="clear" w:color="auto" w:fill="auto"/>
          <w:tblCellMar>
            <w:top w:w="0" w:type="dxa"/>
            <w:left w:w="0" w:type="dxa"/>
            <w:bottom w:w="0" w:type="dxa"/>
            <w:right w:w="0" w:type="dxa"/>
          </w:tblCellMar>
        </w:tblPrEx>
        <w:trPr>
          <w:trHeight w:val="406" w:hRule="atLeast"/>
          <w:jc w:val="center"/>
        </w:trPr>
        <w:tc>
          <w:tcPr>
            <w:tcW w:w="9725" w:type="dxa"/>
            <w:gridSpan w:val="8"/>
            <w:tcBorders>
              <w:top w:val="nil"/>
              <w:left w:val="nil"/>
              <w:bottom w:val="nil"/>
              <w:right w:val="nil"/>
            </w:tcBorders>
            <w:shd w:val="clear" w:color="auto" w:fill="auto"/>
            <w:noWrap/>
            <w:tcMar>
              <w:top w:w="15" w:type="dxa"/>
              <w:left w:w="15" w:type="dxa"/>
              <w:right w:w="15" w:type="dxa"/>
            </w:tcMar>
            <w:vAlign w:val="bottom"/>
          </w:tcPr>
          <w:p w14:paraId="598B79C2">
            <w:pPr>
              <w:jc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财政拨款收入支出决算总表</w:t>
            </w:r>
          </w:p>
        </w:tc>
      </w:tr>
      <w:tr w14:paraId="0489CAE4">
        <w:tblPrEx>
          <w:tblCellMar>
            <w:top w:w="0" w:type="dxa"/>
            <w:left w:w="0" w:type="dxa"/>
            <w:bottom w:w="0" w:type="dxa"/>
            <w:right w:w="0" w:type="dxa"/>
          </w:tblCellMar>
        </w:tblPrEx>
        <w:trPr>
          <w:trHeight w:val="90" w:hRule="atLeast"/>
          <w:jc w:val="center"/>
        </w:trPr>
        <w:tc>
          <w:tcPr>
            <w:tcW w:w="2973" w:type="dxa"/>
            <w:tcBorders>
              <w:top w:val="nil"/>
              <w:left w:val="nil"/>
              <w:bottom w:val="nil"/>
              <w:right w:val="nil"/>
            </w:tcBorders>
            <w:shd w:val="clear" w:color="auto" w:fill="auto"/>
            <w:noWrap/>
            <w:tcMar>
              <w:top w:w="15" w:type="dxa"/>
              <w:left w:w="15" w:type="dxa"/>
              <w:right w:w="15" w:type="dxa"/>
            </w:tcMar>
            <w:vAlign w:val="bottom"/>
          </w:tcPr>
          <w:p w14:paraId="425243C5">
            <w:pPr>
              <w:rPr>
                <w:rFonts w:hint="eastAsia" w:ascii="仿宋" w:hAnsi="仿宋" w:eastAsia="仿宋" w:cs="仿宋"/>
                <w:i w:val="0"/>
                <w:color w:val="000000"/>
                <w:sz w:val="20"/>
                <w:szCs w:val="20"/>
                <w:u w:val="none"/>
              </w:rPr>
            </w:pPr>
          </w:p>
        </w:tc>
        <w:tc>
          <w:tcPr>
            <w:tcW w:w="302" w:type="dxa"/>
            <w:tcBorders>
              <w:top w:val="nil"/>
              <w:left w:val="nil"/>
              <w:bottom w:val="nil"/>
              <w:right w:val="nil"/>
            </w:tcBorders>
            <w:shd w:val="clear" w:color="auto" w:fill="auto"/>
            <w:noWrap/>
            <w:tcMar>
              <w:top w:w="15" w:type="dxa"/>
              <w:left w:w="15" w:type="dxa"/>
              <w:right w:w="15" w:type="dxa"/>
            </w:tcMar>
            <w:vAlign w:val="bottom"/>
          </w:tcPr>
          <w:p w14:paraId="6990DD46">
            <w:pPr>
              <w:rPr>
                <w:rFonts w:hint="eastAsia" w:ascii="仿宋" w:hAnsi="仿宋" w:eastAsia="仿宋" w:cs="仿宋"/>
                <w:i w:val="0"/>
                <w:color w:val="000000"/>
                <w:sz w:val="20"/>
                <w:szCs w:val="20"/>
                <w:u w:val="none"/>
              </w:rPr>
            </w:pPr>
          </w:p>
        </w:tc>
        <w:tc>
          <w:tcPr>
            <w:tcW w:w="778" w:type="dxa"/>
            <w:tcBorders>
              <w:top w:val="nil"/>
              <w:left w:val="nil"/>
              <w:bottom w:val="nil"/>
              <w:right w:val="nil"/>
            </w:tcBorders>
            <w:shd w:val="clear" w:color="auto" w:fill="auto"/>
            <w:noWrap/>
            <w:tcMar>
              <w:top w:w="15" w:type="dxa"/>
              <w:left w:w="15" w:type="dxa"/>
              <w:right w:w="15" w:type="dxa"/>
            </w:tcMar>
            <w:vAlign w:val="bottom"/>
          </w:tcPr>
          <w:p w14:paraId="75B00899">
            <w:pPr>
              <w:rPr>
                <w:rFonts w:hint="eastAsia" w:ascii="仿宋" w:hAnsi="仿宋" w:eastAsia="仿宋" w:cs="仿宋"/>
                <w:i w:val="0"/>
                <w:color w:val="000000"/>
                <w:sz w:val="20"/>
                <w:szCs w:val="20"/>
                <w:u w:val="none"/>
              </w:rPr>
            </w:pPr>
          </w:p>
        </w:tc>
        <w:tc>
          <w:tcPr>
            <w:tcW w:w="3062" w:type="dxa"/>
            <w:tcBorders>
              <w:top w:val="nil"/>
              <w:left w:val="nil"/>
              <w:bottom w:val="nil"/>
              <w:right w:val="nil"/>
            </w:tcBorders>
            <w:shd w:val="clear" w:color="auto" w:fill="auto"/>
            <w:noWrap/>
            <w:tcMar>
              <w:top w:w="15" w:type="dxa"/>
              <w:left w:w="15" w:type="dxa"/>
              <w:right w:w="15" w:type="dxa"/>
            </w:tcMar>
            <w:vAlign w:val="bottom"/>
          </w:tcPr>
          <w:p w14:paraId="258DAFEC">
            <w:pPr>
              <w:rPr>
                <w:rFonts w:hint="eastAsia" w:ascii="仿宋" w:hAnsi="仿宋" w:eastAsia="仿宋" w:cs="仿宋"/>
                <w:i w:val="0"/>
                <w:color w:val="000000"/>
                <w:sz w:val="20"/>
                <w:szCs w:val="20"/>
                <w:u w:val="none"/>
              </w:rPr>
            </w:pPr>
          </w:p>
        </w:tc>
        <w:tc>
          <w:tcPr>
            <w:tcW w:w="328" w:type="dxa"/>
            <w:tcBorders>
              <w:top w:val="nil"/>
              <w:left w:val="nil"/>
              <w:bottom w:val="nil"/>
              <w:right w:val="nil"/>
            </w:tcBorders>
            <w:shd w:val="clear" w:color="auto" w:fill="auto"/>
            <w:noWrap/>
            <w:tcMar>
              <w:top w:w="15" w:type="dxa"/>
              <w:left w:w="15" w:type="dxa"/>
              <w:right w:w="15" w:type="dxa"/>
            </w:tcMar>
            <w:vAlign w:val="bottom"/>
          </w:tcPr>
          <w:p w14:paraId="10B6B9BE">
            <w:pPr>
              <w:rPr>
                <w:rFonts w:hint="eastAsia" w:ascii="仿宋" w:hAnsi="仿宋" w:eastAsia="仿宋" w:cs="仿宋"/>
                <w:i w:val="0"/>
                <w:color w:val="000000"/>
                <w:sz w:val="20"/>
                <w:szCs w:val="20"/>
                <w:u w:val="none"/>
              </w:rPr>
            </w:pPr>
          </w:p>
        </w:tc>
        <w:tc>
          <w:tcPr>
            <w:tcW w:w="2282" w:type="dxa"/>
            <w:gridSpan w:val="3"/>
            <w:tcBorders>
              <w:top w:val="nil"/>
              <w:left w:val="nil"/>
              <w:bottom w:val="nil"/>
              <w:right w:val="nil"/>
            </w:tcBorders>
            <w:shd w:val="clear" w:color="auto" w:fill="auto"/>
            <w:noWrap/>
            <w:tcMar>
              <w:top w:w="15" w:type="dxa"/>
              <w:left w:w="15" w:type="dxa"/>
              <w:right w:w="15" w:type="dxa"/>
            </w:tcMar>
            <w:vAlign w:val="bottom"/>
          </w:tcPr>
          <w:p w14:paraId="74E61A68">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公开04表</w:t>
            </w:r>
          </w:p>
        </w:tc>
      </w:tr>
      <w:tr w14:paraId="4F5FD3FD">
        <w:tblPrEx>
          <w:tblCellMar>
            <w:top w:w="0" w:type="dxa"/>
            <w:left w:w="0" w:type="dxa"/>
            <w:bottom w:w="0" w:type="dxa"/>
            <w:right w:w="0" w:type="dxa"/>
          </w:tblCellMar>
        </w:tblPrEx>
        <w:trPr>
          <w:trHeight w:val="90" w:hRule="atLeast"/>
          <w:jc w:val="center"/>
        </w:trPr>
        <w:tc>
          <w:tcPr>
            <w:tcW w:w="2973" w:type="dxa"/>
            <w:tcBorders>
              <w:top w:val="nil"/>
              <w:left w:val="nil"/>
              <w:bottom w:val="nil"/>
              <w:right w:val="nil"/>
            </w:tcBorders>
            <w:shd w:val="clear" w:color="auto" w:fill="auto"/>
            <w:noWrap/>
            <w:tcMar>
              <w:top w:w="15" w:type="dxa"/>
              <w:left w:w="15" w:type="dxa"/>
              <w:right w:w="15" w:type="dxa"/>
            </w:tcMar>
            <w:vAlign w:val="bottom"/>
          </w:tcPr>
          <w:p w14:paraId="25D66B5D">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部门：唐山市曹妃甸区行政审批局</w:t>
            </w:r>
          </w:p>
        </w:tc>
        <w:tc>
          <w:tcPr>
            <w:tcW w:w="302" w:type="dxa"/>
            <w:tcBorders>
              <w:top w:val="nil"/>
              <w:left w:val="nil"/>
              <w:bottom w:val="nil"/>
              <w:right w:val="nil"/>
            </w:tcBorders>
            <w:shd w:val="clear" w:color="auto" w:fill="auto"/>
            <w:noWrap/>
            <w:tcMar>
              <w:top w:w="15" w:type="dxa"/>
              <w:left w:w="15" w:type="dxa"/>
              <w:right w:w="15" w:type="dxa"/>
            </w:tcMar>
            <w:vAlign w:val="bottom"/>
          </w:tcPr>
          <w:p w14:paraId="78C837F9">
            <w:pPr>
              <w:rPr>
                <w:rFonts w:hint="eastAsia" w:ascii="仿宋" w:hAnsi="仿宋" w:eastAsia="仿宋" w:cs="仿宋"/>
                <w:i w:val="0"/>
                <w:color w:val="000000"/>
                <w:sz w:val="20"/>
                <w:szCs w:val="20"/>
                <w:u w:val="none"/>
              </w:rPr>
            </w:pPr>
          </w:p>
        </w:tc>
        <w:tc>
          <w:tcPr>
            <w:tcW w:w="778" w:type="dxa"/>
            <w:tcBorders>
              <w:top w:val="nil"/>
              <w:left w:val="nil"/>
              <w:bottom w:val="nil"/>
              <w:right w:val="nil"/>
            </w:tcBorders>
            <w:shd w:val="clear" w:color="auto" w:fill="auto"/>
            <w:noWrap/>
            <w:tcMar>
              <w:top w:w="15" w:type="dxa"/>
              <w:left w:w="15" w:type="dxa"/>
              <w:right w:w="15" w:type="dxa"/>
            </w:tcMar>
            <w:vAlign w:val="bottom"/>
          </w:tcPr>
          <w:p w14:paraId="0A8BBA94">
            <w:pPr>
              <w:rPr>
                <w:rFonts w:hint="eastAsia" w:ascii="仿宋" w:hAnsi="仿宋" w:eastAsia="仿宋" w:cs="仿宋"/>
                <w:i w:val="0"/>
                <w:color w:val="000000"/>
                <w:sz w:val="20"/>
                <w:szCs w:val="20"/>
                <w:u w:val="none"/>
              </w:rPr>
            </w:pPr>
          </w:p>
        </w:tc>
        <w:tc>
          <w:tcPr>
            <w:tcW w:w="3062" w:type="dxa"/>
            <w:tcBorders>
              <w:top w:val="nil"/>
              <w:left w:val="nil"/>
              <w:bottom w:val="nil"/>
              <w:right w:val="nil"/>
            </w:tcBorders>
            <w:shd w:val="clear" w:color="auto" w:fill="auto"/>
            <w:noWrap/>
            <w:tcMar>
              <w:top w:w="15" w:type="dxa"/>
              <w:left w:w="15" w:type="dxa"/>
              <w:right w:w="15" w:type="dxa"/>
            </w:tcMar>
            <w:vAlign w:val="bottom"/>
          </w:tcPr>
          <w:p w14:paraId="481330E0">
            <w:pPr>
              <w:rPr>
                <w:rFonts w:hint="eastAsia" w:ascii="仿宋" w:hAnsi="仿宋" w:eastAsia="仿宋" w:cs="仿宋"/>
                <w:i w:val="0"/>
                <w:color w:val="000000"/>
                <w:sz w:val="20"/>
                <w:szCs w:val="20"/>
                <w:u w:val="none"/>
              </w:rPr>
            </w:pPr>
          </w:p>
        </w:tc>
        <w:tc>
          <w:tcPr>
            <w:tcW w:w="328" w:type="dxa"/>
            <w:tcBorders>
              <w:top w:val="nil"/>
              <w:left w:val="nil"/>
              <w:bottom w:val="nil"/>
              <w:right w:val="nil"/>
            </w:tcBorders>
            <w:shd w:val="clear" w:color="auto" w:fill="auto"/>
            <w:noWrap/>
            <w:tcMar>
              <w:top w:w="15" w:type="dxa"/>
              <w:left w:w="15" w:type="dxa"/>
              <w:right w:w="15" w:type="dxa"/>
            </w:tcMar>
            <w:vAlign w:val="bottom"/>
          </w:tcPr>
          <w:p w14:paraId="09D8ED7C">
            <w:pPr>
              <w:rPr>
                <w:rFonts w:hint="eastAsia" w:ascii="仿宋" w:hAnsi="仿宋" w:eastAsia="仿宋" w:cs="仿宋"/>
                <w:i w:val="0"/>
                <w:color w:val="000000"/>
                <w:sz w:val="20"/>
                <w:szCs w:val="20"/>
                <w:u w:val="none"/>
              </w:rPr>
            </w:pPr>
          </w:p>
        </w:tc>
        <w:tc>
          <w:tcPr>
            <w:tcW w:w="2282" w:type="dxa"/>
            <w:gridSpan w:val="3"/>
            <w:tcBorders>
              <w:top w:val="nil"/>
              <w:left w:val="nil"/>
              <w:bottom w:val="nil"/>
              <w:right w:val="nil"/>
            </w:tcBorders>
            <w:shd w:val="clear" w:color="auto" w:fill="auto"/>
            <w:noWrap/>
            <w:tcMar>
              <w:top w:w="15" w:type="dxa"/>
              <w:left w:w="15" w:type="dxa"/>
              <w:right w:w="15" w:type="dxa"/>
            </w:tcMar>
            <w:vAlign w:val="bottom"/>
          </w:tcPr>
          <w:p w14:paraId="6F59FF6B">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16345C6A">
        <w:tblPrEx>
          <w:tblCellMar>
            <w:top w:w="0" w:type="dxa"/>
            <w:left w:w="0" w:type="dxa"/>
            <w:bottom w:w="0" w:type="dxa"/>
            <w:right w:w="0" w:type="dxa"/>
          </w:tblCellMar>
        </w:tblPrEx>
        <w:trPr>
          <w:trHeight w:val="90" w:hRule="atLeast"/>
          <w:jc w:val="center"/>
        </w:trPr>
        <w:tc>
          <w:tcPr>
            <w:tcW w:w="4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99D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收     入</w:t>
            </w:r>
          </w:p>
        </w:tc>
        <w:tc>
          <w:tcPr>
            <w:tcW w:w="5672"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EE4F2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支     出</w:t>
            </w:r>
          </w:p>
        </w:tc>
      </w:tr>
      <w:tr w14:paraId="78A63116">
        <w:tblPrEx>
          <w:tblCellMar>
            <w:top w:w="0" w:type="dxa"/>
            <w:left w:w="0" w:type="dxa"/>
            <w:bottom w:w="0" w:type="dxa"/>
            <w:right w:w="0" w:type="dxa"/>
          </w:tblCellMar>
        </w:tblPrEx>
        <w:trPr>
          <w:trHeight w:val="312" w:hRule="atLeast"/>
          <w:jc w:val="center"/>
        </w:trPr>
        <w:tc>
          <w:tcPr>
            <w:tcW w:w="29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ED63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w:t>
            </w:r>
          </w:p>
        </w:tc>
        <w:tc>
          <w:tcPr>
            <w:tcW w:w="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A15F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行次</w:t>
            </w:r>
          </w:p>
        </w:tc>
        <w:tc>
          <w:tcPr>
            <w:tcW w:w="7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0AF1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金额</w:t>
            </w:r>
          </w:p>
        </w:tc>
        <w:tc>
          <w:tcPr>
            <w:tcW w:w="30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BE64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项目</w:t>
            </w:r>
          </w:p>
        </w:tc>
        <w:tc>
          <w:tcPr>
            <w:tcW w:w="3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39C5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行次</w:t>
            </w:r>
          </w:p>
        </w:tc>
        <w:tc>
          <w:tcPr>
            <w:tcW w:w="84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ECD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合计</w:t>
            </w:r>
          </w:p>
        </w:tc>
        <w:tc>
          <w:tcPr>
            <w:tcW w:w="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C0B2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一般公共预算财政拨款</w:t>
            </w:r>
          </w:p>
        </w:tc>
        <w:tc>
          <w:tcPr>
            <w:tcW w:w="6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688D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政府性基金预算财政拨款</w:t>
            </w:r>
          </w:p>
        </w:tc>
      </w:tr>
      <w:tr w14:paraId="3161429C">
        <w:tblPrEx>
          <w:tblCellMar>
            <w:top w:w="0" w:type="dxa"/>
            <w:left w:w="0" w:type="dxa"/>
            <w:bottom w:w="0" w:type="dxa"/>
            <w:right w:w="0" w:type="dxa"/>
          </w:tblCellMar>
        </w:tblPrEx>
        <w:trPr>
          <w:trHeight w:val="905" w:hRule="atLeast"/>
          <w:jc w:val="center"/>
        </w:trPr>
        <w:tc>
          <w:tcPr>
            <w:tcW w:w="29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F077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54B4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7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E454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4797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99BF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84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ADF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55B5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6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D3D7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7123A33B">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E12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栏次</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A34F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53E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98A3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栏次</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3C4F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B0E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57B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15A4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r>
      <w:tr w14:paraId="14A39E71">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B93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一、一般公共预算财政拨款</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C57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8810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3195.2</w:t>
            </w: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3F3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一、一般公共服务支出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61CD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65FD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2612.2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4D87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2612.2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356F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712C6FF1">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0D5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二、政府性基金预算财政拨款</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D9D1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EB1B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697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二、外交支出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8F1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C80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9BA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1576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42B76A69">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964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821F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0C0D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BFB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三、国防支出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0D6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6FD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C962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895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4B57BCA2">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1A1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21B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DB78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7C7C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四、公共安全支出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2055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82C4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740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1D6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6DBD3688">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A48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6671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5C30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AFEC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五、教育支出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211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2D1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CD1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FE17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29BC3BD8">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1CF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B4D7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BD08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34C1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六、科学技术支出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95AD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4100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F971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CC33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6EED28A5">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73C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E65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62EF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417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七、文化旅游体育与传媒支出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8B7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009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989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73F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3567B1F8">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EA4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83D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0F29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52B6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八、社会保障和就业支出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2A3C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8FF3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151.8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F37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151.8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396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43228081">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5CD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1711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C7E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4EE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九、卫生健康支出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0D72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A1EA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123.46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F50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123.46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CCE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1AE5F0FB">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C5D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09EC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451E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621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十、节能环保支出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7F6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39</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F03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5007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B8EF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0E454197">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AA5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C6E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6ECC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250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十一、城乡社区支出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CE9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AFC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CE82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60EA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5BC4C9C0">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8E5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A99A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7790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C0E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十二、农林水支出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5779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1F1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DAF3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2EC2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2EF116D3">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0B0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F904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4E2F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778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十三、交通运输支出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C697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42</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577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91B9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EAE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6902099D">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A65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5B41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18F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BB84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十四、资源勘探信息等支出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B36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A083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031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53AD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32848A43">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1C4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165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4CD9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704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十五、商业服务业等支出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583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32A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2908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150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7AECD264">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D66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00DC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D6B4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1D5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十六、金融支出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5175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E9C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4FB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4C0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1C725157">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C77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A55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A49B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C6E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十七、援助其他地区支出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144A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F55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3D95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DD90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3E0D454D">
        <w:tblPrEx>
          <w:tblCellMar>
            <w:top w:w="0" w:type="dxa"/>
            <w:left w:w="0" w:type="dxa"/>
            <w:bottom w:w="0" w:type="dxa"/>
            <w:right w:w="0" w:type="dxa"/>
          </w:tblCellMar>
        </w:tblPrEx>
        <w:trPr>
          <w:trHeight w:val="549"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565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4FB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463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F38C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十八、自然资源海洋气象等支出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0A6F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AE9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F5D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52F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12035810">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201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994E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1AE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40A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十九、住房保障支出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AC9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B80B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100.66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1F73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100.66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CCB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081ED9BF">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7CE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A8E6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425D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6495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二十、粮油物资储备支出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D43E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DA82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C090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ED84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2CCEB373">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481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CCE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E500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8E5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二十一、灾害防治及应急管理支出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D750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C75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BB17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B949">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7281E9F0">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B7A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1E22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0F50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24158">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二十二、其他支出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A9A0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E235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BF59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EE76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7668E967">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506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28A3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177F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6582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二十四、债务付息支出</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2D63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4D11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60FB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BE7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40DEB9FE">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C1D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本年收入合计</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0FD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5BC7">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3195.2</w:t>
            </w: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86D8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本年支出合计</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2F87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53</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85FD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2988.12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259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2988.12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CE32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5392AA0C">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BF0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年初财政拨款结转和结余</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C7F4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4EE6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121.32</w:t>
            </w: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51D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年末财政拨款结转和结余</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39E5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54</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807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328.39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1E25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328.39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E2A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01593535">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646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一、一般公共预算财政拨款</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B8D42">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E673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121.32</w:t>
            </w: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DD7CA">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4EF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55</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7EC9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5FC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D07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70A84EBB">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638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二、政府性基金预算财政拨款</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A2C4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959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E19C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B7FA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56</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7975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25C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6B1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0087710E">
        <w:tblPrEx>
          <w:tblCellMar>
            <w:top w:w="0" w:type="dxa"/>
            <w:left w:w="0" w:type="dxa"/>
            <w:bottom w:w="0" w:type="dxa"/>
            <w:right w:w="0" w:type="dxa"/>
          </w:tblCellMar>
        </w:tblPrEx>
        <w:trPr>
          <w:trHeight w:val="90"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7DB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30B4">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05563">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821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59F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57</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6B6B">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402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105A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06761A8F">
        <w:tblPrEx>
          <w:tblCellMar>
            <w:top w:w="0" w:type="dxa"/>
            <w:left w:w="0" w:type="dxa"/>
            <w:bottom w:w="0" w:type="dxa"/>
            <w:right w:w="0" w:type="dxa"/>
          </w:tblCellMar>
        </w:tblPrEx>
        <w:trPr>
          <w:trHeight w:val="519" w:hRule="atLeast"/>
          <w:jc w:val="center"/>
        </w:trPr>
        <w:tc>
          <w:tcPr>
            <w:tcW w:w="29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CBD0">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总计</w:t>
            </w:r>
          </w:p>
        </w:tc>
        <w:tc>
          <w:tcPr>
            <w:tcW w:w="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62D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w:t>
            </w:r>
          </w:p>
        </w:tc>
        <w:tc>
          <w:tcPr>
            <w:tcW w:w="7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C781C">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3316.52</w:t>
            </w:r>
          </w:p>
        </w:tc>
        <w:tc>
          <w:tcPr>
            <w:tcW w:w="3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35A3D">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总计</w:t>
            </w:r>
          </w:p>
        </w:tc>
        <w:tc>
          <w:tcPr>
            <w:tcW w:w="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E3A36">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58</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FAE21">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3316.52</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DB8EE">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3316.52</w:t>
            </w: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A07F">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p>
        </w:tc>
      </w:tr>
      <w:tr w14:paraId="50769EC1">
        <w:tblPrEx>
          <w:tblCellMar>
            <w:top w:w="0" w:type="dxa"/>
            <w:left w:w="0" w:type="dxa"/>
            <w:bottom w:w="0" w:type="dxa"/>
            <w:right w:w="0" w:type="dxa"/>
          </w:tblCellMar>
        </w:tblPrEx>
        <w:trPr>
          <w:trHeight w:val="90" w:hRule="atLeast"/>
          <w:jc w:val="center"/>
        </w:trPr>
        <w:tc>
          <w:tcPr>
            <w:tcW w:w="9725" w:type="dxa"/>
            <w:gridSpan w:val="8"/>
            <w:tcBorders>
              <w:top w:val="nil"/>
              <w:left w:val="nil"/>
              <w:bottom w:val="nil"/>
              <w:right w:val="nil"/>
            </w:tcBorders>
            <w:shd w:val="clear" w:color="auto" w:fill="auto"/>
            <w:noWrap/>
            <w:tcMar>
              <w:top w:w="15" w:type="dxa"/>
              <w:left w:w="15" w:type="dxa"/>
              <w:right w:w="15" w:type="dxa"/>
            </w:tcMar>
            <w:vAlign w:val="center"/>
          </w:tcPr>
          <w:p w14:paraId="67693BB5">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14:paraId="3F11E09F">
      <w:pPr>
        <w:rPr>
          <w:rFonts w:hint="eastAsia" w:ascii="仿宋" w:hAnsi="仿宋" w:eastAsia="仿宋" w:cs="仿宋"/>
          <w:lang w:val="en-US" w:eastAsia="zh-CN"/>
        </w:rPr>
      </w:pPr>
      <w:r>
        <w:rPr>
          <w:rFonts w:hint="eastAsia" w:ascii="仿宋" w:hAnsi="仿宋" w:eastAsia="仿宋" w:cs="仿宋"/>
          <w:lang w:val="en-US" w:eastAsia="zh-CN"/>
        </w:rPr>
        <w:br w:type="page"/>
      </w:r>
    </w:p>
    <w:tbl>
      <w:tblPr>
        <w:tblStyle w:val="6"/>
        <w:tblW w:w="9990" w:type="dxa"/>
        <w:jc w:val="center"/>
        <w:shd w:val="clear" w:color="auto" w:fill="auto"/>
        <w:tblLayout w:type="autofit"/>
        <w:tblCellMar>
          <w:top w:w="0" w:type="dxa"/>
          <w:left w:w="0" w:type="dxa"/>
          <w:bottom w:w="0" w:type="dxa"/>
          <w:right w:w="0" w:type="dxa"/>
        </w:tblCellMar>
      </w:tblPr>
      <w:tblGrid>
        <w:gridCol w:w="687"/>
        <w:gridCol w:w="39"/>
        <w:gridCol w:w="39"/>
        <w:gridCol w:w="3550"/>
        <w:gridCol w:w="1913"/>
        <w:gridCol w:w="1913"/>
        <w:gridCol w:w="1913"/>
      </w:tblGrid>
      <w:tr w14:paraId="0B174639">
        <w:tblPrEx>
          <w:shd w:val="clear" w:color="auto" w:fill="auto"/>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14:paraId="19A368C3">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一般公共预算财政拨款支出决算表</w:t>
            </w:r>
          </w:p>
        </w:tc>
      </w:tr>
      <w:tr w14:paraId="58248395">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3F460EF2">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3B7E010">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4F7608A">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7AC7E6B">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A53356A">
            <w:pPr>
              <w:rPr>
                <w:rFonts w:hint="eastAsia" w:ascii="仿宋" w:hAnsi="仿宋" w:eastAsia="仿宋" w:cs="仿宋"/>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53957219">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公开05表</w:t>
            </w:r>
          </w:p>
        </w:tc>
      </w:tr>
      <w:tr w14:paraId="0D7E1081">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90627AE">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1A72101F">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32175AB">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01837E0">
            <w:pP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唐山市曹妃甸区行政审批局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525E4AD3">
            <w:pPr>
              <w:rPr>
                <w:rFonts w:hint="eastAsia" w:ascii="仿宋" w:hAnsi="仿宋" w:eastAsia="仿宋" w:cs="仿宋"/>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4C774F6">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1B9F946B">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EA2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0149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本年支出</w:t>
            </w:r>
          </w:p>
        </w:tc>
      </w:tr>
      <w:tr w14:paraId="4E0D85CF">
        <w:tblPrEx>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463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1F30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1A02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49DE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23B3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项目支出</w:t>
            </w:r>
          </w:p>
        </w:tc>
      </w:tr>
      <w:tr w14:paraId="0A69E434">
        <w:tblPrEx>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BDFB">
            <w:pPr>
              <w:jc w:val="center"/>
              <w:rPr>
                <w:rFonts w:hint="eastAsia" w:ascii="仿宋" w:hAnsi="仿宋" w:eastAsia="仿宋" w:cs="仿宋"/>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876EA">
            <w:pPr>
              <w:jc w:val="center"/>
              <w:rPr>
                <w:rFonts w:hint="eastAsia" w:ascii="仿宋" w:hAnsi="仿宋" w:eastAsia="仿宋" w:cs="仿宋"/>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4C85A">
            <w:pPr>
              <w:jc w:val="center"/>
              <w:rPr>
                <w:rFonts w:hint="eastAsia" w:ascii="仿宋" w:hAnsi="仿宋" w:eastAsia="仿宋" w:cs="仿宋"/>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DD06F">
            <w:pPr>
              <w:jc w:val="center"/>
              <w:rPr>
                <w:rFonts w:hint="eastAsia" w:ascii="仿宋" w:hAnsi="仿宋" w:eastAsia="仿宋" w:cs="仿宋"/>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C1F90">
            <w:pPr>
              <w:jc w:val="center"/>
              <w:rPr>
                <w:rFonts w:hint="eastAsia" w:ascii="仿宋" w:hAnsi="仿宋" w:eastAsia="仿宋" w:cs="仿宋"/>
                <w:i w:val="0"/>
                <w:color w:val="000000"/>
                <w:sz w:val="22"/>
                <w:szCs w:val="22"/>
                <w:u w:val="none"/>
              </w:rPr>
            </w:pPr>
          </w:p>
        </w:tc>
      </w:tr>
      <w:tr w14:paraId="7F38527F">
        <w:tblPrEx>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31CD">
            <w:pPr>
              <w:jc w:val="center"/>
              <w:rPr>
                <w:rFonts w:hint="eastAsia" w:ascii="仿宋" w:hAnsi="仿宋" w:eastAsia="仿宋" w:cs="仿宋"/>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3D6A">
            <w:pPr>
              <w:jc w:val="center"/>
              <w:rPr>
                <w:rFonts w:hint="eastAsia" w:ascii="仿宋" w:hAnsi="仿宋" w:eastAsia="仿宋" w:cs="仿宋"/>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637C2">
            <w:pPr>
              <w:jc w:val="center"/>
              <w:rPr>
                <w:rFonts w:hint="eastAsia" w:ascii="仿宋" w:hAnsi="仿宋" w:eastAsia="仿宋" w:cs="仿宋"/>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7992F">
            <w:pPr>
              <w:jc w:val="center"/>
              <w:rPr>
                <w:rFonts w:hint="eastAsia" w:ascii="仿宋" w:hAnsi="仿宋" w:eastAsia="仿宋" w:cs="仿宋"/>
                <w:i w:val="0"/>
                <w:color w:val="000000"/>
                <w:sz w:val="22"/>
                <w:szCs w:val="22"/>
                <w:u w:val="none"/>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660CA">
            <w:pPr>
              <w:jc w:val="center"/>
              <w:rPr>
                <w:rFonts w:hint="eastAsia" w:ascii="仿宋" w:hAnsi="仿宋" w:eastAsia="仿宋" w:cs="仿宋"/>
                <w:i w:val="0"/>
                <w:color w:val="000000"/>
                <w:sz w:val="22"/>
                <w:szCs w:val="22"/>
                <w:u w:val="none"/>
              </w:rPr>
            </w:pPr>
          </w:p>
        </w:tc>
      </w:tr>
      <w:tr w14:paraId="47B28BF9">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4CC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D78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5E3B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7AB4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14:paraId="53F453EA">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AAC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1FFFF">
            <w:pPr>
              <w:jc w:val="right"/>
              <w:rPr>
                <w:rFonts w:hint="eastAsia" w:ascii="仿宋" w:hAnsi="仿宋" w:eastAsia="仿宋" w:cs="仿宋"/>
                <w:b/>
                <w:i w:val="0"/>
                <w:color w:val="000000"/>
                <w:sz w:val="22"/>
                <w:szCs w:val="22"/>
                <w:u w:val="none"/>
                <w:lang w:val="en-US" w:eastAsia="zh-CN"/>
              </w:rPr>
            </w:pPr>
            <w:r>
              <w:rPr>
                <w:rFonts w:hint="eastAsia" w:ascii="仿宋" w:hAnsi="仿宋" w:eastAsia="仿宋" w:cs="仿宋"/>
                <w:b/>
                <w:i w:val="0"/>
                <w:color w:val="000000"/>
                <w:sz w:val="22"/>
                <w:szCs w:val="22"/>
                <w:u w:val="none"/>
                <w:lang w:val="en-US" w:eastAsia="zh-CN"/>
              </w:rPr>
              <w:t>2988.12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4701A">
            <w:pPr>
              <w:jc w:val="right"/>
              <w:rPr>
                <w:rFonts w:hint="eastAsia" w:ascii="仿宋" w:hAnsi="仿宋" w:eastAsia="仿宋" w:cs="仿宋"/>
                <w:b/>
                <w:i w:val="0"/>
                <w:color w:val="000000"/>
                <w:sz w:val="22"/>
                <w:szCs w:val="22"/>
                <w:u w:val="none"/>
                <w:lang w:val="en-US" w:eastAsia="zh-CN"/>
              </w:rPr>
            </w:pPr>
            <w:r>
              <w:rPr>
                <w:rFonts w:hint="eastAsia" w:ascii="仿宋" w:hAnsi="仿宋" w:eastAsia="仿宋" w:cs="仿宋"/>
                <w:b/>
                <w:i w:val="0"/>
                <w:color w:val="000000"/>
                <w:sz w:val="22"/>
                <w:szCs w:val="22"/>
                <w:u w:val="none"/>
                <w:lang w:val="en-US" w:eastAsia="zh-CN"/>
              </w:rPr>
              <w:t>1727.43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A73AA">
            <w:pPr>
              <w:jc w:val="right"/>
              <w:rPr>
                <w:rFonts w:hint="eastAsia" w:ascii="仿宋" w:hAnsi="仿宋" w:eastAsia="仿宋" w:cs="仿宋"/>
                <w:b/>
                <w:i w:val="0"/>
                <w:color w:val="000000"/>
                <w:sz w:val="22"/>
                <w:szCs w:val="22"/>
                <w:u w:val="none"/>
                <w:lang w:val="en-US" w:eastAsia="zh-CN"/>
              </w:rPr>
            </w:pPr>
            <w:r>
              <w:rPr>
                <w:rFonts w:hint="eastAsia" w:ascii="仿宋" w:hAnsi="仿宋" w:eastAsia="仿宋" w:cs="仿宋"/>
                <w:b/>
                <w:i w:val="0"/>
                <w:color w:val="000000"/>
                <w:sz w:val="22"/>
                <w:szCs w:val="22"/>
                <w:u w:val="none"/>
                <w:lang w:val="en-US" w:eastAsia="zh-CN"/>
              </w:rPr>
              <w:t>1260.69</w:t>
            </w:r>
          </w:p>
        </w:tc>
      </w:tr>
      <w:tr w14:paraId="450C83F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E25C">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2010306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C384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政务公开审批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77295">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2612.2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A297">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1351.51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412F2">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1260.69</w:t>
            </w:r>
          </w:p>
        </w:tc>
      </w:tr>
      <w:tr w14:paraId="7822CB0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F9B4">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157D">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就业管理事务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5AA9A">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8D2E">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0646">
            <w:pPr>
              <w:jc w:val="right"/>
              <w:rPr>
                <w:rFonts w:hint="eastAsia" w:ascii="仿宋" w:hAnsi="仿宋" w:eastAsia="仿宋" w:cs="仿宋"/>
                <w:i w:val="0"/>
                <w:color w:val="000000"/>
                <w:kern w:val="2"/>
                <w:sz w:val="22"/>
                <w:szCs w:val="22"/>
                <w:u w:val="none"/>
                <w:lang w:val="en-US" w:eastAsia="zh-CN" w:bidi="ar-SA"/>
              </w:rPr>
            </w:pPr>
          </w:p>
        </w:tc>
      </w:tr>
      <w:tr w14:paraId="7778805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4D8C">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744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13A26">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139.2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BD24A">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139.2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4DFC6">
            <w:pPr>
              <w:jc w:val="right"/>
              <w:rPr>
                <w:rFonts w:hint="eastAsia" w:ascii="仿宋" w:hAnsi="仿宋" w:eastAsia="仿宋" w:cs="仿宋"/>
                <w:i w:val="0"/>
                <w:color w:val="000000"/>
                <w:kern w:val="2"/>
                <w:sz w:val="22"/>
                <w:szCs w:val="22"/>
                <w:u w:val="none"/>
                <w:lang w:val="en-US" w:eastAsia="zh-CN" w:bidi="ar-SA"/>
              </w:rPr>
            </w:pPr>
          </w:p>
        </w:tc>
      </w:tr>
      <w:tr w14:paraId="4552437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469B">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8C84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D1A8">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58.49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C720">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58.49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25E0">
            <w:pPr>
              <w:jc w:val="right"/>
              <w:rPr>
                <w:rFonts w:hint="eastAsia" w:ascii="仿宋" w:hAnsi="仿宋" w:eastAsia="仿宋" w:cs="仿宋"/>
                <w:i w:val="0"/>
                <w:color w:val="000000"/>
                <w:kern w:val="2"/>
                <w:sz w:val="22"/>
                <w:szCs w:val="22"/>
                <w:u w:val="none"/>
                <w:lang w:val="en-US" w:eastAsia="zh-CN" w:bidi="ar-SA"/>
              </w:rPr>
            </w:pPr>
          </w:p>
        </w:tc>
      </w:tr>
      <w:tr w14:paraId="551D9DF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6F47">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E2C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42D57">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64.97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43E0">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64.97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A2335">
            <w:pPr>
              <w:jc w:val="right"/>
              <w:rPr>
                <w:rFonts w:hint="eastAsia" w:ascii="仿宋" w:hAnsi="仿宋" w:eastAsia="仿宋" w:cs="仿宋"/>
                <w:i w:val="0"/>
                <w:color w:val="000000"/>
                <w:kern w:val="2"/>
                <w:sz w:val="22"/>
                <w:szCs w:val="22"/>
                <w:u w:val="none"/>
                <w:lang w:val="en-US" w:eastAsia="zh-CN" w:bidi="ar-SA"/>
              </w:rPr>
            </w:pPr>
          </w:p>
        </w:tc>
      </w:tr>
      <w:tr w14:paraId="3F8387A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E717">
            <w:pPr>
              <w:widowControl/>
              <w:spacing w:after="0" w:line="240" w:lineRule="atLeas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F953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91E5">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5AB77">
            <w:pPr>
              <w:jc w:val="right"/>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54B01">
            <w:pPr>
              <w:jc w:val="right"/>
              <w:rPr>
                <w:rFonts w:hint="eastAsia" w:ascii="仿宋" w:hAnsi="仿宋" w:eastAsia="仿宋" w:cs="仿宋"/>
                <w:i w:val="0"/>
                <w:color w:val="000000"/>
                <w:kern w:val="2"/>
                <w:sz w:val="22"/>
                <w:szCs w:val="22"/>
                <w:u w:val="none"/>
                <w:lang w:val="en-US" w:eastAsia="zh-CN" w:bidi="ar-SA"/>
              </w:rPr>
            </w:pPr>
          </w:p>
        </w:tc>
      </w:tr>
    </w:tbl>
    <w:p w14:paraId="1BA3B5BF">
      <w:pPr>
        <w:rPr>
          <w:rFonts w:hint="eastAsia" w:ascii="仿宋" w:hAnsi="仿宋" w:eastAsia="仿宋" w:cs="仿宋"/>
          <w:lang w:val="en-US" w:eastAsia="zh-CN"/>
        </w:rPr>
      </w:pPr>
      <w:r>
        <w:rPr>
          <w:rFonts w:hint="eastAsia" w:ascii="仿宋" w:hAnsi="仿宋" w:eastAsia="仿宋" w:cs="仿宋"/>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650"/>
        <w:gridCol w:w="2205"/>
        <w:gridCol w:w="756"/>
        <w:gridCol w:w="655"/>
        <w:gridCol w:w="1599"/>
        <w:gridCol w:w="768"/>
        <w:gridCol w:w="744"/>
        <w:gridCol w:w="1891"/>
        <w:gridCol w:w="732"/>
      </w:tblGrid>
      <w:tr w14:paraId="3D254401">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14E52127">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一般公共预算财政拨款基本支出决算表</w:t>
            </w:r>
          </w:p>
        </w:tc>
      </w:tr>
      <w:tr w14:paraId="220C33A0">
        <w:tblPrEx>
          <w:tblCellMar>
            <w:top w:w="0" w:type="dxa"/>
            <w:left w:w="0" w:type="dxa"/>
            <w:bottom w:w="0" w:type="dxa"/>
            <w:right w:w="0" w:type="dxa"/>
          </w:tblCellMar>
        </w:tblPrEx>
        <w:trPr>
          <w:trHeight w:val="339" w:hRule="atLeast"/>
          <w:jc w:val="center"/>
        </w:trPr>
        <w:tc>
          <w:tcPr>
            <w:tcW w:w="650" w:type="dxa"/>
            <w:tcBorders>
              <w:top w:val="nil"/>
              <w:left w:val="nil"/>
              <w:bottom w:val="nil"/>
              <w:right w:val="nil"/>
            </w:tcBorders>
            <w:shd w:val="clear" w:color="auto" w:fill="auto"/>
            <w:noWrap/>
            <w:tcMar>
              <w:top w:w="15" w:type="dxa"/>
              <w:left w:w="15" w:type="dxa"/>
              <w:right w:w="15" w:type="dxa"/>
            </w:tcMar>
            <w:vAlign w:val="bottom"/>
          </w:tcPr>
          <w:p w14:paraId="3924AEF0">
            <w:pPr>
              <w:rPr>
                <w:rFonts w:hint="eastAsia" w:ascii="仿宋" w:hAnsi="仿宋" w:eastAsia="仿宋" w:cs="仿宋"/>
                <w:i w:val="0"/>
                <w:color w:val="000000"/>
                <w:sz w:val="20"/>
                <w:szCs w:val="20"/>
                <w:u w:val="none"/>
              </w:rPr>
            </w:pPr>
          </w:p>
        </w:tc>
        <w:tc>
          <w:tcPr>
            <w:tcW w:w="2205" w:type="dxa"/>
            <w:tcBorders>
              <w:top w:val="nil"/>
              <w:left w:val="nil"/>
              <w:bottom w:val="nil"/>
              <w:right w:val="nil"/>
            </w:tcBorders>
            <w:shd w:val="clear" w:color="auto" w:fill="auto"/>
            <w:tcMar>
              <w:top w:w="15" w:type="dxa"/>
              <w:left w:w="15" w:type="dxa"/>
              <w:right w:w="15" w:type="dxa"/>
            </w:tcMar>
            <w:vAlign w:val="bottom"/>
          </w:tcPr>
          <w:p w14:paraId="5279D0A3">
            <w:pPr>
              <w:rPr>
                <w:rFonts w:hint="eastAsia" w:ascii="仿宋" w:hAnsi="仿宋" w:eastAsia="仿宋" w:cs="仿宋"/>
                <w:i w:val="0"/>
                <w:color w:val="000000"/>
                <w:sz w:val="20"/>
                <w:szCs w:val="20"/>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14:paraId="0E157217">
            <w:pPr>
              <w:rPr>
                <w:rFonts w:hint="eastAsia" w:ascii="仿宋" w:hAnsi="仿宋" w:eastAsia="仿宋" w:cs="仿宋"/>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30F486EC">
            <w:pPr>
              <w:rPr>
                <w:rFonts w:hint="eastAsia" w:ascii="仿宋" w:hAnsi="仿宋" w:eastAsia="仿宋" w:cs="仿宋"/>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14:paraId="7E696127">
            <w:pPr>
              <w:rPr>
                <w:rFonts w:hint="eastAsia" w:ascii="仿宋" w:hAnsi="仿宋" w:eastAsia="仿宋" w:cs="仿宋"/>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789EA2FC">
            <w:pPr>
              <w:rPr>
                <w:rFonts w:hint="eastAsia" w:ascii="仿宋" w:hAnsi="仿宋" w:eastAsia="仿宋" w:cs="仿宋"/>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6102E5EA">
            <w:pPr>
              <w:rPr>
                <w:rFonts w:hint="eastAsia" w:ascii="仿宋" w:hAnsi="仿宋" w:eastAsia="仿宋" w:cs="仿宋"/>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5ED540AA">
            <w:pPr>
              <w:keepNext w:val="0"/>
              <w:keepLines w:val="0"/>
              <w:widowControl/>
              <w:suppressLineNumbers w:val="0"/>
              <w:jc w:val="right"/>
              <w:textAlignment w:val="bottom"/>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公开06表</w:t>
            </w:r>
          </w:p>
        </w:tc>
      </w:tr>
      <w:tr w14:paraId="6C625443">
        <w:tblPrEx>
          <w:tblCellMar>
            <w:top w:w="0" w:type="dxa"/>
            <w:left w:w="0" w:type="dxa"/>
            <w:bottom w:w="0" w:type="dxa"/>
            <w:right w:w="0" w:type="dxa"/>
          </w:tblCellMar>
        </w:tblPrEx>
        <w:trPr>
          <w:trHeight w:val="339" w:hRule="atLeast"/>
          <w:jc w:val="center"/>
        </w:trPr>
        <w:tc>
          <w:tcPr>
            <w:tcW w:w="650" w:type="dxa"/>
            <w:tcBorders>
              <w:top w:val="nil"/>
              <w:left w:val="nil"/>
              <w:bottom w:val="nil"/>
              <w:right w:val="nil"/>
            </w:tcBorders>
            <w:shd w:val="clear" w:color="auto" w:fill="auto"/>
            <w:noWrap/>
            <w:tcMar>
              <w:top w:w="15" w:type="dxa"/>
              <w:left w:w="15" w:type="dxa"/>
              <w:right w:w="15" w:type="dxa"/>
            </w:tcMar>
            <w:vAlign w:val="bottom"/>
          </w:tcPr>
          <w:p w14:paraId="5B5B9E73">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w:t>
            </w:r>
          </w:p>
        </w:tc>
        <w:tc>
          <w:tcPr>
            <w:tcW w:w="2205" w:type="dxa"/>
            <w:tcBorders>
              <w:top w:val="nil"/>
              <w:left w:val="nil"/>
              <w:bottom w:val="nil"/>
              <w:right w:val="nil"/>
            </w:tcBorders>
            <w:shd w:val="clear" w:color="auto" w:fill="auto"/>
            <w:tcMar>
              <w:top w:w="15" w:type="dxa"/>
              <w:left w:w="15" w:type="dxa"/>
              <w:right w:w="15" w:type="dxa"/>
            </w:tcMar>
            <w:vAlign w:val="bottom"/>
          </w:tcPr>
          <w:p w14:paraId="4F10E089">
            <w:pP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唐山市曹妃甸区行政审批局</w:t>
            </w:r>
          </w:p>
        </w:tc>
        <w:tc>
          <w:tcPr>
            <w:tcW w:w="756" w:type="dxa"/>
            <w:tcBorders>
              <w:top w:val="nil"/>
              <w:left w:val="nil"/>
              <w:bottom w:val="nil"/>
              <w:right w:val="nil"/>
            </w:tcBorders>
            <w:shd w:val="clear" w:color="auto" w:fill="auto"/>
            <w:noWrap/>
            <w:tcMar>
              <w:top w:w="15" w:type="dxa"/>
              <w:left w:w="15" w:type="dxa"/>
              <w:right w:w="15" w:type="dxa"/>
            </w:tcMar>
            <w:vAlign w:val="bottom"/>
          </w:tcPr>
          <w:p w14:paraId="16157711">
            <w:pPr>
              <w:rPr>
                <w:rFonts w:hint="eastAsia" w:ascii="仿宋" w:hAnsi="仿宋" w:eastAsia="仿宋" w:cs="仿宋"/>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1AF835C6">
            <w:pPr>
              <w:rPr>
                <w:rFonts w:hint="eastAsia" w:ascii="仿宋" w:hAnsi="仿宋" w:eastAsia="仿宋" w:cs="仿宋"/>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14:paraId="188FA5A8">
            <w:pPr>
              <w:rPr>
                <w:rFonts w:hint="eastAsia" w:ascii="仿宋" w:hAnsi="仿宋" w:eastAsia="仿宋" w:cs="仿宋"/>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082A457C">
            <w:pPr>
              <w:rPr>
                <w:rFonts w:hint="eastAsia" w:ascii="仿宋" w:hAnsi="仿宋" w:eastAsia="仿宋" w:cs="仿宋"/>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3090F9D0">
            <w:pPr>
              <w:rPr>
                <w:rFonts w:hint="eastAsia" w:ascii="仿宋" w:hAnsi="仿宋" w:eastAsia="仿宋" w:cs="仿宋"/>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2CBE470E">
            <w:pPr>
              <w:keepNext w:val="0"/>
              <w:keepLines w:val="0"/>
              <w:widowControl/>
              <w:suppressLineNumbers w:val="0"/>
              <w:jc w:val="right"/>
              <w:textAlignment w:val="bottom"/>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金额单位：万元</w:t>
            </w:r>
          </w:p>
        </w:tc>
      </w:tr>
      <w:tr w14:paraId="68A7BEAC">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383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BDACE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公用经费</w:t>
            </w:r>
          </w:p>
        </w:tc>
      </w:tr>
      <w:tr w14:paraId="79E029C9">
        <w:tblPrEx>
          <w:tblCellMar>
            <w:top w:w="0" w:type="dxa"/>
            <w:left w:w="0" w:type="dxa"/>
            <w:bottom w:w="0" w:type="dxa"/>
            <w:right w:w="0" w:type="dxa"/>
          </w:tblCellMar>
        </w:tblPrEx>
        <w:trPr>
          <w:trHeight w:val="362" w:hRule="atLeast"/>
          <w:jc w:val="center"/>
        </w:trPr>
        <w:tc>
          <w:tcPr>
            <w:tcW w:w="6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94EC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科目</w:t>
            </w:r>
          </w:p>
          <w:p w14:paraId="032767C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编码</w:t>
            </w:r>
          </w:p>
        </w:tc>
        <w:tc>
          <w:tcPr>
            <w:tcW w:w="22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F209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7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DDA2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EA60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E036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33E6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45D5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科目</w:t>
            </w:r>
          </w:p>
          <w:p w14:paraId="30D09B2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7DD7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4E4F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决算数</w:t>
            </w:r>
          </w:p>
        </w:tc>
      </w:tr>
      <w:tr w14:paraId="29036141">
        <w:tblPrEx>
          <w:tblCellMar>
            <w:top w:w="0" w:type="dxa"/>
            <w:left w:w="0" w:type="dxa"/>
            <w:bottom w:w="0" w:type="dxa"/>
            <w:right w:w="0" w:type="dxa"/>
          </w:tblCellMar>
        </w:tblPrEx>
        <w:trPr>
          <w:trHeight w:val="349" w:hRule="atLeast"/>
          <w:jc w:val="center"/>
        </w:trPr>
        <w:tc>
          <w:tcPr>
            <w:tcW w:w="6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9E54A">
            <w:pPr>
              <w:jc w:val="center"/>
              <w:rPr>
                <w:rFonts w:hint="eastAsia" w:ascii="仿宋" w:hAnsi="仿宋" w:eastAsia="仿宋" w:cs="仿宋"/>
                <w:i w:val="0"/>
                <w:color w:val="000000"/>
                <w:sz w:val="22"/>
                <w:szCs w:val="22"/>
                <w:u w:val="none"/>
              </w:rPr>
            </w:pPr>
          </w:p>
        </w:tc>
        <w:tc>
          <w:tcPr>
            <w:tcW w:w="22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48271">
            <w:pPr>
              <w:jc w:val="center"/>
              <w:rPr>
                <w:rFonts w:hint="eastAsia" w:ascii="仿宋" w:hAnsi="仿宋" w:eastAsia="仿宋" w:cs="仿宋"/>
                <w:i w:val="0"/>
                <w:color w:val="000000"/>
                <w:sz w:val="22"/>
                <w:szCs w:val="22"/>
                <w:u w:val="none"/>
              </w:rPr>
            </w:pPr>
          </w:p>
        </w:tc>
        <w:tc>
          <w:tcPr>
            <w:tcW w:w="7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E83E5">
            <w:pPr>
              <w:jc w:val="center"/>
              <w:rPr>
                <w:rFonts w:hint="eastAsia" w:ascii="仿宋" w:hAnsi="仿宋" w:eastAsia="仿宋" w:cs="仿宋"/>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E13D8">
            <w:pPr>
              <w:jc w:val="center"/>
              <w:rPr>
                <w:rFonts w:hint="eastAsia" w:ascii="仿宋" w:hAnsi="仿宋" w:eastAsia="仿宋" w:cs="仿宋"/>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8F50D">
            <w:pPr>
              <w:jc w:val="center"/>
              <w:rPr>
                <w:rFonts w:hint="eastAsia" w:ascii="仿宋" w:hAnsi="仿宋" w:eastAsia="仿宋" w:cs="仿宋"/>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AF824">
            <w:pPr>
              <w:jc w:val="center"/>
              <w:rPr>
                <w:rFonts w:hint="eastAsia" w:ascii="仿宋" w:hAnsi="仿宋" w:eastAsia="仿宋" w:cs="仿宋"/>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DABA8">
            <w:pPr>
              <w:jc w:val="center"/>
              <w:rPr>
                <w:rFonts w:hint="eastAsia" w:ascii="仿宋" w:hAnsi="仿宋" w:eastAsia="仿宋" w:cs="仿宋"/>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B7897">
            <w:pPr>
              <w:jc w:val="center"/>
              <w:rPr>
                <w:rFonts w:hint="eastAsia" w:ascii="仿宋" w:hAnsi="仿宋" w:eastAsia="仿宋" w:cs="仿宋"/>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79648">
            <w:pPr>
              <w:jc w:val="center"/>
              <w:rPr>
                <w:rFonts w:hint="eastAsia" w:ascii="仿宋" w:hAnsi="仿宋" w:eastAsia="仿宋" w:cs="仿宋"/>
                <w:i w:val="0"/>
                <w:color w:val="000000"/>
                <w:sz w:val="22"/>
                <w:szCs w:val="22"/>
                <w:u w:val="none"/>
              </w:rPr>
            </w:pPr>
          </w:p>
        </w:tc>
      </w:tr>
      <w:tr w14:paraId="22658E83">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A69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302B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工资福利支出</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5E3D">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1600.98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8BC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45F2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915B">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125.95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286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B3BD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284B">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76D72506">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0C1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8F76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基本工资</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4C6A0">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397.41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22F4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D6ED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89214">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19.97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C435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FBB2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93C4">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230162A2">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9D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30102</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038B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津贴补贴</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D76A">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118.01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ABC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42E6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24A5">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6EF3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544F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B194">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5B9186B9">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2C1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30103</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361D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奖金</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0C00">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182.4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9BC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594E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7E20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2A57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8CCB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16C26">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7C94FD0E">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35C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30106</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11FE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伙食补助费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EDEA">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D7DA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D9BB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5BC68">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9AF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8C8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5CBD">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343D7083">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0C6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30107</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5D38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绩效工资</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1A270">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393.3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D46F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F643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2B267">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449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C1E2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FD812">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7B225C06">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78B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30108</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190B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机关事业单位基本养老保险缴费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58F16">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139.2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390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25E5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6022C">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6.17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546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BEB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CCAE">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1A16929E">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97A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5934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职业年金缴费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CE4D">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23C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1966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0DF9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24.34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E03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9119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0166E">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3CECA22A">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04F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30110</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1575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职工基本医疗保险缴费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79314">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56.48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4CD3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7813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C9CD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9061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6D79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34DB5">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48C68CF7">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950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7C20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公务员医疗补助缴费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F96D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64.97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B44F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B82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B2A3E">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9D7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5D2C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3D8F">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530F6E81">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B74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30112</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6E7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其他社会保障缴费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A11A6">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10.35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519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A86A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049C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3.74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F5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04D1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DFB32">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57BF38A9">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D9D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30113</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4F5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住房公积金</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CDC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100.66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1820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70D6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0C3E8">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1D0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1A8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E18AC">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0D72D721">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79D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30114</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D7D5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医疗费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8E0BA">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29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C0C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CAD0">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17AA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847C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B109">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6CB7985E">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11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30199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5D06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其他工资福利支出</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077C">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138.19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C780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AEB5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549A7">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51BD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F7A6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A474">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2B2F17E6">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6F9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9285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对个人和家庭的补助</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8B62">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263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290C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A439A">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568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0E6B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BF411">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7F7D2452">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F31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AB3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离休费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E83C1">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0A31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DD26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9FA5">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1.76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15D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2B7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0432D">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131B4708">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628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30302</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81D0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退休费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C2205">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1EDD">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7256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3DD2E">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0.11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9281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A380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574F">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4E24ED39">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03A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30303</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5CA8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退职（役）费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9D6E">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7BF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B31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AC8A2">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366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5104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2EBA2">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54399688">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535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30304</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92B1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抚恤金</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2B79">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3DEC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9849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A921C">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3E6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FF85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F3D1">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0B07E5D4">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3F4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30305</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1452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生活补助</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36BA3">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7DA0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5325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53DAB">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DE0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5E18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83114">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0C1482D5">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EA1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30306</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7FFC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救济费</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C2169">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FD8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D513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2A05">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9.35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97B5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47E8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6C5B9">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09BBDDA2">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FE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30307</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D190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医疗费补助</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F4C1">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CAD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D8A8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AE2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C51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E3C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867F">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36282F5E">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076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30308</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6D6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助学金</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590E">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167D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DBB7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9D61">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8.91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E7A3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E840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3CB61">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3B7E99B6">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32D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30309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B031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奖励金</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9BBA3">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287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0ABE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B5D81">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7.95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EA51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AFC9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597DE">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267DB4F5">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F8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30310</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485A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个人农业生产补贴</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5AE80">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4A0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690F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04E8">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20.94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4A6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5E6E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227C0">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1FF17045">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983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30399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DCF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其他对个人和家庭的补助</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99ED6">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D35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7677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4B81E">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14.72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BBBD5">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E6961">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0F0F">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32C0C63F">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EEEA">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15FE9">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66ADF">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490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857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78155">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F7A01">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C170E">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C277B">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73003B2B">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DF6B">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3AD4A">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1919A">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A9E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CD96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29DA">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3FFE">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921C3">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7A95">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rPr>
            </w:pPr>
          </w:p>
        </w:tc>
      </w:tr>
      <w:tr w14:paraId="70C6F12D">
        <w:tblPrEx>
          <w:tblCellMar>
            <w:top w:w="0" w:type="dxa"/>
            <w:left w:w="0" w:type="dxa"/>
            <w:bottom w:w="0" w:type="dxa"/>
            <w:right w:w="0" w:type="dxa"/>
          </w:tblCellMar>
        </w:tblPrEx>
        <w:trPr>
          <w:trHeight w:val="317" w:hRule="atLeast"/>
          <w:jc w:val="center"/>
        </w:trPr>
        <w:tc>
          <w:tcPr>
            <w:tcW w:w="2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62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人员经费合计</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F29CC">
            <w:pPr>
              <w:keepNext w:val="0"/>
              <w:keepLines w:val="0"/>
              <w:pageBreakBefore w:val="0"/>
              <w:kinsoku/>
              <w:wordWrap/>
              <w:overflowPunct/>
              <w:topLinePunct w:val="0"/>
              <w:autoSpaceDE/>
              <w:autoSpaceDN/>
              <w:bidi w:val="0"/>
              <w:adjustRightInd/>
              <w:snapToGrid/>
              <w:spacing w:line="22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1601.49</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92B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2DC46">
            <w:pPr>
              <w:keepNext w:val="0"/>
              <w:keepLines w:val="0"/>
              <w:pageBreakBefore w:val="0"/>
              <w:kinsoku/>
              <w:wordWrap/>
              <w:overflowPunct/>
              <w:topLinePunct w:val="0"/>
              <w:autoSpaceDE/>
              <w:autoSpaceDN/>
              <w:bidi w:val="0"/>
              <w:adjustRightInd/>
              <w:snapToGrid/>
              <w:spacing w:line="180" w:lineRule="exact"/>
              <w:jc w:val="right"/>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125.95</w:t>
            </w:r>
          </w:p>
        </w:tc>
      </w:tr>
    </w:tbl>
    <w:p w14:paraId="3379CA2F">
      <w:pPr>
        <w:rPr>
          <w:rFonts w:hint="eastAsia" w:ascii="仿宋" w:hAnsi="仿宋" w:eastAsia="仿宋" w:cs="仿宋"/>
          <w:lang w:val="en-US" w:eastAsia="zh-CN"/>
        </w:rPr>
      </w:pPr>
      <w:r>
        <w:rPr>
          <w:rFonts w:hint="eastAsia" w:ascii="仿宋" w:hAnsi="仿宋" w:eastAsia="仿宋" w:cs="仿宋"/>
          <w:lang w:val="en-US" w:eastAsia="zh-CN"/>
        </w:rPr>
        <w:br w:type="page"/>
      </w:r>
    </w:p>
    <w:tbl>
      <w:tblPr>
        <w:tblStyle w:val="6"/>
        <w:tblW w:w="9220" w:type="dxa"/>
        <w:jc w:val="center"/>
        <w:shd w:val="clear" w:color="auto" w:fill="auto"/>
        <w:tblLayout w:type="autofit"/>
        <w:tblCellMar>
          <w:top w:w="0" w:type="dxa"/>
          <w:left w:w="0" w:type="dxa"/>
          <w:bottom w:w="0" w:type="dxa"/>
          <w:right w:w="0" w:type="dxa"/>
        </w:tblCellMar>
      </w:tblPr>
      <w:tblGrid>
        <w:gridCol w:w="3030"/>
        <w:gridCol w:w="1395"/>
        <w:gridCol w:w="1217"/>
        <w:gridCol w:w="789"/>
        <w:gridCol w:w="1217"/>
        <w:gridCol w:w="1572"/>
      </w:tblGrid>
      <w:tr w14:paraId="444D9D1F">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0D360F3D">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一般公共预算财政拨款“三公”经费支出决算表</w:t>
            </w:r>
          </w:p>
        </w:tc>
      </w:tr>
      <w:tr w14:paraId="0A7C0618">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93C3304">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D8D7471">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2D36A57">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4DA6C02">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5852A02">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7753430">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公开07表</w:t>
            </w:r>
          </w:p>
        </w:tc>
      </w:tr>
      <w:tr w14:paraId="7C73518B">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3E090D1">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部门：唐山市曹妃甸区行政审批局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2C688F38">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5C5CC2C">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8EAD54">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B79B143">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2611282">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32413AFA">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3AA7C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预算数</w:t>
            </w:r>
          </w:p>
        </w:tc>
      </w:tr>
      <w:tr w14:paraId="734BA0DE">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C126F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5FE8E8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910074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313A9C4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公务接待费</w:t>
            </w:r>
          </w:p>
        </w:tc>
      </w:tr>
      <w:tr w14:paraId="4F3AF817">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8B8A3E3">
            <w:pPr>
              <w:jc w:val="center"/>
              <w:rPr>
                <w:rFonts w:hint="eastAsia" w:ascii="仿宋" w:hAnsi="仿宋" w:eastAsia="仿宋" w:cs="仿宋"/>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C2017">
            <w:pPr>
              <w:jc w:val="center"/>
              <w:rPr>
                <w:rFonts w:hint="eastAsia" w:ascii="仿宋" w:hAnsi="仿宋" w:eastAsia="仿宋" w:cs="仿宋"/>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978E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2E66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47FE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702CE2A">
            <w:pPr>
              <w:jc w:val="center"/>
              <w:rPr>
                <w:rFonts w:hint="eastAsia" w:ascii="仿宋" w:hAnsi="仿宋" w:eastAsia="仿宋" w:cs="仿宋"/>
                <w:i w:val="0"/>
                <w:color w:val="000000"/>
                <w:sz w:val="22"/>
                <w:szCs w:val="22"/>
                <w:u w:val="none"/>
              </w:rPr>
            </w:pPr>
          </w:p>
        </w:tc>
      </w:tr>
      <w:tr w14:paraId="20E7A8E2">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F2FADD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34AE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BD98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DFB8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1334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C5D4BF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14:paraId="57CFFA60">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1CEAE8D">
            <w:pPr>
              <w:tabs>
                <w:tab w:val="left" w:pos="2016"/>
              </w:tabs>
              <w:jc w:val="lef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eastAsia="zh-CN"/>
              </w:rPr>
              <w:tab/>
            </w:r>
            <w:r>
              <w:rPr>
                <w:rFonts w:hint="eastAsia" w:ascii="仿宋" w:hAnsi="仿宋" w:eastAsia="仿宋" w:cs="仿宋"/>
                <w:i w:val="0"/>
                <w:color w:val="000000"/>
                <w:sz w:val="22"/>
                <w:szCs w:val="22"/>
                <w:u w:val="none"/>
                <w:lang w:val="en-US" w:eastAsia="zh-CN"/>
              </w:rPr>
              <w:t>56.5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C0A29">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D9DF">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80A8">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E0E84">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54</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50F7F7B">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2.5</w:t>
            </w:r>
          </w:p>
        </w:tc>
      </w:tr>
      <w:tr w14:paraId="6C2BDDA3">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0861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决算数</w:t>
            </w:r>
          </w:p>
        </w:tc>
      </w:tr>
      <w:tr w14:paraId="73D8193C">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C95915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1C2AEB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67E47B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548ADCD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公务接待费</w:t>
            </w:r>
          </w:p>
        </w:tc>
      </w:tr>
      <w:tr w14:paraId="455F002E">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B0B4407">
            <w:pPr>
              <w:jc w:val="center"/>
              <w:rPr>
                <w:rFonts w:hint="eastAsia" w:ascii="仿宋" w:hAnsi="仿宋" w:eastAsia="仿宋" w:cs="仿宋"/>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F9B8F">
            <w:pPr>
              <w:jc w:val="center"/>
              <w:rPr>
                <w:rFonts w:hint="eastAsia" w:ascii="仿宋" w:hAnsi="仿宋" w:eastAsia="仿宋" w:cs="仿宋"/>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7126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52FE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E50F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FC77CB7">
            <w:pPr>
              <w:jc w:val="center"/>
              <w:rPr>
                <w:rFonts w:hint="eastAsia" w:ascii="仿宋" w:hAnsi="仿宋" w:eastAsia="仿宋" w:cs="仿宋"/>
                <w:i w:val="0"/>
                <w:color w:val="000000"/>
                <w:sz w:val="22"/>
                <w:szCs w:val="22"/>
                <w:u w:val="none"/>
              </w:rPr>
            </w:pPr>
          </w:p>
        </w:tc>
      </w:tr>
      <w:tr w14:paraId="6F309617">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7A3730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3437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A7B7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3851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74AE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E013E2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r>
      <w:tr w14:paraId="4097C4F8">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529C019">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21.05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871A109">
            <w:pPr>
              <w:jc w:val="right"/>
              <w:rPr>
                <w:rFonts w:hint="eastAsia" w:ascii="仿宋" w:hAnsi="仿宋" w:eastAsia="仿宋" w:cs="仿宋"/>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CC2160F">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21.05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8372FF">
            <w:pPr>
              <w:jc w:val="right"/>
              <w:rPr>
                <w:rFonts w:hint="eastAsia" w:ascii="仿宋" w:hAnsi="仿宋" w:eastAsia="仿宋" w:cs="仿宋"/>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0770F7">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20.94</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33095D8">
            <w:pPr>
              <w:jc w:val="right"/>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0.11</w:t>
            </w:r>
          </w:p>
        </w:tc>
      </w:tr>
    </w:tbl>
    <w:p w14:paraId="2D5C1D1B">
      <w:pPr>
        <w:rPr>
          <w:rFonts w:hint="eastAsia" w:ascii="仿宋" w:hAnsi="仿宋" w:eastAsia="仿宋" w:cs="仿宋"/>
          <w:lang w:val="en-US" w:eastAsia="zh-CN"/>
        </w:rPr>
      </w:pPr>
      <w:r>
        <w:rPr>
          <w:rFonts w:hint="eastAsia" w:ascii="仿宋" w:hAnsi="仿宋" w:eastAsia="仿宋" w:cs="仿宋"/>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3030"/>
        <w:gridCol w:w="36"/>
        <w:gridCol w:w="36"/>
        <w:gridCol w:w="910"/>
        <w:gridCol w:w="917"/>
        <w:gridCol w:w="917"/>
        <w:gridCol w:w="917"/>
        <w:gridCol w:w="917"/>
        <w:gridCol w:w="917"/>
        <w:gridCol w:w="917"/>
      </w:tblGrid>
      <w:tr w14:paraId="35195B39">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22129875">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政府性基金预算财政拨款收入支出决算表</w:t>
            </w:r>
          </w:p>
        </w:tc>
      </w:tr>
      <w:tr w14:paraId="077F4A36">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593C452F">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954F1B0">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3E09E2A">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0972B18">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99F42FC">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425496C">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2E90555">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90A1A69">
            <w:pPr>
              <w:rPr>
                <w:rFonts w:hint="eastAsia" w:ascii="仿宋" w:hAnsi="仿宋" w:eastAsia="仿宋" w:cs="仿宋"/>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BD1A5D1">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公开08表</w:t>
            </w:r>
          </w:p>
        </w:tc>
      </w:tr>
      <w:tr w14:paraId="71AF596C">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687F6012">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部门：唐山市曹妃甸区行政审批局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517EB1F8">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D34F13C">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0E85DC9">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54A86B9">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DA32CFA">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664D782">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C42BA9D">
            <w:pPr>
              <w:rPr>
                <w:rFonts w:hint="eastAsia" w:ascii="仿宋" w:hAnsi="仿宋" w:eastAsia="仿宋" w:cs="仿宋"/>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ADB1F6B">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35A6832C">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92F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4C505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62D4C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F34DE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8C9FC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年末结转和结余</w:t>
            </w:r>
          </w:p>
        </w:tc>
      </w:tr>
      <w:tr w14:paraId="2AEB38AD">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ADD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2B8D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FEAAB">
            <w:pPr>
              <w:jc w:val="center"/>
              <w:rPr>
                <w:rFonts w:hint="eastAsia" w:ascii="仿宋" w:hAnsi="仿宋" w:eastAsia="仿宋" w:cs="仿宋"/>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3CABED">
            <w:pPr>
              <w:jc w:val="center"/>
              <w:rPr>
                <w:rFonts w:hint="eastAsia" w:ascii="仿宋" w:hAnsi="仿宋" w:eastAsia="仿宋" w:cs="仿宋"/>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C9E1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6C92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716C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70BC2D">
            <w:pPr>
              <w:jc w:val="center"/>
              <w:rPr>
                <w:rFonts w:hint="eastAsia" w:ascii="仿宋" w:hAnsi="仿宋" w:eastAsia="仿宋" w:cs="仿宋"/>
                <w:i w:val="0"/>
                <w:color w:val="000000"/>
                <w:sz w:val="22"/>
                <w:szCs w:val="22"/>
                <w:u w:val="none"/>
              </w:rPr>
            </w:pPr>
          </w:p>
        </w:tc>
      </w:tr>
      <w:tr w14:paraId="7F5D5B5F">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5684">
            <w:pPr>
              <w:jc w:val="center"/>
              <w:rPr>
                <w:rFonts w:hint="eastAsia" w:ascii="仿宋" w:hAnsi="仿宋" w:eastAsia="仿宋" w:cs="仿宋"/>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8B2D6">
            <w:pPr>
              <w:jc w:val="center"/>
              <w:rPr>
                <w:rFonts w:hint="eastAsia" w:ascii="仿宋" w:hAnsi="仿宋" w:eastAsia="仿宋" w:cs="仿宋"/>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B4D299">
            <w:pPr>
              <w:jc w:val="center"/>
              <w:rPr>
                <w:rFonts w:hint="eastAsia" w:ascii="仿宋" w:hAnsi="仿宋" w:eastAsia="仿宋" w:cs="仿宋"/>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C7A509">
            <w:pPr>
              <w:jc w:val="center"/>
              <w:rPr>
                <w:rFonts w:hint="eastAsia" w:ascii="仿宋" w:hAnsi="仿宋" w:eastAsia="仿宋" w:cs="仿宋"/>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F3FD7">
            <w:pPr>
              <w:jc w:val="center"/>
              <w:rPr>
                <w:rFonts w:hint="eastAsia" w:ascii="仿宋" w:hAnsi="仿宋" w:eastAsia="仿宋" w:cs="仿宋"/>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39AC2">
            <w:pPr>
              <w:jc w:val="center"/>
              <w:rPr>
                <w:rFonts w:hint="eastAsia" w:ascii="仿宋" w:hAnsi="仿宋" w:eastAsia="仿宋" w:cs="仿宋"/>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19EA7">
            <w:pPr>
              <w:jc w:val="center"/>
              <w:rPr>
                <w:rFonts w:hint="eastAsia" w:ascii="仿宋" w:hAnsi="仿宋" w:eastAsia="仿宋" w:cs="仿宋"/>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9669D7">
            <w:pPr>
              <w:jc w:val="center"/>
              <w:rPr>
                <w:rFonts w:hint="eastAsia" w:ascii="仿宋" w:hAnsi="仿宋" w:eastAsia="仿宋" w:cs="仿宋"/>
                <w:i w:val="0"/>
                <w:color w:val="000000"/>
                <w:sz w:val="22"/>
                <w:szCs w:val="22"/>
                <w:u w:val="none"/>
              </w:rPr>
            </w:pPr>
          </w:p>
        </w:tc>
      </w:tr>
      <w:tr w14:paraId="4B84E648">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107A">
            <w:pPr>
              <w:jc w:val="center"/>
              <w:rPr>
                <w:rFonts w:hint="eastAsia" w:ascii="仿宋" w:hAnsi="仿宋" w:eastAsia="仿宋" w:cs="仿宋"/>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0937">
            <w:pPr>
              <w:jc w:val="center"/>
              <w:rPr>
                <w:rFonts w:hint="eastAsia" w:ascii="仿宋" w:hAnsi="仿宋" w:eastAsia="仿宋" w:cs="仿宋"/>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835DCA">
            <w:pPr>
              <w:jc w:val="center"/>
              <w:rPr>
                <w:rFonts w:hint="eastAsia" w:ascii="仿宋" w:hAnsi="仿宋" w:eastAsia="仿宋" w:cs="仿宋"/>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F71B0">
            <w:pPr>
              <w:jc w:val="center"/>
              <w:rPr>
                <w:rFonts w:hint="eastAsia" w:ascii="仿宋" w:hAnsi="仿宋" w:eastAsia="仿宋" w:cs="仿宋"/>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F34A0">
            <w:pPr>
              <w:jc w:val="center"/>
              <w:rPr>
                <w:rFonts w:hint="eastAsia" w:ascii="仿宋" w:hAnsi="仿宋" w:eastAsia="仿宋" w:cs="仿宋"/>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9533B">
            <w:pPr>
              <w:jc w:val="center"/>
              <w:rPr>
                <w:rFonts w:hint="eastAsia" w:ascii="仿宋" w:hAnsi="仿宋" w:eastAsia="仿宋" w:cs="仿宋"/>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A06B8">
            <w:pPr>
              <w:jc w:val="center"/>
              <w:rPr>
                <w:rFonts w:hint="eastAsia" w:ascii="仿宋" w:hAnsi="仿宋" w:eastAsia="仿宋" w:cs="仿宋"/>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0C0BB7">
            <w:pPr>
              <w:jc w:val="center"/>
              <w:rPr>
                <w:rFonts w:hint="eastAsia" w:ascii="仿宋" w:hAnsi="仿宋" w:eastAsia="仿宋" w:cs="仿宋"/>
                <w:i w:val="0"/>
                <w:color w:val="000000"/>
                <w:sz w:val="22"/>
                <w:szCs w:val="22"/>
                <w:u w:val="none"/>
              </w:rPr>
            </w:pPr>
          </w:p>
        </w:tc>
      </w:tr>
      <w:tr w14:paraId="52C42A9E">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0F2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414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A23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8D8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C4E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53A0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992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14:paraId="230DA69D">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4F9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8FA87">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9F5A6">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7F9D">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C66C">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CC3E3">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7D318">
            <w:pPr>
              <w:jc w:val="right"/>
              <w:rPr>
                <w:rFonts w:hint="eastAsia" w:ascii="仿宋" w:hAnsi="仿宋" w:eastAsia="仿宋" w:cs="仿宋"/>
                <w:b/>
                <w:i w:val="0"/>
                <w:color w:val="000000"/>
                <w:sz w:val="22"/>
                <w:szCs w:val="22"/>
                <w:u w:val="none"/>
              </w:rPr>
            </w:pPr>
          </w:p>
        </w:tc>
      </w:tr>
      <w:tr w14:paraId="4AE7E3B5">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040E">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2857">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1D15B">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6F0C5">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67334">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EFAA">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AC4C">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E0CC8">
            <w:pPr>
              <w:jc w:val="right"/>
              <w:rPr>
                <w:rFonts w:hint="eastAsia" w:ascii="仿宋" w:hAnsi="仿宋" w:eastAsia="仿宋" w:cs="仿宋"/>
                <w:i w:val="0"/>
                <w:color w:val="000000"/>
                <w:sz w:val="22"/>
                <w:szCs w:val="22"/>
                <w:u w:val="none"/>
              </w:rPr>
            </w:pPr>
          </w:p>
        </w:tc>
      </w:tr>
      <w:tr w14:paraId="1AFE329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4C46">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664A">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0592">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DD5F">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861AA">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7B5C">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911B4">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9721">
            <w:pPr>
              <w:jc w:val="right"/>
              <w:rPr>
                <w:rFonts w:hint="eastAsia" w:ascii="仿宋" w:hAnsi="仿宋" w:eastAsia="仿宋" w:cs="仿宋"/>
                <w:i w:val="0"/>
                <w:color w:val="000000"/>
                <w:sz w:val="22"/>
                <w:szCs w:val="22"/>
                <w:u w:val="none"/>
              </w:rPr>
            </w:pPr>
          </w:p>
        </w:tc>
      </w:tr>
      <w:tr w14:paraId="55A34F7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1A4E">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83764">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FE5A">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FBC96">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D17F8">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6846">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68C2F">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27893">
            <w:pPr>
              <w:jc w:val="right"/>
              <w:rPr>
                <w:rFonts w:hint="eastAsia" w:ascii="仿宋" w:hAnsi="仿宋" w:eastAsia="仿宋" w:cs="仿宋"/>
                <w:i w:val="0"/>
                <w:color w:val="000000"/>
                <w:sz w:val="22"/>
                <w:szCs w:val="22"/>
                <w:u w:val="none"/>
              </w:rPr>
            </w:pPr>
          </w:p>
        </w:tc>
      </w:tr>
      <w:tr w14:paraId="07582465">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7C25">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2B3C">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98B1">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0429">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8241">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8AF7">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BACEF">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AC016">
            <w:pPr>
              <w:jc w:val="right"/>
              <w:rPr>
                <w:rFonts w:hint="eastAsia" w:ascii="仿宋" w:hAnsi="仿宋" w:eastAsia="仿宋" w:cs="仿宋"/>
                <w:i w:val="0"/>
                <w:color w:val="000000"/>
                <w:sz w:val="22"/>
                <w:szCs w:val="22"/>
                <w:u w:val="none"/>
              </w:rPr>
            </w:pPr>
          </w:p>
        </w:tc>
      </w:tr>
      <w:tr w14:paraId="4ED42F3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EFC8">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E0724">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DF093">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6C49C">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E50B1">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D1783">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A0655">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0BF6">
            <w:pPr>
              <w:jc w:val="right"/>
              <w:rPr>
                <w:rFonts w:hint="eastAsia" w:ascii="仿宋" w:hAnsi="仿宋" w:eastAsia="仿宋" w:cs="仿宋"/>
                <w:i w:val="0"/>
                <w:color w:val="000000"/>
                <w:sz w:val="22"/>
                <w:szCs w:val="22"/>
                <w:u w:val="none"/>
              </w:rPr>
            </w:pPr>
          </w:p>
        </w:tc>
      </w:tr>
    </w:tbl>
    <w:p w14:paraId="3326611E">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本部门本年度无相关收入（或支出、收支及结转结余等）情况，按要求空表列示</w:t>
      </w:r>
    </w:p>
    <w:p w14:paraId="0F77D06E">
      <w:pPr>
        <w:rPr>
          <w:rFonts w:hint="eastAsia" w:ascii="仿宋" w:hAnsi="仿宋" w:eastAsia="仿宋" w:cs="仿宋"/>
          <w:lang w:val="en-US" w:eastAsia="zh-CN"/>
        </w:rPr>
      </w:pPr>
    </w:p>
    <w:p w14:paraId="012EBB57">
      <w:pPr>
        <w:rPr>
          <w:rFonts w:hint="eastAsia" w:ascii="仿宋" w:hAnsi="仿宋" w:eastAsia="仿宋" w:cs="仿宋"/>
          <w:lang w:val="en-US" w:eastAsia="zh-CN"/>
        </w:rPr>
      </w:pPr>
    </w:p>
    <w:p w14:paraId="539664DC">
      <w:pPr>
        <w:rPr>
          <w:rFonts w:hint="eastAsia" w:ascii="仿宋" w:hAnsi="仿宋" w:eastAsia="仿宋" w:cs="仿宋"/>
          <w:lang w:val="en-US" w:eastAsia="zh-CN"/>
        </w:rPr>
      </w:pPr>
    </w:p>
    <w:p w14:paraId="6C54D3F8">
      <w:pPr>
        <w:rPr>
          <w:rFonts w:hint="eastAsia" w:ascii="仿宋" w:hAnsi="仿宋" w:eastAsia="仿宋" w:cs="仿宋"/>
          <w:lang w:val="en-US" w:eastAsia="zh-CN"/>
        </w:rPr>
      </w:pPr>
    </w:p>
    <w:p w14:paraId="024C6C3C">
      <w:pPr>
        <w:rPr>
          <w:rFonts w:hint="eastAsia" w:ascii="仿宋" w:hAnsi="仿宋" w:eastAsia="仿宋" w:cs="仿宋"/>
          <w:lang w:val="en-US" w:eastAsia="zh-CN"/>
        </w:rPr>
      </w:pPr>
    </w:p>
    <w:p w14:paraId="7C8409AF">
      <w:pPr>
        <w:rPr>
          <w:rFonts w:hint="eastAsia" w:ascii="仿宋" w:hAnsi="仿宋" w:eastAsia="仿宋" w:cs="仿宋"/>
          <w:lang w:val="en-US" w:eastAsia="zh-CN"/>
        </w:rPr>
      </w:pPr>
    </w:p>
    <w:p w14:paraId="7B058270">
      <w:pPr>
        <w:rPr>
          <w:rFonts w:hint="eastAsia" w:ascii="仿宋" w:hAnsi="仿宋" w:eastAsia="仿宋" w:cs="仿宋"/>
          <w:lang w:val="en-US" w:eastAsia="zh-CN"/>
        </w:rPr>
      </w:pPr>
    </w:p>
    <w:p w14:paraId="5DDDA16D">
      <w:pPr>
        <w:rPr>
          <w:rFonts w:hint="eastAsia" w:ascii="仿宋" w:hAnsi="仿宋" w:eastAsia="仿宋" w:cs="仿宋"/>
          <w:lang w:val="en-US" w:eastAsia="zh-CN"/>
        </w:rPr>
      </w:pPr>
    </w:p>
    <w:p w14:paraId="3C4DD630">
      <w:pPr>
        <w:rPr>
          <w:rFonts w:hint="eastAsia" w:ascii="仿宋" w:hAnsi="仿宋" w:eastAsia="仿宋" w:cs="仿宋"/>
          <w:lang w:val="en-US" w:eastAsia="zh-CN"/>
        </w:rPr>
      </w:pPr>
    </w:p>
    <w:p w14:paraId="44EB48AC">
      <w:pPr>
        <w:rPr>
          <w:rFonts w:hint="eastAsia" w:ascii="仿宋" w:hAnsi="仿宋" w:eastAsia="仿宋" w:cs="仿宋"/>
          <w:lang w:val="en-US" w:eastAsia="zh-CN"/>
        </w:rPr>
      </w:pPr>
    </w:p>
    <w:p w14:paraId="0AC3B2A9">
      <w:pPr>
        <w:rPr>
          <w:rFonts w:hint="eastAsia" w:ascii="仿宋" w:hAnsi="仿宋" w:eastAsia="仿宋" w:cs="仿宋"/>
          <w:lang w:val="en-US" w:eastAsia="zh-CN"/>
        </w:rPr>
      </w:pPr>
    </w:p>
    <w:p w14:paraId="20738123">
      <w:pPr>
        <w:rPr>
          <w:rFonts w:hint="eastAsia" w:ascii="仿宋" w:hAnsi="仿宋" w:eastAsia="仿宋" w:cs="仿宋"/>
          <w:lang w:val="en-US" w:eastAsia="zh-CN"/>
        </w:rPr>
      </w:pPr>
    </w:p>
    <w:p w14:paraId="06162A06">
      <w:pPr>
        <w:rPr>
          <w:rFonts w:hint="eastAsia" w:ascii="仿宋" w:hAnsi="仿宋" w:eastAsia="仿宋" w:cs="仿宋"/>
          <w:lang w:val="en-US" w:eastAsia="zh-CN"/>
        </w:rPr>
      </w:pPr>
    </w:p>
    <w:p w14:paraId="36EFA294">
      <w:pPr>
        <w:rPr>
          <w:rFonts w:hint="eastAsia" w:ascii="仿宋" w:hAnsi="仿宋" w:eastAsia="仿宋" w:cs="仿宋"/>
          <w:lang w:val="en-US" w:eastAsia="zh-CN"/>
        </w:rPr>
      </w:pPr>
    </w:p>
    <w:p w14:paraId="60C26E2E">
      <w:pPr>
        <w:rPr>
          <w:rFonts w:hint="eastAsia" w:ascii="仿宋" w:hAnsi="仿宋" w:eastAsia="仿宋" w:cs="仿宋"/>
          <w:lang w:val="en-US" w:eastAsia="zh-CN"/>
        </w:rPr>
      </w:pPr>
    </w:p>
    <w:p w14:paraId="7A495C46">
      <w:pPr>
        <w:rPr>
          <w:rFonts w:hint="eastAsia" w:ascii="仿宋" w:hAnsi="仿宋" w:eastAsia="仿宋" w:cs="仿宋"/>
          <w:lang w:val="en-US" w:eastAsia="zh-CN"/>
        </w:rPr>
      </w:pPr>
    </w:p>
    <w:p w14:paraId="385677A4">
      <w:pPr>
        <w:rPr>
          <w:rFonts w:hint="eastAsia" w:ascii="仿宋" w:hAnsi="仿宋" w:eastAsia="仿宋" w:cs="仿宋"/>
          <w:lang w:val="en-US" w:eastAsia="zh-CN"/>
        </w:rPr>
      </w:pPr>
    </w:p>
    <w:p w14:paraId="4D71835A">
      <w:pPr>
        <w:rPr>
          <w:rFonts w:hint="eastAsia" w:ascii="仿宋" w:hAnsi="仿宋" w:eastAsia="仿宋" w:cs="仿宋"/>
          <w:lang w:val="en-US" w:eastAsia="zh-CN"/>
        </w:rPr>
      </w:pPr>
    </w:p>
    <w:p w14:paraId="496F7D68">
      <w:pPr>
        <w:rPr>
          <w:rFonts w:hint="eastAsia" w:ascii="仿宋" w:hAnsi="仿宋" w:eastAsia="仿宋" w:cs="仿宋"/>
          <w:lang w:val="en-US" w:eastAsia="zh-CN"/>
        </w:rPr>
      </w:pPr>
    </w:p>
    <w:p w14:paraId="688CCE7A">
      <w:pPr>
        <w:rPr>
          <w:rFonts w:hint="eastAsia" w:ascii="仿宋" w:hAnsi="仿宋" w:eastAsia="仿宋" w:cs="仿宋"/>
          <w:lang w:val="en-US" w:eastAsia="zh-CN"/>
        </w:rPr>
      </w:pPr>
    </w:p>
    <w:p w14:paraId="1110C118">
      <w:pPr>
        <w:rPr>
          <w:rFonts w:hint="eastAsia" w:ascii="仿宋" w:hAnsi="仿宋" w:eastAsia="仿宋" w:cs="仿宋"/>
          <w:lang w:val="en-US" w:eastAsia="zh-CN"/>
        </w:rPr>
      </w:pPr>
    </w:p>
    <w:p w14:paraId="1ED1CA50">
      <w:pPr>
        <w:rPr>
          <w:rFonts w:hint="eastAsia" w:ascii="仿宋" w:hAnsi="仿宋" w:eastAsia="仿宋" w:cs="仿宋"/>
          <w:lang w:val="en-US" w:eastAsia="zh-CN"/>
        </w:rPr>
      </w:pPr>
    </w:p>
    <w:p w14:paraId="3873761E">
      <w:pPr>
        <w:rPr>
          <w:rFonts w:hint="eastAsia" w:ascii="仿宋" w:hAnsi="仿宋" w:eastAsia="仿宋" w:cs="仿宋"/>
          <w:lang w:val="en-US" w:eastAsia="zh-CN"/>
        </w:rPr>
      </w:pPr>
    </w:p>
    <w:p w14:paraId="140771CF">
      <w:pPr>
        <w:rPr>
          <w:rFonts w:hint="eastAsia" w:ascii="仿宋" w:hAnsi="仿宋" w:eastAsia="仿宋" w:cs="仿宋"/>
          <w:lang w:val="en-US" w:eastAsia="zh-CN"/>
        </w:rPr>
      </w:pPr>
    </w:p>
    <w:p w14:paraId="7DBF7CDA">
      <w:pPr>
        <w:rPr>
          <w:rFonts w:hint="eastAsia" w:ascii="仿宋" w:hAnsi="仿宋" w:eastAsia="仿宋" w:cs="仿宋"/>
          <w:lang w:val="en-US" w:eastAsia="zh-CN"/>
        </w:rPr>
      </w:pPr>
    </w:p>
    <w:p w14:paraId="71998CDD">
      <w:pPr>
        <w:rPr>
          <w:rFonts w:hint="eastAsia" w:ascii="仿宋" w:hAnsi="仿宋" w:eastAsia="仿宋" w:cs="仿宋"/>
          <w:lang w:val="en-US" w:eastAsia="zh-CN"/>
        </w:rPr>
      </w:pPr>
    </w:p>
    <w:p w14:paraId="1C72B71E">
      <w:pPr>
        <w:rPr>
          <w:rFonts w:hint="eastAsia" w:ascii="仿宋" w:hAnsi="仿宋" w:eastAsia="仿宋" w:cs="仿宋"/>
          <w:lang w:val="en-US" w:eastAsia="zh-CN"/>
        </w:rPr>
      </w:pPr>
    </w:p>
    <w:tbl>
      <w:tblPr>
        <w:tblStyle w:val="6"/>
        <w:tblW w:w="9915" w:type="dxa"/>
        <w:jc w:val="center"/>
        <w:shd w:val="clear" w:color="auto" w:fill="auto"/>
        <w:tblLayout w:type="autofit"/>
        <w:tblCellMar>
          <w:top w:w="0" w:type="dxa"/>
          <w:left w:w="0" w:type="dxa"/>
          <w:bottom w:w="0" w:type="dxa"/>
          <w:right w:w="0" w:type="dxa"/>
        </w:tblCellMar>
      </w:tblPr>
      <w:tblGrid>
        <w:gridCol w:w="4144"/>
        <w:gridCol w:w="49"/>
        <w:gridCol w:w="49"/>
        <w:gridCol w:w="2541"/>
        <w:gridCol w:w="643"/>
        <w:gridCol w:w="1245"/>
        <w:gridCol w:w="1244"/>
      </w:tblGrid>
      <w:tr w14:paraId="179B32D8">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14:paraId="7A1E5E5E">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国有资本经营预算财政拨款支出决算表</w:t>
            </w:r>
          </w:p>
        </w:tc>
      </w:tr>
      <w:tr w14:paraId="5BD6B7D1">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3CE0DAAC">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09219F6">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DC8EB26">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AFFCB0">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8C2468D">
            <w:pPr>
              <w:rPr>
                <w:rFonts w:hint="eastAsia" w:ascii="仿宋" w:hAnsi="仿宋" w:eastAsia="仿宋" w:cs="仿宋"/>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25E828CF">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公开09表</w:t>
            </w:r>
          </w:p>
        </w:tc>
      </w:tr>
      <w:tr w14:paraId="02DEBFF5">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6F36E3BC">
            <w:pPr>
              <w:keepNext w:val="0"/>
              <w:keepLines w:val="0"/>
              <w:widowControl/>
              <w:suppressLineNumbers w:val="0"/>
              <w:jc w:val="lef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部门：唐山市曹妃甸区行政审批局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1002DFF4">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870238A">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8B61728">
            <w:pPr>
              <w:rPr>
                <w:rFonts w:hint="eastAsia" w:ascii="仿宋" w:hAnsi="仿宋" w:eastAsia="仿宋" w:cs="仿宋"/>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DBCCAF1">
            <w:pPr>
              <w:rPr>
                <w:rFonts w:hint="eastAsia" w:ascii="仿宋" w:hAnsi="仿宋" w:eastAsia="仿宋" w:cs="仿宋"/>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6B1C54B4">
            <w:pPr>
              <w:keepNext w:val="0"/>
              <w:keepLines w:val="0"/>
              <w:widowControl/>
              <w:suppressLineNumbers w:val="0"/>
              <w:jc w:val="right"/>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金额单位：万元</w:t>
            </w:r>
          </w:p>
        </w:tc>
      </w:tr>
      <w:tr w14:paraId="4E9995F8">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6B3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2655C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本年支出</w:t>
            </w:r>
          </w:p>
        </w:tc>
      </w:tr>
      <w:tr w14:paraId="7F852B5C">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AD5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86AF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747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31CB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F677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项目支出</w:t>
            </w:r>
          </w:p>
        </w:tc>
      </w:tr>
      <w:tr w14:paraId="7559A64A">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F1B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117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5583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F8A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r>
      <w:tr w14:paraId="0FE03D13">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031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7661">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9901">
            <w:pPr>
              <w:jc w:val="right"/>
              <w:rPr>
                <w:rFonts w:hint="eastAsia" w:ascii="仿宋" w:hAnsi="仿宋" w:eastAsia="仿宋" w:cs="仿宋"/>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99477">
            <w:pPr>
              <w:jc w:val="right"/>
              <w:rPr>
                <w:rFonts w:hint="eastAsia" w:ascii="仿宋" w:hAnsi="仿宋" w:eastAsia="仿宋" w:cs="仿宋"/>
                <w:b/>
                <w:i w:val="0"/>
                <w:color w:val="000000"/>
                <w:sz w:val="22"/>
                <w:szCs w:val="22"/>
                <w:u w:val="none"/>
              </w:rPr>
            </w:pPr>
          </w:p>
        </w:tc>
      </w:tr>
      <w:tr w14:paraId="2E31905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FA4B">
            <w:pPr>
              <w:jc w:val="left"/>
              <w:rPr>
                <w:rFonts w:hint="eastAsia" w:ascii="仿宋" w:hAnsi="仿宋" w:eastAsia="仿宋" w:cs="仿宋"/>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89408">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74C5">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9D4E0">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6A262">
            <w:pPr>
              <w:jc w:val="right"/>
              <w:rPr>
                <w:rFonts w:hint="eastAsia" w:ascii="仿宋" w:hAnsi="仿宋" w:eastAsia="仿宋" w:cs="仿宋"/>
                <w:i w:val="0"/>
                <w:color w:val="000000"/>
                <w:sz w:val="22"/>
                <w:szCs w:val="22"/>
                <w:u w:val="none"/>
              </w:rPr>
            </w:pPr>
          </w:p>
        </w:tc>
      </w:tr>
      <w:tr w14:paraId="5326DA9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A6D3">
            <w:pPr>
              <w:jc w:val="left"/>
              <w:rPr>
                <w:rFonts w:hint="eastAsia" w:ascii="仿宋" w:hAnsi="仿宋" w:eastAsia="仿宋" w:cs="仿宋"/>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501CC">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733F5">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EAFD1">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0EB8">
            <w:pPr>
              <w:jc w:val="right"/>
              <w:rPr>
                <w:rFonts w:hint="eastAsia" w:ascii="仿宋" w:hAnsi="仿宋" w:eastAsia="仿宋" w:cs="仿宋"/>
                <w:i w:val="0"/>
                <w:color w:val="000000"/>
                <w:sz w:val="22"/>
                <w:szCs w:val="22"/>
                <w:u w:val="none"/>
              </w:rPr>
            </w:pPr>
          </w:p>
        </w:tc>
      </w:tr>
      <w:tr w14:paraId="6BB7FD1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ABB1">
            <w:pPr>
              <w:jc w:val="left"/>
              <w:rPr>
                <w:rFonts w:hint="eastAsia" w:ascii="仿宋" w:hAnsi="仿宋" w:eastAsia="仿宋" w:cs="仿宋"/>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80CCF">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D127">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6CD4">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F24B">
            <w:pPr>
              <w:jc w:val="right"/>
              <w:rPr>
                <w:rFonts w:hint="eastAsia" w:ascii="仿宋" w:hAnsi="仿宋" w:eastAsia="仿宋" w:cs="仿宋"/>
                <w:i w:val="0"/>
                <w:color w:val="000000"/>
                <w:sz w:val="22"/>
                <w:szCs w:val="22"/>
                <w:u w:val="none"/>
              </w:rPr>
            </w:pPr>
          </w:p>
        </w:tc>
      </w:tr>
      <w:tr w14:paraId="09A6F3B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0E61">
            <w:pPr>
              <w:jc w:val="left"/>
              <w:rPr>
                <w:rFonts w:hint="eastAsia" w:ascii="仿宋" w:hAnsi="仿宋" w:eastAsia="仿宋" w:cs="仿宋"/>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8D938">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434E3">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1E068">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CFB4C">
            <w:pPr>
              <w:jc w:val="right"/>
              <w:rPr>
                <w:rFonts w:hint="eastAsia" w:ascii="仿宋" w:hAnsi="仿宋" w:eastAsia="仿宋" w:cs="仿宋"/>
                <w:i w:val="0"/>
                <w:color w:val="000000"/>
                <w:sz w:val="22"/>
                <w:szCs w:val="22"/>
                <w:u w:val="none"/>
              </w:rPr>
            </w:pPr>
          </w:p>
        </w:tc>
      </w:tr>
      <w:tr w14:paraId="3B9081F5">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F098">
            <w:pPr>
              <w:jc w:val="left"/>
              <w:rPr>
                <w:rFonts w:hint="eastAsia" w:ascii="仿宋" w:hAnsi="仿宋" w:eastAsia="仿宋" w:cs="仿宋"/>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FFA60">
            <w:pPr>
              <w:jc w:val="lef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BE96">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0054">
            <w:pPr>
              <w:jc w:val="right"/>
              <w:rPr>
                <w:rFonts w:hint="eastAsia" w:ascii="仿宋" w:hAnsi="仿宋" w:eastAsia="仿宋" w:cs="仿宋"/>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55CF">
            <w:pPr>
              <w:jc w:val="right"/>
              <w:rPr>
                <w:rFonts w:hint="eastAsia" w:ascii="仿宋" w:hAnsi="仿宋" w:eastAsia="仿宋" w:cs="仿宋"/>
                <w:i w:val="0"/>
                <w:color w:val="000000"/>
                <w:sz w:val="22"/>
                <w:szCs w:val="22"/>
                <w:u w:val="none"/>
              </w:rPr>
            </w:pPr>
          </w:p>
        </w:tc>
      </w:tr>
    </w:tbl>
    <w:p w14:paraId="3E5FF2D9">
      <w:pPr>
        <w:rPr>
          <w:rFonts w:hint="eastAsia" w:ascii="仿宋" w:hAnsi="仿宋" w:eastAsia="仿宋" w:cs="仿宋"/>
          <w:lang w:val="en-US" w:eastAsia="zh-CN"/>
        </w:rPr>
      </w:pPr>
      <w:r>
        <w:rPr>
          <w:rFonts w:hint="eastAsia" w:ascii="仿宋" w:hAnsi="仿宋" w:eastAsia="仿宋" w:cs="仿宋"/>
          <w:i w:val="0"/>
          <w:color w:val="000000"/>
          <w:kern w:val="0"/>
          <w:sz w:val="22"/>
          <w:szCs w:val="22"/>
          <w:u w:val="none"/>
          <w:lang w:val="en-US" w:eastAsia="zh-CN" w:bidi="ar"/>
        </w:rPr>
        <w:t>本部门本年度无相关收入（或支出、收支及结转结余等）情况，按要求空表列示</w:t>
      </w:r>
      <w:r>
        <w:rPr>
          <w:rFonts w:hint="eastAsia" w:ascii="仿宋" w:hAnsi="仿宋" w:eastAsia="仿宋" w:cs="仿宋"/>
          <w:lang w:val="en-US" w:eastAsia="zh-CN"/>
        </w:rPr>
        <w:br w:type="page"/>
      </w:r>
    </w:p>
    <w:p w14:paraId="66469C2E">
      <w:pPr>
        <w:bidi w:val="0"/>
        <w:jc w:val="both"/>
        <w:rPr>
          <w:rFonts w:hint="eastAsia" w:ascii="仿宋" w:hAnsi="仿宋" w:eastAsia="仿宋" w:cs="仿宋"/>
          <w:lang w:val="en-US" w:eastAsia="zh-CN"/>
        </w:rPr>
      </w:pPr>
      <w:r>
        <w:rPr>
          <w:rFonts w:hint="eastAsia" w:ascii="仿宋" w:hAnsi="仿宋" w:eastAsia="仿宋" w:cs="仿宋"/>
          <w:sz w:val="21"/>
        </w:rP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1" w:type="first"/>
      <w:headerReference r:id="rId20" w:type="default"/>
      <w:footerReference r:id="rId22"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20B07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黑体"/>
    <w:panose1 w:val="020B0800000000000000"/>
    <w:charset w:val="86"/>
    <w:family w:val="swiss"/>
    <w:pitch w:val="default"/>
    <w:sig w:usb0="00000000" w:usb1="00000000" w:usb2="00000016" w:usb3="00000000" w:csb0="002E0107" w:csb1="00000000"/>
  </w:font>
  <w:font w:name="方正仿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B3B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988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529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2F73">
    <w:pPr>
      <w:pStyle w:val="4"/>
    </w:pPr>
    <w:r>
      <w:rPr>
        <w:sz w:val="18"/>
      </w:rPr>
      <mc:AlternateContent>
        <mc:Choice Requires="wps">
          <w:drawing>
            <wp:anchor distT="0" distB="0" distL="114300" distR="114300" simplePos="0" relativeHeight="25168384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AC6CB">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8384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14:paraId="611AC6CB">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1D0C">
    <w:pPr>
      <w:pStyle w:val="4"/>
    </w:pPr>
    <w:r>
      <w:rPr>
        <w:sz w:val="18"/>
      </w:rPr>
      <mc:AlternateContent>
        <mc:Choice Requires="wps">
          <w:drawing>
            <wp:anchor distT="0" distB="0" distL="114300" distR="114300" simplePos="0" relativeHeight="25168486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14C1B">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8486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14:paraId="22F14C1B">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DF97">
    <w:pPr>
      <w:pStyle w:val="4"/>
    </w:pPr>
    <w:r>
      <w:rPr>
        <w:sz w:val="18"/>
      </w:rPr>
      <mc:AlternateContent>
        <mc:Choice Requires="wps">
          <w:drawing>
            <wp:anchor distT="0" distB="0" distL="114300" distR="114300" simplePos="0" relativeHeight="25168588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5EEF4">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588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14:paraId="6935EEF4">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6D24">
    <w:pPr>
      <w:pStyle w:val="4"/>
    </w:pPr>
    <w:r>
      <w:rPr>
        <w:sz w:val="18"/>
      </w:rPr>
      <mc:AlternateContent>
        <mc:Choice Requires="wps">
          <w:drawing>
            <wp:anchor distT="0" distB="0" distL="114300" distR="114300" simplePos="0" relativeHeight="25168691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9ED37">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691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14:paraId="1F99ED37">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2582">
    <w:pPr>
      <w:pStyle w:val="4"/>
    </w:pPr>
    <w:r>
      <w:rPr>
        <w:sz w:val="18"/>
      </w:rPr>
      <mc:AlternateContent>
        <mc:Choice Requires="wps">
          <w:drawing>
            <wp:anchor distT="0" distB="0" distL="114300" distR="114300" simplePos="0" relativeHeight="25168998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5D306">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14:paraId="3895D306">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6B940">
    <w:pPr>
      <w:pStyle w:val="5"/>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18B6B">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2C18B6B">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360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7C51">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67C3">
    <w:pPr>
      <w:pStyle w:val="5"/>
      <w:pBdr>
        <w:bottom w:val="none" w:color="auto" w:sz="0" w:space="1"/>
      </w:pBdr>
    </w:pPr>
    <w:r>
      <w:rPr>
        <w:sz w:val="18"/>
      </w:rPr>
      <mc:AlternateContent>
        <mc:Choice Requires="wpg">
          <w:drawing>
            <wp:anchor distT="0" distB="0" distL="114300" distR="114300" simplePos="0" relativeHeight="251691008"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91008;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88A56">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14:paraId="25E13DFF">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9203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7088A56">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14:paraId="25E13DFF">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0898">
    <w:pPr>
      <w:pStyle w:val="5"/>
      <w:pBdr>
        <w:bottom w:val="none" w:color="auto" w:sz="0" w:space="1"/>
      </w:pBdr>
    </w:pPr>
    <w:r>
      <w:rPr>
        <w:sz w:val="18"/>
      </w:rPr>
      <mc:AlternateContent>
        <mc:Choice Requires="wpg">
          <w:drawing>
            <wp:anchor distT="0" distB="0" distL="114300" distR="114300" simplePos="0" relativeHeight="251687936"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7936;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8960"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ABA7F">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896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5F6ABA7F">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F979">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5C681">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F0EB">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DBB2">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5CD0">
    <w:pPr>
      <w:pStyle w:val="5"/>
      <w:pBdr>
        <w:bottom w:val="none" w:color="auto" w:sz="0" w:space="1"/>
      </w:pBdr>
    </w:pPr>
    <w:r>
      <w:rPr>
        <w:sz w:val="18"/>
      </w:rP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81792;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281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E4199">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8281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FFE4199">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C2FC">
    <w:pPr>
      <w:pStyle w:val="5"/>
      <w:pBdr>
        <w:bottom w:val="none" w:color="auto" w:sz="0" w:space="1"/>
      </w:pBdr>
    </w:pPr>
    <w:r>
      <w:rPr>
        <w:sz w:val="18"/>
      </w:rPr>
      <mc:AlternateContent>
        <mc:Choice Requires="wpg">
          <w:drawing>
            <wp:anchor distT="0" distB="0" distL="114300" distR="114300" simplePos="0" relativeHeight="251675648"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75648;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6672"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6140B">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6672;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57F6140B">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9F1EB">
    <w:pPr>
      <w:pStyle w:val="5"/>
      <w:pBdr>
        <w:bottom w:val="none" w:color="auto" w:sz="0" w:space="1"/>
      </w:pBdr>
    </w:pPr>
    <w:r>
      <w:rPr>
        <w:sz w:val="18"/>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76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87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338A1">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87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6AE338A1">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C171">
    <w:pPr>
      <w:pStyle w:val="5"/>
      <w:pBdr>
        <w:bottom w:val="none" w:color="auto" w:sz="0" w:space="1"/>
      </w:pBdr>
    </w:pPr>
    <w:r>
      <w:rPr>
        <w:sz w:val="18"/>
      </w:rPr>
      <mc:AlternateContent>
        <mc:Choice Requires="wpg">
          <w:drawing>
            <wp:anchor distT="0" distB="0" distL="114300" distR="114300" simplePos="0" relativeHeight="2516807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F3CD3">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807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EDF3CD3">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97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97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BBF3E0A"/>
    <w:multiLevelType w:val="singleLevel"/>
    <w:tmpl w:val="4BBF3E0A"/>
    <w:lvl w:ilvl="0" w:tentative="0">
      <w:start w:val="3"/>
      <w:numFmt w:val="decimal"/>
      <w:lvlText w:val="%1."/>
      <w:lvlJc w:val="left"/>
      <w:pPr>
        <w:tabs>
          <w:tab w:val="left" w:pos="312"/>
        </w:tabs>
        <w:ind w:left="51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MDMwY2JhOTU3YWM4NTAyMDM5ZWU1NTA3MWE2NDk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0FF5464"/>
    <w:rsid w:val="01A737F7"/>
    <w:rsid w:val="032C7F53"/>
    <w:rsid w:val="03A2570C"/>
    <w:rsid w:val="040C31C9"/>
    <w:rsid w:val="04530590"/>
    <w:rsid w:val="05A01F19"/>
    <w:rsid w:val="05AA0093"/>
    <w:rsid w:val="05DB6CA1"/>
    <w:rsid w:val="05EC2F12"/>
    <w:rsid w:val="06A61861"/>
    <w:rsid w:val="07486FA5"/>
    <w:rsid w:val="07637D04"/>
    <w:rsid w:val="081578C6"/>
    <w:rsid w:val="081E26BE"/>
    <w:rsid w:val="0850275E"/>
    <w:rsid w:val="089550D4"/>
    <w:rsid w:val="089720F3"/>
    <w:rsid w:val="08B71687"/>
    <w:rsid w:val="0A5C4779"/>
    <w:rsid w:val="0AB67240"/>
    <w:rsid w:val="0AD56728"/>
    <w:rsid w:val="0AE14449"/>
    <w:rsid w:val="0AF242D7"/>
    <w:rsid w:val="0B7E77AA"/>
    <w:rsid w:val="0B9110CA"/>
    <w:rsid w:val="0C83144C"/>
    <w:rsid w:val="0CA54DF1"/>
    <w:rsid w:val="0CCF76EC"/>
    <w:rsid w:val="0D0B5D5F"/>
    <w:rsid w:val="0D465CCC"/>
    <w:rsid w:val="0D910EFF"/>
    <w:rsid w:val="0E9B5BC8"/>
    <w:rsid w:val="0F2F2516"/>
    <w:rsid w:val="0F601817"/>
    <w:rsid w:val="0F796B01"/>
    <w:rsid w:val="0FDA3C65"/>
    <w:rsid w:val="103D1092"/>
    <w:rsid w:val="108F3C17"/>
    <w:rsid w:val="11221C94"/>
    <w:rsid w:val="11380874"/>
    <w:rsid w:val="116F2EA0"/>
    <w:rsid w:val="11CF6F61"/>
    <w:rsid w:val="11EF22C1"/>
    <w:rsid w:val="127E76ED"/>
    <w:rsid w:val="129C7A8A"/>
    <w:rsid w:val="12E93DAD"/>
    <w:rsid w:val="13094D78"/>
    <w:rsid w:val="131078CD"/>
    <w:rsid w:val="13A8133A"/>
    <w:rsid w:val="13EE607D"/>
    <w:rsid w:val="14A964B8"/>
    <w:rsid w:val="156F1FB7"/>
    <w:rsid w:val="15714117"/>
    <w:rsid w:val="15D43248"/>
    <w:rsid w:val="1620222F"/>
    <w:rsid w:val="162D56D8"/>
    <w:rsid w:val="16382813"/>
    <w:rsid w:val="165256AE"/>
    <w:rsid w:val="16590B78"/>
    <w:rsid w:val="167313FE"/>
    <w:rsid w:val="16830C88"/>
    <w:rsid w:val="17592D0C"/>
    <w:rsid w:val="17D27969"/>
    <w:rsid w:val="197D18BC"/>
    <w:rsid w:val="19905DD1"/>
    <w:rsid w:val="19BC2585"/>
    <w:rsid w:val="19EB1599"/>
    <w:rsid w:val="1A147655"/>
    <w:rsid w:val="1A2B7B33"/>
    <w:rsid w:val="1B5C2D98"/>
    <w:rsid w:val="1BC92062"/>
    <w:rsid w:val="1CA6635E"/>
    <w:rsid w:val="1D996419"/>
    <w:rsid w:val="1E5931CD"/>
    <w:rsid w:val="1E7B5374"/>
    <w:rsid w:val="1E9859A3"/>
    <w:rsid w:val="1EBF7A92"/>
    <w:rsid w:val="1EF421C8"/>
    <w:rsid w:val="1FAE4171"/>
    <w:rsid w:val="1FEB429B"/>
    <w:rsid w:val="20E165A8"/>
    <w:rsid w:val="20F0126C"/>
    <w:rsid w:val="210213E9"/>
    <w:rsid w:val="21392FA6"/>
    <w:rsid w:val="217B18E7"/>
    <w:rsid w:val="21C8733D"/>
    <w:rsid w:val="21F7606B"/>
    <w:rsid w:val="21F83BA5"/>
    <w:rsid w:val="220A2FF6"/>
    <w:rsid w:val="223C1600"/>
    <w:rsid w:val="229179B1"/>
    <w:rsid w:val="22C036D0"/>
    <w:rsid w:val="22D91717"/>
    <w:rsid w:val="22EC5397"/>
    <w:rsid w:val="23062EDF"/>
    <w:rsid w:val="230A0CD5"/>
    <w:rsid w:val="23A83AC4"/>
    <w:rsid w:val="23C0401E"/>
    <w:rsid w:val="23CA3112"/>
    <w:rsid w:val="23E62F74"/>
    <w:rsid w:val="240005CE"/>
    <w:rsid w:val="255F05BD"/>
    <w:rsid w:val="25A03412"/>
    <w:rsid w:val="25F218A5"/>
    <w:rsid w:val="25F64BF0"/>
    <w:rsid w:val="26336C08"/>
    <w:rsid w:val="263E27F6"/>
    <w:rsid w:val="264E6BD6"/>
    <w:rsid w:val="269319F3"/>
    <w:rsid w:val="26BF701C"/>
    <w:rsid w:val="26F22AF8"/>
    <w:rsid w:val="26FF01BF"/>
    <w:rsid w:val="270512FF"/>
    <w:rsid w:val="27634E4D"/>
    <w:rsid w:val="27984964"/>
    <w:rsid w:val="2804098E"/>
    <w:rsid w:val="285C4863"/>
    <w:rsid w:val="28714D14"/>
    <w:rsid w:val="28A6037A"/>
    <w:rsid w:val="28F22754"/>
    <w:rsid w:val="290E13C6"/>
    <w:rsid w:val="298342BB"/>
    <w:rsid w:val="2985208A"/>
    <w:rsid w:val="2989451C"/>
    <w:rsid w:val="29E865B9"/>
    <w:rsid w:val="2A090FAF"/>
    <w:rsid w:val="2A3659D9"/>
    <w:rsid w:val="2A39441B"/>
    <w:rsid w:val="2A613899"/>
    <w:rsid w:val="2A6C2108"/>
    <w:rsid w:val="2B1167F6"/>
    <w:rsid w:val="2BBE7452"/>
    <w:rsid w:val="2BF11F4D"/>
    <w:rsid w:val="2C0D7B69"/>
    <w:rsid w:val="2C581E03"/>
    <w:rsid w:val="2DB025E3"/>
    <w:rsid w:val="2F1201CC"/>
    <w:rsid w:val="3031676D"/>
    <w:rsid w:val="30546448"/>
    <w:rsid w:val="30973335"/>
    <w:rsid w:val="30CB54C8"/>
    <w:rsid w:val="319C6F02"/>
    <w:rsid w:val="31C2036A"/>
    <w:rsid w:val="320D02A5"/>
    <w:rsid w:val="32435604"/>
    <w:rsid w:val="325D502E"/>
    <w:rsid w:val="325E64B4"/>
    <w:rsid w:val="32C231E1"/>
    <w:rsid w:val="331A59D0"/>
    <w:rsid w:val="33B21AF7"/>
    <w:rsid w:val="33BC112D"/>
    <w:rsid w:val="340250F3"/>
    <w:rsid w:val="34495810"/>
    <w:rsid w:val="348E566F"/>
    <w:rsid w:val="34911AEB"/>
    <w:rsid w:val="355C1076"/>
    <w:rsid w:val="357877AF"/>
    <w:rsid w:val="35BE588A"/>
    <w:rsid w:val="35FE691C"/>
    <w:rsid w:val="36113B2A"/>
    <w:rsid w:val="3772709C"/>
    <w:rsid w:val="37C6493E"/>
    <w:rsid w:val="37F6647B"/>
    <w:rsid w:val="38641339"/>
    <w:rsid w:val="386659BD"/>
    <w:rsid w:val="3881594E"/>
    <w:rsid w:val="3900464A"/>
    <w:rsid w:val="399F7977"/>
    <w:rsid w:val="39A45AE8"/>
    <w:rsid w:val="3A226944"/>
    <w:rsid w:val="3A4001C7"/>
    <w:rsid w:val="3ACA4142"/>
    <w:rsid w:val="3ADB4B99"/>
    <w:rsid w:val="3AEE6A48"/>
    <w:rsid w:val="3B4616C7"/>
    <w:rsid w:val="3B51101F"/>
    <w:rsid w:val="3C1620AA"/>
    <w:rsid w:val="3C803788"/>
    <w:rsid w:val="3D355562"/>
    <w:rsid w:val="3D4126D4"/>
    <w:rsid w:val="3D887414"/>
    <w:rsid w:val="3D8F080F"/>
    <w:rsid w:val="3DA56BF9"/>
    <w:rsid w:val="3DD40BF0"/>
    <w:rsid w:val="3DDD1918"/>
    <w:rsid w:val="3E3A3184"/>
    <w:rsid w:val="3FA24549"/>
    <w:rsid w:val="40C61471"/>
    <w:rsid w:val="41A2444C"/>
    <w:rsid w:val="41D23B8B"/>
    <w:rsid w:val="427203F7"/>
    <w:rsid w:val="43682B17"/>
    <w:rsid w:val="43882C3D"/>
    <w:rsid w:val="43971A48"/>
    <w:rsid w:val="43B06436"/>
    <w:rsid w:val="43ED3104"/>
    <w:rsid w:val="44091628"/>
    <w:rsid w:val="447C0AEF"/>
    <w:rsid w:val="4486464B"/>
    <w:rsid w:val="44983CCF"/>
    <w:rsid w:val="44B06344"/>
    <w:rsid w:val="44CE1FA4"/>
    <w:rsid w:val="45F72DBF"/>
    <w:rsid w:val="461D23DB"/>
    <w:rsid w:val="46200D86"/>
    <w:rsid w:val="46992576"/>
    <w:rsid w:val="473C7011"/>
    <w:rsid w:val="47672E82"/>
    <w:rsid w:val="481467B3"/>
    <w:rsid w:val="48501C8A"/>
    <w:rsid w:val="48746657"/>
    <w:rsid w:val="487F73ED"/>
    <w:rsid w:val="48975564"/>
    <w:rsid w:val="49750E1C"/>
    <w:rsid w:val="499E4C50"/>
    <w:rsid w:val="4A0E18DD"/>
    <w:rsid w:val="4A27150B"/>
    <w:rsid w:val="4A2F4B73"/>
    <w:rsid w:val="4A347EAE"/>
    <w:rsid w:val="4A6A62D1"/>
    <w:rsid w:val="4B0C2D3D"/>
    <w:rsid w:val="4B3955BC"/>
    <w:rsid w:val="4B8D5C35"/>
    <w:rsid w:val="4C8F4F20"/>
    <w:rsid w:val="4D32044F"/>
    <w:rsid w:val="4F0E748E"/>
    <w:rsid w:val="4F340B74"/>
    <w:rsid w:val="4F7F4799"/>
    <w:rsid w:val="4FBF0B68"/>
    <w:rsid w:val="50843290"/>
    <w:rsid w:val="511751F9"/>
    <w:rsid w:val="513B0BC0"/>
    <w:rsid w:val="51752290"/>
    <w:rsid w:val="51C80251"/>
    <w:rsid w:val="51EB6B7A"/>
    <w:rsid w:val="521C1C45"/>
    <w:rsid w:val="52575BEF"/>
    <w:rsid w:val="52600405"/>
    <w:rsid w:val="526E6F75"/>
    <w:rsid w:val="529B4319"/>
    <w:rsid w:val="52A8633D"/>
    <w:rsid w:val="52B5146A"/>
    <w:rsid w:val="52C402FB"/>
    <w:rsid w:val="530340FD"/>
    <w:rsid w:val="5376446A"/>
    <w:rsid w:val="5387748A"/>
    <w:rsid w:val="539E6322"/>
    <w:rsid w:val="54110E80"/>
    <w:rsid w:val="5496070B"/>
    <w:rsid w:val="54AE584B"/>
    <w:rsid w:val="55002C24"/>
    <w:rsid w:val="552C2DC2"/>
    <w:rsid w:val="5575468E"/>
    <w:rsid w:val="568B0212"/>
    <w:rsid w:val="5699044D"/>
    <w:rsid w:val="56CD35E5"/>
    <w:rsid w:val="56DD1E67"/>
    <w:rsid w:val="56FB79CF"/>
    <w:rsid w:val="57035EEE"/>
    <w:rsid w:val="57321D96"/>
    <w:rsid w:val="57732961"/>
    <w:rsid w:val="57773DD6"/>
    <w:rsid w:val="578B79AB"/>
    <w:rsid w:val="57AF7967"/>
    <w:rsid w:val="580E1C46"/>
    <w:rsid w:val="58561B7D"/>
    <w:rsid w:val="58724EDE"/>
    <w:rsid w:val="58952B0E"/>
    <w:rsid w:val="58E857C4"/>
    <w:rsid w:val="5988015B"/>
    <w:rsid w:val="59962623"/>
    <w:rsid w:val="59AA0CA6"/>
    <w:rsid w:val="59AC60B2"/>
    <w:rsid w:val="59C5476B"/>
    <w:rsid w:val="59FB467B"/>
    <w:rsid w:val="5A3837EE"/>
    <w:rsid w:val="5A4A1CE6"/>
    <w:rsid w:val="5A4A77A3"/>
    <w:rsid w:val="5A5B0511"/>
    <w:rsid w:val="5A777142"/>
    <w:rsid w:val="5A881DBB"/>
    <w:rsid w:val="5B931633"/>
    <w:rsid w:val="5BD1441B"/>
    <w:rsid w:val="5BF77752"/>
    <w:rsid w:val="5C3B5B82"/>
    <w:rsid w:val="5CCD3FD5"/>
    <w:rsid w:val="5D29776E"/>
    <w:rsid w:val="5D3C5EBE"/>
    <w:rsid w:val="5D911090"/>
    <w:rsid w:val="5DE87830"/>
    <w:rsid w:val="5E177C98"/>
    <w:rsid w:val="5E67673C"/>
    <w:rsid w:val="5E691549"/>
    <w:rsid w:val="5E823AB4"/>
    <w:rsid w:val="5EB8021A"/>
    <w:rsid w:val="5F1A427F"/>
    <w:rsid w:val="5F7D5EEE"/>
    <w:rsid w:val="5FBC4833"/>
    <w:rsid w:val="5FCA7E98"/>
    <w:rsid w:val="6019543A"/>
    <w:rsid w:val="60C03757"/>
    <w:rsid w:val="61046C2D"/>
    <w:rsid w:val="613A25A4"/>
    <w:rsid w:val="61591FAB"/>
    <w:rsid w:val="61FA5F9D"/>
    <w:rsid w:val="62204D9E"/>
    <w:rsid w:val="636529D0"/>
    <w:rsid w:val="63AA6625"/>
    <w:rsid w:val="640371BA"/>
    <w:rsid w:val="640B297E"/>
    <w:rsid w:val="64CD6910"/>
    <w:rsid w:val="652E39D6"/>
    <w:rsid w:val="653C486D"/>
    <w:rsid w:val="65472399"/>
    <w:rsid w:val="65871C69"/>
    <w:rsid w:val="658B721A"/>
    <w:rsid w:val="663D4DFF"/>
    <w:rsid w:val="6789158D"/>
    <w:rsid w:val="67D81BA4"/>
    <w:rsid w:val="680A0447"/>
    <w:rsid w:val="695C28F0"/>
    <w:rsid w:val="696E7EF7"/>
    <w:rsid w:val="69AE47D6"/>
    <w:rsid w:val="69F51258"/>
    <w:rsid w:val="6A8A1A3D"/>
    <w:rsid w:val="6AAB78ED"/>
    <w:rsid w:val="6AAF1C96"/>
    <w:rsid w:val="6B1414FD"/>
    <w:rsid w:val="6B4C5C97"/>
    <w:rsid w:val="6B686BE0"/>
    <w:rsid w:val="6B85612E"/>
    <w:rsid w:val="6C5104F5"/>
    <w:rsid w:val="6C5E5724"/>
    <w:rsid w:val="6C6779EC"/>
    <w:rsid w:val="6CDE5813"/>
    <w:rsid w:val="6D6068B0"/>
    <w:rsid w:val="6DC01C00"/>
    <w:rsid w:val="6E275884"/>
    <w:rsid w:val="6EC63CF6"/>
    <w:rsid w:val="6ED7459A"/>
    <w:rsid w:val="6F9738CD"/>
    <w:rsid w:val="70463DF7"/>
    <w:rsid w:val="706F03CB"/>
    <w:rsid w:val="70713A04"/>
    <w:rsid w:val="70BD2AC7"/>
    <w:rsid w:val="70C719CD"/>
    <w:rsid w:val="712F3962"/>
    <w:rsid w:val="71665EAB"/>
    <w:rsid w:val="72081C37"/>
    <w:rsid w:val="730D5F32"/>
    <w:rsid w:val="731A0B39"/>
    <w:rsid w:val="73493F36"/>
    <w:rsid w:val="73D43BB7"/>
    <w:rsid w:val="74A657EF"/>
    <w:rsid w:val="750B445F"/>
    <w:rsid w:val="75681757"/>
    <w:rsid w:val="75A346A8"/>
    <w:rsid w:val="75D6264D"/>
    <w:rsid w:val="75FD384D"/>
    <w:rsid w:val="762637E1"/>
    <w:rsid w:val="76FB1008"/>
    <w:rsid w:val="77DB0F79"/>
    <w:rsid w:val="78431515"/>
    <w:rsid w:val="787B7E69"/>
    <w:rsid w:val="78AA2900"/>
    <w:rsid w:val="78B43B85"/>
    <w:rsid w:val="78C1132C"/>
    <w:rsid w:val="797855EF"/>
    <w:rsid w:val="79B9382C"/>
    <w:rsid w:val="79D73B6B"/>
    <w:rsid w:val="7AA85AC2"/>
    <w:rsid w:val="7ADD4168"/>
    <w:rsid w:val="7AF46B89"/>
    <w:rsid w:val="7B043B76"/>
    <w:rsid w:val="7B343773"/>
    <w:rsid w:val="7BDD634F"/>
    <w:rsid w:val="7BF877D8"/>
    <w:rsid w:val="7C041A6A"/>
    <w:rsid w:val="7D9629E3"/>
    <w:rsid w:val="7D98388A"/>
    <w:rsid w:val="7DAF48B3"/>
    <w:rsid w:val="7E327570"/>
    <w:rsid w:val="7E620B0A"/>
    <w:rsid w:val="7F2F1400"/>
    <w:rsid w:val="7F4A5C66"/>
    <w:rsid w:val="7F70475C"/>
    <w:rsid w:val="7FA01280"/>
    <w:rsid w:val="7FBA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bmp"/><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46</Pages>
  <Words>14074</Words>
  <Characters>14734</Characters>
  <Lines>1</Lines>
  <Paragraphs>1</Paragraphs>
  <TotalTime>12</TotalTime>
  <ScaleCrop>false</ScaleCrop>
  <LinksUpToDate>false</LinksUpToDate>
  <CharactersWithSpaces>14835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瑞雪</cp:lastModifiedBy>
  <cp:lastPrinted>2020-08-20T00:58:00Z</cp:lastPrinted>
  <dcterms:modified xsi:type="dcterms:W3CDTF">2025-02-18T09:01:01Z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EDEBACC93BB344D798226A40FC9E1313_13</vt:lpwstr>
  </property>
  <property fmtid="{D5CDD505-2E9C-101B-9397-08002B2CF9AE}" pid="4" name="KSOTemplateDocerSaveRecord">
    <vt:lpwstr>eyJoZGlkIjoiZmQ5NmQ2MThmYzI5ZmJjMDc4MmQ4ZWRmYzA1NjUzM2IiLCJ1c2VySWQiOiIzMzE5NzU2ODUifQ==</vt:lpwstr>
  </property>
</Properties>
</file>