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C2738">
      <w:pPr>
        <w:ind w:firstLine="640"/>
        <w:jc w:val="center"/>
        <w:rPr>
          <w:rFonts w:ascii="仿宋" w:hAnsi="仿宋" w:eastAsia="仿宋" w:cs="仿宋"/>
          <w:b/>
          <w:sz w:val="40"/>
          <w:szCs w:val="40"/>
        </w:rPr>
      </w:pPr>
      <w:bookmarkStart w:id="3" w:name="_GoBack"/>
      <w:bookmarkEnd w:id="3"/>
      <w:r>
        <w:rPr>
          <w:rFonts w:hint="eastAsia" w:ascii="仿宋" w:hAnsi="仿宋" w:eastAsia="仿宋" w:cs="仿宋"/>
          <w:b/>
          <w:sz w:val="40"/>
          <w:szCs w:val="40"/>
        </w:rPr>
        <w:t>唐山市曹妃甸区卫生健康局</w:t>
      </w:r>
    </w:p>
    <w:p w14:paraId="707D07F0">
      <w:pPr>
        <w:ind w:firstLine="640"/>
        <w:jc w:val="center"/>
        <w:rPr>
          <w:rFonts w:ascii="仿宋" w:hAnsi="仿宋" w:eastAsia="仿宋" w:cs="仿宋"/>
          <w:b/>
          <w:sz w:val="40"/>
          <w:szCs w:val="40"/>
        </w:rPr>
      </w:pPr>
      <w:r>
        <w:rPr>
          <w:rFonts w:hint="eastAsia" w:ascii="仿宋" w:hAnsi="仿宋" w:eastAsia="仿宋" w:cs="仿宋"/>
          <w:b/>
          <w:sz w:val="40"/>
          <w:szCs w:val="40"/>
        </w:rPr>
        <w:t>202</w:t>
      </w:r>
      <w:r>
        <w:rPr>
          <w:rFonts w:hint="eastAsia" w:ascii="仿宋" w:hAnsi="仿宋" w:eastAsia="仿宋" w:cs="仿宋"/>
          <w:b/>
          <w:sz w:val="40"/>
          <w:szCs w:val="40"/>
          <w:lang w:val="en-US" w:eastAsia="zh-CN"/>
        </w:rPr>
        <w:t>2</w:t>
      </w:r>
      <w:r>
        <w:rPr>
          <w:rFonts w:hint="eastAsia" w:ascii="仿宋" w:hAnsi="仿宋" w:eastAsia="仿宋" w:cs="仿宋"/>
          <w:b/>
          <w:sz w:val="40"/>
          <w:szCs w:val="40"/>
        </w:rPr>
        <w:t>年部门预算信息公开说明</w:t>
      </w:r>
    </w:p>
    <w:p w14:paraId="4B578989">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rPr>
        <w:t>按照《预算法》、《地方预决算公开操作规程》和《河北省省级预算公开办法》规定，现将202</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年部门预算公开如下：</w:t>
      </w:r>
    </w:p>
    <w:p w14:paraId="4ACDDC30">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14:paraId="715325D1">
      <w:pPr>
        <w:rPr>
          <w:rFonts w:ascii="仿宋" w:hAnsi="仿宋" w:eastAsia="仿宋" w:cs="仿宋"/>
          <w:sz w:val="32"/>
          <w:szCs w:val="32"/>
        </w:rPr>
      </w:pPr>
      <w:r>
        <w:rPr>
          <w:rFonts w:hint="eastAsia" w:ascii="仿宋" w:hAnsi="仿宋" w:eastAsia="仿宋" w:cs="仿宋"/>
          <w:b/>
          <w:sz w:val="32"/>
          <w:szCs w:val="32"/>
        </w:rPr>
        <w:t xml:space="preserve">    (一)、部门职责</w:t>
      </w:r>
    </w:p>
    <w:p w14:paraId="23087710">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唐山市曹妃甸区卫生健康局贯彻落实党中央、省、市、区委关于卫生健康工作的方针政策和决策部署，坚持和加强党对卫生健康工作的集中统一领导。主要职责是：</w:t>
      </w:r>
    </w:p>
    <w:p w14:paraId="38009111">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14:paraId="011482AB">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14:paraId="5A49FB88">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59C04A6F">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4、组织起草并协调落实应对人口老龄化政策措施，负责推进老年健康服务体系建设和医养结合工作。</w:t>
      </w:r>
    </w:p>
    <w:p w14:paraId="693AF1B2">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14:paraId="1265D8C9">
      <w:pPr>
        <w:ind w:firstLine="707" w:firstLineChars="221"/>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14:paraId="1099C096">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7、起草医疗机构、医疗服务行业管理办法并监督实施，</w:t>
      </w:r>
    </w:p>
    <w:p w14:paraId="2BF68CF3">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建立医疗服务评价和监督管理体系。起草并组织实施全区医疗服务规范、标准和卫生健康专业技术人员执业规则、服务规范。</w:t>
      </w:r>
    </w:p>
    <w:p w14:paraId="7C9300CD">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8、负责计划生育管理和服务工作，开展人口监测预警，研究提出人口与家庭发展相关政策建议，完善全区计划生育政策。</w:t>
      </w:r>
    </w:p>
    <w:p w14:paraId="580C2E1F">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9、指导全区卫生健康工作，指导基层医疗卫生、妇幼健康服务体系和全科医生队伍建设。推进卫生健康科技创新发展。</w:t>
      </w:r>
    </w:p>
    <w:p w14:paraId="66D8D045">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14:paraId="7A4C1398">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11、负责区保健对象的医疗保健及服务工作，负责区直部门有关干部医疗管理工作，负责重要会议与重大活动的医疗卫生保障工作。</w:t>
      </w:r>
    </w:p>
    <w:p w14:paraId="1D2B47DA">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12、指导区计划生育协会的业务工作。</w:t>
      </w:r>
    </w:p>
    <w:p w14:paraId="0114A44D">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13、完成区委、区政府交办的其他任务。</w:t>
      </w:r>
    </w:p>
    <w:p w14:paraId="545347EF">
      <w:pPr>
        <w:ind w:firstLine="643" w:firstLineChars="200"/>
        <w:rPr>
          <w:rFonts w:hint="eastAsia"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rPr>
        <w:t>唐山市曹妃甸区疾病预防控制中心主要职责</w:t>
      </w:r>
      <w:r>
        <w:rPr>
          <w:rFonts w:hint="eastAsia" w:ascii="仿宋" w:hAnsi="仿宋" w:eastAsia="仿宋" w:cs="仿宋"/>
          <w:b/>
          <w:bCs/>
          <w:color w:val="000000" w:themeColor="text1"/>
          <w:sz w:val="32"/>
          <w:szCs w:val="32"/>
          <w:lang w:eastAsia="zh-CN"/>
        </w:rPr>
        <w:t>：</w:t>
      </w:r>
    </w:p>
    <w:p w14:paraId="118DCBA5">
      <w:pPr>
        <w:ind w:firstLine="600" w:firstLineChars="200"/>
        <w:rPr>
          <w:rFonts w:hint="eastAsia" w:ascii="仿宋" w:hAnsi="仿宋" w:eastAsia="仿宋" w:cs="仿宋"/>
          <w:color w:val="000000" w:themeColor="text1"/>
          <w:sz w:val="32"/>
          <w:szCs w:val="32"/>
        </w:rPr>
      </w:pPr>
      <w:r>
        <w:rPr>
          <w:rFonts w:hint="eastAsia" w:ascii="宋体" w:hAnsi="宋体"/>
          <w:sz w:val="30"/>
          <w:szCs w:val="30"/>
        </w:rPr>
        <w:t>1、</w:t>
      </w:r>
      <w:r>
        <w:rPr>
          <w:rFonts w:hint="eastAsia" w:ascii="仿宋" w:hAnsi="仿宋" w:eastAsia="仿宋" w:cs="仿宋"/>
          <w:color w:val="000000" w:themeColor="text1"/>
          <w:sz w:val="32"/>
          <w:szCs w:val="32"/>
        </w:rPr>
        <w:t>承担曹妃甸辖区内传染性和慢性非传染性疾病的预防控制任务。</w:t>
      </w:r>
    </w:p>
    <w:p w14:paraId="362B18FF">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2、完成上级下达的疾病预防控制任务，负责疾病预防控制具体工作的管理和落实；负责疫苗使用管理，组织实施免疫、消毒、控制病媒生物和危害。</w:t>
      </w:r>
    </w:p>
    <w:p w14:paraId="2808F947">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3、负责突发公共卫生事件的监测调查与信息收集、报告，落实具体控制措施。</w:t>
      </w:r>
    </w:p>
    <w:p w14:paraId="0A30E310">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4、收集、分析、上报传染病发病、流行情况。做好疫情监测预报和疫情检索、病菌(毒)检验，负责疫区调查处理。开展病原微生物、生活饮用水常规检验。</w:t>
      </w:r>
    </w:p>
    <w:p w14:paraId="4AACBA42">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5、承担卫生健康行政部门委托的与卫生监督执法相关的检验检测任务。</w:t>
      </w:r>
    </w:p>
    <w:p w14:paraId="3E6A70E6">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负责医疗卫生事件的监测调查，落实具体控制措施。指导医疗卫生机构和社区卫生组织开展卫生防病工作，负责考核和评价，对从事疾病预防控制相关工作的人员进行培训。监测干预危害健康因素，开展流行病学调查、卫生学评价和采取现场干预控制措施。</w:t>
      </w:r>
    </w:p>
    <w:p w14:paraId="4C2A9D3A">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参与制定曹妃甸区突发公共卫生事件应急预案，对突发传染病疫情、不明原因疾病、兔疫接种异常反应、食源性疾病、职业卫生中毒等公共卫生事件的信息收集和协调处理。负责疫情和公共卫生健康危害因素监测、报告，指导场镇、村队和有关部门收集、报告疫情。</w:t>
      </w:r>
    </w:p>
    <w:p w14:paraId="2607C4E7">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8、对曹妃甸辖区公众及重点目标人群开展健康教育与健康促进工作。</w:t>
      </w:r>
    </w:p>
    <w:p w14:paraId="5882F08B">
      <w:pPr>
        <w:rPr>
          <w:rFonts w:hint="default"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b/>
          <w:bCs/>
          <w:color w:val="000000" w:themeColor="text1"/>
          <w:sz w:val="32"/>
          <w:szCs w:val="32"/>
          <w:lang w:val="en-US" w:eastAsia="zh-CN"/>
        </w:rPr>
        <w:t>曹妃甸区妇幼保健院部门职责：</w:t>
      </w:r>
    </w:p>
    <w:p w14:paraId="36B27A7F">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保障人民大众身心健康的公共事业，包括提供基本公共卫生服务，疾病预防控制，对突发公共卫生事件的应急处置，促进妇女儿童健康，食品安全风险监管等各项工作。</w:t>
      </w:r>
    </w:p>
    <w:p w14:paraId="3C8CC38D">
      <w:pPr>
        <w:ind w:firstLine="643"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曹妃甸区医院部门职责：</w:t>
      </w:r>
    </w:p>
    <w:p w14:paraId="3E1A9B23">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曹妃甸区区医院是集预防、医疗、科研、教学、急危重症救治于一体二甲医院，是唐山湾生态城、曹妃甸工业区和曹妃甸主城区的医疗保健及急危重症救治中心，承担全区人民医疗健康服务。</w:t>
      </w:r>
    </w:p>
    <w:p w14:paraId="0A312F94">
      <w:pPr>
        <w:ind w:firstLine="643" w:firstLineChars="200"/>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曹妃甸区临港医院部门职责：</w:t>
      </w:r>
    </w:p>
    <w:p w14:paraId="0528D18A">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认真贯彻执行国家、省、市关于卫生工作的方针政策；负责制定本地区医护及防护人员的培训计划、健康教育并组织实施；负责区域内基本医疗服务；负责对突发公共卫生事件和传染病预防控制和处理工作；积极开展科研工作，承担国家、省、市下达的科研课题；完成政府及卫生行政主管部门交办的各项工作。</w:t>
      </w:r>
    </w:p>
    <w:p w14:paraId="55A7FB05">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694112AA">
      <w:pPr>
        <w:ind w:firstLine="643"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区卫生健康局设下列内设机构：</w:t>
      </w:r>
    </w:p>
    <w:p w14:paraId="629067B3">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1、办公室（机关纪委、督查室、工会）</w:t>
      </w:r>
    </w:p>
    <w:p w14:paraId="432C0B8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机关和下属单位的党建工作、思想政治、工青妇、精神文明建设、党务宣传、舆情监测工作。负责机关和直属单位的党风廉政建设和纪检监察工作；负责机关离退休干部工作，指导直属单位离退休干部工作。负责局机关日常运转，承担保密、信访、政务公开、后勤服务、机关安全保卫等工作，负责工会工作和平安单位创建工作。负责卫生健康系统对外宣传、新闻和信息发布工作；负责局重点工作的督导检查。</w:t>
      </w:r>
    </w:p>
    <w:p w14:paraId="445CA60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2、人事劳资科</w:t>
      </w:r>
    </w:p>
    <w:p w14:paraId="566A90B3">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承担机关和下属单位的人事管理、机构编制和队伍建设等工作。负责卫生健康专业技术人员资格管理。负责牵头负责对医疗机构的绩效考核工作。负责全系统工资管理、社会保险的核定工作。</w:t>
      </w:r>
    </w:p>
    <w:p w14:paraId="7D46866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3、财务审计科（财务核算中心）</w:t>
      </w:r>
    </w:p>
    <w:p w14:paraId="3454090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建立健全财务管理制度、内部控制制度及相关规定；合理编制单位预算，严格</w:t>
      </w:r>
      <w:r>
        <w:rPr>
          <w:rFonts w:hint="eastAsia" w:ascii="仿宋" w:hAnsi="仿宋" w:eastAsia="仿宋" w:cs="仿宋"/>
          <w:color w:val="000000" w:themeColor="text1"/>
          <w:sz w:val="32"/>
          <w:szCs w:val="32"/>
          <w:lang w:val="en-US" w:eastAsia="zh-CN"/>
        </w:rPr>
        <w:fldChar w:fldCharType="begin"/>
      </w:r>
      <w:r>
        <w:rPr>
          <w:rFonts w:hint="eastAsia" w:ascii="仿宋" w:hAnsi="仿宋" w:eastAsia="仿宋" w:cs="仿宋"/>
          <w:color w:val="000000" w:themeColor="text1"/>
          <w:sz w:val="32"/>
          <w:szCs w:val="32"/>
          <w:lang w:val="en-US" w:eastAsia="zh-CN"/>
        </w:rPr>
        <w:instrText xml:space="preserve"> HYPERLINK "https://baike.so.com/doc/7073169-7296079.html" \t "_blank" </w:instrText>
      </w:r>
      <w:r>
        <w:rPr>
          <w:rFonts w:hint="eastAsia" w:ascii="仿宋" w:hAnsi="仿宋" w:eastAsia="仿宋" w:cs="仿宋"/>
          <w:color w:val="000000" w:themeColor="text1"/>
          <w:sz w:val="32"/>
          <w:szCs w:val="32"/>
          <w:lang w:val="en-US" w:eastAsia="zh-CN"/>
        </w:rPr>
        <w:fldChar w:fldCharType="separate"/>
      </w:r>
      <w:r>
        <w:rPr>
          <w:rFonts w:hint="eastAsia" w:ascii="仿宋" w:hAnsi="仿宋" w:eastAsia="仿宋" w:cs="仿宋"/>
          <w:color w:val="000000" w:themeColor="text1"/>
          <w:sz w:val="32"/>
          <w:szCs w:val="32"/>
          <w:lang w:val="en-US" w:eastAsia="zh-CN"/>
        </w:rPr>
        <w:t>预算执行</w:t>
      </w:r>
      <w:r>
        <w:rPr>
          <w:rFonts w:hint="eastAsia" w:ascii="仿宋" w:hAnsi="仿宋" w:eastAsia="仿宋" w:cs="仿宋"/>
          <w:color w:val="000000" w:themeColor="text1"/>
          <w:sz w:val="32"/>
          <w:szCs w:val="32"/>
          <w:lang w:val="en-US" w:eastAsia="zh-CN"/>
        </w:rPr>
        <w:fldChar w:fldCharType="end"/>
      </w:r>
      <w:r>
        <w:rPr>
          <w:rFonts w:hint="eastAsia" w:ascii="仿宋" w:hAnsi="仿宋" w:eastAsia="仿宋" w:cs="仿宋"/>
          <w:color w:val="000000" w:themeColor="text1"/>
          <w:sz w:val="32"/>
          <w:szCs w:val="32"/>
          <w:lang w:val="en-US" w:eastAsia="zh-CN"/>
        </w:rPr>
        <w:t>，完整、准确编制</w:t>
      </w:r>
      <w:r>
        <w:rPr>
          <w:rFonts w:hint="eastAsia" w:ascii="仿宋" w:hAnsi="仿宋" w:eastAsia="仿宋" w:cs="仿宋"/>
          <w:color w:val="000000" w:themeColor="text1"/>
          <w:sz w:val="32"/>
          <w:szCs w:val="32"/>
          <w:lang w:val="en-US" w:eastAsia="zh-CN"/>
        </w:rPr>
        <w:fldChar w:fldCharType="begin"/>
      </w:r>
      <w:r>
        <w:rPr>
          <w:rFonts w:hint="eastAsia" w:ascii="仿宋" w:hAnsi="仿宋" w:eastAsia="仿宋" w:cs="仿宋"/>
          <w:color w:val="000000" w:themeColor="text1"/>
          <w:sz w:val="32"/>
          <w:szCs w:val="32"/>
          <w:lang w:val="en-US" w:eastAsia="zh-CN"/>
        </w:rPr>
        <w:instrText xml:space="preserve"> HYPERLINK "https://baike.so.com/doc/7828760-8102855.html" \t "_blank" </w:instrText>
      </w:r>
      <w:r>
        <w:rPr>
          <w:rFonts w:hint="eastAsia" w:ascii="仿宋" w:hAnsi="仿宋" w:eastAsia="仿宋" w:cs="仿宋"/>
          <w:color w:val="000000" w:themeColor="text1"/>
          <w:sz w:val="32"/>
          <w:szCs w:val="32"/>
          <w:lang w:val="en-US" w:eastAsia="zh-CN"/>
        </w:rPr>
        <w:fldChar w:fldCharType="separate"/>
      </w:r>
      <w:r>
        <w:rPr>
          <w:rFonts w:hint="eastAsia" w:ascii="仿宋" w:hAnsi="仿宋" w:eastAsia="仿宋" w:cs="仿宋"/>
          <w:color w:val="000000" w:themeColor="text1"/>
          <w:sz w:val="32"/>
          <w:szCs w:val="32"/>
          <w:lang w:val="en-US" w:eastAsia="zh-CN"/>
        </w:rPr>
        <w:t>单位决算</w:t>
      </w:r>
      <w:r>
        <w:rPr>
          <w:rFonts w:hint="eastAsia" w:ascii="仿宋" w:hAnsi="仿宋" w:eastAsia="仿宋" w:cs="仿宋"/>
          <w:color w:val="000000" w:themeColor="text1"/>
          <w:sz w:val="32"/>
          <w:szCs w:val="32"/>
          <w:lang w:val="en-US" w:eastAsia="zh-CN"/>
        </w:rPr>
        <w:fldChar w:fldCharType="end"/>
      </w:r>
      <w:r>
        <w:rPr>
          <w:rFonts w:hint="eastAsia" w:ascii="仿宋" w:hAnsi="仿宋" w:eastAsia="仿宋" w:cs="仿宋"/>
          <w:color w:val="000000" w:themeColor="text1"/>
          <w:sz w:val="32"/>
          <w:szCs w:val="32"/>
          <w:lang w:val="en-US" w:eastAsia="zh-CN"/>
        </w:rPr>
        <w:t>及预算、决算公开工作；依法组织收入，努力节约支出，提高资金使用效益; 加强资产管理，合理配置和有效利用资产，防止资产流失; 加强单位财务管理和监督，提高资金使用效益；负责局内人员的各项保险及住房公积金的缴纳工作。</w:t>
      </w:r>
    </w:p>
    <w:p w14:paraId="39267F1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 xml:space="preserve">4、规划发展与信息化科（应急科、突发公共卫生事件应急指挥中心）  </w:t>
      </w:r>
    </w:p>
    <w:p w14:paraId="2CF94661">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承担统筹规划与协调优化全区卫生健康资源配置，参与卫生健康服务体系建设、负责京津冀医疗卫生协同发展工作。承担卫生健康信息化建设工作，承担卫生健康统计工作，参与区人口基础信息库建设。承担卫生应急和紧急医学救援工作，组织编制专项预案，承担预案演练的组织实施和指导监督工作。指导卫生应急体系和能力建设。依法发布突发公共卫生事件应急处置信息。</w:t>
      </w:r>
    </w:p>
    <w:p w14:paraId="59DBC900">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5、疾病预防控制与食品安全监测科</w:t>
      </w:r>
    </w:p>
    <w:p w14:paraId="3D5E7CE0">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拟订重大疾病防治规划、国家免疫规划、严重危害人民健康公共卫生问题的干预措施并组织实施，完善疾病预防控制体系，负责传染病疫情信息上报工作。承担防治区艾滋病工作委员会的具体工作。会同区有关部门制定食品安全风险监测方案，组织开展食品安全风险监测和食品安全地方标准的跟踪评价工作。</w:t>
      </w:r>
    </w:p>
    <w:p w14:paraId="663A051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6、医政医管和药物政策科(中医管理科、体改办、科教科)</w:t>
      </w:r>
    </w:p>
    <w:p w14:paraId="1E01A8F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推进落实上级制定的医疗机构及医务人员、医疗技术应用、医疗质量和安全、医疗服务、临床用血规范管理工作,承担推进护理、康复事业发展工作，开展药品使用监测、临床综合评价和短缺药品预警，麻醉药品使用指导工作;提出全区中医药事业发展建议、落实上级制定的各项政策，起草有关地方性规范文件。参与中医药人才发展、重大中医药项目的规划和组织实施。组织实施各类中医、中西医结合医疗机构管理规范和技术标准,指导其执业行为。指导中医药科研能力建设,推动中医药防病治病知识普及。</w:t>
      </w:r>
    </w:p>
    <w:p w14:paraId="35BBB6F2">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承担深化医药卫生体制改革具体工作，研究提出深化医药卫生体制改革政策、措施的建议，承担组织推进公立医院综合改革工作。落实公立医院绩效评价和考核制度并组织实施；拟订卫生健康科技发展规划及相应政策并组织实施。指导实验室生物安全工作。组织开展住院医师、专科医师规范化培训等毕业后医学教育和继续教育工作，指导全科医生队伍建设，协同指导医学院校教育工作。组织指导卫生健康工作领域的交流与合作；指导医疗废物管理工作。</w:t>
      </w:r>
    </w:p>
    <w:p w14:paraId="7CFA5DE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7、妇幼健康科</w:t>
      </w:r>
    </w:p>
    <w:p w14:paraId="55D12FF2">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拟订妇幼卫生健康政策、标准和规范，推进妇幼健康服务体系建设，指导妇幼卫生、出生缺陷防治、婴幼儿早期发展、人类辅助生殖技术管理和生育技术服务工作。负责全区送药员的业务培训；制定药具使用计划并做好新药的调入和推广；督促、检查、指导全区药具仓储、发放工作，检查药具使用效果。</w:t>
      </w:r>
    </w:p>
    <w:p w14:paraId="18B8B2E5">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8、基层卫生健康科 （社区卫生服务管理办公室、医疗康养高地办公室）</w:t>
      </w:r>
    </w:p>
    <w:p w14:paraId="325DC1B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拟订基层卫生健康政策、标准和规划并组织实施，指导基层卫生健康服务体系建设和乡村医生队伍建设，推进家庭医生签约服务和基层卫生综合改革，负责基本公共卫生服务项目的综合管理，组织推进社区卫生服务工作。</w:t>
      </w:r>
    </w:p>
    <w:p w14:paraId="47BD207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9、人口监测与家庭发展科（法制监督科）</w:t>
      </w:r>
    </w:p>
    <w:p w14:paraId="02453CD5">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组织起草政府规章草案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w:t>
      </w:r>
    </w:p>
    <w:p w14:paraId="52862C70">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人口监测预警工作并提出人口与家庭发展相关政策建议并组织实施；建立和完善落实计划生育奖、特扶制度和计生利益导向制度；负责基层计生组织建设管理；制定基层计生工作年度考核计划；负责单位和个人计生情况审核；负责全区人口性别比综合治理；负责全区生育登记及回访服务工作监督。</w:t>
      </w:r>
    </w:p>
    <w:p w14:paraId="30FE69F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 xml:space="preserve">10、老龄康养服务中心（重点项目办） </w:t>
      </w:r>
    </w:p>
    <w:p w14:paraId="4EF1713D">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协调落实应对老龄化的政策措施;组织实施医养结合的政策、标准和规范;建立和完善老年健康服务体系;承担区老龄工作委员会的具体工作;负责全系统重点项目的组织和实施，承办局领导交办的其他事项。</w:t>
      </w:r>
    </w:p>
    <w:p w14:paraId="24209550">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11、健康曹妃甸区指导中心（区爱国卫生运动委员会办公室、扶贫办）</w:t>
      </w:r>
    </w:p>
    <w:p w14:paraId="4379AA94">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起草健康曹妃甸建设发展规划和工作计划，并组织实施；负责健康曹妃甸建设综合协调工作；起草健康曹妃甸建设任务监测评估办法，并组织考核评估。组织开展卫生健康宣传、健康教育、健康促进活动。承担健康扶贫工作。起草全区爱国卫生运动有关政策、标准、规范并组织实施。承担《烟草控制框架公约》牵头履约工作。承担区爱国卫生运动委员会交办的具体工作。</w:t>
      </w:r>
    </w:p>
    <w:p w14:paraId="2F6E61C9">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12、唐山市曹妃甸区红十字会</w:t>
      </w:r>
    </w:p>
    <w:p w14:paraId="738E309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制定红十字会工作计划和组织发展规划；开展救灾准备工作，在自然灾害和突发事件中，对伤病人员和其他受害者进行救助；普及卫生救护和防病知识，进行初级卫生救护培训，组织群众参加现场救助；参加国际人道主义救援工作，负责国际友人、华侨、港澳台胞民间友好往来；负责《献血法》的宣传，协助制定全区公民无偿献血计划;开展募捐工作及特困群众医疗救助；完成区级人民政府委托的其它事宜。</w:t>
      </w:r>
    </w:p>
    <w:p w14:paraId="2833BA22">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13、计划生育协会</w:t>
      </w:r>
    </w:p>
    <w:p w14:paraId="3D2C8FC3">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协助政府贯彻落实国家、省、市、区有关计划生育与家庭发展的法律、法规和政策，引导群众负责任、有计划地生育；承担宣传教育、生殖健康咨询服务、优生优育指导、计划生育家庭帮扶、权益维护和流动人口服务等工作；引导群众广泛开展计划生育自我管理、自我服务、自我教育、自我监督，促进乡风文明；关怀帮扶失独家庭、困难家庭等计划生育家庭，妥善解决他们的生活照料、精神慰藉等问题；指导全区各级计划生育协会的组织建设和业务工作；在区委、区政府领导下开展计划生育和家庭发展的交流与合作和对外宣传工作；承办区委、区政府和上级计划生育协会交办的其他事项。</w:t>
      </w:r>
    </w:p>
    <w:p w14:paraId="4164E55F">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14、执法大队</w:t>
      </w:r>
    </w:p>
    <w:p w14:paraId="6F0CECED">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拟订职业卫生、放射卫生相关政策、标准并组织实施。开展重点职业病监测、专项调查、职业健康风险评估和职业人群健康管理工作。协调开展职业病防治工作。</w:t>
      </w:r>
    </w:p>
    <w:p w14:paraId="7A7C4609">
      <w:pPr>
        <w:ind w:firstLine="643" w:firstLineChars="200"/>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区疾病预防控制中心设下列内设机构：</w:t>
      </w:r>
    </w:p>
    <w:p w14:paraId="6CB0E5A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1、综合办公室</w:t>
      </w:r>
    </w:p>
    <w:p w14:paraId="1B28B22E">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中心日常运转，协调各科室日常工作，收集归纳各类往来文件，起草中心工作计划、总结、文件收发、档案管理、车辆管理、安全生产管理、环境卫生、印章使用保管、会议安排、公务接待及应急突发事件后勤保障。承担单位预决算及公开、财务收支、资产管理和内部审计、监督。负责申报缴纳各项保险、基金。承担中心人事劳资管理、年度考核、培训、职称评定、统计报表等工作。</w:t>
      </w:r>
    </w:p>
    <w:p w14:paraId="59763B3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2、免疫规划科</w:t>
      </w:r>
    </w:p>
    <w:p w14:paraId="07B770D5">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组织指导辖区内预防接种工作，做好异常反应观察处理和资料收集、汇总上报。有计划开展接种成功率、抗体水平监测。做好计免相应传染病疫情报告、分析、个案调查及处理，负责中心疫苗的管理工作，做好疫苗进购、运输、储存、分发、负责中心冷链设备的维护、保养。对基层计免人员定期进行业务培训、督导检查。</w:t>
      </w:r>
    </w:p>
    <w:p w14:paraId="45EF074F">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3、传染病防治和公共卫生管理科</w:t>
      </w:r>
    </w:p>
    <w:p w14:paraId="5B1E565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疫情检测、报告和疫情资料分析、管理工作，建立健全各项规章制度；负责传染病流行与爆发的现场流行病学调查与处理；对辖区内的医疗机构进行传染病相关法律法规及专业技术培训、宣传相关传染性疾病的防治知识；建立健全疫情报告网，对全区传染病网络直报工作情况进行分析汇总，做好疾病流行的预测与预报工作；重点加强艾滋病、结核病、布病等高危人群干预措施和管理；负责医疗机构传染病疫情预警等网络工作的技术指导、数据质控，检查督导：负责辖区公共场所、涉水产品等的卫生监测工作；负责生活饮用水水质监测采样工作；负责食物中毒、生活饮用水和环境污染事故性中毒，公共场所危害健康事故、职业中毒和放射事故的调查处理；负责全区职业健康、职业病防治的宣传教育；开展职业病防治知识培训工作和职业病体检机构的督导检查。</w:t>
      </w:r>
    </w:p>
    <w:p w14:paraId="0F56B70F">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4、学校卫生与地方病管理科（精神卫生管理科）</w:t>
      </w:r>
    </w:p>
    <w:p w14:paraId="4AD03BCE">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全区学校常见病防治工作，落实好监测和防治手段，开展学校健康教育，做好学校卫生资料的整理，分类归档；负责辖区内寄生虫病、地方病流行病学调查、分析掌握流行规律，做好疫情预测预报，制订防治规划、年度计划及效果评测；负责消毒与病媒生物控制监测；负责传染病疫源地的消杀灭工作、群众性灭鼠工作的技术指导和效果评价工作；负责对基层从事相关工作人员的指导、培训和督导检查。负责辖区内的精神卫生管理工作。</w:t>
      </w:r>
    </w:p>
    <w:p w14:paraId="07B1B25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5、检验与质量控制科（中心实验室）</w:t>
      </w:r>
    </w:p>
    <w:p w14:paraId="6D1E70C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依据有关标准、通则、规范承担各相关科室提出的卫生检测、化验任务。参与重大食物中毒、环境污染、突发疫情、疫点的调查取样、检测等任务。负责实验室的仪器、设备、试剂、标准品、标准菌株的日常使用、管理和维护。做好检验工作的业务技术管理和质量控制，完善实验室内部质控体系。做好各类记录、技术资料和档案的管理。</w:t>
      </w:r>
    </w:p>
    <w:p w14:paraId="619843E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6、慢性病管理科（健康教育与促进科）</w:t>
      </w:r>
    </w:p>
    <w:p w14:paraId="1466ACD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慢性非传染性疾病防治工作，开展行为危险因素监测工作和健康促进工作；拟定防治方案，指导慢性病防治示范区建设工作的实施与效果评价；负责全区慢病工作的指导、质控，各类信息的汇总上报和督导检查；负责制定健康教育、宣传计划、方案并负责指导实施；开展健康教育促进培训、上报健康教育宣传活动信息和工作总结；负责中心对外宣传培训、会议记录及相关资料的收集、整理、立卷、归档等工作。</w:t>
      </w:r>
    </w:p>
    <w:p w14:paraId="639D79E8">
      <w:pPr>
        <w:ind w:firstLine="643" w:firstLineChars="200"/>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区妇幼保健院设下列内设机构：</w:t>
      </w:r>
    </w:p>
    <w:p w14:paraId="2D8910A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唐山市曹妃甸区妇幼保健计划生育服务中心（妇幼保健院）财政补助事业二级预算单位。设有收费处、药房、婚检、亲子乐园、化验室、乳透室、彩超室、妇产科门诊、护办室、妇保科、儿保科、儿科、办公室、会计室、信息科、副院长室等16个科室。</w:t>
      </w:r>
    </w:p>
    <w:p w14:paraId="2716AB1B">
      <w:pPr>
        <w:ind w:firstLine="643"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区医院设下列内设机构：</w:t>
      </w:r>
    </w:p>
    <w:p w14:paraId="290C49B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曹妃甸区医院设行政职能科室16个：党政综合办公室、行风办、医教科、质控办（二甲办）、医患</w:t>
      </w:r>
    </w:p>
    <w:p w14:paraId="55F1123C">
      <w:pPr>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关系办公室（包括患者回访中心）、护理部、财务科、审计科、设备科、人事科、对外合作办公室、信息科、城乡医保办公室、后勤科（包括营养膳食科）、收费住院处、保卫科。</w:t>
      </w:r>
    </w:p>
    <w:p w14:paraId="795DD60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临床科室34个：心血管内科、肾内科、神经内科、内分泌科、呼吸内科、消化内科、中医科（国医堂）、</w:t>
      </w:r>
    </w:p>
    <w:p w14:paraId="6CF45AD6">
      <w:pPr>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老年病科、康复医学科、普通外科、泌尿外科、神经外科、胸外科、骨科、重症医学科、产科、妇科、儿科（包括新生儿科）、感染性疾病科、眼科、口腔科、耳鼻喉科、皮肤科、血液净化中心、麻醉科、手术室、高压氧科、导管室、体检中心、急诊科、院前急救科、精神科、供应室、门诊部。</w:t>
      </w:r>
    </w:p>
    <w:p w14:paraId="3812BFFC">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医技科室12个：医学检验科（包括输血科）、医学影像科（X线、CT）、核磁共振室、超声科、病理科、内窥镜室、心电图室、药剂科、院内感染管理科、预防保健科、公共卫生科、病案科。</w:t>
      </w:r>
    </w:p>
    <w:p w14:paraId="36D42E76">
      <w:pPr>
        <w:ind w:firstLine="643" w:firstLineChars="200"/>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区临港医院设下列内设机构：</w:t>
      </w:r>
    </w:p>
    <w:p w14:paraId="257C7B0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唐山市曹妃甸区临港医院设26个内设机构，机构规格均相当于正股级。</w:t>
      </w:r>
    </w:p>
    <w:p w14:paraId="02BE08C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1、综合办公室</w:t>
      </w:r>
    </w:p>
    <w:p w14:paraId="1AC37FEE">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负责院内日常运行、工会及全面事项；负责后勤事务管理及车辆运行管理、安全保障等。</w:t>
      </w:r>
    </w:p>
    <w:p w14:paraId="569086B7">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2、人事科</w:t>
      </w:r>
    </w:p>
    <w:p w14:paraId="683018D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负责医院的相关人事部门工作。</w:t>
      </w:r>
    </w:p>
    <w:p w14:paraId="45A6BC6F">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3、财务科</w:t>
      </w:r>
    </w:p>
    <w:p w14:paraId="4D6F1F63">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负责全院财务管理及收费工作。</w:t>
      </w:r>
    </w:p>
    <w:p w14:paraId="03948A31">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4、内科</w:t>
      </w:r>
    </w:p>
    <w:p w14:paraId="2FCD4DC0">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负责内科医疗、教学、科研、预防及行政管理工作。</w:t>
      </w:r>
    </w:p>
    <w:p w14:paraId="34910422">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5、外科</w:t>
      </w:r>
    </w:p>
    <w:p w14:paraId="43090C7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负责外科医疗、教学、科研、预防及行政管理工作。</w:t>
      </w:r>
    </w:p>
    <w:p w14:paraId="7B55D5C1">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6、妇产科</w:t>
      </w:r>
    </w:p>
    <w:p w14:paraId="3EAB159C">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负责妇产科医疗、教学、科研、预防及行政管理工作。</w:t>
      </w:r>
    </w:p>
    <w:p w14:paraId="6C9FC998">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7、儿科</w:t>
      </w:r>
    </w:p>
    <w:p w14:paraId="7273ACD6">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负责儿科医疗、教学、科研、预防及行政管理工作。</w:t>
      </w:r>
    </w:p>
    <w:p w14:paraId="2BD9B411">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五官科</w:t>
      </w:r>
    </w:p>
    <w:p w14:paraId="708CD602">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负责五官科医疗、教学、科研、预防及行政管理工作。</w:t>
      </w:r>
    </w:p>
    <w:p w14:paraId="5404D1B2">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门诊部</w:t>
      </w:r>
    </w:p>
    <w:p w14:paraId="7EE4D5C2">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负责门诊部医疗、教学、科研、预防及行政管理工作。</w:t>
      </w:r>
    </w:p>
    <w:p w14:paraId="0AE4E44C">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急诊科</w:t>
      </w:r>
    </w:p>
    <w:p w14:paraId="3F5FAA47">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负责急诊科医疗、教学、科研、预防及行政管理工作。</w:t>
      </w:r>
    </w:p>
    <w:p w14:paraId="372A4553">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11</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中医科</w:t>
      </w:r>
    </w:p>
    <w:p w14:paraId="5A766D3A">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负责中医医疗、教学、科研、预防及行政管理工作。</w:t>
      </w:r>
    </w:p>
    <w:p w14:paraId="5C6512A4">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麻醉科</w:t>
      </w:r>
    </w:p>
    <w:p w14:paraId="280D7377">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负责麻醉医疗、教学、科研、预防及行政管理工作。</w:t>
      </w:r>
    </w:p>
    <w:p w14:paraId="7D14B514">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13</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重症医学科</w:t>
      </w:r>
    </w:p>
    <w:p w14:paraId="42333434">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负责重症医疗、教学、科研、预防及行政管理工作。</w:t>
      </w:r>
    </w:p>
    <w:p w14:paraId="10E09B75">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14</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康复理疗科</w:t>
      </w:r>
    </w:p>
    <w:p w14:paraId="6D9F736A">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负责康复理疗医疗、教学、科研、预防及行政管理工作。</w:t>
      </w:r>
    </w:p>
    <w:p w14:paraId="044D6C76">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15</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体检科</w:t>
      </w:r>
    </w:p>
    <w:p w14:paraId="0F63A34D">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负责职业健康体检的组织、协调工作。</w:t>
      </w:r>
    </w:p>
    <w:p w14:paraId="25BAEE80">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16</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预防保健科</w:t>
      </w:r>
    </w:p>
    <w:p w14:paraId="2ABD8DB3">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负责辖区内适龄儿童的预防接种工作。</w:t>
      </w:r>
    </w:p>
    <w:p w14:paraId="1E54DC8E">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17</w:t>
      </w:r>
      <w:r>
        <w:rPr>
          <w:rFonts w:hint="eastAsia" w:ascii="仿宋" w:hAnsi="仿宋" w:eastAsia="仿宋" w:cs="仿宋"/>
          <w:color w:val="000000" w:themeColor="text1"/>
          <w:sz w:val="32"/>
          <w:szCs w:val="32"/>
          <w:lang w:val="en-US" w:eastAsia="zh-CN"/>
        </w:rPr>
        <w:t>、</w:t>
      </w:r>
      <w:r>
        <w:rPr>
          <w:rFonts w:hint="default" w:ascii="仿宋" w:hAnsi="仿宋" w:eastAsia="仿宋" w:cs="仿宋"/>
          <w:color w:val="000000" w:themeColor="text1"/>
          <w:sz w:val="32"/>
          <w:szCs w:val="32"/>
          <w:lang w:val="en-US" w:eastAsia="zh-CN"/>
        </w:rPr>
        <w:t>放射科</w:t>
      </w:r>
    </w:p>
    <w:p w14:paraId="03D37BE2">
      <w:pPr>
        <w:ind w:firstLine="640" w:firstLineChars="200"/>
        <w:rPr>
          <w:rFonts w:hint="default" w:ascii="仿宋" w:hAnsi="仿宋" w:eastAsia="仿宋" w:cs="仿宋"/>
          <w:color w:val="000000" w:themeColor="text1"/>
          <w:sz w:val="32"/>
          <w:szCs w:val="32"/>
          <w:lang w:val="en-US" w:eastAsia="zh-CN"/>
        </w:rPr>
      </w:pPr>
      <w:r>
        <w:rPr>
          <w:rFonts w:hint="default" w:ascii="仿宋" w:hAnsi="仿宋" w:eastAsia="仿宋" w:cs="仿宋"/>
          <w:color w:val="000000" w:themeColor="text1"/>
          <w:sz w:val="32"/>
          <w:szCs w:val="32"/>
          <w:lang w:val="en-US" w:eastAsia="zh-CN"/>
        </w:rPr>
        <w:t>负责包括CT室、核磁共振室及其他相关科室的检查工作。</w:t>
      </w:r>
    </w:p>
    <w:p w14:paraId="66CB514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18、检验科</w:t>
      </w:r>
    </w:p>
    <w:p w14:paraId="6B02DFD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负责医院患者血、尿、便等项目相关检查。</w:t>
      </w:r>
    </w:p>
    <w:p w14:paraId="1ED4B2E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19、病理科</w:t>
      </w:r>
    </w:p>
    <w:p w14:paraId="6AB8E6B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负责医院诊疗过程中的病理诊断工作。</w:t>
      </w:r>
    </w:p>
    <w:p w14:paraId="16ED5BC6">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20、超声科</w:t>
      </w:r>
    </w:p>
    <w:p w14:paraId="4520A55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负责全院的超声检查工作。</w:t>
      </w:r>
    </w:p>
    <w:p w14:paraId="1D0E7428">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21、药剂科</w:t>
      </w:r>
    </w:p>
    <w:p w14:paraId="293282B5">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负责全院的药事管理工作及组织管理临床用药工作。</w:t>
      </w:r>
    </w:p>
    <w:p w14:paraId="27796D3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22、设备科</w:t>
      </w:r>
    </w:p>
    <w:p w14:paraId="33858E54">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负责医疗耗材、试剂的采购及设备采购维护工作。</w:t>
      </w:r>
    </w:p>
    <w:p w14:paraId="61D70255">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23、医教科</w:t>
      </w:r>
    </w:p>
    <w:p w14:paraId="21E75DBA">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负责医疗质量控制及医患关系管理等。</w:t>
      </w:r>
    </w:p>
    <w:p w14:paraId="280BE7C9">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24、护理部</w:t>
      </w:r>
    </w:p>
    <w:p w14:paraId="5B995D09">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负责医疗护理及院内感染管理。</w:t>
      </w:r>
    </w:p>
    <w:p w14:paraId="0F0CEAB4">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25、医疗保险科</w:t>
      </w:r>
    </w:p>
    <w:p w14:paraId="6E34E55B">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负责本地医保及北京医保的政策对接及财务结算等事宜。</w:t>
      </w:r>
    </w:p>
    <w:p w14:paraId="37861C3D">
      <w:pPr>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26、信息科</w:t>
      </w:r>
    </w:p>
    <w:p w14:paraId="7E9537F9">
      <w:pPr>
        <w:ind w:firstLine="640" w:firstLineChars="20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负责全院的网络信息安全及日常维护工作。</w:t>
      </w:r>
    </w:p>
    <w:p w14:paraId="49E86A24">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14:paraId="04856775">
      <w:pPr>
        <w:ind w:firstLine="640"/>
        <w:rPr>
          <w:rFonts w:ascii="Times New Roman" w:hAnsi="Times New Roman" w:eastAsia="方正仿宋_GBK"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ascii="Times New Roman" w:hAnsi="Times New Roman" w:eastAsia="方正仿宋_GBK" w:cs="Times New Roman"/>
          <w:sz w:val="32"/>
          <w:szCs w:val="32"/>
        </w:rPr>
        <w:t>。</w:t>
      </w:r>
    </w:p>
    <w:p w14:paraId="0CC210D0">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6108E55A">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年预算收入20756.24万元，其中：一般预算20756.24万元。</w:t>
      </w:r>
    </w:p>
    <w:p w14:paraId="37D053FA">
      <w:pPr>
        <w:numPr>
          <w:ilvl w:val="0"/>
          <w:numId w:val="1"/>
        </w:numPr>
        <w:ind w:firstLine="640"/>
        <w:rPr>
          <w:rFonts w:ascii="Times New Roman" w:hAnsi="Times New Roman" w:eastAsia="方正仿宋_GBK" w:cs="Times New Roman"/>
          <w:b/>
          <w:bCs/>
          <w:sz w:val="32"/>
          <w:szCs w:val="32"/>
        </w:rPr>
      </w:pPr>
      <w:r>
        <w:rPr>
          <w:rFonts w:hint="eastAsia" w:ascii="仿宋" w:hAnsi="仿宋" w:eastAsia="仿宋" w:cs="仿宋"/>
          <w:b/>
          <w:bCs/>
          <w:sz w:val="32"/>
          <w:szCs w:val="32"/>
        </w:rPr>
        <w:t>支出说明</w:t>
      </w:r>
    </w:p>
    <w:p w14:paraId="5D45A086">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收支预算总表支出栏、基本支出表、项目支出表按经济分类和支出功能分类科目编制，反映曹妃甸区卫生健康局202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年度部门预算中支出预算的总体情况。202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年部门支出预算为20756.24万元，其中基本支出1472.49万元，包括人员经费</w:t>
      </w:r>
      <w:r>
        <w:rPr>
          <w:rFonts w:hint="eastAsia" w:ascii="仿宋" w:hAnsi="仿宋" w:eastAsia="仿宋" w:cs="仿宋"/>
          <w:sz w:val="32"/>
          <w:szCs w:val="32"/>
          <w:lang w:val="en-US" w:eastAsia="zh-CN"/>
        </w:rPr>
        <w:t>1348.66</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123.83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19283.75</w:t>
      </w:r>
      <w:r>
        <w:rPr>
          <w:rFonts w:hint="eastAsia" w:ascii="仿宋" w:hAnsi="仿宋" w:eastAsia="仿宋" w:cs="仿宋"/>
          <w:sz w:val="32"/>
          <w:szCs w:val="32"/>
        </w:rPr>
        <w:t>万元，全部为本级支出。</w:t>
      </w:r>
    </w:p>
    <w:p w14:paraId="40F9AE13">
      <w:pPr>
        <w:numPr>
          <w:ilvl w:val="0"/>
          <w:numId w:val="1"/>
        </w:numPr>
        <w:ind w:firstLine="64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比上年增减情况</w:t>
      </w:r>
    </w:p>
    <w:p w14:paraId="75DD8C2A">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rPr>
        <w:t>202</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年部门预算较202</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eastAsia="zh-CN"/>
        </w:rPr>
        <w:t>增长</w:t>
      </w:r>
      <w:r>
        <w:rPr>
          <w:rFonts w:hint="eastAsia" w:ascii="仿宋" w:hAnsi="仿宋" w:eastAsia="仿宋" w:cs="仿宋"/>
          <w:color w:val="000000" w:themeColor="text1"/>
          <w:sz w:val="32"/>
          <w:szCs w:val="32"/>
          <w:lang w:val="en-US" w:eastAsia="zh-CN"/>
        </w:rPr>
        <w:t>1498.81</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eastAsia="zh-CN"/>
        </w:rPr>
        <w:t>降低</w:t>
      </w:r>
      <w:r>
        <w:rPr>
          <w:rFonts w:hint="eastAsia" w:ascii="仿宋" w:hAnsi="仿宋" w:eastAsia="仿宋" w:cs="仿宋"/>
          <w:color w:val="000000" w:themeColor="text1"/>
          <w:sz w:val="32"/>
          <w:szCs w:val="32"/>
          <w:lang w:val="en-US" w:eastAsia="zh-CN"/>
        </w:rPr>
        <w:t>7.28</w:t>
      </w:r>
      <w:r>
        <w:rPr>
          <w:rFonts w:hint="eastAsia" w:ascii="仿宋" w:hAnsi="仿宋" w:eastAsia="仿宋" w:cs="仿宋"/>
          <w:color w:val="000000" w:themeColor="text1"/>
          <w:sz w:val="32"/>
          <w:szCs w:val="32"/>
        </w:rPr>
        <w:t>万元，主要是人员调出调入；</w:t>
      </w:r>
      <w:r>
        <w:rPr>
          <w:rFonts w:hint="eastAsia" w:ascii="仿宋" w:hAnsi="仿宋" w:eastAsia="仿宋" w:cs="仿宋"/>
          <w:sz w:val="32"/>
          <w:szCs w:val="32"/>
        </w:rPr>
        <w:t>项目支出</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1506.09</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rPr>
        <w:t>原因主要是</w:t>
      </w:r>
      <w:r>
        <w:rPr>
          <w:rFonts w:hint="eastAsia" w:ascii="仿宋" w:hAnsi="仿宋" w:eastAsia="仿宋" w:cs="仿宋"/>
          <w:sz w:val="32"/>
          <w:szCs w:val="32"/>
          <w:lang w:eastAsia="zh-CN"/>
        </w:rPr>
        <w:t>新增加的项目及新成立的社区卫生服务站</w:t>
      </w:r>
      <w:r>
        <w:rPr>
          <w:rFonts w:hint="eastAsia" w:ascii="仿宋" w:hAnsi="仿宋" w:eastAsia="仿宋" w:cs="仿宋"/>
          <w:kern w:val="0"/>
          <w:sz w:val="32"/>
          <w:szCs w:val="32"/>
          <w:lang w:val="zh-CN"/>
        </w:rPr>
        <w:t>。</w:t>
      </w:r>
    </w:p>
    <w:p w14:paraId="6A6775A2">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52337E8A">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123.83</w:t>
      </w:r>
      <w:r>
        <w:rPr>
          <w:rFonts w:hint="eastAsia" w:ascii="仿宋" w:hAnsi="仿宋" w:eastAsia="仿宋" w:cs="仿宋"/>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1A3A0617">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0086A409">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2021年，财政拨款“三公”经费预算安排</w:t>
      </w:r>
      <w:r>
        <w:rPr>
          <w:rFonts w:hint="eastAsia" w:ascii="仿宋" w:hAnsi="仿宋" w:eastAsia="仿宋" w:cs="仿宋"/>
          <w:sz w:val="32"/>
          <w:szCs w:val="32"/>
          <w:lang w:val="en-US" w:eastAsia="zh-CN"/>
        </w:rPr>
        <w:t>39.48</w:t>
      </w:r>
      <w:r>
        <w:rPr>
          <w:rFonts w:hint="eastAsia" w:ascii="仿宋" w:hAnsi="仿宋" w:eastAsia="仿宋" w:cs="仿宋"/>
          <w:sz w:val="32"/>
          <w:szCs w:val="32"/>
        </w:rPr>
        <w:t>万元，其中：因公出国（境）费0万元，没有增减变化；公务用车购置及运维费</w:t>
      </w:r>
      <w:r>
        <w:rPr>
          <w:rFonts w:hint="eastAsia" w:ascii="仿宋" w:hAnsi="仿宋" w:eastAsia="仿宋" w:cs="仿宋"/>
          <w:sz w:val="32"/>
          <w:szCs w:val="32"/>
          <w:lang w:val="en-US" w:eastAsia="zh-CN"/>
        </w:rPr>
        <w:t>39</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39</w:t>
      </w:r>
      <w:r>
        <w:rPr>
          <w:rFonts w:hint="eastAsia" w:ascii="仿宋" w:hAnsi="仿宋" w:eastAsia="仿宋" w:cs="仿宋"/>
          <w:sz w:val="32"/>
          <w:szCs w:val="32"/>
        </w:rPr>
        <w:t>万元)，相比202</w:t>
      </w:r>
      <w:r>
        <w:rPr>
          <w:rFonts w:hint="eastAsia" w:ascii="仿宋" w:hAnsi="仿宋" w:eastAsia="仿宋" w:cs="仿宋"/>
          <w:sz w:val="32"/>
          <w:szCs w:val="32"/>
          <w:lang w:val="en-US" w:eastAsia="zh-CN"/>
        </w:rPr>
        <w:t>1</w:t>
      </w:r>
      <w:r>
        <w:rPr>
          <w:rFonts w:hint="eastAsia" w:ascii="仿宋" w:hAnsi="仿宋" w:eastAsia="仿宋" w:cs="仿宋"/>
          <w:sz w:val="32"/>
          <w:szCs w:val="32"/>
        </w:rPr>
        <w:t>年减少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0.48</w:t>
      </w:r>
      <w:r>
        <w:rPr>
          <w:rFonts w:hint="eastAsia" w:ascii="仿宋" w:hAnsi="仿宋" w:eastAsia="仿宋" w:cs="仿宋"/>
          <w:sz w:val="32"/>
          <w:szCs w:val="32"/>
        </w:rPr>
        <w:t>万元，比去年减少</w:t>
      </w:r>
      <w:r>
        <w:rPr>
          <w:rFonts w:hint="eastAsia" w:ascii="仿宋" w:hAnsi="仿宋" w:eastAsia="仿宋" w:cs="仿宋"/>
          <w:sz w:val="32"/>
          <w:szCs w:val="32"/>
          <w:lang w:val="en-US" w:eastAsia="zh-CN"/>
        </w:rPr>
        <w:t>0.02</w:t>
      </w:r>
      <w:r>
        <w:rPr>
          <w:rFonts w:hint="eastAsia" w:ascii="仿宋" w:hAnsi="仿宋" w:eastAsia="仿宋" w:cs="仿宋"/>
          <w:sz w:val="32"/>
          <w:szCs w:val="32"/>
        </w:rPr>
        <w:t>万元，原因202</w:t>
      </w:r>
      <w:r>
        <w:rPr>
          <w:rFonts w:hint="eastAsia" w:ascii="仿宋" w:hAnsi="仿宋" w:eastAsia="仿宋" w:cs="仿宋"/>
          <w:sz w:val="32"/>
          <w:szCs w:val="32"/>
          <w:lang w:val="en-US" w:eastAsia="zh-CN"/>
        </w:rPr>
        <w:t>2</w:t>
      </w:r>
      <w:r>
        <w:rPr>
          <w:rFonts w:hint="eastAsia" w:ascii="仿宋" w:hAnsi="仿宋" w:eastAsia="仿宋" w:cs="仿宋"/>
          <w:sz w:val="32"/>
          <w:szCs w:val="32"/>
        </w:rPr>
        <w:t>年继续按照精简节约的原则，压缩招待费支出。</w:t>
      </w:r>
    </w:p>
    <w:p w14:paraId="057AE3A1">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14:paraId="201A9D20">
      <w:pPr>
        <w:ind w:firstLine="803" w:firstLineChars="250"/>
        <w:jc w:val="left"/>
        <w:rPr>
          <w:rFonts w:ascii="Times New Roman" w:hAnsi="Times New Roman" w:eastAsia="方正仿宋_GBK" w:cs="Times New Roman"/>
          <w:b/>
          <w:sz w:val="32"/>
          <w:szCs w:val="32"/>
        </w:rPr>
      </w:pPr>
      <w:bookmarkStart w:id="0" w:name="_Toc471398463"/>
      <w:r>
        <w:rPr>
          <w:rFonts w:hint="eastAsia" w:ascii="仿宋" w:hAnsi="仿宋" w:eastAsia="仿宋" w:cs="仿宋"/>
          <w:b/>
          <w:sz w:val="32"/>
          <w:szCs w:val="32"/>
        </w:rPr>
        <w:t>(一)、总体绩效目标</w:t>
      </w:r>
    </w:p>
    <w:p w14:paraId="5DDB68C7">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14:paraId="38D2E8B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14:paraId="0715F56B">
      <w:pPr>
        <w:autoSpaceDE w:val="0"/>
        <w:autoSpaceDN w:val="0"/>
        <w:adjustRightInd w:val="0"/>
        <w:ind w:left="198"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职责分类绩效目标</w:t>
      </w:r>
    </w:p>
    <w:p w14:paraId="600B4F85">
      <w:pPr>
        <w:autoSpaceDE w:val="0"/>
        <w:autoSpaceDN w:val="0"/>
        <w:adjustRightInd w:val="0"/>
        <w:ind w:left="198"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部门职责-工作活动绩效目标</w:t>
      </w:r>
    </w:p>
    <w:tbl>
      <w:tblPr>
        <w:tblStyle w:val="4"/>
        <w:tblW w:w="13459" w:type="dxa"/>
        <w:tblInd w:w="0" w:type="dxa"/>
        <w:shd w:val="clear" w:color="auto" w:fill="auto"/>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14:paraId="3E4AD597">
        <w:tblPrEx>
          <w:shd w:val="clear" w:color="auto" w:fill="auto"/>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9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70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8F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4F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94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1C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0F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40B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90A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2C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15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26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C05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w:t>
            </w:r>
          </w:p>
        </w:tc>
      </w:tr>
      <w:tr w14:paraId="1A6490C6">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526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E3AC2">
            <w:pPr>
              <w:jc w:val="center"/>
              <w:rPr>
                <w:rFonts w:hint="eastAsia" w:ascii="宋体" w:hAnsi="宋体" w:eastAsia="宋体" w:cs="宋体"/>
                <w:i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6D5F9">
            <w:pPr>
              <w:jc w:val="cente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9BBFF">
            <w:pPr>
              <w:jc w:val="center"/>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80053">
            <w:pPr>
              <w:jc w:val="center"/>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3C091">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17C61">
            <w:pPr>
              <w:jc w:val="cente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B831C">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1C1B0">
            <w:pPr>
              <w:jc w:val="center"/>
              <w:rPr>
                <w:rFonts w:hint="eastAsia" w:ascii="宋体" w:hAnsi="宋体" w:eastAsia="宋体" w:cs="宋体"/>
                <w:i w:val="0"/>
                <w:color w:val="000000"/>
                <w:sz w:val="18"/>
                <w:szCs w:val="18"/>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41972">
            <w:pPr>
              <w:jc w:val="center"/>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5686A">
            <w:pPr>
              <w:jc w:val="center"/>
              <w:rPr>
                <w:rFonts w:hint="eastAsia" w:ascii="宋体" w:hAnsi="宋体" w:eastAsia="宋体" w:cs="宋体"/>
                <w:i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B949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48544">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C1210">
            <w:pPr>
              <w:jc w:val="center"/>
              <w:rPr>
                <w:rFonts w:hint="eastAsia" w:ascii="宋体" w:hAnsi="宋体" w:eastAsia="宋体" w:cs="宋体"/>
                <w:i w:val="0"/>
                <w:color w:val="000000"/>
                <w:sz w:val="18"/>
                <w:szCs w:val="18"/>
                <w:u w:val="none"/>
              </w:rPr>
            </w:pPr>
          </w:p>
        </w:tc>
      </w:tr>
      <w:tr w14:paraId="4ED10BAB">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9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0E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5D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5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91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62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公共卫生是保障人民大众身心健康的公共事业，包括提供基本公共卫生服务，疾病预防控制，对突发公共卫生事件的应急处置，促进妇女儿童健康，食品安全风险监管等各项工作。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6D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推进基本公共卫生服务均等化；控制各类重大疾病的发生与传播；有效应对我县突发公共卫生事件；保障妇女儿童身心健康；提高食品安全风险预警能力，为保障食品安全提供技术支撑。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0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4A9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05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44C3">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BB8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39C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399B">
            <w:pPr>
              <w:rPr>
                <w:rFonts w:hint="eastAsia" w:ascii="宋体" w:hAnsi="宋体" w:eastAsia="宋体" w:cs="宋体"/>
                <w:i w:val="0"/>
                <w:color w:val="000000"/>
                <w:sz w:val="18"/>
                <w:szCs w:val="18"/>
                <w:u w:val="none"/>
              </w:rPr>
            </w:pPr>
          </w:p>
        </w:tc>
      </w:tr>
      <w:tr w14:paraId="3575D799">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24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EDC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767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5E35">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B4ED">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2B07">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9DCA">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44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D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FA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B383">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AA93">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D65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3FDB">
            <w:pPr>
              <w:rPr>
                <w:rFonts w:hint="eastAsia" w:ascii="宋体" w:hAnsi="宋体" w:eastAsia="宋体" w:cs="宋体"/>
                <w:i w:val="0"/>
                <w:color w:val="000000"/>
                <w:sz w:val="18"/>
                <w:szCs w:val="18"/>
                <w:u w:val="none"/>
              </w:rPr>
            </w:pPr>
          </w:p>
        </w:tc>
      </w:tr>
      <w:tr w14:paraId="6FFF4255">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2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B8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C488">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4BE0">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0B4C">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3D2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1C2B">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3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9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B6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77EA">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7D15">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157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5701">
            <w:pPr>
              <w:rPr>
                <w:rFonts w:hint="eastAsia" w:ascii="宋体" w:hAnsi="宋体" w:eastAsia="宋体" w:cs="宋体"/>
                <w:i w:val="0"/>
                <w:color w:val="000000"/>
                <w:sz w:val="18"/>
                <w:szCs w:val="18"/>
                <w:u w:val="none"/>
              </w:rPr>
            </w:pPr>
          </w:p>
        </w:tc>
      </w:tr>
      <w:tr w14:paraId="2BAAC3B7">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E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AAD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C70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0457">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748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A5E9">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8A6D">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0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45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妇幼健康服务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44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落实上级妇幼健康服务项目，开展母婴保健、辅助生殖技术管理、妇女儿童常见病和多发病防治、出生缺陷综合防治、出生医学证明等母婴保健法律证件管理等各项工作。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DF99">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B15F9">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6684">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BC393">
            <w:pPr>
              <w:rPr>
                <w:rFonts w:hint="eastAsia" w:ascii="宋体" w:hAnsi="宋体" w:eastAsia="宋体" w:cs="宋体"/>
                <w:i w:val="0"/>
                <w:color w:val="000000"/>
                <w:sz w:val="18"/>
                <w:szCs w:val="18"/>
                <w:u w:val="none"/>
              </w:rPr>
            </w:pPr>
          </w:p>
        </w:tc>
      </w:tr>
      <w:tr w14:paraId="1B9CCC37">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3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6F90">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B5F5">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8DA7">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05BA">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496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F9BA6">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29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2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36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39E">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3902">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C4F5">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005C">
            <w:pPr>
              <w:rPr>
                <w:rFonts w:hint="eastAsia" w:ascii="宋体" w:hAnsi="宋体" w:eastAsia="宋体" w:cs="宋体"/>
                <w:i w:val="0"/>
                <w:color w:val="000000"/>
                <w:sz w:val="18"/>
                <w:szCs w:val="18"/>
                <w:u w:val="none"/>
              </w:rPr>
            </w:pPr>
          </w:p>
        </w:tc>
      </w:tr>
      <w:tr w14:paraId="2537A489">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8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05E0">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1414">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E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B2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14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以医疗技术为基本服务手段，通过各级各类医疗机构，向广大人民群众提供的医疗、预防、保健及康复等服务。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F9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提高医疗机构的疾病救治能力，强化公立医院和基层医疗卫生机构综合改革，满足各类人民群众的医疗服务需求。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64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0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AF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针对不同类型的疾病提供预防、检查、诊断、治疗和康复等各类医疗服务，健全我县医疗机构和医疗服务全行业管理制度，开展医疗惠民工程等各类医疗服务工作。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0116">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706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3F8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62B3">
            <w:pPr>
              <w:rPr>
                <w:rFonts w:hint="eastAsia" w:ascii="宋体" w:hAnsi="宋体" w:eastAsia="宋体" w:cs="宋体"/>
                <w:i w:val="0"/>
                <w:color w:val="000000"/>
                <w:sz w:val="18"/>
                <w:szCs w:val="18"/>
                <w:u w:val="none"/>
              </w:rPr>
            </w:pPr>
          </w:p>
        </w:tc>
      </w:tr>
      <w:tr w14:paraId="44832B7F">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6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947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2500">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85F7">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2417">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667D">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8E6E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1A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54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C0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通过建立和实施新型农村合作医疗、疾病应急救助以及公费医疗等制度，保障各类人群享有所需医疗服务权益。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504C">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723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16E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C99B">
            <w:pPr>
              <w:rPr>
                <w:rFonts w:hint="eastAsia" w:ascii="宋体" w:hAnsi="宋体" w:eastAsia="宋体" w:cs="宋体"/>
                <w:i w:val="0"/>
                <w:color w:val="000000"/>
                <w:sz w:val="18"/>
                <w:szCs w:val="18"/>
                <w:u w:val="none"/>
              </w:rPr>
            </w:pPr>
          </w:p>
        </w:tc>
      </w:tr>
      <w:tr w14:paraId="767B3EB9">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FE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6E9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68EC">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D2FB">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663A">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06FB">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CAA2">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1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D6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公立医院和基层医疗卫生机构综合改革</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18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85A6">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025D">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A5F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BE2E">
            <w:pPr>
              <w:rPr>
                <w:rFonts w:hint="eastAsia" w:ascii="宋体" w:hAnsi="宋体" w:eastAsia="宋体" w:cs="宋体"/>
                <w:i w:val="0"/>
                <w:color w:val="000000"/>
                <w:sz w:val="18"/>
                <w:szCs w:val="18"/>
                <w:u w:val="none"/>
              </w:rPr>
            </w:pPr>
          </w:p>
        </w:tc>
      </w:tr>
      <w:tr w14:paraId="7D961166">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F1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64F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2F8C">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0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F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D2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坚持计划生育基本国策，提供各类计划生育技术服务，建立计划生育利益导向机制，开展出生人口性别比治理以及流动人口计划生育管理等各项工作。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F1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保持适度的低生育水平，有效保障计划生育家庭生活水平，提高妇女生殖健康水平，降低出生缺陷的发生，有效遏制出生人口性别比偏高问题。</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6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11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计划生育家庭发展与利益导向机制建设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77B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通过实施国家奖扶、特扶等制度，创建幸福家庭等工作，全面提高计划生育家庭的发展能力。</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9DE1">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37E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CC95">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746E">
            <w:pPr>
              <w:rPr>
                <w:rFonts w:hint="eastAsia" w:ascii="宋体" w:hAnsi="宋体" w:eastAsia="宋体" w:cs="宋体"/>
                <w:i w:val="0"/>
                <w:color w:val="000000"/>
                <w:sz w:val="18"/>
                <w:szCs w:val="18"/>
                <w:u w:val="none"/>
              </w:rPr>
            </w:pPr>
          </w:p>
        </w:tc>
      </w:tr>
      <w:tr w14:paraId="7A11B9C4">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1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D04">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B03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E37E">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F13B">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99E3">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D12A">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8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D8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计划生育指导与管理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FF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做好出生人口性别比治理工作，加强流动人口计划生育管理，提升基层基础计划生育队伍服务水平。</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932B">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561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456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E2F1">
            <w:pPr>
              <w:rPr>
                <w:rFonts w:hint="eastAsia" w:ascii="宋体" w:hAnsi="宋体" w:eastAsia="宋体" w:cs="宋体"/>
                <w:i w:val="0"/>
                <w:color w:val="000000"/>
                <w:sz w:val="18"/>
                <w:szCs w:val="18"/>
                <w:u w:val="none"/>
              </w:rPr>
            </w:pPr>
          </w:p>
        </w:tc>
      </w:tr>
      <w:tr w14:paraId="10F45ECC">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F1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8BC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6F22">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A66F">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4BA5">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E92B">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13A5">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D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91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计划生育群众工作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F1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协助政府开展计划生育群众自治、亲情关爱及幸福工程等工作，动员广大群众自觉参与和实行各项计划生育政策。</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8B5D">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DE3D">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4DC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9205">
            <w:pPr>
              <w:rPr>
                <w:rFonts w:hint="eastAsia" w:ascii="宋体" w:hAnsi="宋体" w:eastAsia="宋体" w:cs="宋体"/>
                <w:i w:val="0"/>
                <w:color w:val="000000"/>
                <w:sz w:val="18"/>
                <w:szCs w:val="18"/>
                <w:u w:val="none"/>
              </w:rPr>
            </w:pPr>
          </w:p>
        </w:tc>
      </w:tr>
      <w:tr w14:paraId="65D47D7F">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A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E60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2F80">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FF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8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A5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中医药人才培养、中医药信息化建设、中医药文化推广等各项工作，满足各类人民群众享受民族医药服务的需求。</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75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加强中医药能力建设，提高中医药人员服务水平，有效发挥中医药在医疗保健领域的特色优势。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ED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F1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中医药人才队伍和科研能力建设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A2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培养具有扎实中医药理论功底和较强辩证施治能力的中医临床技术人员，面向基层医疗机构推广中医药适宜技术。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8F1D">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C7B0">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733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41934">
            <w:pPr>
              <w:rPr>
                <w:rFonts w:hint="eastAsia" w:ascii="宋体" w:hAnsi="宋体" w:eastAsia="宋体" w:cs="宋体"/>
                <w:i w:val="0"/>
                <w:color w:val="000000"/>
                <w:sz w:val="18"/>
                <w:szCs w:val="18"/>
                <w:u w:val="none"/>
              </w:rPr>
            </w:pPr>
          </w:p>
        </w:tc>
      </w:tr>
      <w:tr w14:paraId="31DEB09D">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32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F78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94E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9532">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1A54">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5882">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FFB89">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D4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6A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中医药推广及文化宣传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B3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构建中医药核心价值体系，开展中医药文化传播与知识普及。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A8B6">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B817">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9AE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20AB">
            <w:pPr>
              <w:rPr>
                <w:rFonts w:hint="eastAsia" w:ascii="宋体" w:hAnsi="宋体" w:eastAsia="宋体" w:cs="宋体"/>
                <w:i w:val="0"/>
                <w:color w:val="000000"/>
                <w:sz w:val="18"/>
                <w:szCs w:val="18"/>
                <w:u w:val="none"/>
              </w:rPr>
            </w:pPr>
          </w:p>
        </w:tc>
      </w:tr>
      <w:tr w14:paraId="04CCDA47">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66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950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F88C">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AC5A">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9B71">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D974">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BE7A">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6C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2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中医药服务能力建设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CD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培育和建设具有明显中医特色的重点专科，加强中医医疗机构信息化建设。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C768">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32AC">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3BD8">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C435">
            <w:pPr>
              <w:rPr>
                <w:rFonts w:hint="eastAsia" w:ascii="宋体" w:hAnsi="宋体" w:eastAsia="宋体" w:cs="宋体"/>
                <w:i w:val="0"/>
                <w:color w:val="000000"/>
                <w:sz w:val="18"/>
                <w:szCs w:val="18"/>
                <w:u w:val="none"/>
              </w:rPr>
            </w:pPr>
          </w:p>
        </w:tc>
      </w:tr>
      <w:tr w14:paraId="0B17041E">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8A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E4E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513D">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D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48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卫生计生政务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10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拟定卫生计生改革与发展目标、规划，组织指导相关工作开展，承担政务公开和业务宣传工作，加强卫生计生能力建设。</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C3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保障卫生计生事业稳定发展。</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7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4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卫生计生人才队伍及科研能力建设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3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开展卫生计生人才培训，组织继续医学教育和适宜技术推广等工作。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4EBE">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92845">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A214">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140E">
            <w:pPr>
              <w:rPr>
                <w:rFonts w:hint="eastAsia" w:ascii="宋体" w:hAnsi="宋体" w:eastAsia="宋体" w:cs="宋体"/>
                <w:i w:val="0"/>
                <w:color w:val="000000"/>
                <w:sz w:val="18"/>
                <w:szCs w:val="18"/>
                <w:u w:val="none"/>
              </w:rPr>
            </w:pPr>
          </w:p>
        </w:tc>
      </w:tr>
      <w:tr w14:paraId="77B25250">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8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B6F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17E9">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EE33">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D647">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5BC9">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EC7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A2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卫生计生综合监督</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37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监督卫生计生相关法律法规落实情况，督办重大卫生计生违法案件，指导和规范卫生计生人员执法行为，坚持计划生育目标管理责任制。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CB63">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C30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1FC3">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F446">
            <w:pPr>
              <w:rPr>
                <w:rFonts w:hint="eastAsia" w:ascii="宋体" w:hAnsi="宋体" w:eastAsia="宋体" w:cs="宋体"/>
                <w:i w:val="0"/>
                <w:color w:val="000000"/>
                <w:sz w:val="18"/>
                <w:szCs w:val="18"/>
                <w:u w:val="none"/>
              </w:rPr>
            </w:pPr>
          </w:p>
        </w:tc>
      </w:tr>
      <w:tr w14:paraId="42DDBFF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9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408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D91">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F8CE">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B8C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289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B932">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8B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CB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卫生计生综合业务管理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CC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开展卫生计生规划、资源配置、统计、法制、政策研究、宣传教育、舆情监测等工作。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B661">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86AC">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BE33">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9CDA">
            <w:pPr>
              <w:rPr>
                <w:rFonts w:hint="eastAsia" w:ascii="宋体" w:hAnsi="宋体" w:eastAsia="宋体" w:cs="宋体"/>
                <w:i w:val="0"/>
                <w:color w:val="000000"/>
                <w:sz w:val="18"/>
                <w:szCs w:val="18"/>
                <w:u w:val="none"/>
              </w:rPr>
            </w:pPr>
          </w:p>
        </w:tc>
      </w:tr>
      <w:tr w14:paraId="217A700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1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1E10">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DCF7">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DF64">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879A">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E1D0">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EA9A">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56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03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卫生计生综合事务管理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5A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开展卫生计生信息化、基础设施、装备管理与配置等各项工作。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EE09">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052C">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4E8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0C07">
            <w:pPr>
              <w:rPr>
                <w:rFonts w:hint="eastAsia" w:ascii="宋体" w:hAnsi="宋体" w:eastAsia="宋体" w:cs="宋体"/>
                <w:i w:val="0"/>
                <w:color w:val="000000"/>
                <w:sz w:val="18"/>
                <w:szCs w:val="18"/>
                <w:u w:val="none"/>
              </w:rPr>
            </w:pPr>
          </w:p>
        </w:tc>
      </w:tr>
      <w:tr w14:paraId="1D8C909B">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8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119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9047">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8B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80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E9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通过对本村（居）或育龄小组日常工作管理，全面做好计生政策宣传、生殖健康教育、免费婚育服务、反馈人口生育信息，落实“包保责任制”等。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FD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夯实基层生育工作基础。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4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99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计生专干、小组长综合事物管理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BF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对本村（居）或育龄小组日常工作管理，全面做好计生政策宣传、生殖健康教育、免费婚育服务、反馈人口生育信息，落实“包保责任制”等。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E7A8">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7594">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5501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0914">
            <w:pPr>
              <w:rPr>
                <w:rFonts w:hint="eastAsia" w:ascii="宋体" w:hAnsi="宋体" w:eastAsia="宋体" w:cs="宋体"/>
                <w:i w:val="0"/>
                <w:color w:val="000000"/>
                <w:sz w:val="18"/>
                <w:szCs w:val="18"/>
                <w:u w:val="none"/>
              </w:rPr>
            </w:pPr>
          </w:p>
        </w:tc>
      </w:tr>
      <w:tr w14:paraId="11AD6A9D">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8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C80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DBFC">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A5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64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0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53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夯实基层医疗工作基础。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F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29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乡医绩效补助综合管理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CD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B5BD">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BB2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D91E">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17FB">
            <w:pPr>
              <w:rPr>
                <w:rFonts w:hint="eastAsia" w:ascii="宋体" w:hAnsi="宋体" w:eastAsia="宋体" w:cs="宋体"/>
                <w:i w:val="0"/>
                <w:color w:val="000000"/>
                <w:sz w:val="18"/>
                <w:szCs w:val="18"/>
                <w:u w:val="none"/>
              </w:rPr>
            </w:pPr>
          </w:p>
        </w:tc>
      </w:tr>
      <w:tr w14:paraId="3AEC4C78">
        <w:tblPrEx>
          <w:tblCellMar>
            <w:top w:w="0" w:type="dxa"/>
            <w:left w:w="0" w:type="dxa"/>
            <w:bottom w:w="0" w:type="dxa"/>
            <w:right w:w="0" w:type="dxa"/>
          </w:tblCellMar>
        </w:tblPrEx>
        <w:trPr>
          <w:trHeight w:val="14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4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1238">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45FC">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93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D7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8D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BF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保持适度的低生育水平，有效保障计划生育家庭生活水平，提高妇女生殖健康水平，降低出生缺陷的发生.加强药具工作标准化、规范化体系建设，保证供应，提高优质服务水平</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22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10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计划生育技术服务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E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落实免费计划生育基本技术服务项目：农村已婚育龄妇女生殖健康检查免费服务,农村育龄妇女才检查提档升级项目ＴＣＴ两癌筛查：为计划怀孕的夫妻免费提供健康教育，病史询问、体格检查、临床实验室检查等19项孕前优生检查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EAD4">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6DFF">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EBE9">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4342">
            <w:pPr>
              <w:rPr>
                <w:rFonts w:hint="eastAsia" w:ascii="宋体" w:hAnsi="宋体" w:eastAsia="宋体" w:cs="宋体"/>
                <w:i w:val="0"/>
                <w:color w:val="000000"/>
                <w:sz w:val="18"/>
                <w:szCs w:val="18"/>
                <w:u w:val="none"/>
              </w:rPr>
            </w:pPr>
          </w:p>
        </w:tc>
      </w:tr>
      <w:tr w14:paraId="47BBAE17">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B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1A4E">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AC80">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8085">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948A">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DE4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38F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E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F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计划生育药具服务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E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加强药具发放网络建设，进一步做好流动人口药具服务管理工作，做好供应发放，满足群众避孕节育需求；加强业务培训，提高队伍整体素质，加大药具宣传力度，提高育龄群众药具政策知识知晓率。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C748">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BAD9">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DFC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72387">
            <w:pPr>
              <w:rPr>
                <w:rFonts w:hint="eastAsia" w:ascii="宋体" w:hAnsi="宋体" w:eastAsia="宋体" w:cs="宋体"/>
                <w:i w:val="0"/>
                <w:color w:val="000000"/>
                <w:sz w:val="18"/>
                <w:szCs w:val="18"/>
                <w:u w:val="none"/>
              </w:rPr>
            </w:pPr>
          </w:p>
        </w:tc>
      </w:tr>
      <w:tr w14:paraId="67B3689C">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632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8E7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693">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F46A">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09</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BD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A7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通过开展活动，提高群众卫生理念及健康意识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F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有效提高群众卫生知识知晓率、健康行为形成率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8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3A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控烟禁烟</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4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积极开展控烟宣传教育，提高公众对烟草危害的正确认识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0B7D">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E6B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F575">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D6FC">
            <w:pPr>
              <w:rPr>
                <w:rFonts w:hint="eastAsia" w:ascii="宋体" w:hAnsi="宋体" w:eastAsia="宋体" w:cs="宋体"/>
                <w:i w:val="0"/>
                <w:color w:val="000000"/>
                <w:sz w:val="18"/>
                <w:szCs w:val="18"/>
                <w:u w:val="none"/>
              </w:rPr>
            </w:pPr>
          </w:p>
        </w:tc>
      </w:tr>
      <w:tr w14:paraId="60453759">
        <w:tblPrEx>
          <w:tblCellMar>
            <w:top w:w="0" w:type="dxa"/>
            <w:left w:w="0" w:type="dxa"/>
            <w:bottom w:w="0" w:type="dxa"/>
            <w:right w:w="0" w:type="dxa"/>
          </w:tblCellMar>
        </w:tblPrEx>
        <w:trPr>
          <w:trHeight w:val="26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E57E">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C28D">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36AC">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EA30">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E0FE">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BF12">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1C0D">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6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39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健康教育宣传活动</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97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组织开展大型健康教育宣传“七进”活动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17C0">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635C">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E5C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2565">
            <w:pPr>
              <w:rPr>
                <w:rFonts w:hint="eastAsia" w:ascii="宋体" w:hAnsi="宋体" w:eastAsia="宋体" w:cs="宋体"/>
                <w:i w:val="0"/>
                <w:color w:val="000000"/>
                <w:sz w:val="18"/>
                <w:szCs w:val="18"/>
                <w:u w:val="none"/>
              </w:rPr>
            </w:pPr>
          </w:p>
        </w:tc>
      </w:tr>
    </w:tbl>
    <w:p w14:paraId="5632A055">
      <w:pPr>
        <w:autoSpaceDE w:val="0"/>
        <w:autoSpaceDN w:val="0"/>
        <w:adjustRightInd w:val="0"/>
        <w:ind w:left="198" w:firstLine="640" w:firstLineChars="200"/>
        <w:jc w:val="left"/>
        <w:rPr>
          <w:rFonts w:ascii="仿宋" w:hAnsi="仿宋" w:eastAsia="仿宋" w:cs="仿宋"/>
          <w:sz w:val="32"/>
          <w:szCs w:val="32"/>
        </w:rPr>
      </w:pPr>
    </w:p>
    <w:p w14:paraId="7BD1281A">
      <w:pPr>
        <w:ind w:firstLine="803" w:firstLineChars="250"/>
        <w:jc w:val="left"/>
        <w:rPr>
          <w:rFonts w:ascii="仿宋" w:hAnsi="仿宋" w:eastAsia="仿宋" w:cs="仿宋"/>
          <w:b/>
          <w:sz w:val="32"/>
          <w:szCs w:val="32"/>
        </w:rPr>
      </w:pPr>
      <w:bookmarkStart w:id="1" w:name="_Toc65589304"/>
      <w:r>
        <w:rPr>
          <w:rFonts w:hint="eastAsia" w:ascii="仿宋" w:hAnsi="仿宋" w:eastAsia="仿宋" w:cs="仿宋"/>
          <w:b/>
          <w:sz w:val="32"/>
          <w:szCs w:val="32"/>
        </w:rPr>
        <w:t>（二）、分项绩效目标</w:t>
      </w:r>
      <w:bookmarkEnd w:id="1"/>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14:paraId="45E8658C">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14:paraId="75EF786D">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14:paraId="28C2159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14:paraId="5C9C35CB">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14:paraId="6C0D86C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14:paraId="47492C13">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14:paraId="63ABC33C">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14:paraId="50D1FA56">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14:paraId="5165F9E6">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14:paraId="48FFB0F3">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14:paraId="7F35DBBF">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14:paraId="1DD6917E">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14:paraId="47A0D78D">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14:paraId="76D36F08">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14:paraId="5A548253">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p w14:paraId="298A3E41">
      <w:pPr>
        <w:numPr>
          <w:ilvl w:val="0"/>
          <w:numId w:val="2"/>
        </w:numPr>
        <w:ind w:firstLine="640"/>
        <w:rPr>
          <w:rFonts w:hint="eastAsia" w:ascii="仿宋" w:hAnsi="仿宋" w:eastAsia="仿宋" w:cs="仿宋"/>
          <w:b/>
          <w:sz w:val="32"/>
          <w:szCs w:val="32"/>
          <w:lang w:eastAsia="zh-CN"/>
        </w:rPr>
      </w:pPr>
      <w:r>
        <w:rPr>
          <w:rFonts w:hint="eastAsia" w:ascii="仿宋" w:hAnsi="仿宋" w:eastAsia="仿宋" w:cs="仿宋"/>
          <w:b/>
          <w:sz w:val="32"/>
          <w:szCs w:val="32"/>
          <w:lang w:eastAsia="zh-CN"/>
        </w:rPr>
        <w:t>政府采购预算情况</w:t>
      </w:r>
    </w:p>
    <w:p w14:paraId="1EE8142F">
      <w:pPr>
        <w:numPr>
          <w:ilvl w:val="0"/>
          <w:numId w:val="0"/>
        </w:numPr>
        <w:ind w:firstLine="64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2022年，安排政府采购预算1074.24万元，具体内容见下表</w:t>
      </w:r>
    </w:p>
    <w:p w14:paraId="2CFE12F5">
      <w:pPr>
        <w:spacing w:before="0" w:after="0" w:line="240" w:lineRule="auto"/>
        <w:ind w:firstLine="0"/>
        <w:jc w:val="center"/>
        <w:outlineLvl w:val="1"/>
      </w:pPr>
      <w:bookmarkStart w:id="2" w:name="_Toc_2_2_0000000007"/>
      <w:r>
        <w:rPr>
          <w:rFonts w:ascii="方正小标宋_GBK" w:hAnsi="方正小标宋_GBK" w:eastAsia="方正小标宋_GBK" w:cs="方正小标宋_GBK"/>
          <w:color w:val="000000"/>
          <w:sz w:val="32"/>
        </w:rPr>
        <w:t>部门政府采购预算</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3"/>
        <w:gridCol w:w="617"/>
        <w:gridCol w:w="683"/>
        <w:gridCol w:w="650"/>
        <w:gridCol w:w="434"/>
        <w:gridCol w:w="666"/>
        <w:gridCol w:w="417"/>
        <w:gridCol w:w="1118"/>
        <w:gridCol w:w="1207"/>
        <w:gridCol w:w="383"/>
        <w:gridCol w:w="567"/>
        <w:gridCol w:w="450"/>
        <w:gridCol w:w="516"/>
        <w:gridCol w:w="534"/>
        <w:gridCol w:w="666"/>
        <w:gridCol w:w="1120"/>
      </w:tblGrid>
      <w:tr w14:paraId="687A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50" w:type="dxa"/>
            <w:gridSpan w:val="7"/>
            <w:tcBorders>
              <w:top w:val="single" w:color="FFFFFF" w:sz="6" w:space="0"/>
              <w:left w:val="single" w:color="FFFFFF" w:sz="6" w:space="0"/>
              <w:right w:val="single" w:color="FFFFFF" w:sz="6" w:space="0"/>
            </w:tcBorders>
            <w:vAlign w:val="center"/>
          </w:tcPr>
          <w:p w14:paraId="345CCECD">
            <w:pPr>
              <w:pStyle w:val="11"/>
            </w:pPr>
            <w:r>
              <w:t>361唐山市曹妃甸区卫生健康局</w:t>
            </w:r>
          </w:p>
        </w:tc>
        <w:tc>
          <w:tcPr>
            <w:tcW w:w="6561" w:type="dxa"/>
            <w:gridSpan w:val="9"/>
            <w:tcBorders>
              <w:top w:val="single" w:color="FFFFFF" w:sz="6" w:space="0"/>
              <w:left w:val="single" w:color="FFFFFF" w:sz="6" w:space="0"/>
              <w:right w:val="single" w:color="FFFFFF" w:sz="6" w:space="0"/>
            </w:tcBorders>
            <w:vAlign w:val="center"/>
          </w:tcPr>
          <w:p w14:paraId="76A8CF9D">
            <w:pPr>
              <w:pStyle w:val="12"/>
            </w:pPr>
            <w:r>
              <w:t>单位：万元</w:t>
            </w:r>
          </w:p>
        </w:tc>
      </w:tr>
      <w:tr w14:paraId="100E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00" w:type="dxa"/>
            <w:gridSpan w:val="2"/>
            <w:vAlign w:val="center"/>
          </w:tcPr>
          <w:p w14:paraId="75C9A1DF">
            <w:pPr>
              <w:pStyle w:val="13"/>
            </w:pPr>
            <w:r>
              <w:t>政府采购项目来源</w:t>
            </w:r>
          </w:p>
        </w:tc>
        <w:tc>
          <w:tcPr>
            <w:tcW w:w="683" w:type="dxa"/>
            <w:vMerge w:val="restart"/>
            <w:vAlign w:val="center"/>
          </w:tcPr>
          <w:p w14:paraId="2146D6E1">
            <w:pPr>
              <w:pStyle w:val="13"/>
            </w:pPr>
            <w:r>
              <w:t>采购物品名称</w:t>
            </w:r>
          </w:p>
        </w:tc>
        <w:tc>
          <w:tcPr>
            <w:tcW w:w="650" w:type="dxa"/>
            <w:vMerge w:val="restart"/>
            <w:vAlign w:val="center"/>
          </w:tcPr>
          <w:p w14:paraId="5B567640">
            <w:pPr>
              <w:pStyle w:val="13"/>
            </w:pPr>
            <w:r>
              <w:t>政府采购目录序号</w:t>
            </w:r>
          </w:p>
        </w:tc>
        <w:tc>
          <w:tcPr>
            <w:tcW w:w="434" w:type="dxa"/>
            <w:vMerge w:val="restart"/>
            <w:vAlign w:val="center"/>
          </w:tcPr>
          <w:p w14:paraId="7CE7F422">
            <w:pPr>
              <w:pStyle w:val="13"/>
            </w:pPr>
            <w:r>
              <w:t>计量  单位</w:t>
            </w:r>
          </w:p>
        </w:tc>
        <w:tc>
          <w:tcPr>
            <w:tcW w:w="666" w:type="dxa"/>
            <w:vMerge w:val="restart"/>
            <w:vAlign w:val="center"/>
          </w:tcPr>
          <w:p w14:paraId="4B77E3DA">
            <w:pPr>
              <w:pStyle w:val="13"/>
            </w:pPr>
            <w:r>
              <w:t>数量</w:t>
            </w:r>
          </w:p>
        </w:tc>
        <w:tc>
          <w:tcPr>
            <w:tcW w:w="417" w:type="dxa"/>
            <w:vMerge w:val="restart"/>
            <w:vAlign w:val="center"/>
          </w:tcPr>
          <w:p w14:paraId="1FBCAB3C">
            <w:pPr>
              <w:pStyle w:val="13"/>
            </w:pPr>
            <w:r>
              <w:t>单价</w:t>
            </w:r>
          </w:p>
        </w:tc>
        <w:tc>
          <w:tcPr>
            <w:tcW w:w="5441" w:type="dxa"/>
            <w:gridSpan w:val="8"/>
            <w:vAlign w:val="center"/>
          </w:tcPr>
          <w:p w14:paraId="6E610DBA">
            <w:pPr>
              <w:pStyle w:val="13"/>
            </w:pPr>
            <w:r>
              <w:t>政府采购金额（当年部门预算安排资金）</w:t>
            </w:r>
          </w:p>
        </w:tc>
        <w:tc>
          <w:tcPr>
            <w:tcW w:w="1120" w:type="dxa"/>
            <w:vMerge w:val="restart"/>
            <w:vAlign w:val="center"/>
          </w:tcPr>
          <w:p w14:paraId="40F0B321">
            <w:pPr>
              <w:pStyle w:val="13"/>
            </w:pPr>
            <w:r>
              <w:t>2022年  预留中  小微企  业份额</w:t>
            </w:r>
          </w:p>
        </w:tc>
      </w:tr>
      <w:tr w14:paraId="6B95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65" w:hRule="atLeast"/>
          <w:tblHeader/>
          <w:jc w:val="center"/>
        </w:trPr>
        <w:tc>
          <w:tcPr>
            <w:tcW w:w="1883" w:type="dxa"/>
            <w:vAlign w:val="center"/>
          </w:tcPr>
          <w:p w14:paraId="506A90AB">
            <w:pPr>
              <w:pStyle w:val="13"/>
            </w:pPr>
            <w:r>
              <w:t>项目名称</w:t>
            </w:r>
          </w:p>
        </w:tc>
        <w:tc>
          <w:tcPr>
            <w:tcW w:w="617" w:type="dxa"/>
            <w:vAlign w:val="center"/>
          </w:tcPr>
          <w:p w14:paraId="12B23BA9">
            <w:pPr>
              <w:pStyle w:val="13"/>
            </w:pPr>
            <w:r>
              <w:t>预算    资金</w:t>
            </w:r>
          </w:p>
        </w:tc>
        <w:tc>
          <w:tcPr>
            <w:tcW w:w="683" w:type="dxa"/>
            <w:vMerge w:val="continue"/>
          </w:tcPr>
          <w:p w14:paraId="5D15CE07"/>
        </w:tc>
        <w:tc>
          <w:tcPr>
            <w:tcW w:w="650" w:type="dxa"/>
            <w:vMerge w:val="continue"/>
          </w:tcPr>
          <w:p w14:paraId="33F7AF09"/>
        </w:tc>
        <w:tc>
          <w:tcPr>
            <w:tcW w:w="434" w:type="dxa"/>
            <w:vMerge w:val="continue"/>
          </w:tcPr>
          <w:p w14:paraId="73CAD800"/>
        </w:tc>
        <w:tc>
          <w:tcPr>
            <w:tcW w:w="666" w:type="dxa"/>
            <w:vMerge w:val="continue"/>
          </w:tcPr>
          <w:p w14:paraId="0CDF9996"/>
        </w:tc>
        <w:tc>
          <w:tcPr>
            <w:tcW w:w="417" w:type="dxa"/>
            <w:vMerge w:val="continue"/>
          </w:tcPr>
          <w:p w14:paraId="3698ED76"/>
        </w:tc>
        <w:tc>
          <w:tcPr>
            <w:tcW w:w="1118" w:type="dxa"/>
            <w:vAlign w:val="center"/>
          </w:tcPr>
          <w:p w14:paraId="6BE8E56A">
            <w:pPr>
              <w:pStyle w:val="13"/>
            </w:pPr>
            <w:r>
              <w:t>合计</w:t>
            </w:r>
          </w:p>
        </w:tc>
        <w:tc>
          <w:tcPr>
            <w:tcW w:w="1207" w:type="dxa"/>
            <w:vAlign w:val="center"/>
          </w:tcPr>
          <w:p w14:paraId="3794BFC4">
            <w:pPr>
              <w:pStyle w:val="13"/>
            </w:pPr>
            <w:r>
              <w:t>一般公共预算拨款</w:t>
            </w:r>
          </w:p>
        </w:tc>
        <w:tc>
          <w:tcPr>
            <w:tcW w:w="383" w:type="dxa"/>
            <w:vAlign w:val="center"/>
          </w:tcPr>
          <w:p w14:paraId="2C21947B">
            <w:pPr>
              <w:pStyle w:val="13"/>
            </w:pPr>
            <w:r>
              <w:t>基金预算拨款</w:t>
            </w:r>
          </w:p>
        </w:tc>
        <w:tc>
          <w:tcPr>
            <w:tcW w:w="567" w:type="dxa"/>
            <w:vAlign w:val="center"/>
          </w:tcPr>
          <w:p w14:paraId="180410DF">
            <w:pPr>
              <w:pStyle w:val="13"/>
            </w:pPr>
            <w:r>
              <w:t>国有资本经营预算拨款</w:t>
            </w:r>
          </w:p>
        </w:tc>
        <w:tc>
          <w:tcPr>
            <w:tcW w:w="450" w:type="dxa"/>
            <w:vAlign w:val="center"/>
          </w:tcPr>
          <w:p w14:paraId="64BF7785">
            <w:pPr>
              <w:pStyle w:val="13"/>
            </w:pPr>
            <w:r>
              <w:t>财政专户核拨</w:t>
            </w:r>
          </w:p>
        </w:tc>
        <w:tc>
          <w:tcPr>
            <w:tcW w:w="516" w:type="dxa"/>
            <w:vAlign w:val="center"/>
          </w:tcPr>
          <w:p w14:paraId="12FF56F9">
            <w:pPr>
              <w:pStyle w:val="13"/>
            </w:pPr>
            <w:r>
              <w:t>单位    资金</w:t>
            </w:r>
          </w:p>
        </w:tc>
        <w:tc>
          <w:tcPr>
            <w:tcW w:w="534" w:type="dxa"/>
            <w:vAlign w:val="center"/>
          </w:tcPr>
          <w:p w14:paraId="142423A6">
            <w:pPr>
              <w:pStyle w:val="13"/>
            </w:pPr>
            <w:r>
              <w:t>财政拨    款结转</w:t>
            </w:r>
          </w:p>
        </w:tc>
        <w:tc>
          <w:tcPr>
            <w:tcW w:w="666" w:type="dxa"/>
            <w:vAlign w:val="center"/>
          </w:tcPr>
          <w:p w14:paraId="20C52C22">
            <w:pPr>
              <w:pStyle w:val="13"/>
            </w:pPr>
            <w:r>
              <w:t>非财政    拨款结    转结余</w:t>
            </w:r>
          </w:p>
        </w:tc>
        <w:tc>
          <w:tcPr>
            <w:tcW w:w="1120" w:type="dxa"/>
            <w:vMerge w:val="continue"/>
          </w:tcPr>
          <w:p w14:paraId="3694DE93"/>
        </w:tc>
      </w:tr>
      <w:tr w14:paraId="4AEF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center"/>
          </w:tcPr>
          <w:p w14:paraId="2CA0982E">
            <w:pPr>
              <w:pStyle w:val="14"/>
            </w:pPr>
            <w:r>
              <w:t>合  计</w:t>
            </w:r>
          </w:p>
        </w:tc>
        <w:tc>
          <w:tcPr>
            <w:tcW w:w="617" w:type="dxa"/>
            <w:vAlign w:val="center"/>
          </w:tcPr>
          <w:p w14:paraId="2FCD33B2">
            <w:pPr>
              <w:pStyle w:val="15"/>
            </w:pPr>
          </w:p>
        </w:tc>
        <w:tc>
          <w:tcPr>
            <w:tcW w:w="683" w:type="dxa"/>
            <w:vAlign w:val="center"/>
          </w:tcPr>
          <w:p w14:paraId="7CC12C56">
            <w:pPr>
              <w:pStyle w:val="16"/>
            </w:pPr>
          </w:p>
        </w:tc>
        <w:tc>
          <w:tcPr>
            <w:tcW w:w="650" w:type="dxa"/>
            <w:vAlign w:val="center"/>
          </w:tcPr>
          <w:p w14:paraId="26EB64A8">
            <w:pPr>
              <w:pStyle w:val="16"/>
            </w:pPr>
          </w:p>
        </w:tc>
        <w:tc>
          <w:tcPr>
            <w:tcW w:w="434" w:type="dxa"/>
            <w:vAlign w:val="center"/>
          </w:tcPr>
          <w:p w14:paraId="5510A1B5">
            <w:pPr>
              <w:pStyle w:val="14"/>
            </w:pPr>
          </w:p>
        </w:tc>
        <w:tc>
          <w:tcPr>
            <w:tcW w:w="666" w:type="dxa"/>
            <w:vAlign w:val="center"/>
          </w:tcPr>
          <w:p w14:paraId="482937F7">
            <w:pPr>
              <w:pStyle w:val="15"/>
            </w:pPr>
          </w:p>
        </w:tc>
        <w:tc>
          <w:tcPr>
            <w:tcW w:w="417" w:type="dxa"/>
            <w:vAlign w:val="center"/>
          </w:tcPr>
          <w:p w14:paraId="28C3567C">
            <w:pPr>
              <w:pStyle w:val="15"/>
            </w:pPr>
          </w:p>
        </w:tc>
        <w:tc>
          <w:tcPr>
            <w:tcW w:w="1118" w:type="dxa"/>
            <w:vAlign w:val="center"/>
          </w:tcPr>
          <w:p w14:paraId="2E4AC435">
            <w:pPr>
              <w:pStyle w:val="15"/>
            </w:pPr>
            <w:r>
              <w:t>1074.24</w:t>
            </w:r>
          </w:p>
        </w:tc>
        <w:tc>
          <w:tcPr>
            <w:tcW w:w="1207" w:type="dxa"/>
            <w:vAlign w:val="center"/>
          </w:tcPr>
          <w:p w14:paraId="6DC8194A">
            <w:pPr>
              <w:pStyle w:val="15"/>
            </w:pPr>
            <w:r>
              <w:t>1074.24</w:t>
            </w:r>
          </w:p>
        </w:tc>
        <w:tc>
          <w:tcPr>
            <w:tcW w:w="383" w:type="dxa"/>
            <w:vAlign w:val="center"/>
          </w:tcPr>
          <w:p w14:paraId="4159ACCB">
            <w:pPr>
              <w:pStyle w:val="15"/>
            </w:pPr>
          </w:p>
        </w:tc>
        <w:tc>
          <w:tcPr>
            <w:tcW w:w="567" w:type="dxa"/>
            <w:vAlign w:val="center"/>
          </w:tcPr>
          <w:p w14:paraId="0909CF4B">
            <w:pPr>
              <w:pStyle w:val="15"/>
            </w:pPr>
          </w:p>
        </w:tc>
        <w:tc>
          <w:tcPr>
            <w:tcW w:w="450" w:type="dxa"/>
            <w:vAlign w:val="center"/>
          </w:tcPr>
          <w:p w14:paraId="6922CA33">
            <w:pPr>
              <w:pStyle w:val="15"/>
            </w:pPr>
          </w:p>
        </w:tc>
        <w:tc>
          <w:tcPr>
            <w:tcW w:w="516" w:type="dxa"/>
            <w:vAlign w:val="center"/>
          </w:tcPr>
          <w:p w14:paraId="3E24AD41">
            <w:pPr>
              <w:pStyle w:val="15"/>
            </w:pPr>
          </w:p>
        </w:tc>
        <w:tc>
          <w:tcPr>
            <w:tcW w:w="534" w:type="dxa"/>
            <w:vAlign w:val="center"/>
          </w:tcPr>
          <w:p w14:paraId="4BFBE6BD">
            <w:pPr>
              <w:pStyle w:val="15"/>
            </w:pPr>
          </w:p>
        </w:tc>
        <w:tc>
          <w:tcPr>
            <w:tcW w:w="666" w:type="dxa"/>
            <w:vAlign w:val="center"/>
          </w:tcPr>
          <w:p w14:paraId="683085E7">
            <w:pPr>
              <w:pStyle w:val="15"/>
            </w:pPr>
          </w:p>
        </w:tc>
        <w:tc>
          <w:tcPr>
            <w:tcW w:w="1120" w:type="dxa"/>
            <w:vAlign w:val="center"/>
          </w:tcPr>
          <w:p w14:paraId="7485CCE7">
            <w:pPr>
              <w:pStyle w:val="15"/>
            </w:pPr>
            <w:r>
              <w:t>930.24</w:t>
            </w:r>
          </w:p>
        </w:tc>
      </w:tr>
      <w:tr w14:paraId="1181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83" w:type="dxa"/>
            <w:vAlign w:val="center"/>
          </w:tcPr>
          <w:p w14:paraId="73C06261">
            <w:pPr>
              <w:pStyle w:val="14"/>
            </w:pPr>
            <w:r>
              <w:t>唐山市曹妃甸区卫生健康局小计</w:t>
            </w:r>
          </w:p>
        </w:tc>
        <w:tc>
          <w:tcPr>
            <w:tcW w:w="617" w:type="dxa"/>
            <w:vAlign w:val="center"/>
          </w:tcPr>
          <w:p w14:paraId="4830A983">
            <w:pPr>
              <w:pStyle w:val="15"/>
            </w:pPr>
          </w:p>
        </w:tc>
        <w:tc>
          <w:tcPr>
            <w:tcW w:w="683" w:type="dxa"/>
            <w:vAlign w:val="center"/>
          </w:tcPr>
          <w:p w14:paraId="452227BB">
            <w:pPr>
              <w:pStyle w:val="16"/>
            </w:pPr>
          </w:p>
        </w:tc>
        <w:tc>
          <w:tcPr>
            <w:tcW w:w="650" w:type="dxa"/>
            <w:vAlign w:val="center"/>
          </w:tcPr>
          <w:p w14:paraId="1406AD20">
            <w:pPr>
              <w:pStyle w:val="16"/>
            </w:pPr>
          </w:p>
        </w:tc>
        <w:tc>
          <w:tcPr>
            <w:tcW w:w="434" w:type="dxa"/>
            <w:vAlign w:val="center"/>
          </w:tcPr>
          <w:p w14:paraId="63026062">
            <w:pPr>
              <w:pStyle w:val="14"/>
            </w:pPr>
          </w:p>
        </w:tc>
        <w:tc>
          <w:tcPr>
            <w:tcW w:w="666" w:type="dxa"/>
            <w:vAlign w:val="center"/>
          </w:tcPr>
          <w:p w14:paraId="197860F0">
            <w:pPr>
              <w:pStyle w:val="15"/>
            </w:pPr>
          </w:p>
        </w:tc>
        <w:tc>
          <w:tcPr>
            <w:tcW w:w="417" w:type="dxa"/>
            <w:vAlign w:val="center"/>
          </w:tcPr>
          <w:p w14:paraId="379331FD">
            <w:pPr>
              <w:pStyle w:val="15"/>
            </w:pPr>
          </w:p>
        </w:tc>
        <w:tc>
          <w:tcPr>
            <w:tcW w:w="1118" w:type="dxa"/>
            <w:vAlign w:val="center"/>
          </w:tcPr>
          <w:p w14:paraId="12C54C6D">
            <w:pPr>
              <w:pStyle w:val="15"/>
            </w:pPr>
            <w:r>
              <w:t>124.60</w:t>
            </w:r>
          </w:p>
        </w:tc>
        <w:tc>
          <w:tcPr>
            <w:tcW w:w="1207" w:type="dxa"/>
            <w:vAlign w:val="center"/>
          </w:tcPr>
          <w:p w14:paraId="0F615E1F">
            <w:pPr>
              <w:pStyle w:val="15"/>
            </w:pPr>
            <w:r>
              <w:t>124.60</w:t>
            </w:r>
          </w:p>
        </w:tc>
        <w:tc>
          <w:tcPr>
            <w:tcW w:w="383" w:type="dxa"/>
            <w:vAlign w:val="center"/>
          </w:tcPr>
          <w:p w14:paraId="5C49C65B">
            <w:pPr>
              <w:pStyle w:val="15"/>
            </w:pPr>
          </w:p>
        </w:tc>
        <w:tc>
          <w:tcPr>
            <w:tcW w:w="567" w:type="dxa"/>
            <w:vAlign w:val="center"/>
          </w:tcPr>
          <w:p w14:paraId="4D3B6A3E">
            <w:pPr>
              <w:pStyle w:val="15"/>
            </w:pPr>
          </w:p>
        </w:tc>
        <w:tc>
          <w:tcPr>
            <w:tcW w:w="450" w:type="dxa"/>
            <w:vAlign w:val="center"/>
          </w:tcPr>
          <w:p w14:paraId="3091C6F9">
            <w:pPr>
              <w:pStyle w:val="15"/>
            </w:pPr>
          </w:p>
        </w:tc>
        <w:tc>
          <w:tcPr>
            <w:tcW w:w="516" w:type="dxa"/>
            <w:vAlign w:val="center"/>
          </w:tcPr>
          <w:p w14:paraId="78633CB5">
            <w:pPr>
              <w:pStyle w:val="15"/>
            </w:pPr>
          </w:p>
        </w:tc>
        <w:tc>
          <w:tcPr>
            <w:tcW w:w="534" w:type="dxa"/>
            <w:vAlign w:val="center"/>
          </w:tcPr>
          <w:p w14:paraId="7F12C946">
            <w:pPr>
              <w:pStyle w:val="15"/>
            </w:pPr>
          </w:p>
        </w:tc>
        <w:tc>
          <w:tcPr>
            <w:tcW w:w="666" w:type="dxa"/>
            <w:vAlign w:val="center"/>
          </w:tcPr>
          <w:p w14:paraId="77B02BE6">
            <w:pPr>
              <w:pStyle w:val="15"/>
            </w:pPr>
          </w:p>
        </w:tc>
        <w:tc>
          <w:tcPr>
            <w:tcW w:w="1120" w:type="dxa"/>
            <w:vAlign w:val="center"/>
          </w:tcPr>
          <w:p w14:paraId="7588A66C">
            <w:pPr>
              <w:pStyle w:val="15"/>
            </w:pPr>
            <w:r>
              <w:t>124.60</w:t>
            </w:r>
          </w:p>
        </w:tc>
      </w:tr>
    </w:tbl>
    <w:p w14:paraId="30C9CE60">
      <w:pPr>
        <w:numPr>
          <w:ilvl w:val="0"/>
          <w:numId w:val="2"/>
        </w:numPr>
        <w:ind w:left="0" w:leftChars="0" w:firstLine="640" w:firstLineChars="0"/>
        <w:rPr>
          <w:rFonts w:hint="eastAsia" w:ascii="仿宋" w:hAnsi="仿宋" w:eastAsia="仿宋" w:cs="仿宋"/>
          <w:b/>
          <w:sz w:val="32"/>
          <w:szCs w:val="32"/>
          <w:lang w:eastAsia="zh-CN"/>
        </w:rPr>
      </w:pPr>
      <w:r>
        <w:rPr>
          <w:rFonts w:hint="eastAsia" w:ascii="仿宋" w:hAnsi="仿宋" w:eastAsia="仿宋" w:cs="仿宋"/>
          <w:b/>
          <w:sz w:val="32"/>
          <w:szCs w:val="32"/>
          <w:lang w:eastAsia="zh-CN"/>
        </w:rPr>
        <w:t>国有资产信息情况</w:t>
      </w:r>
    </w:p>
    <w:p w14:paraId="6CABFF1F">
      <w:pPr>
        <w:ind w:left="638" w:leftChars="304" w:firstLine="640" w:firstLineChars="200"/>
        <w:rPr>
          <w:rFonts w:hint="eastAsia" w:ascii="仿宋" w:hAnsi="仿宋" w:eastAsia="仿宋_GB2312" w:cs="仿宋"/>
          <w:color w:val="000000" w:themeColor="text1"/>
          <w:kern w:val="0"/>
          <w:sz w:val="32"/>
          <w:szCs w:val="32"/>
          <w:lang w:val="en-US" w:eastAsia="zh-CN"/>
        </w:rPr>
      </w:pPr>
      <w:r>
        <w:rPr>
          <w:rFonts w:hint="eastAsia" w:ascii="仿宋_GB2312" w:hAnsi="黑体" w:eastAsia="仿宋_GB2312" w:cs="Times New Roman"/>
          <w:color w:val="000000" w:themeColor="text1"/>
          <w:sz w:val="32"/>
          <w:szCs w:val="32"/>
        </w:rPr>
        <w:t>上年末固定资产金额为</w:t>
      </w:r>
      <w:r>
        <w:rPr>
          <w:rFonts w:hint="eastAsia" w:ascii="仿宋_GB2312" w:hAnsi="黑体" w:eastAsia="仿宋_GB2312" w:cs="Times New Roman"/>
          <w:color w:val="000000" w:themeColor="text1"/>
          <w:sz w:val="32"/>
          <w:szCs w:val="32"/>
          <w:lang w:val="en-US" w:eastAsia="zh-CN"/>
        </w:rPr>
        <w:t>807.409</w:t>
      </w:r>
      <w:r>
        <w:rPr>
          <w:rFonts w:hint="eastAsia" w:ascii="仿宋_GB2312" w:hAnsi="黑体" w:eastAsia="仿宋_GB2312" w:cs="Times New Roman"/>
          <w:color w:val="000000" w:themeColor="text1"/>
          <w:sz w:val="32"/>
          <w:szCs w:val="32"/>
        </w:rPr>
        <w:t>万元（详见下表）</w:t>
      </w:r>
      <w:r>
        <w:rPr>
          <w:rFonts w:hint="eastAsia" w:ascii="仿宋_GB2312" w:hAnsi="黑体" w:eastAsia="仿宋_GB2312" w:cs="Times New Roman"/>
          <w:color w:val="000000" w:themeColor="text1"/>
          <w:sz w:val="32"/>
          <w:szCs w:val="32"/>
          <w:lang w:eastAsia="zh-CN"/>
        </w:rPr>
        <w:t>，</w:t>
      </w:r>
      <w:r>
        <w:rPr>
          <w:rFonts w:hint="eastAsia" w:ascii="仿宋_GB2312" w:hAnsi="黑体" w:eastAsia="仿宋_GB2312" w:cs="仿宋_GB2312"/>
          <w:color w:val="000000" w:themeColor="text1"/>
          <w:sz w:val="32"/>
          <w:szCs w:val="32"/>
        </w:rPr>
        <w:t>本年度拟购置固定资产</w:t>
      </w:r>
      <w:r>
        <w:rPr>
          <w:rFonts w:hint="eastAsia" w:ascii="仿宋_GB2312" w:hAnsi="黑体" w:eastAsia="仿宋_GB2312" w:cs="仿宋_GB2312"/>
          <w:color w:val="000000" w:themeColor="text1"/>
          <w:sz w:val="32"/>
          <w:szCs w:val="32"/>
          <w:lang w:val="en-US" w:eastAsia="zh-CN"/>
        </w:rPr>
        <w:t>A类感染性物质运输箱250台，共计27.5万元，其余均为20万以下设备</w:t>
      </w:r>
      <w:r>
        <w:rPr>
          <w:rFonts w:hint="eastAsia" w:ascii="仿宋_GB2312" w:hAnsi="黑体" w:eastAsia="仿宋_GB2312" w:cs="仿宋_GB2312"/>
          <w:color w:val="000000" w:themeColor="text1"/>
          <w:sz w:val="32"/>
          <w:szCs w:val="32"/>
          <w:lang w:eastAsia="zh-CN"/>
        </w:rPr>
        <w:t>。</w:t>
      </w:r>
    </w:p>
    <w:tbl>
      <w:tblPr>
        <w:tblStyle w:val="4"/>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14:paraId="08335881">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7D691BEB">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val="en-US" w:eastAsia="zh-CN"/>
              </w:rPr>
              <w:t>卫生健康局</w:t>
            </w:r>
            <w:r>
              <w:rPr>
                <w:rFonts w:hint="eastAsia" w:ascii="宋体" w:hAnsi="宋体" w:cs="宋体"/>
                <w:b/>
                <w:bCs/>
                <w:kern w:val="0"/>
                <w:sz w:val="32"/>
                <w:szCs w:val="32"/>
              </w:rPr>
              <w:t>部门固定资产占用情况表</w:t>
            </w:r>
          </w:p>
        </w:tc>
      </w:tr>
      <w:tr w14:paraId="1739900D">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56E235C1">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曹妃甸区卫生健康局</w:t>
            </w:r>
          </w:p>
        </w:tc>
        <w:tc>
          <w:tcPr>
            <w:tcW w:w="8234" w:type="dxa"/>
            <w:tcBorders>
              <w:top w:val="nil"/>
              <w:left w:val="nil"/>
              <w:bottom w:val="nil"/>
              <w:right w:val="nil"/>
            </w:tcBorders>
            <w:vAlign w:val="center"/>
          </w:tcPr>
          <w:p w14:paraId="713002DA">
            <w:pPr>
              <w:keepNext w:val="0"/>
              <w:keepLines w:val="0"/>
              <w:widowControl/>
              <w:suppressLineNumbers w:val="0"/>
              <w:spacing w:before="0" w:beforeAutospacing="0" w:after="0" w:afterAutospacing="0"/>
              <w:ind w:left="0" w:right="0" w:firstLine="1320" w:firstLineChars="6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2021</w:t>
            </w:r>
            <w:r>
              <w:rPr>
                <w:rFonts w:hint="eastAsia" w:ascii="宋体" w:hAnsi="宋体" w:cs="宋体"/>
                <w:kern w:val="0"/>
                <w:sz w:val="22"/>
              </w:rPr>
              <w:t xml:space="preserve">年12月31日  </w:t>
            </w:r>
          </w:p>
        </w:tc>
      </w:tr>
      <w:tr w14:paraId="284AA9FB">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21A66A01">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14:paraId="0D9F75EB">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0AB1644E">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14:paraId="560D0E0F">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122D16E6">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14:paraId="790434A0">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0CA28494">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807.409</w:t>
            </w:r>
          </w:p>
        </w:tc>
      </w:tr>
      <w:tr w14:paraId="1699E0A8">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5EA1B4F">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14:paraId="22B3114E">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135.10</w:t>
            </w:r>
          </w:p>
        </w:tc>
        <w:tc>
          <w:tcPr>
            <w:tcW w:w="8234" w:type="dxa"/>
            <w:tcBorders>
              <w:top w:val="nil"/>
              <w:left w:val="nil"/>
              <w:bottom w:val="single" w:color="auto" w:sz="4" w:space="0"/>
              <w:right w:val="single" w:color="auto" w:sz="4" w:space="0"/>
            </w:tcBorders>
            <w:vAlign w:val="center"/>
          </w:tcPr>
          <w:p w14:paraId="7BD55AAE">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86.49</w:t>
            </w:r>
          </w:p>
        </w:tc>
      </w:tr>
      <w:tr w14:paraId="6DBF0068">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5402236A">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14:paraId="06E79E5F">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1C5E7222">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14:paraId="3852EB3F">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25F0EB45">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14:paraId="13678A20">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w:t>
            </w:r>
          </w:p>
        </w:tc>
        <w:tc>
          <w:tcPr>
            <w:tcW w:w="8234" w:type="dxa"/>
            <w:tcBorders>
              <w:top w:val="nil"/>
              <w:left w:val="nil"/>
              <w:bottom w:val="single" w:color="auto" w:sz="4" w:space="0"/>
              <w:right w:val="single" w:color="auto" w:sz="4" w:space="0"/>
            </w:tcBorders>
            <w:vAlign w:val="center"/>
          </w:tcPr>
          <w:p w14:paraId="08BF027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32.34</w:t>
            </w:r>
          </w:p>
        </w:tc>
      </w:tr>
      <w:tr w14:paraId="01DF0FBD">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0CCD5317">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14:paraId="067A0F35">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1A732E10">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112.686</w:t>
            </w:r>
          </w:p>
        </w:tc>
      </w:tr>
      <w:tr w14:paraId="3ED36156">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14:paraId="43914EF3">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14:paraId="4833CC96">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7248D318">
            <w:pPr>
              <w:keepNext w:val="0"/>
              <w:keepLines w:val="0"/>
              <w:widowControl/>
              <w:suppressLineNumbers w:val="0"/>
              <w:spacing w:before="0" w:beforeAutospacing="0" w:after="0" w:afterAutospacing="0"/>
              <w:ind w:left="0" w:right="0"/>
              <w:jc w:val="center"/>
              <w:rPr>
                <w:rFonts w:hint="default" w:ascii="宋体" w:hAnsi="宋体" w:cs="宋体"/>
                <w:kern w:val="0"/>
                <w:sz w:val="22"/>
                <w:lang w:val="en-US" w:eastAsia="zh-CN"/>
              </w:rPr>
            </w:pPr>
            <w:r>
              <w:rPr>
                <w:rFonts w:hint="eastAsia" w:ascii="宋体" w:hAnsi="宋体" w:cs="宋体"/>
                <w:kern w:val="0"/>
                <w:sz w:val="22"/>
                <w:lang w:val="en-US" w:eastAsia="zh-CN"/>
              </w:rPr>
              <w:t>575.893</w:t>
            </w:r>
          </w:p>
        </w:tc>
      </w:tr>
      <w:bookmarkEnd w:id="0"/>
    </w:tbl>
    <w:p w14:paraId="4C07F1DB">
      <w:pPr>
        <w:rPr>
          <w:rFonts w:hint="eastAsia" w:ascii="仿宋" w:hAnsi="仿宋" w:eastAsia="仿宋" w:cs="仿宋"/>
          <w:b/>
          <w:sz w:val="32"/>
          <w:szCs w:val="32"/>
          <w:lang w:eastAsia="zh-CN"/>
        </w:rPr>
      </w:pPr>
    </w:p>
    <w:p w14:paraId="23531731">
      <w:pPr>
        <w:rPr>
          <w:rFonts w:hint="eastAsia" w:ascii="仿宋" w:hAnsi="仿宋" w:eastAsia="仿宋" w:cs="仿宋"/>
          <w:b/>
          <w:sz w:val="32"/>
          <w:szCs w:val="32"/>
          <w:lang w:eastAsia="zh-CN"/>
        </w:rPr>
      </w:pPr>
    </w:p>
    <w:p w14:paraId="7D260754">
      <w:pPr>
        <w:rPr>
          <w:rFonts w:hint="eastAsia" w:ascii="仿宋" w:hAnsi="仿宋" w:eastAsia="仿宋" w:cs="仿宋"/>
          <w:b/>
          <w:sz w:val="32"/>
          <w:szCs w:val="32"/>
          <w:lang w:eastAsia="zh-CN"/>
        </w:rPr>
      </w:pPr>
    </w:p>
    <w:p w14:paraId="5154B523">
      <w:pPr>
        <w:rPr>
          <w:rFonts w:hint="eastAsia" w:ascii="仿宋" w:hAnsi="仿宋" w:eastAsia="仿宋" w:cs="仿宋"/>
          <w:b/>
          <w:sz w:val="32"/>
          <w:szCs w:val="32"/>
          <w:lang w:eastAsia="zh-CN"/>
        </w:rPr>
      </w:pPr>
    </w:p>
    <w:p w14:paraId="62CA19AE">
      <w:pPr>
        <w:rPr>
          <w:rFonts w:hint="eastAsia" w:ascii="仿宋" w:hAnsi="仿宋" w:eastAsia="仿宋" w:cs="仿宋"/>
          <w:b/>
          <w:sz w:val="32"/>
          <w:szCs w:val="32"/>
          <w:lang w:eastAsia="zh-CN"/>
        </w:rPr>
      </w:pPr>
    </w:p>
    <w:p w14:paraId="6FC90493">
      <w:pPr>
        <w:rPr>
          <w:rFonts w:hint="eastAsia" w:ascii="仿宋" w:hAnsi="仿宋" w:eastAsia="仿宋" w:cs="仿宋"/>
          <w:b/>
          <w:sz w:val="32"/>
          <w:szCs w:val="32"/>
          <w:lang w:eastAsia="zh-CN"/>
        </w:rPr>
      </w:pPr>
    </w:p>
    <w:p w14:paraId="43FC3B90">
      <w:pPr>
        <w:rPr>
          <w:rFonts w:hint="eastAsia" w:ascii="仿宋" w:hAnsi="仿宋" w:eastAsia="仿宋" w:cs="仿宋"/>
          <w:b/>
          <w:sz w:val="32"/>
          <w:szCs w:val="32"/>
          <w:lang w:eastAsia="zh-CN"/>
        </w:rPr>
      </w:pPr>
    </w:p>
    <w:p w14:paraId="6DE12FA5">
      <w:pPr>
        <w:rPr>
          <w:rFonts w:hint="eastAsia" w:ascii="仿宋" w:hAnsi="仿宋" w:eastAsia="仿宋" w:cs="仿宋"/>
          <w:b/>
          <w:sz w:val="32"/>
          <w:szCs w:val="32"/>
          <w:lang w:eastAsia="zh-CN"/>
        </w:rPr>
      </w:pPr>
    </w:p>
    <w:p w14:paraId="5A1BCBAC">
      <w:pPr>
        <w:rPr>
          <w:rFonts w:hint="eastAsia" w:ascii="仿宋" w:hAnsi="仿宋" w:eastAsia="仿宋" w:cs="仿宋"/>
          <w:b/>
          <w:sz w:val="32"/>
          <w:szCs w:val="32"/>
          <w:lang w:eastAsia="zh-CN"/>
        </w:rPr>
      </w:pPr>
    </w:p>
    <w:p w14:paraId="28015D85">
      <w:pPr>
        <w:rPr>
          <w:rFonts w:hint="eastAsia" w:ascii="仿宋" w:hAnsi="仿宋" w:eastAsia="仿宋" w:cs="仿宋"/>
          <w:b/>
          <w:sz w:val="32"/>
          <w:szCs w:val="32"/>
          <w:lang w:eastAsia="zh-CN"/>
        </w:rPr>
      </w:pPr>
    </w:p>
    <w:p w14:paraId="79A28CFC">
      <w:pPr>
        <w:rPr>
          <w:rFonts w:hint="eastAsia" w:ascii="仿宋" w:hAnsi="仿宋" w:eastAsia="仿宋" w:cs="仿宋"/>
          <w:b/>
          <w:sz w:val="32"/>
          <w:szCs w:val="32"/>
          <w:lang w:eastAsia="zh-CN"/>
        </w:rPr>
      </w:pPr>
    </w:p>
    <w:p w14:paraId="27EAA0AD">
      <w:pPr>
        <w:rPr>
          <w:rFonts w:hint="eastAsia" w:ascii="仿宋" w:hAnsi="仿宋" w:eastAsia="仿宋" w:cs="仿宋"/>
          <w:b/>
          <w:sz w:val="32"/>
          <w:szCs w:val="32"/>
          <w:lang w:eastAsia="zh-CN"/>
        </w:rPr>
      </w:pPr>
    </w:p>
    <w:p w14:paraId="0F7C0205">
      <w:pPr>
        <w:rPr>
          <w:rFonts w:hint="eastAsia" w:ascii="仿宋" w:hAnsi="仿宋" w:eastAsia="仿宋" w:cs="仿宋"/>
          <w:b/>
          <w:sz w:val="32"/>
          <w:szCs w:val="32"/>
          <w:lang w:eastAsia="zh-CN"/>
        </w:rPr>
      </w:pPr>
    </w:p>
    <w:p w14:paraId="45CA7260">
      <w:pPr>
        <w:ind w:firstLine="1285" w:firstLineChars="400"/>
        <w:rPr>
          <w:rFonts w:ascii="仿宋" w:hAnsi="仿宋" w:eastAsia="仿宋" w:cs="仿宋"/>
          <w:b/>
          <w:sz w:val="32"/>
          <w:szCs w:val="32"/>
        </w:rPr>
      </w:pPr>
      <w:r>
        <w:rPr>
          <w:rFonts w:hint="eastAsia" w:ascii="仿宋" w:hAnsi="仿宋" w:eastAsia="仿宋" w:cs="仿宋"/>
          <w:b/>
          <w:sz w:val="32"/>
          <w:szCs w:val="32"/>
          <w:lang w:eastAsia="zh-CN"/>
        </w:rPr>
        <w:t>八</w:t>
      </w:r>
      <w:r>
        <w:rPr>
          <w:rFonts w:hint="eastAsia" w:ascii="仿宋" w:hAnsi="仿宋" w:eastAsia="仿宋" w:cs="仿宋"/>
          <w:b/>
          <w:sz w:val="32"/>
          <w:szCs w:val="32"/>
        </w:rPr>
        <w:t>、 名词解释</w:t>
      </w:r>
    </w:p>
    <w:p w14:paraId="4BF7A4CB">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1、一般预算收入：区级财政当年拨付的资金。</w:t>
      </w:r>
    </w:p>
    <w:p w14:paraId="2E0D4AD8">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2、基本支出：为保障机构正常运转，完成日常工作任务，而发生的人员支出和公用支出。</w:t>
      </w:r>
    </w:p>
    <w:p w14:paraId="2A97B176">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3、项目支出：是指在基本支出之外，为完成特定行政任 务和事业发展目标，而发生的支出。</w:t>
      </w:r>
    </w:p>
    <w:p w14:paraId="322514EF">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14:paraId="765275C8">
      <w:pPr>
        <w:ind w:firstLine="964" w:firstLineChars="300"/>
        <w:rPr>
          <w:rFonts w:hint="eastAsia" w:ascii="仿宋" w:hAnsi="仿宋" w:eastAsia="仿宋" w:cs="仿宋"/>
          <w:b/>
          <w:sz w:val="32"/>
          <w:szCs w:val="32"/>
        </w:rPr>
      </w:pPr>
      <w:r>
        <w:rPr>
          <w:rFonts w:hint="eastAsia" w:ascii="仿宋" w:hAnsi="仿宋" w:eastAsia="仿宋" w:cs="仿宋"/>
          <w:b/>
          <w:sz w:val="32"/>
          <w:szCs w:val="32"/>
          <w:lang w:eastAsia="zh-CN"/>
        </w:rPr>
        <w:t>九</w:t>
      </w:r>
      <w:r>
        <w:rPr>
          <w:rFonts w:hint="eastAsia" w:ascii="仿宋" w:hAnsi="仿宋" w:eastAsia="仿宋" w:cs="仿宋"/>
          <w:b/>
          <w:sz w:val="32"/>
          <w:szCs w:val="32"/>
        </w:rPr>
        <w:t>、其他需要说明的事项</w:t>
      </w:r>
    </w:p>
    <w:p w14:paraId="667411E9">
      <w:pPr>
        <w:ind w:firstLine="886" w:firstLineChars="277"/>
        <w:rPr>
          <w:rFonts w:ascii="仿宋" w:hAnsi="仿宋" w:eastAsia="仿宋" w:cs="仿宋"/>
          <w:sz w:val="32"/>
          <w:szCs w:val="32"/>
        </w:rPr>
      </w:pPr>
      <w:r>
        <w:rPr>
          <w:rFonts w:hint="eastAsia" w:ascii="仿宋" w:hAnsi="仿宋" w:eastAsia="仿宋" w:cs="仿宋"/>
          <w:sz w:val="32"/>
          <w:szCs w:val="32"/>
        </w:rPr>
        <w:t>无</w:t>
      </w:r>
    </w:p>
    <w:p w14:paraId="5B8469FB"/>
    <w:sectPr>
      <w:footerReference r:id="rId3" w:type="default"/>
      <w:pgSz w:w="16838" w:h="11906" w:orient="landscape"/>
      <w:pgMar w:top="1701" w:right="1174" w:bottom="1701" w:left="72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9B8C">
    <w:pPr>
      <w:pStyle w:val="2"/>
      <w:jc w:val="center"/>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4AB5B8F0"/>
    <w:multiLevelType w:val="singleLevel"/>
    <w:tmpl w:val="4AB5B8F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572F"/>
    <w:rsid w:val="00130C72"/>
    <w:rsid w:val="00175E07"/>
    <w:rsid w:val="001D5FB4"/>
    <w:rsid w:val="00233A1D"/>
    <w:rsid w:val="004E23C3"/>
    <w:rsid w:val="005F0E6A"/>
    <w:rsid w:val="006056B8"/>
    <w:rsid w:val="00676EC0"/>
    <w:rsid w:val="006B2F26"/>
    <w:rsid w:val="006F3B31"/>
    <w:rsid w:val="00751023"/>
    <w:rsid w:val="007958E0"/>
    <w:rsid w:val="00911229"/>
    <w:rsid w:val="0093263E"/>
    <w:rsid w:val="00991EF8"/>
    <w:rsid w:val="00A91792"/>
    <w:rsid w:val="00AA075E"/>
    <w:rsid w:val="00AA602D"/>
    <w:rsid w:val="00C728F1"/>
    <w:rsid w:val="00FB2C1F"/>
    <w:rsid w:val="00FC6888"/>
    <w:rsid w:val="00FF29AD"/>
    <w:rsid w:val="01586F89"/>
    <w:rsid w:val="025D08EA"/>
    <w:rsid w:val="02AB3235"/>
    <w:rsid w:val="02E04485"/>
    <w:rsid w:val="0341645D"/>
    <w:rsid w:val="035016AA"/>
    <w:rsid w:val="03B46C2F"/>
    <w:rsid w:val="0402799B"/>
    <w:rsid w:val="046C6317"/>
    <w:rsid w:val="04E024AF"/>
    <w:rsid w:val="061D6D0E"/>
    <w:rsid w:val="06913258"/>
    <w:rsid w:val="071A324D"/>
    <w:rsid w:val="07DE1517"/>
    <w:rsid w:val="083A12E5"/>
    <w:rsid w:val="088E0F57"/>
    <w:rsid w:val="08B03E69"/>
    <w:rsid w:val="09C6146A"/>
    <w:rsid w:val="09FE0C04"/>
    <w:rsid w:val="0B5E74DE"/>
    <w:rsid w:val="0BBE689D"/>
    <w:rsid w:val="0BEB285A"/>
    <w:rsid w:val="0CE13FE6"/>
    <w:rsid w:val="0CF63E15"/>
    <w:rsid w:val="0DB14CB1"/>
    <w:rsid w:val="0DC13662"/>
    <w:rsid w:val="0DD93BDF"/>
    <w:rsid w:val="0EE60C13"/>
    <w:rsid w:val="0F242EBB"/>
    <w:rsid w:val="0F696B20"/>
    <w:rsid w:val="0FD93148"/>
    <w:rsid w:val="0FF24D67"/>
    <w:rsid w:val="101416AA"/>
    <w:rsid w:val="1034496E"/>
    <w:rsid w:val="11F272A1"/>
    <w:rsid w:val="124F3F7E"/>
    <w:rsid w:val="127937B7"/>
    <w:rsid w:val="1360648C"/>
    <w:rsid w:val="13B50586"/>
    <w:rsid w:val="15205ED3"/>
    <w:rsid w:val="15787ABD"/>
    <w:rsid w:val="1585042C"/>
    <w:rsid w:val="15883A78"/>
    <w:rsid w:val="15DF1577"/>
    <w:rsid w:val="160C2A93"/>
    <w:rsid w:val="161F43DC"/>
    <w:rsid w:val="164756E1"/>
    <w:rsid w:val="167E55A7"/>
    <w:rsid w:val="16DA6555"/>
    <w:rsid w:val="172A66EE"/>
    <w:rsid w:val="17CF598E"/>
    <w:rsid w:val="17D37766"/>
    <w:rsid w:val="185760AF"/>
    <w:rsid w:val="188D056B"/>
    <w:rsid w:val="18A14A03"/>
    <w:rsid w:val="18B046BF"/>
    <w:rsid w:val="19305E07"/>
    <w:rsid w:val="194128BC"/>
    <w:rsid w:val="19557392"/>
    <w:rsid w:val="195B1D5F"/>
    <w:rsid w:val="196072A6"/>
    <w:rsid w:val="19A03A86"/>
    <w:rsid w:val="19FD67E3"/>
    <w:rsid w:val="1A3F504D"/>
    <w:rsid w:val="1A6E76E0"/>
    <w:rsid w:val="1AD0039B"/>
    <w:rsid w:val="1B3C6110"/>
    <w:rsid w:val="1B407F77"/>
    <w:rsid w:val="1D2247B2"/>
    <w:rsid w:val="1D344C11"/>
    <w:rsid w:val="1E032881"/>
    <w:rsid w:val="1ED815CC"/>
    <w:rsid w:val="1F0423C1"/>
    <w:rsid w:val="1F444EB4"/>
    <w:rsid w:val="1FE83A91"/>
    <w:rsid w:val="1FF02946"/>
    <w:rsid w:val="200A56D3"/>
    <w:rsid w:val="20315438"/>
    <w:rsid w:val="20B00A53"/>
    <w:rsid w:val="222B5EB7"/>
    <w:rsid w:val="22522508"/>
    <w:rsid w:val="226E1C19"/>
    <w:rsid w:val="227E248B"/>
    <w:rsid w:val="22F015DA"/>
    <w:rsid w:val="23711FEF"/>
    <w:rsid w:val="240F3CE2"/>
    <w:rsid w:val="244B0A92"/>
    <w:rsid w:val="24B53EBB"/>
    <w:rsid w:val="24D51100"/>
    <w:rsid w:val="250C0222"/>
    <w:rsid w:val="2580476C"/>
    <w:rsid w:val="25AC730F"/>
    <w:rsid w:val="26467763"/>
    <w:rsid w:val="26661BB3"/>
    <w:rsid w:val="27806CA5"/>
    <w:rsid w:val="27BC0609"/>
    <w:rsid w:val="286E6AFD"/>
    <w:rsid w:val="28C606E7"/>
    <w:rsid w:val="292024ED"/>
    <w:rsid w:val="299407E6"/>
    <w:rsid w:val="29BD5F8E"/>
    <w:rsid w:val="29DF2DB9"/>
    <w:rsid w:val="29EA6657"/>
    <w:rsid w:val="2A1E7D1D"/>
    <w:rsid w:val="2AF72696"/>
    <w:rsid w:val="2B8C5C18"/>
    <w:rsid w:val="2BB46F1D"/>
    <w:rsid w:val="2CB62A60"/>
    <w:rsid w:val="2D4F33A1"/>
    <w:rsid w:val="2D8F79DE"/>
    <w:rsid w:val="2D917516"/>
    <w:rsid w:val="2EAB4607"/>
    <w:rsid w:val="2EEB534C"/>
    <w:rsid w:val="2F160B63"/>
    <w:rsid w:val="2F7D3226"/>
    <w:rsid w:val="2FA33530"/>
    <w:rsid w:val="30281C88"/>
    <w:rsid w:val="30EC0F07"/>
    <w:rsid w:val="31501496"/>
    <w:rsid w:val="317F03B1"/>
    <w:rsid w:val="318F6462"/>
    <w:rsid w:val="31B77767"/>
    <w:rsid w:val="31D40319"/>
    <w:rsid w:val="31E248BF"/>
    <w:rsid w:val="3227669B"/>
    <w:rsid w:val="322F37A1"/>
    <w:rsid w:val="323B3EF4"/>
    <w:rsid w:val="32F01183"/>
    <w:rsid w:val="33B0773A"/>
    <w:rsid w:val="33CA3782"/>
    <w:rsid w:val="341744ED"/>
    <w:rsid w:val="346468BD"/>
    <w:rsid w:val="35103416"/>
    <w:rsid w:val="35297D28"/>
    <w:rsid w:val="358C47AE"/>
    <w:rsid w:val="35CF1523"/>
    <w:rsid w:val="361231BE"/>
    <w:rsid w:val="36C268E1"/>
    <w:rsid w:val="36F34D9D"/>
    <w:rsid w:val="375F7C86"/>
    <w:rsid w:val="37F0752F"/>
    <w:rsid w:val="38975BFC"/>
    <w:rsid w:val="38B11C89"/>
    <w:rsid w:val="39BA6046"/>
    <w:rsid w:val="3A5B3385"/>
    <w:rsid w:val="3ABD7C2F"/>
    <w:rsid w:val="3B20637D"/>
    <w:rsid w:val="3B9A7EDD"/>
    <w:rsid w:val="3BB30F9F"/>
    <w:rsid w:val="3CC33464"/>
    <w:rsid w:val="3CE31410"/>
    <w:rsid w:val="3D2A0701"/>
    <w:rsid w:val="3D2E4D81"/>
    <w:rsid w:val="3D3E28C1"/>
    <w:rsid w:val="3D714C6E"/>
    <w:rsid w:val="3E1C107E"/>
    <w:rsid w:val="3E6D18D9"/>
    <w:rsid w:val="3E7E5894"/>
    <w:rsid w:val="3F925EF2"/>
    <w:rsid w:val="40552625"/>
    <w:rsid w:val="4093139F"/>
    <w:rsid w:val="40C15F0C"/>
    <w:rsid w:val="412D5E39"/>
    <w:rsid w:val="41951DD0"/>
    <w:rsid w:val="41B415CD"/>
    <w:rsid w:val="41EF0857"/>
    <w:rsid w:val="42620093"/>
    <w:rsid w:val="42C972FA"/>
    <w:rsid w:val="42E163F2"/>
    <w:rsid w:val="42E47C90"/>
    <w:rsid w:val="43C76AF7"/>
    <w:rsid w:val="43DD4E0B"/>
    <w:rsid w:val="43FE4D82"/>
    <w:rsid w:val="44111DE9"/>
    <w:rsid w:val="44427364"/>
    <w:rsid w:val="459C0CF6"/>
    <w:rsid w:val="459C4852"/>
    <w:rsid w:val="463D6035"/>
    <w:rsid w:val="47285EF6"/>
    <w:rsid w:val="474927B8"/>
    <w:rsid w:val="47F566D5"/>
    <w:rsid w:val="48052B82"/>
    <w:rsid w:val="48254FD3"/>
    <w:rsid w:val="482E20D9"/>
    <w:rsid w:val="48401E0D"/>
    <w:rsid w:val="487F0B87"/>
    <w:rsid w:val="48A979B2"/>
    <w:rsid w:val="48DD6A1A"/>
    <w:rsid w:val="49021D88"/>
    <w:rsid w:val="493059DD"/>
    <w:rsid w:val="493A6711"/>
    <w:rsid w:val="496E5CA4"/>
    <w:rsid w:val="49D547D7"/>
    <w:rsid w:val="4A222BCC"/>
    <w:rsid w:val="4A34774F"/>
    <w:rsid w:val="4A8F7DB6"/>
    <w:rsid w:val="4AD66A58"/>
    <w:rsid w:val="4B160809"/>
    <w:rsid w:val="4B4D6D1A"/>
    <w:rsid w:val="4B693428"/>
    <w:rsid w:val="4C40062D"/>
    <w:rsid w:val="4CC36B68"/>
    <w:rsid w:val="4CE11EE6"/>
    <w:rsid w:val="4D461C73"/>
    <w:rsid w:val="4D834B81"/>
    <w:rsid w:val="4D9D536E"/>
    <w:rsid w:val="4DD059E1"/>
    <w:rsid w:val="4E451F2B"/>
    <w:rsid w:val="4E7C16C5"/>
    <w:rsid w:val="4F4026F2"/>
    <w:rsid w:val="4F734876"/>
    <w:rsid w:val="5050608C"/>
    <w:rsid w:val="50A54F03"/>
    <w:rsid w:val="52742C67"/>
    <w:rsid w:val="52787CDA"/>
    <w:rsid w:val="52A1794C"/>
    <w:rsid w:val="52C33D66"/>
    <w:rsid w:val="52EB52DD"/>
    <w:rsid w:val="53503399"/>
    <w:rsid w:val="535F31B8"/>
    <w:rsid w:val="53BF452D"/>
    <w:rsid w:val="53CF0730"/>
    <w:rsid w:val="5454111A"/>
    <w:rsid w:val="547E7F44"/>
    <w:rsid w:val="54DE4E87"/>
    <w:rsid w:val="55627866"/>
    <w:rsid w:val="561A3C9D"/>
    <w:rsid w:val="56C11A17"/>
    <w:rsid w:val="56C33BDD"/>
    <w:rsid w:val="57700074"/>
    <w:rsid w:val="57995095"/>
    <w:rsid w:val="582E4790"/>
    <w:rsid w:val="58584DB9"/>
    <w:rsid w:val="58737694"/>
    <w:rsid w:val="58CC5674"/>
    <w:rsid w:val="596D0588"/>
    <w:rsid w:val="59AE10E4"/>
    <w:rsid w:val="59D6437F"/>
    <w:rsid w:val="5A2A0227"/>
    <w:rsid w:val="5ABD72ED"/>
    <w:rsid w:val="5AF448BD"/>
    <w:rsid w:val="5B280C0A"/>
    <w:rsid w:val="5B6C18E9"/>
    <w:rsid w:val="5BA1276A"/>
    <w:rsid w:val="5BFD700A"/>
    <w:rsid w:val="5C036F81"/>
    <w:rsid w:val="5CCC3817"/>
    <w:rsid w:val="5CD821BC"/>
    <w:rsid w:val="5DF254FF"/>
    <w:rsid w:val="5E1F6570"/>
    <w:rsid w:val="5E6E77BB"/>
    <w:rsid w:val="5F076231"/>
    <w:rsid w:val="5F5A1C32"/>
    <w:rsid w:val="5FA558C4"/>
    <w:rsid w:val="5FF27A39"/>
    <w:rsid w:val="5FF4730D"/>
    <w:rsid w:val="60213E7A"/>
    <w:rsid w:val="6155202D"/>
    <w:rsid w:val="61DF5D9B"/>
    <w:rsid w:val="62037AF3"/>
    <w:rsid w:val="624A76B8"/>
    <w:rsid w:val="62B47227"/>
    <w:rsid w:val="63275C4B"/>
    <w:rsid w:val="637C7D45"/>
    <w:rsid w:val="63D7141F"/>
    <w:rsid w:val="657A6506"/>
    <w:rsid w:val="6609732E"/>
    <w:rsid w:val="66357089"/>
    <w:rsid w:val="66583412"/>
    <w:rsid w:val="670B5CA6"/>
    <w:rsid w:val="673A559A"/>
    <w:rsid w:val="67573B25"/>
    <w:rsid w:val="67644750"/>
    <w:rsid w:val="676C01E7"/>
    <w:rsid w:val="67852F40"/>
    <w:rsid w:val="68580655"/>
    <w:rsid w:val="68664B20"/>
    <w:rsid w:val="68B7181F"/>
    <w:rsid w:val="68BC6E36"/>
    <w:rsid w:val="68FF1552"/>
    <w:rsid w:val="69B244FD"/>
    <w:rsid w:val="69D63F27"/>
    <w:rsid w:val="6AC32A43"/>
    <w:rsid w:val="6B014FD4"/>
    <w:rsid w:val="6B301415"/>
    <w:rsid w:val="6B5503AA"/>
    <w:rsid w:val="6BE7410A"/>
    <w:rsid w:val="6D0B038C"/>
    <w:rsid w:val="6D2E506E"/>
    <w:rsid w:val="6D3671B7"/>
    <w:rsid w:val="6D53775F"/>
    <w:rsid w:val="6E957F0D"/>
    <w:rsid w:val="6EB14A39"/>
    <w:rsid w:val="6F26325B"/>
    <w:rsid w:val="6FAA5C3A"/>
    <w:rsid w:val="707639A3"/>
    <w:rsid w:val="708D49CE"/>
    <w:rsid w:val="71080E6A"/>
    <w:rsid w:val="71C32FE3"/>
    <w:rsid w:val="71E511AB"/>
    <w:rsid w:val="71F96A05"/>
    <w:rsid w:val="72183429"/>
    <w:rsid w:val="72563E57"/>
    <w:rsid w:val="725B321B"/>
    <w:rsid w:val="7274126E"/>
    <w:rsid w:val="72AC1B7F"/>
    <w:rsid w:val="73077D45"/>
    <w:rsid w:val="73346049"/>
    <w:rsid w:val="73595705"/>
    <w:rsid w:val="754E52B9"/>
    <w:rsid w:val="760140DA"/>
    <w:rsid w:val="77B928C7"/>
    <w:rsid w:val="77BA6C36"/>
    <w:rsid w:val="78681BA9"/>
    <w:rsid w:val="78B673FD"/>
    <w:rsid w:val="7948672D"/>
    <w:rsid w:val="7A28432B"/>
    <w:rsid w:val="7A4D1FE3"/>
    <w:rsid w:val="7A5A30E0"/>
    <w:rsid w:val="7A70182E"/>
    <w:rsid w:val="7ADA3CA6"/>
    <w:rsid w:val="7B234AF2"/>
    <w:rsid w:val="7B6527F4"/>
    <w:rsid w:val="7BA14395"/>
    <w:rsid w:val="7BDE3980"/>
    <w:rsid w:val="7C2761A1"/>
    <w:rsid w:val="7CA103C5"/>
    <w:rsid w:val="7CE56503"/>
    <w:rsid w:val="7D23702C"/>
    <w:rsid w:val="7D6B472E"/>
    <w:rsid w:val="7D741635"/>
    <w:rsid w:val="7DCA74A7"/>
    <w:rsid w:val="7DE1316F"/>
    <w:rsid w:val="7DFF35F5"/>
    <w:rsid w:val="7E553215"/>
    <w:rsid w:val="7EA30424"/>
    <w:rsid w:val="7EB51F05"/>
    <w:rsid w:val="7EDC3936"/>
    <w:rsid w:val="7EEF3669"/>
    <w:rsid w:val="7F272E03"/>
    <w:rsid w:val="7F686F78"/>
    <w:rsid w:val="7F6C2F0C"/>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99"/>
    <w:pPr>
      <w:jc w:val="left"/>
    </w:pPr>
    <w:rPr>
      <w:kern w:val="0"/>
      <w:sz w:val="24"/>
      <w:szCs w:val="24"/>
    </w:rPr>
  </w:style>
  <w:style w:type="paragraph" w:styleId="10">
    <w:name w:val="List Paragraph"/>
    <w:basedOn w:val="1"/>
    <w:unhideWhenUsed/>
    <w:qFormat/>
    <w:uiPriority w:val="99"/>
    <w:pPr>
      <w:ind w:firstLine="420" w:firstLineChars="200"/>
    </w:p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32</Pages>
  <Words>13000</Words>
  <Characters>13434</Characters>
  <Lines>50</Lines>
  <Paragraphs>14</Paragraphs>
  <TotalTime>39</TotalTime>
  <ScaleCrop>false</ScaleCrop>
  <LinksUpToDate>false</LinksUpToDate>
  <CharactersWithSpaces>13528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2021-03-03T08:02:00Z</dcterms:created>
  <dc:creator>USER-</dc:creator>
  <cp:lastModifiedBy>瑞雪</cp:lastModifiedBy>
  <cp:lastPrinted>2021-03-03T08:15:00Z</cp:lastPrinted>
  <dcterms:modified xsi:type="dcterms:W3CDTF">2025-02-19T01:57:21Z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A71F59EDA90E48CFB5BD32DF6164A93C_13</vt:lpwstr>
  </property>
  <property fmtid="{D5CDD505-2E9C-101B-9397-08002B2CF9AE}" pid="4" name="KSOTemplateDocerSaveRecord">
    <vt:lpwstr>eyJoZGlkIjoiZmQ5NmQ2MThmYzI5ZmJjMDc4MmQ4ZWRmYzA1NjUzM2IiLCJ1c2VySWQiOiIzMzE5NzU2ODUifQ==</vt:lpwstr>
  </property>
</Properties>
</file>