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9" w:name="_GoBack"/>
      <w:bookmarkEnd w:id="9"/>
      <w:r>
        <w:rPr>
          <w:rFonts w:ascii="方正小标宋_GBK" w:hAnsi="方正小标宋_GBK" w:eastAsia="方正小标宋_GBK" w:cs="方正小标宋_GBK"/>
          <w:color w:val="000000"/>
          <w:sz w:val="44"/>
        </w:rPr>
        <w:t>曹妃甸区市场监督管理局2023年部门预算信息公开情况说明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按照《预算法》、《地方预决算公开操作规程》和《关于进一步推进预算公开工作的实施意见》规定，现将曹妃甸区市场监督管理局2023年部门预算公开如下：</w:t>
      </w:r>
    </w:p>
    <w:p>
      <w:pPr>
        <w:spacing w:before="10" w:after="10" w:line="360" w:lineRule="auto"/>
        <w:ind w:firstLine="640"/>
        <w:jc w:val="left"/>
        <w:outlineLvl w:val="2"/>
      </w:pPr>
      <w:bookmarkStart w:id="0" w:name="_Toc_3_3_0000000010"/>
      <w:r>
        <w:rPr>
          <w:rFonts w:ascii="黑体" w:hAnsi="黑体" w:eastAsia="黑体" w:cs="黑体"/>
          <w:color w:val="000000"/>
          <w:sz w:val="32"/>
        </w:rPr>
        <w:t>一、部门职责及机构设置情况</w:t>
      </w:r>
      <w:bookmarkEnd w:id="0"/>
    </w:p>
    <w:p>
      <w:pPr>
        <w:ind w:firstLine="640"/>
        <w:jc w:val="left"/>
      </w:pPr>
      <w:r>
        <w:rPr>
          <w:rFonts w:ascii="方正楷体_GBK" w:hAnsi="方正楷体_GBK" w:eastAsia="方正楷体_GBK" w:cs="方正楷体_GBK"/>
          <w:b/>
          <w:color w:val="000000"/>
          <w:sz w:val="32"/>
        </w:rPr>
        <w:t>部门职责：</w:t>
      </w:r>
    </w:p>
    <w:p>
      <w:pPr>
        <w:pStyle w:val="6"/>
      </w:pPr>
      <w:r>
        <w:t>根据《曹妃甸区市场监督管理局职能配置、内设机构和人员编制规定》，曹妃甸区市场监督管理局的主要职责是：</w:t>
      </w:r>
    </w:p>
    <w:p>
      <w:pPr>
        <w:pStyle w:val="6"/>
      </w:pPr>
      <w:r>
        <w:t>主要职责是：</w:t>
      </w:r>
    </w:p>
    <w:p>
      <w:pPr>
        <w:pStyle w:val="6"/>
      </w:pPr>
      <w:r>
        <w:t>（一）负责全区市场综合监督管理。起草制定全区市场监督管理有关政策、标准，组织实施质量强区战略、食品安全战略、标准化战略、知识产权战略，拟订并组织实施有关规划，规范和维护市场秩序，营造诚实守信、公平竞争的市场环境。</w:t>
      </w:r>
    </w:p>
    <w:p>
      <w:pPr>
        <w:pStyle w:val="6"/>
      </w:pPr>
      <w: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pPr>
        <w:pStyle w:val="6"/>
      </w:pPr>
      <w:r>
        <w:t>（三）负责组织和指导全区市场监管综合执法工作。指导全区市场监管综合执法队伍整合和建设，推动实行统一的市场监管。组织查处重大违法案件。规范市场监管行政执法行为。</w:t>
      </w:r>
    </w:p>
    <w:p>
      <w:pPr>
        <w:pStyle w:val="6"/>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pPr>
        <w:pStyle w:val="6"/>
      </w:pPr>
      <w: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pPr>
        <w:pStyle w:val="6"/>
      </w:pPr>
      <w:r>
        <w:t>（六）负责全区宏观质量管理。拟订并实施质量发展的制度措施。统筹全区质量基础设施建设与应用，会同有关部门组织实施重大工程设备质量监理制度，组织重大质量事故调查，建立并统一实施缺陷产品召回制度，监督管理产品防伪工作。</w:t>
      </w:r>
    </w:p>
    <w:p>
      <w:pPr>
        <w:pStyle w:val="6"/>
      </w:pPr>
      <w:r>
        <w:t>（七）负责全区产品质量安全监督管理。承担区级产品质量安全风险监控、监督抽查工作。组织实施质量分级制度、质量安全追溯制度。实施工业产品生产许可管理。负责棉花等纤维质量监督工作。</w:t>
      </w:r>
    </w:p>
    <w:p>
      <w:pPr>
        <w:pStyle w:val="6"/>
      </w:pPr>
      <w:r>
        <w:t>（八）负责全区特种设备安全监督管理。综合管理特种设备安全监察、监督工作，监督检查高耗能特种设备节能标准和锅炉环境保护标准的执行情况。</w:t>
      </w:r>
    </w:p>
    <w:p>
      <w:pPr>
        <w:pStyle w:val="6"/>
      </w:pPr>
      <w: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pStyle w:val="6"/>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6"/>
      </w:pPr>
      <w:r>
        <w:t>（十一）负责统一管理全区计量工作。推行法定计量单位和国家计量制度，管理计量器具及量值传递和比对工作。规范、监督商品量和市场计量行为。</w:t>
      </w:r>
    </w:p>
    <w:p>
      <w:pPr>
        <w:pStyle w:val="6"/>
      </w:pPr>
      <w:r>
        <w:t>（十二）负责统一管理全区标准化工作。依法承担组织制定区级地方标准，承担区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6"/>
      </w:pPr>
      <w:r>
        <w:t>（十三）负责统一管理全区检验检测工作。推进检验检测机构整合和改革，规范检验检测市场，完善检验检测体系，指导协调检验检测行业发展。</w:t>
      </w:r>
    </w:p>
    <w:p>
      <w:pPr>
        <w:pStyle w:val="6"/>
      </w:pPr>
      <w:r>
        <w:t>（十四）负责统一管理、监督和综合协调全区认证认可工作。组织实施贯彻国家统一的认证认可和合格评定监督管理制度。</w:t>
      </w:r>
    </w:p>
    <w:p>
      <w:pPr>
        <w:pStyle w:val="6"/>
      </w:pPr>
      <w:r>
        <w:t>（十五）负责推进全区知识产权管理工作。拟订加强知识产权强区建设的重大方针政策和发展规划。拟订和实施强化知识产权创造、保护和运用的政策和制度。</w:t>
      </w:r>
    </w:p>
    <w:p>
      <w:pPr>
        <w:pStyle w:val="6"/>
      </w:pPr>
      <w:r>
        <w:t>（十六）负责保护知识产权。拟订严格保护商标、专利、原产地地理标志、集成电路布图设计等知识产权政策并监督实施。按照国家、省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pStyle w:val="6"/>
      </w:pPr>
      <w:r>
        <w:t>（十七）负责促进知识产权运用。拟订知识产权运用和规范交易的政策，促进知识产权转移转化。规范知识产权无形资产评估工作。制定实施知识产权中介服务发展与监管的政策措施。</w:t>
      </w:r>
    </w:p>
    <w:p>
      <w:pPr>
        <w:pStyle w:val="6"/>
      </w:pPr>
      <w:r>
        <w:t>（十八）负责建立知识产权公共服务体系。建设便企利民、互联互通的全区知识产权信息公共服务平台，推动商标、专利等知识产权信息的传播利用。加强知识产权服务机构培育。指导辖区知识产权信息服务工作。</w:t>
      </w:r>
    </w:p>
    <w:p>
      <w:pPr>
        <w:pStyle w:val="6"/>
      </w:pPr>
      <w:r>
        <w:t>（十九）按规定承担国家知识产权局知识产权代办工作任务。组织实施原产地地理标志统一认定制度。</w:t>
      </w:r>
    </w:p>
    <w:p>
      <w:pPr>
        <w:pStyle w:val="6"/>
      </w:pPr>
      <w:r>
        <w:t>（二十）负责全区市场监督管理科技和信息化建设、新闻宣传、对外交流与合作。按规定承担技术性贸易措施有关工作。负责统筹协调涉外知识产权事宜，按规定承担知识产权对外转让审查工作。</w:t>
      </w:r>
    </w:p>
    <w:p>
      <w:pPr>
        <w:pStyle w:val="6"/>
      </w:pPr>
      <w:r>
        <w:t>（二十一）研究拟定药品流通行业发展规划、政策和相关标准，推进药品流通行业结构调整，指导药品流通企业改革，推动现代化药品流通方式的发展。</w:t>
      </w:r>
    </w:p>
    <w:p>
      <w:pPr>
        <w:pStyle w:val="6"/>
      </w:pPr>
      <w:r>
        <w:t>（二十二）负责药品（含中药、民族药，下同）、医疗器械和化妆品监督管理。贯彻执行国家、省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委托和下放的职责。</w:t>
      </w:r>
    </w:p>
    <w:p>
      <w:pPr>
        <w:pStyle w:val="6"/>
      </w:pPr>
      <w:r>
        <w:t>（二十三）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6"/>
      </w:pPr>
      <w:r>
        <w:t>（二十四）推动落实药品、医疗器械和化妆品安全企业主体责任，监督全区地方党政机关履行党政同责，组织实施药品、医疗器械和化妆品安全考核。</w:t>
      </w:r>
    </w:p>
    <w:p>
      <w:pPr>
        <w:pStyle w:val="6"/>
      </w:pPr>
      <w:r>
        <w:t>（二十五）完成区委、区政府交办的其他任务。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曹妃甸区市场监督管理局本级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二、部门预算安排的总体情况</w:t>
      </w:r>
      <w:bookmarkEnd w:id="1"/>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按照预算管理有关规定，目前我省部门预算的编制实行综合预算管理，即全部收入和支出都反映在预算中。曹妃甸区市场监督管理局机关收支包含在部门预算中。</w:t>
      </w:r>
    </w:p>
    <w:p>
      <w:pPr>
        <w:ind w:firstLine="64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、收入说明</w:t>
      </w:r>
    </w:p>
    <w:p>
      <w:pPr>
        <w:ind w:firstLine="640" w:firstLineChars="200"/>
        <w:rPr>
          <w:rFonts w:ascii="仿宋" w:hAnsi="仿宋" w:eastAsia="仿宋" w:cs="宋体"/>
          <w:sz w:val="32"/>
          <w:szCs w:val="32"/>
        </w:rPr>
      </w:pPr>
      <w:r>
        <w:rPr>
          <w:rFonts w:hint="eastAsia" w:ascii="仿宋" w:hAnsi="仿宋" w:eastAsia="仿宋" w:cs="宋体"/>
          <w:sz w:val="32"/>
          <w:szCs w:val="32"/>
        </w:rPr>
        <w:t>本部门当年全部收入，</w:t>
      </w:r>
      <w:r>
        <w:rPr>
          <w:rFonts w:ascii="仿宋" w:hAnsi="仿宋" w:eastAsia="仿宋" w:cs="??_GB2312"/>
          <w:sz w:val="32"/>
          <w:szCs w:val="32"/>
        </w:rPr>
        <w:t>20</w:t>
      </w:r>
      <w:r>
        <w:rPr>
          <w:rFonts w:hint="eastAsia" w:ascii="仿宋" w:hAnsi="仿宋" w:eastAsia="仿宋" w:cs="??_GB2312"/>
          <w:sz w:val="32"/>
          <w:szCs w:val="32"/>
        </w:rPr>
        <w:t>23</w:t>
      </w:r>
      <w:r>
        <w:rPr>
          <w:rFonts w:hint="eastAsia" w:ascii="仿宋" w:hAnsi="仿宋" w:eastAsia="仿宋" w:cs="宋体"/>
          <w:sz w:val="32"/>
          <w:szCs w:val="32"/>
        </w:rPr>
        <w:t>年预算收入</w:t>
      </w:r>
      <w:r>
        <w:rPr>
          <w:rFonts w:hint="eastAsia" w:ascii="仿宋" w:hAnsi="仿宋" w:eastAsia="仿宋" w:cs="??_GB2312"/>
          <w:sz w:val="32"/>
          <w:szCs w:val="32"/>
        </w:rPr>
        <w:t>3657.73万</w:t>
      </w:r>
      <w:r>
        <w:rPr>
          <w:rFonts w:hint="eastAsia" w:ascii="仿宋" w:hAnsi="仿宋" w:eastAsia="仿宋" w:cs="宋体"/>
          <w:sz w:val="32"/>
          <w:szCs w:val="32"/>
        </w:rPr>
        <w:t>元</w:t>
      </w:r>
      <w:r>
        <w:rPr>
          <w:rFonts w:hint="eastAsia" w:ascii="宋体" w:hAnsi="宋体" w:cs="宋体"/>
          <w:sz w:val="32"/>
          <w:szCs w:val="32"/>
        </w:rPr>
        <w:t>,一般公共预算收入</w:t>
      </w:r>
      <w:r>
        <w:rPr>
          <w:rFonts w:hint="eastAsia" w:ascii="仿宋" w:hAnsi="仿宋" w:eastAsia="仿宋" w:cs="??_GB2312"/>
          <w:sz w:val="32"/>
          <w:szCs w:val="32"/>
        </w:rPr>
        <w:t>3657.73</w:t>
      </w:r>
      <w:r>
        <w:rPr>
          <w:rFonts w:hint="eastAsia" w:ascii="宋体" w:hAnsi="宋体" w:cs="宋体"/>
          <w:sz w:val="32"/>
          <w:szCs w:val="32"/>
        </w:rPr>
        <w:t>万元，基金预算拨款收入0万元，</w:t>
      </w:r>
      <w:r>
        <w:rPr>
          <w:rFonts w:hint="eastAsia" w:ascii="仿宋" w:hAnsi="仿宋" w:eastAsia="仿宋" w:cs="宋体"/>
          <w:sz w:val="32"/>
          <w:szCs w:val="32"/>
        </w:rPr>
        <w:t>国有资本经营预算拨款收入0万元，财政专户核拨收入0万元，其他来源收入0万元。</w:t>
      </w:r>
    </w:p>
    <w:p>
      <w:pPr>
        <w:numPr>
          <w:ilvl w:val="0"/>
          <w:numId w:val="1"/>
        </w:numPr>
        <w:ind w:firstLine="640"/>
        <w:rPr>
          <w:rFonts w:ascii="仿宋" w:hAnsi="仿宋" w:eastAsia="仿宋" w:cs="Times New Roman"/>
          <w:sz w:val="32"/>
          <w:szCs w:val="32"/>
        </w:rPr>
      </w:pPr>
      <w:r>
        <w:rPr>
          <w:rFonts w:hint="eastAsia" w:ascii="仿宋" w:hAnsi="仿宋" w:eastAsia="仿宋" w:cs="Times New Roman"/>
          <w:sz w:val="32"/>
          <w:szCs w:val="32"/>
        </w:rPr>
        <w:t>支出说明</w:t>
      </w:r>
    </w:p>
    <w:p>
      <w:pPr>
        <w:ind w:firstLine="640"/>
        <w:rPr>
          <w:rFonts w:ascii="仿宋" w:hAnsi="仿宋" w:eastAsia="仿宋" w:cs="??_GB2312"/>
          <w:sz w:val="32"/>
          <w:szCs w:val="32"/>
        </w:rPr>
      </w:pPr>
      <w:r>
        <w:rPr>
          <w:rFonts w:hint="eastAsia" w:ascii="仿宋" w:hAnsi="仿宋" w:eastAsia="仿宋" w:cs="宋体"/>
          <w:sz w:val="32"/>
          <w:szCs w:val="32"/>
        </w:rPr>
        <w:t>收支预算总表支出栏、基本支出表、项目支出表按经济分类和支出功能分类科目编制，反映唐山市曹妃甸区市场监督管理局年度部门预算中支出预算的总体情况。</w:t>
      </w:r>
      <w:r>
        <w:rPr>
          <w:rFonts w:ascii="仿宋" w:hAnsi="仿宋" w:eastAsia="仿宋" w:cs="??_GB2312"/>
          <w:sz w:val="32"/>
          <w:szCs w:val="32"/>
        </w:rPr>
        <w:t>202</w:t>
      </w:r>
      <w:r>
        <w:rPr>
          <w:rFonts w:hint="eastAsia" w:ascii="仿宋" w:hAnsi="仿宋" w:eastAsia="仿宋" w:cs="??_GB2312"/>
          <w:sz w:val="32"/>
          <w:szCs w:val="32"/>
        </w:rPr>
        <w:t>3年</w:t>
      </w:r>
      <w:r>
        <w:rPr>
          <w:rFonts w:hint="eastAsia" w:ascii="仿宋" w:hAnsi="仿宋" w:eastAsia="仿宋" w:cs="宋体"/>
          <w:sz w:val="32"/>
          <w:szCs w:val="32"/>
        </w:rPr>
        <w:t>部门支出预算为</w:t>
      </w:r>
      <w:r>
        <w:rPr>
          <w:rFonts w:hint="eastAsia" w:ascii="仿宋" w:hAnsi="仿宋" w:eastAsia="仿宋" w:cs="??_GB2312"/>
          <w:sz w:val="32"/>
          <w:szCs w:val="32"/>
        </w:rPr>
        <w:t>3657.73万</w:t>
      </w:r>
      <w:r>
        <w:rPr>
          <w:rFonts w:hint="eastAsia" w:ascii="仿宋" w:hAnsi="仿宋" w:eastAsia="仿宋" w:cs="宋体"/>
          <w:sz w:val="32"/>
          <w:szCs w:val="32"/>
        </w:rPr>
        <w:t>元，其中基本支出3082.65万元，包括人员经费2816.44万元和公用经费266.21万元；项目支出575.08万元，全部为本级支出。</w:t>
      </w:r>
    </w:p>
    <w:p>
      <w:pPr>
        <w:numPr>
          <w:ilvl w:val="0"/>
          <w:numId w:val="1"/>
        </w:numPr>
        <w:ind w:firstLine="640"/>
        <w:rPr>
          <w:rFonts w:ascii="仿宋" w:hAnsi="仿宋" w:eastAsia="仿宋" w:cs="Times New Roman"/>
          <w:sz w:val="32"/>
          <w:szCs w:val="32"/>
        </w:rPr>
      </w:pPr>
      <w:r>
        <w:rPr>
          <w:rFonts w:hint="eastAsia" w:ascii="仿宋" w:hAnsi="仿宋" w:eastAsia="仿宋" w:cs="Times New Roman"/>
          <w:sz w:val="32"/>
          <w:szCs w:val="32"/>
        </w:rPr>
        <w:t>比上年增减情况</w:t>
      </w:r>
    </w:p>
    <w:p>
      <w:pPr>
        <w:ind w:firstLine="630"/>
        <w:rPr>
          <w:rFonts w:ascii="仿宋" w:hAnsi="仿宋" w:eastAsia="仿宋" w:cs="宋体"/>
          <w:sz w:val="32"/>
          <w:szCs w:val="32"/>
        </w:rPr>
      </w:pPr>
      <w:r>
        <w:rPr>
          <w:rFonts w:ascii="仿宋" w:hAnsi="仿宋" w:eastAsia="仿宋" w:cs="??_GB2312"/>
          <w:sz w:val="32"/>
          <w:szCs w:val="32"/>
        </w:rPr>
        <w:t>202</w:t>
      </w:r>
      <w:r>
        <w:rPr>
          <w:rFonts w:hint="eastAsia" w:ascii="仿宋" w:hAnsi="仿宋" w:eastAsia="仿宋" w:cs="??_GB2312"/>
          <w:sz w:val="32"/>
          <w:szCs w:val="32"/>
        </w:rPr>
        <w:t>3</w:t>
      </w:r>
      <w:r>
        <w:rPr>
          <w:rFonts w:hint="eastAsia" w:ascii="仿宋" w:hAnsi="仿宋" w:eastAsia="仿宋" w:cs="宋体"/>
          <w:sz w:val="32"/>
          <w:szCs w:val="32"/>
        </w:rPr>
        <w:t>年部门预算比</w:t>
      </w:r>
      <w:r>
        <w:rPr>
          <w:rFonts w:ascii="仿宋" w:hAnsi="仿宋" w:eastAsia="仿宋" w:cs="??_GB2312"/>
          <w:sz w:val="32"/>
          <w:szCs w:val="32"/>
        </w:rPr>
        <w:t>202</w:t>
      </w:r>
      <w:r>
        <w:rPr>
          <w:rFonts w:hint="eastAsia" w:ascii="仿宋" w:hAnsi="仿宋" w:eastAsia="仿宋" w:cs="??_GB2312"/>
          <w:sz w:val="32"/>
          <w:szCs w:val="32"/>
        </w:rPr>
        <w:t>2</w:t>
      </w:r>
      <w:r>
        <w:rPr>
          <w:rFonts w:hint="eastAsia" w:ascii="仿宋" w:hAnsi="仿宋" w:eastAsia="仿宋" w:cs="宋体"/>
          <w:sz w:val="32"/>
          <w:szCs w:val="32"/>
        </w:rPr>
        <w:t>年预算增加</w:t>
      </w:r>
      <w:r>
        <w:rPr>
          <w:rFonts w:hint="eastAsia" w:ascii="仿宋" w:hAnsi="仿宋" w:eastAsia="仿宋" w:cs="??_GB2312"/>
          <w:sz w:val="32"/>
          <w:szCs w:val="32"/>
        </w:rPr>
        <w:t>560.68</w:t>
      </w:r>
      <w:r>
        <w:rPr>
          <w:rFonts w:hint="eastAsia" w:ascii="仿宋" w:hAnsi="仿宋" w:eastAsia="仿宋" w:cs="宋体"/>
          <w:sz w:val="32"/>
          <w:szCs w:val="32"/>
        </w:rPr>
        <w:t>万元，其中：基本支出增加</w:t>
      </w:r>
      <w:r>
        <w:rPr>
          <w:rFonts w:hint="eastAsia" w:ascii="仿宋" w:hAnsi="仿宋" w:eastAsia="仿宋" w:cs="??_GB2312"/>
          <w:sz w:val="32"/>
          <w:szCs w:val="32"/>
        </w:rPr>
        <w:t>631.01万</w:t>
      </w:r>
      <w:r>
        <w:rPr>
          <w:rFonts w:hint="eastAsia" w:ascii="仿宋" w:hAnsi="仿宋" w:eastAsia="仿宋" w:cs="宋体"/>
          <w:sz w:val="32"/>
          <w:szCs w:val="32"/>
        </w:rPr>
        <w:t>元，主要原因是人员增加所致：公用经费支出减少20.31万元，主要原因是2023年压减公用经费：项目支出</w:t>
      </w:r>
      <w:r>
        <w:rPr>
          <w:rFonts w:hint="eastAsia" w:ascii="仿宋" w:hAnsi="仿宋" w:eastAsia="仿宋" w:cs="??_GB2312"/>
          <w:sz w:val="32"/>
          <w:szCs w:val="32"/>
        </w:rPr>
        <w:t>减少50.02</w:t>
      </w:r>
      <w:r>
        <w:rPr>
          <w:rFonts w:hint="eastAsia" w:ascii="仿宋" w:hAnsi="仿宋" w:eastAsia="仿宋" w:cs="宋体"/>
          <w:sz w:val="32"/>
          <w:szCs w:val="32"/>
        </w:rPr>
        <w:t>万元，主要原因是2023年压减项目经费。</w:t>
      </w:r>
    </w:p>
    <w:p>
      <w:pPr>
        <w:spacing w:line="500" w:lineRule="exact"/>
        <w:ind w:firstLine="560"/>
        <w:jc w:val="left"/>
        <w:rPr>
          <w:rFonts w:ascii="Times New Roman" w:hAnsi="Times New Roman" w:eastAsia="方正仿宋_GBK" w:cs="Times New Roman"/>
          <w:color w:val="000000"/>
          <w:sz w:val="28"/>
        </w:rPr>
      </w:pPr>
    </w:p>
    <w:p>
      <w:pPr>
        <w:pStyle w:val="10"/>
      </w:pPr>
    </w:p>
    <w:p>
      <w:pPr>
        <w:spacing w:before="10" w:after="10" w:line="360" w:lineRule="auto"/>
        <w:ind w:firstLine="640"/>
        <w:jc w:val="left"/>
        <w:outlineLvl w:val="2"/>
      </w:pPr>
      <w:bookmarkStart w:id="2" w:name="_Toc_3_3_0000000012"/>
      <w:r>
        <w:rPr>
          <w:rFonts w:ascii="黑体" w:hAnsi="黑体" w:eastAsia="黑体" w:cs="黑体"/>
          <w:color w:val="000000"/>
          <w:sz w:val="32"/>
        </w:rPr>
        <w:t>三、机关运行经费安排情况</w:t>
      </w:r>
      <w:bookmarkEnd w:id="2"/>
    </w:p>
    <w:p>
      <w:pPr>
        <w:ind w:firstLine="640"/>
        <w:rPr>
          <w:rFonts w:ascii="仿宋" w:hAnsi="仿宋" w:eastAsia="仿宋" w:cs="宋体"/>
          <w:sz w:val="32"/>
          <w:szCs w:val="32"/>
        </w:rPr>
      </w:pPr>
      <w:r>
        <w:rPr>
          <w:rFonts w:hint="eastAsia" w:ascii="仿宋" w:hAnsi="仿宋" w:eastAsia="仿宋" w:cs="宋体"/>
          <w:sz w:val="32"/>
          <w:szCs w:val="32"/>
        </w:rPr>
        <w:t>机关运行经费2023年度安排266.21万元，比2022年的286.52万元减少20.31万元，降低率7.09%，减少因素为公务用车运行经费的压缩所致。机关运行经费主要用于保证机关正常运转的办公费、水费、电费、邮电费、差旅费、福利费、日常维修费、物业管理费、公务车运行维护费等支出。</w:t>
      </w:r>
    </w:p>
    <w:p>
      <w:pPr>
        <w:pStyle w:val="11"/>
      </w:pPr>
    </w:p>
    <w:p>
      <w:pPr>
        <w:numPr>
          <w:ilvl w:val="0"/>
          <w:numId w:val="2"/>
        </w:numPr>
        <w:spacing w:before="10" w:after="10" w:line="360" w:lineRule="auto"/>
        <w:ind w:firstLine="640"/>
        <w:jc w:val="left"/>
        <w:outlineLvl w:val="2"/>
        <w:rPr>
          <w:rFonts w:ascii="黑体" w:hAnsi="黑体" w:eastAsia="黑体" w:cs="黑体"/>
          <w:color w:val="000000"/>
          <w:sz w:val="32"/>
        </w:rPr>
      </w:pPr>
      <w:bookmarkStart w:id="3" w:name="_Toc_3_3_0000000013"/>
      <w:r>
        <w:rPr>
          <w:rFonts w:ascii="黑体" w:hAnsi="黑体" w:eastAsia="黑体" w:cs="黑体"/>
          <w:color w:val="000000"/>
          <w:sz w:val="32"/>
        </w:rPr>
        <w:t>财政拨款“三公”经费预算情况及增减变化原因</w:t>
      </w:r>
      <w:bookmarkEnd w:id="3"/>
    </w:p>
    <w:p>
      <w:pPr>
        <w:ind w:firstLine="640"/>
      </w:pPr>
      <w:r>
        <w:rPr>
          <w:rFonts w:ascii="仿宋" w:hAnsi="仿宋" w:eastAsia="仿宋" w:cs="宋体"/>
          <w:sz w:val="32"/>
          <w:szCs w:val="32"/>
        </w:rPr>
        <w:t>202</w:t>
      </w:r>
      <w:r>
        <w:rPr>
          <w:rFonts w:hint="eastAsia" w:ascii="仿宋" w:hAnsi="仿宋" w:eastAsia="仿宋" w:cs="宋体"/>
          <w:sz w:val="32"/>
          <w:szCs w:val="32"/>
        </w:rPr>
        <w:t>3年，财政拨款</w:t>
      </w:r>
      <w:r>
        <w:rPr>
          <w:rFonts w:ascii="仿宋" w:hAnsi="仿宋" w:eastAsia="仿宋" w:cs="宋体"/>
          <w:sz w:val="32"/>
          <w:szCs w:val="32"/>
        </w:rPr>
        <w:t>“</w:t>
      </w:r>
      <w:r>
        <w:rPr>
          <w:rFonts w:hint="eastAsia" w:ascii="仿宋" w:hAnsi="仿宋" w:eastAsia="仿宋" w:cs="宋体"/>
          <w:sz w:val="32"/>
          <w:szCs w:val="32"/>
        </w:rPr>
        <w:t>三公</w:t>
      </w:r>
      <w:r>
        <w:rPr>
          <w:rFonts w:ascii="仿宋" w:hAnsi="仿宋" w:eastAsia="仿宋" w:cs="宋体"/>
          <w:sz w:val="32"/>
          <w:szCs w:val="32"/>
        </w:rPr>
        <w:t>”</w:t>
      </w:r>
      <w:r>
        <w:rPr>
          <w:rFonts w:hint="eastAsia" w:ascii="仿宋" w:hAnsi="仿宋" w:eastAsia="仿宋" w:cs="宋体"/>
          <w:sz w:val="32"/>
          <w:szCs w:val="32"/>
        </w:rPr>
        <w:t>经费预算安排46.2万元比2022年减少49.8万元，其中：因公出国（境）费安排0万元，没有增减变化；公务用车购置及运维费安排46.2万元比2022年减少49.8万元（公务用车购置费安排0万元，比2022年减少30万元，主要原因今年没有安排购置公务用车；公务用车运行费安排46.2万元，比2022年减少19.8万元，减少原因是单位压缩资金）、公务接待费安排0万元，与2022年度没有增减变化。</w:t>
      </w:r>
    </w:p>
    <w:p>
      <w:pPr>
        <w:spacing w:before="10" w:after="10" w:line="360" w:lineRule="auto"/>
        <w:ind w:firstLine="640"/>
        <w:jc w:val="left"/>
        <w:outlineLvl w:val="2"/>
      </w:pPr>
      <w:bookmarkStart w:id="4" w:name="_Toc_3_3_0000000014"/>
      <w:r>
        <w:rPr>
          <w:rFonts w:ascii="黑体" w:hAnsi="黑体" w:eastAsia="黑体" w:cs="黑体"/>
          <w:color w:val="000000"/>
          <w:sz w:val="32"/>
        </w:rPr>
        <w:t>五、预算绩效信息</w:t>
      </w:r>
      <w:bookmarkEnd w:id="4"/>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pStyle w:val="12"/>
      </w:pPr>
      <w:r>
        <w:t>总体绩效信息：</w:t>
      </w:r>
    </w:p>
    <w:p>
      <w:pPr>
        <w:pStyle w:val="12"/>
      </w:pPr>
      <w:r>
        <w:t>（一）坚持党建引领，不遗余力加强干部队伍和基层基础建设。加强政治建设。强化市场监管系统政治属性，深入学习宣传贯彻党的二十大精神，深读细研</w:t>
      </w:r>
      <w:r>
        <w:rPr>
          <w:rFonts w:hint="eastAsia"/>
          <w:lang w:eastAsia="zh-CN"/>
        </w:rPr>
        <w:t>《习近平谈治国理政》第四卷</w:t>
      </w:r>
      <w:r>
        <w:t>，深刻领会习近平总书记关于市场监管工作的重要论述，不断提升</w:t>
      </w:r>
      <w:r>
        <w:rPr>
          <w:lang w:val="en"/>
        </w:rPr>
        <w:t>政治判断力、政治领悟力、政治执行力</w:t>
      </w:r>
      <w:r>
        <w:t>，忠诚捍卫“两个确立”、坚决做到“两个维护”。加强法治建设。开展行政执法温度提升活动，严格落实《河北省行政执法禁止性清单》，推行说理式和柔性执法；推进法治监管，深化行政执法三项制度“三强化、三提升”活动，开展执法监督检查和案卷评查，推动基层执法能力不断提升。加强能力建设。继续用好“市场监管大讲堂”等专业平台，分层次分领域开展靶向培训。推进市场监管所标准化规范化建设，夯实基层基础，打造标杆示范。加强廉政和作风建设。</w:t>
      </w:r>
      <w:r>
        <w:rPr>
          <w:rFonts w:hint="eastAsia"/>
          <w:lang w:eastAsia="zh-CN"/>
        </w:rPr>
        <w:t>落实全面从严治党</w:t>
      </w:r>
      <w:r>
        <w:t>主体责任，切实履行“一岗双责”，不断推动党风廉政建设与业务工作深度融合。深入开展行风建设三年攻坚专项行动，紧扣提振系统精气神、重塑队伍新形象的要求，切实加强干部职工的行风教育，坚持以案释法、以案释纪，经常性警示提醒，进一步增强干部职工知敬畏、明责任、守底线的思想自觉、行动自觉。深入自查自纠，对照总局提出的八项主要任务，深入查找行风建设的短板弱项，特别是群众身边的微腐败，纠建并举、标本兼治，确保行风建设常态化纵深推进。</w:t>
      </w:r>
    </w:p>
    <w:p>
      <w:pPr>
        <w:pStyle w:val="12"/>
      </w:pPr>
      <w:r>
        <w:t>（二）坚守主责主业，持续用力维护良好市场秩序。一是完善新型监管机制。推进部门内部联合和跨部门联合抽查，强化抽查后处理，提升随机抽查震慑力。严格落实总局严重违法失信名单管理办法等“两规章一规范”，强化信用约束，引导市场主体重塑信用、守法经营。推进智慧监管建设，强化数据资源挖掘分析，促进监管人员应用，不断提升一线数字监管能力。二是强化公平竞争审查。围绕建设全国统一大市场，坚决清理废除妨碍统一市场和公平竞争的政策措施。落实《河北省预防和制止滥用行政权力排除、限制竞争行为工作指引》，推进公平竞争政策实施。深化反不正当竞争执法、重点领域反垄断和打击网络传销执法专项行动，保障公平竞争。加强教育、医疗收费价格检查和夏粮收购价格监管，维护人民群众切身利益。创新广告监测方式，严厉打击各类虚假违法广告。持续开展借重大活动从事违法违规商业宣传整治行动，严肃防范政治性、导向性和违反公序良俗的广告问题发生。加强平台经济常态化监管，针对网络集中促销期，加大网络交易违法信息监测，严厉打击网络交易违法经营行为。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pPr>
        <w:pStyle w:val="12"/>
      </w:pPr>
      <w:r>
        <w:t>（三）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加强疫情防控、生态环保、安全生产等领域安全监管。实化常态化疫情防控，持续推进进口冷链物品和市场排查整治，强化进口非冷链物品常态化疫情防控，严格防疫物资和民生用品价格监管、质量监管，加强药品和新冠病毒疫苗质量管控，高效查处涉疫市场违法行为，及时做好保供稳价相关工作，以全覆盖排查、全方位整治、全过程监管，努力推进疫情可控，努力把疫情影响降到最低。加强生态环境保护工作，全面加强散煤治理管控工作，形成劣质散煤管控长效机制，开展成品油质量专项检查，严查销售假冒伪劣油品等违法违规行为，着力解决人民群众反映强烈的油品质量等突出问题，促进生态环境保护和地方经济的稳定发展。探索采取信息化的技术手段对设立后的市场主体在经营、管理、销售等行为的动态监测与风险识别，不断优化更新监管人员的执法装备，以适应新形势下的安全生产监管要求。</w:t>
      </w:r>
    </w:p>
    <w:p>
      <w:pPr>
        <w:pStyle w:val="12"/>
      </w:pPr>
      <w:r>
        <w:t>（四）坚持胸怀大局，凝心聚力服务经济社会高质量发展。大力支持市场主体发展，积蓄经济发展基本力量，把握新时代高质量发展主题，着力推动市场主体发展量质双升。着力强化市场主体培育。一是持续优化政务服务，全面推行“四办”服务，推进外资企业开办标准化规范化建设，建立健全服务机制，落实好各项便民制度，为市场主体提供高效优质服务。加强12315投诉举报中心建设，完善工作机制，确保高效便捷受理处理消费者诉求。二是严格规范日常监管，全面推行“双随机、一公开”监管，一体推进法治监管、信用监管、智慧监管，实施包容审慎监管，减少对市场主体正常经营的干预。三是坚持公正文明执法，认真推行行政执法“三项制度”，落实好省局行政处罚裁量权规则和66项轻微违法事项免罚清单，让市场监管执法既有力度又有温度。四是继续减轻市场主体负担，加大涉企收费检查，进一步清理和规范中介服务，深入贯彻落实各级一揽子政策，持续开展助企活动，切实破企业之困、解企业之难、化企业之忧。精准发力推进质量强区建设。一是全面推进产品质量提升。加快推动落实《关于全面提升产品质量的若干措施》，全面提升我区产品质量水平。二是不断提升质量服务效能。深入开展质量基础设施“一站式”服务、“计量服务中小企业行”等活动，持续推进小微企业质量管理体系认证提升行动，助力区域产业提档升级。推进对标达标提升行动，实施企业标准“领跑者”制度，强化先进标准引领。三是持续深化知识产权工作。扎实推进知识产权工作，完善知识产权保护体系，开展知识产权保护专项行动。加大高价值专利培育力度，持续推进专利转移转化和知识产权金融创新工作。</w:t>
      </w:r>
    </w:p>
    <w:p>
      <w:pPr>
        <w:pStyle w:val="12"/>
      </w:pPr>
    </w:p>
    <w:p>
      <w:pPr>
        <w:spacing w:line="500" w:lineRule="exact"/>
        <w:ind w:firstLine="560"/>
        <w:jc w:val="left"/>
      </w:pPr>
      <w:r>
        <w:rPr>
          <w:rFonts w:ascii="Times New Roman" w:hAnsi="Times New Roman" w:eastAsia="方正仿宋_GBK" w:cs="Times New Roman"/>
          <w:color w:val="000000"/>
          <w:sz w:val="28"/>
        </w:rPr>
        <w:t>（二）分项绩效目标</w:t>
      </w:r>
    </w:p>
    <w:p>
      <w:pPr>
        <w:pStyle w:val="13"/>
      </w:pPr>
      <w:r>
        <w:t>分项绩效目标：</w:t>
      </w:r>
    </w:p>
    <w:p>
      <w:pPr>
        <w:pStyle w:val="13"/>
      </w:pPr>
      <w:r>
        <w:t>（一）一级伤残抚恤金及时发放</w:t>
      </w:r>
    </w:p>
    <w:p>
      <w:pPr>
        <w:pStyle w:val="13"/>
      </w:pPr>
      <w:r>
        <w:t>绩效目标：根据《</w:t>
      </w:r>
      <w:r>
        <w:rPr>
          <w:rFonts w:hint="eastAsia"/>
        </w:rPr>
        <w:t>2022年度</w:t>
      </w:r>
      <w:r>
        <w:t>关于调整部分优抚对象等人员抚恤和生活补助标准的的通知》的文件规定，按时发放抚恤金，提高伤残人员生活质量。</w:t>
      </w:r>
    </w:p>
    <w:p>
      <w:pPr>
        <w:pStyle w:val="13"/>
      </w:pPr>
      <w:r>
        <w:t>绩效指标：按照国家政策要求提高优抚对象的补助标准，以缓解优抚对象的生活困难的现实需要，按文件要求发放抚恤金11万元。</w:t>
      </w:r>
    </w:p>
    <w:p>
      <w:pPr>
        <w:pStyle w:val="13"/>
      </w:pPr>
      <w:r>
        <w:t>（二）信息化建设管理水平</w:t>
      </w:r>
    </w:p>
    <w:p>
      <w:pPr>
        <w:pStyle w:val="13"/>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pPr>
        <w:pStyle w:val="13"/>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pPr>
        <w:spacing w:line="500" w:lineRule="exact"/>
        <w:ind w:firstLine="560"/>
        <w:jc w:val="left"/>
      </w:pPr>
      <w:r>
        <w:rPr>
          <w:rFonts w:ascii="Times New Roman" w:hAnsi="Times New Roman" w:eastAsia="方正仿宋_GBK" w:cs="Times New Roman"/>
          <w:color w:val="000000"/>
          <w:sz w:val="28"/>
        </w:rPr>
        <w:t>（三）工作保障措施</w:t>
      </w:r>
    </w:p>
    <w:p>
      <w:pPr>
        <w:pStyle w:val="14"/>
      </w:pPr>
      <w:r>
        <w:t>工作保障措施：</w:t>
      </w:r>
    </w:p>
    <w:p>
      <w:pPr>
        <w:pStyle w:val="14"/>
      </w:pPr>
      <w:r>
        <w:t>1、完善制度建设。  制定完善预算绩效管理制度、资金管理办法制度等。加强监督与管理，采取措施保证绩效目标的实现。</w:t>
      </w:r>
    </w:p>
    <w:p>
      <w:pPr>
        <w:pStyle w:val="14"/>
      </w:pPr>
      <w:r>
        <w:t>2、加强支出管理。</w:t>
      </w:r>
    </w:p>
    <w:p>
      <w:pPr>
        <w:pStyle w:val="14"/>
      </w:pPr>
      <w:r>
        <w:t>加强支出管理，通过优化支出结构、编细编实预算、积极争取上级资金，厉行节约、压减支出，加快履行政府采购手续、尽快启动项目、确保各项重点项目支出及时高效。</w:t>
      </w:r>
    </w:p>
    <w:p>
      <w:pPr>
        <w:pStyle w:val="14"/>
      </w:pPr>
      <w:r>
        <w:t>3、加强绩效运行监控。</w:t>
      </w:r>
    </w:p>
    <w:p>
      <w:pPr>
        <w:pStyle w:val="14"/>
      </w:pPr>
      <w:r>
        <w:t>按要求开展绩效运行监控，发现问题及时采取措施，确保绩效目标如期保质实现。</w:t>
      </w:r>
    </w:p>
    <w:p>
      <w:pPr>
        <w:pStyle w:val="14"/>
      </w:pPr>
      <w:r>
        <w:t>4、做好绩效自评。</w:t>
      </w:r>
    </w:p>
    <w:p>
      <w:pPr>
        <w:pStyle w:val="14"/>
      </w:pPr>
      <w:r>
        <w:t>按要求开展上年度部门预算绩效自评和重点评价工作，对评价中发现的问题及时整改，调整优化支出结构，提高财政资金使用效益。</w:t>
      </w:r>
    </w:p>
    <w:p>
      <w:pPr>
        <w:pStyle w:val="14"/>
      </w:pPr>
      <w:r>
        <w:t>5、规范财务资产管理。</w:t>
      </w:r>
    </w:p>
    <w:p>
      <w:pPr>
        <w:pStyle w:val="14"/>
      </w:pPr>
      <w:r>
        <w:t>完善财务管理制度，严格审批程序，加强固定资产登记、使用和报废处置管理，做到支出合理，物尽其用。</w:t>
      </w:r>
    </w:p>
    <w:p>
      <w:pPr>
        <w:pStyle w:val="14"/>
      </w:pPr>
      <w:r>
        <w:t>6、加强内部监督。</w:t>
      </w:r>
    </w:p>
    <w:p>
      <w:pPr>
        <w:pStyle w:val="1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4"/>
      </w:pPr>
      <w:r>
        <w:t>7、加强宣传培训调研等。</w:t>
      </w:r>
    </w:p>
    <w:p>
      <w:pPr>
        <w:pStyle w:val="14"/>
      </w:pPr>
      <w:r>
        <w:t>加强人员培训，提高本部门职工业务素质；加强调研，提出优化财政资金配置、提高资金使用效益的意见；加大宣传力度，强化预算绩效管理意识，促进预算绩效管理水平进一步提升。</w:t>
      </w:r>
    </w:p>
    <w:p>
      <w:pPr>
        <w:ind w:firstLine="640"/>
        <w:jc w:val="left"/>
        <w:rPr>
          <w:rFonts w:eastAsia="方正楷体_GBK"/>
        </w:rPr>
        <w:sectPr>
          <w:headerReference r:id="rId3" w:type="default"/>
          <w:footerReference r:id="rId4" w:type="default"/>
          <w:pgSz w:w="16840" w:h="11900" w:orient="landscape"/>
          <w:pgMar w:top="1361" w:right="1020" w:bottom="1361" w:left="1020" w:header="720" w:footer="720" w:gutter="0"/>
          <w:pgNumType w:start="1"/>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rPr>
        <w:t>（同第三部分）</w:t>
      </w:r>
    </w:p>
    <w:p>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jc w:val="left"/>
        <w:rPr>
          <w:rFonts w:ascii="方正楷体_GBK" w:hAnsi="方正楷体_GBK" w:eastAsia="方正楷体_GBK" w:cs="方正楷体_GBK"/>
          <w:b/>
          <w:color w:val="000000"/>
          <w:sz w:val="32"/>
        </w:rPr>
      </w:pPr>
    </w:p>
    <w:p>
      <w:pPr>
        <w:ind w:firstLine="560"/>
        <w:jc w:val="left"/>
      </w:pPr>
      <w:r>
        <w:rPr>
          <w:rFonts w:ascii="方正仿宋_GBK" w:hAnsi="方正仿宋_GBK" w:eastAsia="方正仿宋_GBK" w:cs="方正仿宋_GBK"/>
          <w:b/>
          <w:color w:val="000000"/>
          <w:sz w:val="28"/>
        </w:rPr>
        <w:t>1、其他市场监督管理事务绩效目标表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rPr>
                <w:rFonts w:hint="default" w:eastAsia="方正书宋_GBK"/>
                <w:lang w:val="en-US" w:eastAsia="zh-CN"/>
              </w:rPr>
            </w:pPr>
            <w:r>
              <w:t>1.目标内容1</w:t>
            </w:r>
            <w:r>
              <w:rPr>
                <w:rFonts w:hint="eastAsia"/>
                <w:lang w:val="en-US" w:eastAsia="zh-CN"/>
              </w:rPr>
              <w:t>用于对辖区内的工商户、个体合伙、独资企业和私营企业的经营行为进行依法监管。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**产品抽检率</w:t>
            </w:r>
          </w:p>
        </w:tc>
        <w:tc>
          <w:tcPr>
            <w:tcW w:w="2835" w:type="dxa"/>
            <w:vAlign w:val="center"/>
          </w:tcPr>
          <w:p>
            <w:pPr>
              <w:pStyle w:val="8"/>
            </w:pPr>
            <w:r>
              <w:t>**产品抽检率</w:t>
            </w:r>
          </w:p>
        </w:tc>
        <w:tc>
          <w:tcPr>
            <w:tcW w:w="2551" w:type="dxa"/>
            <w:vAlign w:val="center"/>
          </w:tcPr>
          <w:p>
            <w:pPr>
              <w:pStyle w:val="8"/>
            </w:pPr>
            <w:r>
              <w:t>≥98%</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抽检合格率</w:t>
            </w:r>
          </w:p>
        </w:tc>
        <w:tc>
          <w:tcPr>
            <w:tcW w:w="2835" w:type="dxa"/>
            <w:vAlign w:val="center"/>
          </w:tcPr>
          <w:p>
            <w:pPr>
              <w:pStyle w:val="8"/>
            </w:pPr>
            <w:r>
              <w:t>抽检合格率</w:t>
            </w:r>
          </w:p>
        </w:tc>
        <w:tc>
          <w:tcPr>
            <w:tcW w:w="2551" w:type="dxa"/>
            <w:vAlign w:val="center"/>
          </w:tcPr>
          <w:p>
            <w:pPr>
              <w:pStyle w:val="8"/>
            </w:pPr>
            <w:r>
              <w:t>≥96%</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监督抽检信息公布</w:t>
            </w:r>
          </w:p>
        </w:tc>
        <w:tc>
          <w:tcPr>
            <w:tcW w:w="2835" w:type="dxa"/>
            <w:vAlign w:val="center"/>
          </w:tcPr>
          <w:p>
            <w:pPr>
              <w:pStyle w:val="8"/>
            </w:pPr>
            <w:r>
              <w:t>监督抽检信息公布</w:t>
            </w:r>
          </w:p>
        </w:tc>
        <w:tc>
          <w:tcPr>
            <w:tcW w:w="2551" w:type="dxa"/>
            <w:vAlign w:val="center"/>
          </w:tcPr>
          <w:p>
            <w:pPr>
              <w:pStyle w:val="8"/>
            </w:pPr>
            <w:r>
              <w:t>≥92%</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项目成本</w:t>
            </w:r>
          </w:p>
        </w:tc>
        <w:tc>
          <w:tcPr>
            <w:tcW w:w="2835" w:type="dxa"/>
            <w:vAlign w:val="center"/>
          </w:tcPr>
          <w:p>
            <w:pPr>
              <w:pStyle w:val="8"/>
            </w:pPr>
            <w:r>
              <w:t>项目成本</w:t>
            </w:r>
          </w:p>
        </w:tc>
        <w:tc>
          <w:tcPr>
            <w:tcW w:w="2551" w:type="dxa"/>
            <w:vAlign w:val="center"/>
          </w:tcPr>
          <w:p>
            <w:pPr>
              <w:pStyle w:val="8"/>
            </w:pPr>
            <w:r>
              <w:t>120万元</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社会效益指标</w:t>
            </w:r>
          </w:p>
        </w:tc>
        <w:tc>
          <w:tcPr>
            <w:tcW w:w="2835" w:type="dxa"/>
            <w:vAlign w:val="center"/>
          </w:tcPr>
          <w:p>
            <w:pPr>
              <w:pStyle w:val="8"/>
            </w:pPr>
            <w:r>
              <w:t>社会影响力</w:t>
            </w:r>
          </w:p>
        </w:tc>
        <w:tc>
          <w:tcPr>
            <w:tcW w:w="2835" w:type="dxa"/>
            <w:vAlign w:val="center"/>
          </w:tcPr>
          <w:p>
            <w:pPr>
              <w:pStyle w:val="8"/>
            </w:pPr>
            <w:r>
              <w:t>社会影响力</w:t>
            </w:r>
          </w:p>
        </w:tc>
        <w:tc>
          <w:tcPr>
            <w:tcW w:w="2551" w:type="dxa"/>
            <w:vAlign w:val="center"/>
          </w:tcPr>
          <w:p>
            <w:pPr>
              <w:pStyle w:val="8"/>
            </w:pPr>
            <w:r>
              <w:t>≥98%</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增强影响力</w:t>
            </w:r>
          </w:p>
        </w:tc>
        <w:tc>
          <w:tcPr>
            <w:tcW w:w="2835" w:type="dxa"/>
            <w:vAlign w:val="center"/>
          </w:tcPr>
          <w:p>
            <w:pPr>
              <w:pStyle w:val="8"/>
            </w:pPr>
            <w:r>
              <w:t>增强影响力</w:t>
            </w:r>
          </w:p>
        </w:tc>
        <w:tc>
          <w:tcPr>
            <w:tcW w:w="2551" w:type="dxa"/>
            <w:vAlign w:val="center"/>
          </w:tcPr>
          <w:p>
            <w:pPr>
              <w:pStyle w:val="8"/>
            </w:pPr>
            <w:r>
              <w:t>≥96%</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经济效益指标</w:t>
            </w:r>
          </w:p>
        </w:tc>
        <w:tc>
          <w:tcPr>
            <w:tcW w:w="2835" w:type="dxa"/>
            <w:vAlign w:val="center"/>
          </w:tcPr>
          <w:p>
            <w:pPr>
              <w:pStyle w:val="8"/>
            </w:pPr>
            <w:r>
              <w:t>经济效益提升%</w:t>
            </w:r>
          </w:p>
        </w:tc>
        <w:tc>
          <w:tcPr>
            <w:tcW w:w="2835" w:type="dxa"/>
            <w:vAlign w:val="center"/>
          </w:tcPr>
          <w:p>
            <w:pPr>
              <w:pStyle w:val="8"/>
            </w:pPr>
            <w:r>
              <w:t>经济效益提升%</w:t>
            </w:r>
          </w:p>
        </w:tc>
        <w:tc>
          <w:tcPr>
            <w:tcW w:w="2551" w:type="dxa"/>
            <w:vAlign w:val="center"/>
          </w:tcPr>
          <w:p>
            <w:pPr>
              <w:pStyle w:val="8"/>
            </w:pPr>
            <w:r>
              <w:t>≥90%</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生态效益指标</w:t>
            </w:r>
          </w:p>
        </w:tc>
        <w:tc>
          <w:tcPr>
            <w:tcW w:w="2835" w:type="dxa"/>
            <w:vAlign w:val="center"/>
          </w:tcPr>
          <w:p>
            <w:pPr>
              <w:pStyle w:val="8"/>
            </w:pPr>
            <w:r>
              <w:t>生态效益指标</w:t>
            </w:r>
          </w:p>
        </w:tc>
        <w:tc>
          <w:tcPr>
            <w:tcW w:w="2835" w:type="dxa"/>
            <w:vAlign w:val="center"/>
          </w:tcPr>
          <w:p>
            <w:pPr>
              <w:pStyle w:val="8"/>
            </w:pPr>
            <w:r>
              <w:t>生态效益指标</w:t>
            </w:r>
          </w:p>
        </w:tc>
        <w:tc>
          <w:tcPr>
            <w:tcW w:w="2551" w:type="dxa"/>
            <w:vAlign w:val="center"/>
          </w:tcPr>
          <w:p>
            <w:pPr>
              <w:pStyle w:val="8"/>
            </w:pPr>
            <w:r>
              <w:t>≥93%</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监督行为及效果满意度</w:t>
            </w:r>
          </w:p>
        </w:tc>
        <w:tc>
          <w:tcPr>
            <w:tcW w:w="2835" w:type="dxa"/>
            <w:vAlign w:val="center"/>
          </w:tcPr>
          <w:p>
            <w:pPr>
              <w:pStyle w:val="8"/>
            </w:pPr>
            <w:r>
              <w:t>监督行为及效果满意度</w:t>
            </w:r>
          </w:p>
        </w:tc>
        <w:tc>
          <w:tcPr>
            <w:tcW w:w="2551" w:type="dxa"/>
            <w:vAlign w:val="center"/>
          </w:tcPr>
          <w:p>
            <w:pPr>
              <w:pStyle w:val="8"/>
            </w:pPr>
            <w:r>
              <w:t>≥100%</w:t>
            </w:r>
          </w:p>
        </w:tc>
        <w:tc>
          <w:tcPr>
            <w:tcW w:w="2268" w:type="dxa"/>
            <w:vAlign w:val="center"/>
          </w:tcPr>
          <w:p>
            <w:pPr>
              <w:pStyle w:val="8"/>
            </w:pPr>
            <w:r>
              <w:t>部门职责、本年度计划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2、食品安全监管绩效目标表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根据《河北省市场监督管理局关于提前谋划明年均衡抽检工作的通知》、《唐山市市场监督管理局关于常态化开展食品安全“你点我检”活动的通知》（唐市监抽检函〔2022〕8号）从事市场监督管理食品监管专项业务方面的专项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**产品抽检率</w:t>
            </w:r>
          </w:p>
        </w:tc>
        <w:tc>
          <w:tcPr>
            <w:tcW w:w="2835" w:type="dxa"/>
            <w:vAlign w:val="center"/>
          </w:tcPr>
          <w:p>
            <w:pPr>
              <w:pStyle w:val="8"/>
            </w:pPr>
            <w:r>
              <w:t>**产品抽检率</w:t>
            </w:r>
          </w:p>
        </w:tc>
        <w:tc>
          <w:tcPr>
            <w:tcW w:w="2551" w:type="dxa"/>
            <w:vAlign w:val="center"/>
          </w:tcPr>
          <w:p>
            <w:pPr>
              <w:pStyle w:val="8"/>
            </w:pPr>
            <w:r>
              <w:t>≥96%</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食品抽检问题发现率</w:t>
            </w:r>
          </w:p>
        </w:tc>
        <w:tc>
          <w:tcPr>
            <w:tcW w:w="2835" w:type="dxa"/>
            <w:vAlign w:val="center"/>
          </w:tcPr>
          <w:p>
            <w:pPr>
              <w:pStyle w:val="8"/>
            </w:pPr>
            <w:r>
              <w:t>食品抽检问题发现率</w:t>
            </w:r>
          </w:p>
        </w:tc>
        <w:tc>
          <w:tcPr>
            <w:tcW w:w="2551" w:type="dxa"/>
            <w:vAlign w:val="center"/>
          </w:tcPr>
          <w:p>
            <w:pPr>
              <w:pStyle w:val="8"/>
            </w:pPr>
            <w:r>
              <w:t>≥93%</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监督抽检信息公布</w:t>
            </w:r>
          </w:p>
        </w:tc>
        <w:tc>
          <w:tcPr>
            <w:tcW w:w="2835" w:type="dxa"/>
            <w:vAlign w:val="center"/>
          </w:tcPr>
          <w:p>
            <w:pPr>
              <w:pStyle w:val="8"/>
            </w:pPr>
            <w:r>
              <w:t>监督抽检信息公布</w:t>
            </w:r>
          </w:p>
        </w:tc>
        <w:tc>
          <w:tcPr>
            <w:tcW w:w="2551" w:type="dxa"/>
            <w:vAlign w:val="center"/>
          </w:tcPr>
          <w:p>
            <w:pPr>
              <w:pStyle w:val="8"/>
            </w:pPr>
            <w:r>
              <w:t>≥98%</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项目成本</w:t>
            </w:r>
          </w:p>
        </w:tc>
        <w:tc>
          <w:tcPr>
            <w:tcW w:w="2835" w:type="dxa"/>
            <w:vAlign w:val="center"/>
          </w:tcPr>
          <w:p>
            <w:pPr>
              <w:pStyle w:val="8"/>
            </w:pPr>
            <w:r>
              <w:t>项目成本</w:t>
            </w:r>
          </w:p>
        </w:tc>
        <w:tc>
          <w:tcPr>
            <w:tcW w:w="2551" w:type="dxa"/>
            <w:vAlign w:val="center"/>
          </w:tcPr>
          <w:p>
            <w:pPr>
              <w:pStyle w:val="8"/>
            </w:pPr>
            <w:r>
              <w:t>104万元</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生态效益指标</w:t>
            </w:r>
          </w:p>
        </w:tc>
        <w:tc>
          <w:tcPr>
            <w:tcW w:w="2835" w:type="dxa"/>
            <w:vAlign w:val="center"/>
          </w:tcPr>
          <w:p>
            <w:pPr>
              <w:pStyle w:val="8"/>
            </w:pPr>
            <w:r>
              <w:t>生态影响</w:t>
            </w:r>
          </w:p>
        </w:tc>
        <w:tc>
          <w:tcPr>
            <w:tcW w:w="2835" w:type="dxa"/>
            <w:vAlign w:val="center"/>
          </w:tcPr>
          <w:p>
            <w:pPr>
              <w:pStyle w:val="8"/>
            </w:pPr>
            <w:r>
              <w:t>生态影响</w:t>
            </w:r>
          </w:p>
        </w:tc>
        <w:tc>
          <w:tcPr>
            <w:tcW w:w="2551" w:type="dxa"/>
            <w:vAlign w:val="center"/>
          </w:tcPr>
          <w:p>
            <w:pPr>
              <w:pStyle w:val="8"/>
            </w:pPr>
            <w:r>
              <w:t>≥90%</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增强影响力</w:t>
            </w:r>
          </w:p>
        </w:tc>
        <w:tc>
          <w:tcPr>
            <w:tcW w:w="2835" w:type="dxa"/>
            <w:vAlign w:val="center"/>
          </w:tcPr>
          <w:p>
            <w:pPr>
              <w:pStyle w:val="8"/>
            </w:pPr>
            <w:r>
              <w:t>增强影响力</w:t>
            </w:r>
          </w:p>
        </w:tc>
        <w:tc>
          <w:tcPr>
            <w:tcW w:w="2551" w:type="dxa"/>
            <w:vAlign w:val="center"/>
          </w:tcPr>
          <w:p>
            <w:pPr>
              <w:pStyle w:val="8"/>
            </w:pPr>
            <w:r>
              <w:t>≥93%</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经济效益指标</w:t>
            </w:r>
          </w:p>
        </w:tc>
        <w:tc>
          <w:tcPr>
            <w:tcW w:w="2835" w:type="dxa"/>
            <w:vAlign w:val="center"/>
          </w:tcPr>
          <w:p>
            <w:pPr>
              <w:pStyle w:val="8"/>
            </w:pPr>
            <w:r>
              <w:t>经济效益提升%</w:t>
            </w:r>
          </w:p>
        </w:tc>
        <w:tc>
          <w:tcPr>
            <w:tcW w:w="2835" w:type="dxa"/>
            <w:vAlign w:val="center"/>
          </w:tcPr>
          <w:p>
            <w:pPr>
              <w:pStyle w:val="8"/>
            </w:pPr>
            <w:r>
              <w:t>经济效益提升%</w:t>
            </w:r>
          </w:p>
        </w:tc>
        <w:tc>
          <w:tcPr>
            <w:tcW w:w="2551" w:type="dxa"/>
            <w:vAlign w:val="center"/>
          </w:tcPr>
          <w:p>
            <w:pPr>
              <w:pStyle w:val="8"/>
            </w:pPr>
            <w:r>
              <w:t>≥92%</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生态效益指标</w:t>
            </w:r>
          </w:p>
        </w:tc>
        <w:tc>
          <w:tcPr>
            <w:tcW w:w="2835" w:type="dxa"/>
            <w:vAlign w:val="center"/>
          </w:tcPr>
          <w:p>
            <w:pPr>
              <w:pStyle w:val="8"/>
            </w:pPr>
            <w:r>
              <w:t>生态效益指标</w:t>
            </w:r>
          </w:p>
        </w:tc>
        <w:tc>
          <w:tcPr>
            <w:tcW w:w="2835" w:type="dxa"/>
            <w:vAlign w:val="center"/>
          </w:tcPr>
          <w:p>
            <w:pPr>
              <w:pStyle w:val="8"/>
            </w:pPr>
            <w:r>
              <w:t>生态效益指标</w:t>
            </w:r>
          </w:p>
        </w:tc>
        <w:tc>
          <w:tcPr>
            <w:tcW w:w="2551" w:type="dxa"/>
            <w:vAlign w:val="center"/>
          </w:tcPr>
          <w:p>
            <w:pPr>
              <w:pStyle w:val="8"/>
            </w:pPr>
            <w:r>
              <w:t>≥90%</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监督行为及效果满意度</w:t>
            </w:r>
          </w:p>
        </w:tc>
        <w:tc>
          <w:tcPr>
            <w:tcW w:w="2835" w:type="dxa"/>
            <w:vAlign w:val="center"/>
          </w:tcPr>
          <w:p>
            <w:pPr>
              <w:pStyle w:val="8"/>
            </w:pPr>
            <w:r>
              <w:t>监督行为及效果满意度</w:t>
            </w:r>
          </w:p>
        </w:tc>
        <w:tc>
          <w:tcPr>
            <w:tcW w:w="2551" w:type="dxa"/>
            <w:vAlign w:val="center"/>
          </w:tcPr>
          <w:p>
            <w:pPr>
              <w:pStyle w:val="8"/>
            </w:pPr>
            <w:r>
              <w:t>≥100%</w:t>
            </w:r>
          </w:p>
        </w:tc>
        <w:tc>
          <w:tcPr>
            <w:tcW w:w="2268" w:type="dxa"/>
            <w:vAlign w:val="center"/>
          </w:tcPr>
          <w:p>
            <w:pPr>
              <w:pStyle w:val="8"/>
            </w:pPr>
            <w:r>
              <w:t>本年度计划、部门职责</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3、市场秩序执法绩效目标表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1.加强行政制式服装和标志管理，推进规范文明城执法；依法规范和维护全县各类市场经营秩序，监督管理市场交易行为和网络商品交易及有关服务的行为。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监督检查次数</w:t>
            </w:r>
          </w:p>
        </w:tc>
        <w:tc>
          <w:tcPr>
            <w:tcW w:w="2835" w:type="dxa"/>
            <w:vAlign w:val="center"/>
          </w:tcPr>
          <w:p>
            <w:pPr>
              <w:pStyle w:val="8"/>
            </w:pPr>
            <w:r>
              <w:t>监督检查次数</w:t>
            </w:r>
          </w:p>
        </w:tc>
        <w:tc>
          <w:tcPr>
            <w:tcW w:w="2551" w:type="dxa"/>
            <w:vAlign w:val="center"/>
          </w:tcPr>
          <w:p>
            <w:pPr>
              <w:pStyle w:val="8"/>
            </w:pPr>
            <w:r>
              <w:t>≥99次</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监督质量</w:t>
            </w:r>
          </w:p>
        </w:tc>
        <w:tc>
          <w:tcPr>
            <w:tcW w:w="2835" w:type="dxa"/>
            <w:vAlign w:val="center"/>
          </w:tcPr>
          <w:p>
            <w:pPr>
              <w:pStyle w:val="8"/>
            </w:pPr>
            <w:r>
              <w:t>监督质量</w:t>
            </w:r>
          </w:p>
        </w:tc>
        <w:tc>
          <w:tcPr>
            <w:tcW w:w="2551" w:type="dxa"/>
            <w:vAlign w:val="center"/>
          </w:tcPr>
          <w:p>
            <w:pPr>
              <w:pStyle w:val="8"/>
            </w:pPr>
            <w:r>
              <w:t>≥96%</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时效指标</w:t>
            </w:r>
          </w:p>
        </w:tc>
        <w:tc>
          <w:tcPr>
            <w:tcW w:w="2835" w:type="dxa"/>
            <w:vAlign w:val="center"/>
          </w:tcPr>
          <w:p>
            <w:pPr>
              <w:pStyle w:val="8"/>
            </w:pPr>
            <w:r>
              <w:t>时效指标</w:t>
            </w:r>
          </w:p>
        </w:tc>
        <w:tc>
          <w:tcPr>
            <w:tcW w:w="2551" w:type="dxa"/>
            <w:vAlign w:val="center"/>
          </w:tcPr>
          <w:p>
            <w:pPr>
              <w:pStyle w:val="8"/>
            </w:pPr>
            <w:r>
              <w:t>≥92%</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资金成本</w:t>
            </w:r>
          </w:p>
        </w:tc>
        <w:tc>
          <w:tcPr>
            <w:tcW w:w="2835" w:type="dxa"/>
            <w:vAlign w:val="center"/>
          </w:tcPr>
          <w:p>
            <w:pPr>
              <w:pStyle w:val="8"/>
            </w:pPr>
            <w:r>
              <w:t>资金成本</w:t>
            </w:r>
          </w:p>
        </w:tc>
        <w:tc>
          <w:tcPr>
            <w:tcW w:w="2551" w:type="dxa"/>
            <w:vAlign w:val="center"/>
          </w:tcPr>
          <w:p>
            <w:pPr>
              <w:pStyle w:val="8"/>
            </w:pPr>
            <w:r>
              <w:t>144万元</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社会效益指标</w:t>
            </w:r>
          </w:p>
        </w:tc>
        <w:tc>
          <w:tcPr>
            <w:tcW w:w="2835" w:type="dxa"/>
            <w:vAlign w:val="center"/>
          </w:tcPr>
          <w:p>
            <w:pPr>
              <w:pStyle w:val="8"/>
            </w:pPr>
            <w:r>
              <w:t>对社会发展带来的影响</w:t>
            </w:r>
          </w:p>
          <w:p>
            <w:pPr>
              <w:pStyle w:val="8"/>
            </w:pPr>
          </w:p>
          <w:p>
            <w:pPr>
              <w:pStyle w:val="8"/>
            </w:pPr>
          </w:p>
        </w:tc>
        <w:tc>
          <w:tcPr>
            <w:tcW w:w="2835" w:type="dxa"/>
            <w:vAlign w:val="center"/>
          </w:tcPr>
          <w:p>
            <w:pPr>
              <w:pStyle w:val="8"/>
            </w:pPr>
            <w:r>
              <w:t>对社会发展带来的影响</w:t>
            </w:r>
          </w:p>
          <w:p>
            <w:pPr>
              <w:pStyle w:val="8"/>
            </w:pPr>
          </w:p>
          <w:p>
            <w:pPr>
              <w:pStyle w:val="8"/>
            </w:pPr>
          </w:p>
        </w:tc>
        <w:tc>
          <w:tcPr>
            <w:tcW w:w="2551" w:type="dxa"/>
            <w:vAlign w:val="center"/>
          </w:tcPr>
          <w:p>
            <w:pPr>
              <w:pStyle w:val="8"/>
            </w:pPr>
            <w:r>
              <w:t>≥96%</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对监管企业发展</w:t>
            </w:r>
          </w:p>
          <w:p>
            <w:pPr>
              <w:pStyle w:val="8"/>
            </w:pPr>
          </w:p>
          <w:p>
            <w:pPr>
              <w:pStyle w:val="8"/>
            </w:pPr>
            <w:r>
              <w:t>的影响</w:t>
            </w:r>
          </w:p>
        </w:tc>
        <w:tc>
          <w:tcPr>
            <w:tcW w:w="2835" w:type="dxa"/>
            <w:vAlign w:val="center"/>
          </w:tcPr>
          <w:p>
            <w:pPr>
              <w:pStyle w:val="8"/>
            </w:pPr>
            <w:r>
              <w:t>对监管企业发展</w:t>
            </w:r>
          </w:p>
          <w:p>
            <w:pPr>
              <w:pStyle w:val="8"/>
            </w:pPr>
          </w:p>
          <w:p>
            <w:pPr>
              <w:pStyle w:val="8"/>
            </w:pPr>
            <w:r>
              <w:t>的影响</w:t>
            </w:r>
          </w:p>
        </w:tc>
        <w:tc>
          <w:tcPr>
            <w:tcW w:w="2551" w:type="dxa"/>
            <w:vAlign w:val="center"/>
          </w:tcPr>
          <w:p>
            <w:pPr>
              <w:pStyle w:val="8"/>
            </w:pPr>
            <w:r>
              <w:t>≥98%</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经济效益指标</w:t>
            </w:r>
          </w:p>
        </w:tc>
        <w:tc>
          <w:tcPr>
            <w:tcW w:w="2835" w:type="dxa"/>
            <w:vAlign w:val="center"/>
          </w:tcPr>
          <w:p>
            <w:pPr>
              <w:pStyle w:val="8"/>
            </w:pPr>
            <w:r>
              <w:t>经济效益提升%</w:t>
            </w:r>
          </w:p>
        </w:tc>
        <w:tc>
          <w:tcPr>
            <w:tcW w:w="2835" w:type="dxa"/>
            <w:vAlign w:val="center"/>
          </w:tcPr>
          <w:p>
            <w:pPr>
              <w:pStyle w:val="8"/>
            </w:pPr>
            <w:r>
              <w:t>经济效益提升%</w:t>
            </w:r>
          </w:p>
        </w:tc>
        <w:tc>
          <w:tcPr>
            <w:tcW w:w="2551" w:type="dxa"/>
            <w:vAlign w:val="center"/>
          </w:tcPr>
          <w:p>
            <w:pPr>
              <w:pStyle w:val="8"/>
            </w:pPr>
            <w:r>
              <w:t>≥90%</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生态效益指标</w:t>
            </w:r>
          </w:p>
        </w:tc>
        <w:tc>
          <w:tcPr>
            <w:tcW w:w="2835" w:type="dxa"/>
            <w:vAlign w:val="center"/>
          </w:tcPr>
          <w:p>
            <w:pPr>
              <w:pStyle w:val="8"/>
            </w:pPr>
            <w:r>
              <w:t>生态效益指标</w:t>
            </w:r>
          </w:p>
        </w:tc>
        <w:tc>
          <w:tcPr>
            <w:tcW w:w="2835" w:type="dxa"/>
            <w:vAlign w:val="center"/>
          </w:tcPr>
          <w:p>
            <w:pPr>
              <w:pStyle w:val="8"/>
            </w:pPr>
            <w:r>
              <w:t>生态效益指标</w:t>
            </w:r>
          </w:p>
        </w:tc>
        <w:tc>
          <w:tcPr>
            <w:tcW w:w="2551" w:type="dxa"/>
            <w:vAlign w:val="center"/>
          </w:tcPr>
          <w:p>
            <w:pPr>
              <w:pStyle w:val="8"/>
            </w:pPr>
            <w:r>
              <w:t>≥92%</w:t>
            </w:r>
          </w:p>
        </w:tc>
        <w:tc>
          <w:tcPr>
            <w:tcW w:w="2268" w:type="dxa"/>
            <w:vAlign w:val="center"/>
          </w:tcPr>
          <w:p>
            <w:pPr>
              <w:pStyle w:val="8"/>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监督行为及效果满意度</w:t>
            </w:r>
          </w:p>
        </w:tc>
        <w:tc>
          <w:tcPr>
            <w:tcW w:w="2835" w:type="dxa"/>
            <w:vAlign w:val="center"/>
          </w:tcPr>
          <w:p>
            <w:pPr>
              <w:pStyle w:val="8"/>
            </w:pPr>
            <w:r>
              <w:t>监督行为及效果满意度</w:t>
            </w:r>
          </w:p>
        </w:tc>
        <w:tc>
          <w:tcPr>
            <w:tcW w:w="2551" w:type="dxa"/>
            <w:vAlign w:val="center"/>
          </w:tcPr>
          <w:p>
            <w:pPr>
              <w:pStyle w:val="8"/>
            </w:pPr>
            <w:r>
              <w:t>≥100%</w:t>
            </w:r>
          </w:p>
        </w:tc>
        <w:tc>
          <w:tcPr>
            <w:tcW w:w="2268" w:type="dxa"/>
            <w:vAlign w:val="center"/>
          </w:tcPr>
          <w:p>
            <w:pPr>
              <w:pStyle w:val="8"/>
            </w:pPr>
            <w:r>
              <w:t>部门职责、本年度计划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4、市场主体管理绩效目标表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1.从事市场监督管理专项业务方面的专项支出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抽查成果报告数量</w:t>
            </w:r>
          </w:p>
        </w:tc>
        <w:tc>
          <w:tcPr>
            <w:tcW w:w="2835" w:type="dxa"/>
            <w:vAlign w:val="center"/>
          </w:tcPr>
          <w:p>
            <w:pPr>
              <w:pStyle w:val="8"/>
            </w:pPr>
            <w:r>
              <w:t>抽查成果报告数量</w:t>
            </w:r>
          </w:p>
        </w:tc>
        <w:tc>
          <w:tcPr>
            <w:tcW w:w="2551" w:type="dxa"/>
            <w:vAlign w:val="center"/>
          </w:tcPr>
          <w:p>
            <w:pPr>
              <w:pStyle w:val="8"/>
            </w:pPr>
            <w:r>
              <w:t>≥92%</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质量合格情况</w:t>
            </w:r>
          </w:p>
        </w:tc>
        <w:tc>
          <w:tcPr>
            <w:tcW w:w="2835" w:type="dxa"/>
            <w:vAlign w:val="center"/>
          </w:tcPr>
          <w:p>
            <w:pPr>
              <w:pStyle w:val="8"/>
            </w:pPr>
            <w:r>
              <w:t>质量合格情况</w:t>
            </w:r>
          </w:p>
        </w:tc>
        <w:tc>
          <w:tcPr>
            <w:tcW w:w="2551" w:type="dxa"/>
            <w:vAlign w:val="center"/>
          </w:tcPr>
          <w:p>
            <w:pPr>
              <w:pStyle w:val="8"/>
            </w:pPr>
            <w:r>
              <w:t>≥96%</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时效指标</w:t>
            </w:r>
          </w:p>
        </w:tc>
        <w:tc>
          <w:tcPr>
            <w:tcW w:w="2835" w:type="dxa"/>
            <w:vAlign w:val="center"/>
          </w:tcPr>
          <w:p>
            <w:pPr>
              <w:pStyle w:val="8"/>
            </w:pPr>
            <w:r>
              <w:t>时效指标</w:t>
            </w:r>
          </w:p>
        </w:tc>
        <w:tc>
          <w:tcPr>
            <w:tcW w:w="2551" w:type="dxa"/>
            <w:vAlign w:val="center"/>
          </w:tcPr>
          <w:p>
            <w:pPr>
              <w:pStyle w:val="8"/>
            </w:pPr>
            <w:r>
              <w:t>≥93%</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项目成本</w:t>
            </w:r>
          </w:p>
        </w:tc>
        <w:tc>
          <w:tcPr>
            <w:tcW w:w="2835" w:type="dxa"/>
            <w:vAlign w:val="center"/>
          </w:tcPr>
          <w:p>
            <w:pPr>
              <w:pStyle w:val="8"/>
            </w:pPr>
            <w:r>
              <w:t>项目成本</w:t>
            </w:r>
          </w:p>
        </w:tc>
        <w:tc>
          <w:tcPr>
            <w:tcW w:w="2551" w:type="dxa"/>
            <w:vAlign w:val="center"/>
          </w:tcPr>
          <w:p>
            <w:pPr>
              <w:pStyle w:val="8"/>
            </w:pPr>
            <w:r>
              <w:t>81.8万元</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经济效益指标</w:t>
            </w:r>
          </w:p>
        </w:tc>
        <w:tc>
          <w:tcPr>
            <w:tcW w:w="2835" w:type="dxa"/>
            <w:vAlign w:val="center"/>
          </w:tcPr>
          <w:p>
            <w:pPr>
              <w:pStyle w:val="8"/>
            </w:pPr>
            <w:r>
              <w:t>经济发展</w:t>
            </w:r>
          </w:p>
        </w:tc>
        <w:tc>
          <w:tcPr>
            <w:tcW w:w="2835" w:type="dxa"/>
            <w:vAlign w:val="center"/>
          </w:tcPr>
          <w:p>
            <w:pPr>
              <w:pStyle w:val="8"/>
            </w:pPr>
            <w:r>
              <w:t>经济发展</w:t>
            </w:r>
          </w:p>
        </w:tc>
        <w:tc>
          <w:tcPr>
            <w:tcW w:w="2551" w:type="dxa"/>
            <w:vAlign w:val="center"/>
          </w:tcPr>
          <w:p>
            <w:pPr>
              <w:pStyle w:val="8"/>
            </w:pPr>
            <w:r>
              <w:t>≥90%</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社会效益指标</w:t>
            </w:r>
          </w:p>
        </w:tc>
        <w:tc>
          <w:tcPr>
            <w:tcW w:w="2835" w:type="dxa"/>
            <w:vAlign w:val="center"/>
          </w:tcPr>
          <w:p>
            <w:pPr>
              <w:pStyle w:val="8"/>
            </w:pPr>
            <w:r>
              <w:t>对社会发展带来的影响</w:t>
            </w:r>
          </w:p>
          <w:p>
            <w:pPr>
              <w:pStyle w:val="8"/>
            </w:pPr>
          </w:p>
          <w:p>
            <w:pPr>
              <w:pStyle w:val="8"/>
            </w:pPr>
          </w:p>
        </w:tc>
        <w:tc>
          <w:tcPr>
            <w:tcW w:w="2835" w:type="dxa"/>
            <w:vAlign w:val="center"/>
          </w:tcPr>
          <w:p>
            <w:pPr>
              <w:pStyle w:val="8"/>
            </w:pPr>
            <w:r>
              <w:t>对社会发展带来的影响</w:t>
            </w:r>
          </w:p>
          <w:p>
            <w:pPr>
              <w:pStyle w:val="8"/>
            </w:pPr>
          </w:p>
          <w:p>
            <w:pPr>
              <w:pStyle w:val="8"/>
            </w:pPr>
          </w:p>
        </w:tc>
        <w:tc>
          <w:tcPr>
            <w:tcW w:w="2551" w:type="dxa"/>
            <w:vAlign w:val="center"/>
          </w:tcPr>
          <w:p>
            <w:pPr>
              <w:pStyle w:val="8"/>
            </w:pPr>
            <w:r>
              <w:t>≥96%</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对监管企业发展</w:t>
            </w:r>
          </w:p>
          <w:p>
            <w:pPr>
              <w:pStyle w:val="8"/>
            </w:pPr>
          </w:p>
          <w:p>
            <w:pPr>
              <w:pStyle w:val="8"/>
            </w:pPr>
            <w:r>
              <w:t>的影响</w:t>
            </w:r>
          </w:p>
        </w:tc>
        <w:tc>
          <w:tcPr>
            <w:tcW w:w="2835" w:type="dxa"/>
            <w:vAlign w:val="center"/>
          </w:tcPr>
          <w:p>
            <w:pPr>
              <w:pStyle w:val="8"/>
            </w:pPr>
            <w:r>
              <w:t>对监管企业发展</w:t>
            </w:r>
          </w:p>
          <w:p>
            <w:pPr>
              <w:pStyle w:val="8"/>
            </w:pPr>
          </w:p>
          <w:p>
            <w:pPr>
              <w:pStyle w:val="8"/>
            </w:pPr>
            <w:r>
              <w:t>的影响</w:t>
            </w:r>
          </w:p>
        </w:tc>
        <w:tc>
          <w:tcPr>
            <w:tcW w:w="2551" w:type="dxa"/>
            <w:vAlign w:val="center"/>
          </w:tcPr>
          <w:p>
            <w:pPr>
              <w:pStyle w:val="8"/>
            </w:pPr>
            <w:r>
              <w:t>≥98%</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生态效益指标</w:t>
            </w:r>
          </w:p>
        </w:tc>
        <w:tc>
          <w:tcPr>
            <w:tcW w:w="2835" w:type="dxa"/>
            <w:vAlign w:val="center"/>
          </w:tcPr>
          <w:p>
            <w:pPr>
              <w:pStyle w:val="8"/>
            </w:pPr>
            <w:r>
              <w:t>生态效益指标</w:t>
            </w:r>
          </w:p>
        </w:tc>
        <w:tc>
          <w:tcPr>
            <w:tcW w:w="2835" w:type="dxa"/>
            <w:vAlign w:val="center"/>
          </w:tcPr>
          <w:p>
            <w:pPr>
              <w:pStyle w:val="8"/>
            </w:pPr>
            <w:r>
              <w:t>生态效益指标</w:t>
            </w:r>
          </w:p>
        </w:tc>
        <w:tc>
          <w:tcPr>
            <w:tcW w:w="2551" w:type="dxa"/>
            <w:vAlign w:val="center"/>
          </w:tcPr>
          <w:p>
            <w:pPr>
              <w:pStyle w:val="8"/>
            </w:pPr>
            <w:r>
              <w:t>≥90%</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监督行为及效果满意度</w:t>
            </w:r>
          </w:p>
        </w:tc>
        <w:tc>
          <w:tcPr>
            <w:tcW w:w="2835" w:type="dxa"/>
            <w:vAlign w:val="center"/>
          </w:tcPr>
          <w:p>
            <w:pPr>
              <w:pStyle w:val="8"/>
            </w:pPr>
            <w:r>
              <w:t>监督行为及效果满意度</w:t>
            </w:r>
          </w:p>
        </w:tc>
        <w:tc>
          <w:tcPr>
            <w:tcW w:w="2551" w:type="dxa"/>
            <w:vAlign w:val="center"/>
          </w:tcPr>
          <w:p>
            <w:pPr>
              <w:pStyle w:val="8"/>
            </w:pPr>
            <w:r>
              <w:t>≥100%</w:t>
            </w:r>
          </w:p>
        </w:tc>
        <w:tc>
          <w:tcPr>
            <w:tcW w:w="2268" w:type="dxa"/>
            <w:vAlign w:val="center"/>
          </w:tcPr>
          <w:p>
            <w:pPr>
              <w:pStyle w:val="8"/>
            </w:pPr>
            <w:r>
              <w:t>本年度计划、部门职责</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5、特种设备安全监察专家库购买服务费绩效目标表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pPr>
            <w:r>
              <w:t>1.为加强全区特种设备安全监察，严防安全生产事故“零”发生，需组建我区特种设备安全检查专家库，并通过政府购买专业检查机构服务方式协助开展全区特种设备安全监察执法及隐患排查活动。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年度实际完成报检检验的特种设备</w:t>
            </w:r>
          </w:p>
        </w:tc>
        <w:tc>
          <w:tcPr>
            <w:tcW w:w="2835" w:type="dxa"/>
            <w:vAlign w:val="center"/>
          </w:tcPr>
          <w:p>
            <w:pPr>
              <w:pStyle w:val="8"/>
            </w:pPr>
            <w:r>
              <w:t>年度实际完成报检检验的特种设备数量占全年报检检验特种设备数量比例</w:t>
            </w:r>
          </w:p>
        </w:tc>
        <w:tc>
          <w:tcPr>
            <w:tcW w:w="2551" w:type="dxa"/>
            <w:vAlign w:val="center"/>
          </w:tcPr>
          <w:p>
            <w:pPr>
              <w:pStyle w:val="8"/>
            </w:pPr>
            <w:r>
              <w:t>≥100次</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发生特种设备安全事故的次数（反</w:t>
            </w:r>
          </w:p>
        </w:tc>
        <w:tc>
          <w:tcPr>
            <w:tcW w:w="2835" w:type="dxa"/>
            <w:vAlign w:val="center"/>
          </w:tcPr>
          <w:p>
            <w:pPr>
              <w:pStyle w:val="8"/>
            </w:pPr>
            <w:r>
              <w:t>发生特种设备安全事故的次数（反向指标）</w:t>
            </w:r>
          </w:p>
        </w:tc>
        <w:tc>
          <w:tcPr>
            <w:tcW w:w="2551" w:type="dxa"/>
            <w:vAlign w:val="center"/>
          </w:tcPr>
          <w:p>
            <w:pPr>
              <w:pStyle w:val="8"/>
            </w:pPr>
            <w:r>
              <w:t>零事故</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工作完成的时效</w:t>
            </w:r>
          </w:p>
          <w:p>
            <w:pPr>
              <w:pStyle w:val="8"/>
            </w:pPr>
          </w:p>
          <w:p>
            <w:pPr>
              <w:pStyle w:val="8"/>
            </w:pPr>
          </w:p>
          <w:p>
            <w:pPr>
              <w:pStyle w:val="8"/>
            </w:pPr>
          </w:p>
          <w:p>
            <w:pPr>
              <w:pStyle w:val="8"/>
            </w:pPr>
          </w:p>
        </w:tc>
        <w:tc>
          <w:tcPr>
            <w:tcW w:w="2835" w:type="dxa"/>
            <w:vAlign w:val="center"/>
          </w:tcPr>
          <w:p>
            <w:pPr>
              <w:pStyle w:val="8"/>
            </w:pPr>
            <w:r>
              <w:t>工作完成的时效</w:t>
            </w:r>
          </w:p>
          <w:p>
            <w:pPr>
              <w:pStyle w:val="8"/>
            </w:pPr>
          </w:p>
          <w:p>
            <w:pPr>
              <w:pStyle w:val="8"/>
            </w:pPr>
          </w:p>
          <w:p>
            <w:pPr>
              <w:pStyle w:val="8"/>
            </w:pPr>
          </w:p>
          <w:p>
            <w:pPr>
              <w:pStyle w:val="8"/>
            </w:pPr>
          </w:p>
        </w:tc>
        <w:tc>
          <w:tcPr>
            <w:tcW w:w="2551" w:type="dxa"/>
            <w:vAlign w:val="center"/>
          </w:tcPr>
          <w:p>
            <w:pPr>
              <w:pStyle w:val="8"/>
            </w:pPr>
            <w:r>
              <w:t>预计年底完成</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项目成本</w:t>
            </w:r>
          </w:p>
        </w:tc>
        <w:tc>
          <w:tcPr>
            <w:tcW w:w="2835" w:type="dxa"/>
            <w:vAlign w:val="center"/>
          </w:tcPr>
          <w:p>
            <w:pPr>
              <w:pStyle w:val="8"/>
            </w:pPr>
            <w:r>
              <w:t>项目成本</w:t>
            </w:r>
          </w:p>
        </w:tc>
        <w:tc>
          <w:tcPr>
            <w:tcW w:w="2551" w:type="dxa"/>
            <w:vAlign w:val="center"/>
          </w:tcPr>
          <w:p>
            <w:pPr>
              <w:pStyle w:val="8"/>
            </w:pPr>
            <w:r>
              <w:t>75万元</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社会效益指标</w:t>
            </w:r>
          </w:p>
        </w:tc>
        <w:tc>
          <w:tcPr>
            <w:tcW w:w="2835" w:type="dxa"/>
            <w:vAlign w:val="center"/>
          </w:tcPr>
          <w:p>
            <w:pPr>
              <w:pStyle w:val="8"/>
            </w:pPr>
            <w:r>
              <w:t>促进特种设备检验检测事业发展</w:t>
            </w:r>
          </w:p>
        </w:tc>
        <w:tc>
          <w:tcPr>
            <w:tcW w:w="2835" w:type="dxa"/>
            <w:vAlign w:val="center"/>
          </w:tcPr>
          <w:p>
            <w:pPr>
              <w:pStyle w:val="8"/>
            </w:pPr>
            <w:r>
              <w:t>促进特种设备检验检测事业发展</w:t>
            </w:r>
          </w:p>
        </w:tc>
        <w:tc>
          <w:tcPr>
            <w:tcW w:w="2551" w:type="dxa"/>
            <w:vAlign w:val="center"/>
          </w:tcPr>
          <w:p>
            <w:pPr>
              <w:pStyle w:val="8"/>
            </w:pPr>
            <w:r>
              <w:t>≥100%</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影响期限</w:t>
            </w:r>
          </w:p>
        </w:tc>
        <w:tc>
          <w:tcPr>
            <w:tcW w:w="2835" w:type="dxa"/>
            <w:vAlign w:val="center"/>
          </w:tcPr>
          <w:p>
            <w:pPr>
              <w:pStyle w:val="8"/>
            </w:pPr>
            <w:r>
              <w:t>影响期限</w:t>
            </w:r>
          </w:p>
        </w:tc>
        <w:tc>
          <w:tcPr>
            <w:tcW w:w="2551" w:type="dxa"/>
            <w:vAlign w:val="center"/>
          </w:tcPr>
          <w:p>
            <w:pPr>
              <w:pStyle w:val="8"/>
            </w:pPr>
            <w:r>
              <w:t>≥100%</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经济效益指标</w:t>
            </w:r>
          </w:p>
        </w:tc>
        <w:tc>
          <w:tcPr>
            <w:tcW w:w="2835" w:type="dxa"/>
            <w:vAlign w:val="center"/>
          </w:tcPr>
          <w:p>
            <w:pPr>
              <w:pStyle w:val="8"/>
            </w:pPr>
            <w:r>
              <w:t>设备使用率（%）</w:t>
            </w:r>
          </w:p>
        </w:tc>
        <w:tc>
          <w:tcPr>
            <w:tcW w:w="2835" w:type="dxa"/>
            <w:vAlign w:val="center"/>
          </w:tcPr>
          <w:p>
            <w:pPr>
              <w:pStyle w:val="8"/>
            </w:pPr>
            <w:r>
              <w:t>设备使用率（%）</w:t>
            </w:r>
          </w:p>
        </w:tc>
        <w:tc>
          <w:tcPr>
            <w:tcW w:w="2551" w:type="dxa"/>
            <w:vAlign w:val="center"/>
          </w:tcPr>
          <w:p>
            <w:pPr>
              <w:pStyle w:val="8"/>
            </w:pPr>
            <w:r>
              <w:t>≥96%</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社会效益指标</w:t>
            </w:r>
          </w:p>
        </w:tc>
        <w:tc>
          <w:tcPr>
            <w:tcW w:w="2835" w:type="dxa"/>
            <w:vAlign w:val="center"/>
          </w:tcPr>
          <w:p>
            <w:pPr>
              <w:pStyle w:val="8"/>
            </w:pPr>
            <w:r>
              <w:t>设备运行良好</w:t>
            </w:r>
          </w:p>
        </w:tc>
        <w:tc>
          <w:tcPr>
            <w:tcW w:w="2835" w:type="dxa"/>
            <w:vAlign w:val="center"/>
          </w:tcPr>
          <w:p>
            <w:pPr>
              <w:pStyle w:val="8"/>
            </w:pPr>
            <w:r>
              <w:t>设备运行良好</w:t>
            </w:r>
          </w:p>
        </w:tc>
        <w:tc>
          <w:tcPr>
            <w:tcW w:w="2551" w:type="dxa"/>
            <w:vAlign w:val="center"/>
          </w:tcPr>
          <w:p>
            <w:pPr>
              <w:pStyle w:val="8"/>
            </w:pPr>
            <w:r>
              <w:t>≥94%</w:t>
            </w:r>
          </w:p>
        </w:tc>
        <w:tc>
          <w:tcPr>
            <w:tcW w:w="2268" w:type="dxa"/>
            <w:vAlign w:val="center"/>
          </w:tcPr>
          <w:p>
            <w:pPr>
              <w:pStyle w:val="8"/>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监督行为及效果满意度</w:t>
            </w:r>
          </w:p>
        </w:tc>
        <w:tc>
          <w:tcPr>
            <w:tcW w:w="2835" w:type="dxa"/>
            <w:vAlign w:val="center"/>
          </w:tcPr>
          <w:p>
            <w:pPr>
              <w:pStyle w:val="8"/>
            </w:pPr>
            <w:r>
              <w:t>监督行为及效果满意度</w:t>
            </w:r>
          </w:p>
        </w:tc>
        <w:tc>
          <w:tcPr>
            <w:tcW w:w="2551" w:type="dxa"/>
            <w:vAlign w:val="center"/>
          </w:tcPr>
          <w:p>
            <w:pPr>
              <w:pStyle w:val="8"/>
            </w:pPr>
            <w:r>
              <w:t>≥100%</w:t>
            </w:r>
          </w:p>
        </w:tc>
        <w:tc>
          <w:tcPr>
            <w:tcW w:w="2268" w:type="dxa"/>
            <w:vAlign w:val="center"/>
          </w:tcPr>
          <w:p>
            <w:pPr>
              <w:pStyle w:val="8"/>
            </w:pPr>
            <w:r>
              <w:t>本年度计划、部门职责</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rPr>
                <w:rFonts w:hint="default" w:eastAsia="方正书宋_GBK"/>
                <w:lang w:val="en-US" w:eastAsia="zh-CN"/>
              </w:rPr>
            </w:pPr>
            <w:r>
              <w:t>1.目标内容1</w:t>
            </w:r>
            <w:r>
              <w:rPr>
                <w:rFonts w:hint="eastAsia"/>
                <w:lang w:val="en-US" w:eastAsia="zh-CN"/>
              </w:rPr>
              <w:t>用于购置固定资产及网络信息化建设。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信息化运行</w:t>
            </w:r>
          </w:p>
        </w:tc>
        <w:tc>
          <w:tcPr>
            <w:tcW w:w="2835" w:type="dxa"/>
            <w:vAlign w:val="center"/>
          </w:tcPr>
          <w:p>
            <w:pPr>
              <w:pStyle w:val="8"/>
            </w:pPr>
            <w:r>
              <w:t>信息化运行</w:t>
            </w:r>
          </w:p>
        </w:tc>
        <w:tc>
          <w:tcPr>
            <w:tcW w:w="2551" w:type="dxa"/>
            <w:vAlign w:val="center"/>
          </w:tcPr>
          <w:p>
            <w:pPr>
              <w:pStyle w:val="8"/>
            </w:pPr>
            <w:r>
              <w:t>≥91%</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信息系统建设维护工作完成率</w:t>
            </w:r>
          </w:p>
        </w:tc>
        <w:tc>
          <w:tcPr>
            <w:tcW w:w="2835" w:type="dxa"/>
            <w:vAlign w:val="center"/>
          </w:tcPr>
          <w:p>
            <w:pPr>
              <w:pStyle w:val="8"/>
            </w:pPr>
            <w:r>
              <w:t>信息系统建设维护工作完成率</w:t>
            </w:r>
          </w:p>
        </w:tc>
        <w:tc>
          <w:tcPr>
            <w:tcW w:w="2551" w:type="dxa"/>
            <w:vAlign w:val="center"/>
          </w:tcPr>
          <w:p>
            <w:pPr>
              <w:pStyle w:val="8"/>
            </w:pPr>
            <w:r>
              <w:t>≥93%</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工作完成的时效</w:t>
            </w:r>
          </w:p>
          <w:p>
            <w:pPr>
              <w:pStyle w:val="8"/>
            </w:pPr>
          </w:p>
          <w:p>
            <w:pPr>
              <w:pStyle w:val="8"/>
            </w:pPr>
          </w:p>
          <w:p>
            <w:pPr>
              <w:pStyle w:val="8"/>
            </w:pPr>
          </w:p>
          <w:p>
            <w:pPr>
              <w:pStyle w:val="8"/>
            </w:pPr>
          </w:p>
        </w:tc>
        <w:tc>
          <w:tcPr>
            <w:tcW w:w="2835" w:type="dxa"/>
            <w:vAlign w:val="center"/>
          </w:tcPr>
          <w:p>
            <w:pPr>
              <w:pStyle w:val="8"/>
            </w:pPr>
            <w:r>
              <w:t>工作完成的时效</w:t>
            </w:r>
          </w:p>
          <w:p>
            <w:pPr>
              <w:pStyle w:val="8"/>
            </w:pPr>
          </w:p>
          <w:p>
            <w:pPr>
              <w:pStyle w:val="8"/>
            </w:pPr>
          </w:p>
          <w:p>
            <w:pPr>
              <w:pStyle w:val="8"/>
            </w:pPr>
          </w:p>
          <w:p>
            <w:pPr>
              <w:pStyle w:val="8"/>
            </w:pPr>
          </w:p>
        </w:tc>
        <w:tc>
          <w:tcPr>
            <w:tcW w:w="2551" w:type="dxa"/>
            <w:vAlign w:val="center"/>
          </w:tcPr>
          <w:p>
            <w:pPr>
              <w:pStyle w:val="8"/>
            </w:pPr>
            <w:r>
              <w:t>≥96%</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项目实际成本</w:t>
            </w:r>
          </w:p>
        </w:tc>
        <w:tc>
          <w:tcPr>
            <w:tcW w:w="2835" w:type="dxa"/>
            <w:vAlign w:val="center"/>
          </w:tcPr>
          <w:p>
            <w:pPr>
              <w:pStyle w:val="8"/>
            </w:pPr>
            <w:r>
              <w:t>项目实际成本</w:t>
            </w:r>
          </w:p>
        </w:tc>
        <w:tc>
          <w:tcPr>
            <w:tcW w:w="2551" w:type="dxa"/>
            <w:vAlign w:val="center"/>
          </w:tcPr>
          <w:p>
            <w:pPr>
              <w:pStyle w:val="8"/>
            </w:pPr>
            <w:r>
              <w:t>39万元</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经济效益指标</w:t>
            </w:r>
          </w:p>
        </w:tc>
        <w:tc>
          <w:tcPr>
            <w:tcW w:w="2835" w:type="dxa"/>
            <w:vAlign w:val="center"/>
          </w:tcPr>
          <w:p>
            <w:pPr>
              <w:pStyle w:val="8"/>
            </w:pPr>
            <w:r>
              <w:t>对社会经济发展的影响</w:t>
            </w:r>
          </w:p>
        </w:tc>
        <w:tc>
          <w:tcPr>
            <w:tcW w:w="2835" w:type="dxa"/>
            <w:vAlign w:val="center"/>
          </w:tcPr>
          <w:p>
            <w:pPr>
              <w:pStyle w:val="8"/>
            </w:pPr>
            <w:r>
              <w:t>对社会经济发展的影响</w:t>
            </w:r>
          </w:p>
        </w:tc>
        <w:tc>
          <w:tcPr>
            <w:tcW w:w="2551" w:type="dxa"/>
            <w:vAlign w:val="center"/>
          </w:tcPr>
          <w:p>
            <w:pPr>
              <w:pStyle w:val="8"/>
            </w:pPr>
            <w:r>
              <w:t>≥96%</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社会效益指标</w:t>
            </w:r>
          </w:p>
        </w:tc>
        <w:tc>
          <w:tcPr>
            <w:tcW w:w="2835" w:type="dxa"/>
            <w:vAlign w:val="center"/>
          </w:tcPr>
          <w:p>
            <w:pPr>
              <w:pStyle w:val="8"/>
            </w:pPr>
            <w:r>
              <w:t>社会影响力</w:t>
            </w:r>
          </w:p>
        </w:tc>
        <w:tc>
          <w:tcPr>
            <w:tcW w:w="2835" w:type="dxa"/>
            <w:vAlign w:val="center"/>
          </w:tcPr>
          <w:p>
            <w:pPr>
              <w:pStyle w:val="8"/>
            </w:pPr>
            <w:r>
              <w:t>社会影响力</w:t>
            </w:r>
          </w:p>
        </w:tc>
        <w:tc>
          <w:tcPr>
            <w:tcW w:w="2551" w:type="dxa"/>
            <w:vAlign w:val="center"/>
          </w:tcPr>
          <w:p>
            <w:pPr>
              <w:pStyle w:val="8"/>
            </w:pPr>
            <w:r>
              <w:t>≥98%</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生态效益指标</w:t>
            </w:r>
          </w:p>
        </w:tc>
        <w:tc>
          <w:tcPr>
            <w:tcW w:w="2835" w:type="dxa"/>
            <w:vAlign w:val="center"/>
          </w:tcPr>
          <w:p>
            <w:pPr>
              <w:pStyle w:val="8"/>
            </w:pPr>
            <w:r>
              <w:t>生态效益指标</w:t>
            </w:r>
          </w:p>
        </w:tc>
        <w:tc>
          <w:tcPr>
            <w:tcW w:w="2835" w:type="dxa"/>
            <w:vAlign w:val="center"/>
          </w:tcPr>
          <w:p>
            <w:pPr>
              <w:pStyle w:val="8"/>
            </w:pPr>
            <w:r>
              <w:t>生态效益指标</w:t>
            </w:r>
          </w:p>
        </w:tc>
        <w:tc>
          <w:tcPr>
            <w:tcW w:w="2551" w:type="dxa"/>
            <w:vAlign w:val="center"/>
          </w:tcPr>
          <w:p>
            <w:pPr>
              <w:pStyle w:val="8"/>
            </w:pPr>
            <w:r>
              <w:t>≥92%</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影响期限</w:t>
            </w:r>
          </w:p>
        </w:tc>
        <w:tc>
          <w:tcPr>
            <w:tcW w:w="2835" w:type="dxa"/>
            <w:vAlign w:val="center"/>
          </w:tcPr>
          <w:p>
            <w:pPr>
              <w:pStyle w:val="8"/>
            </w:pPr>
            <w:r>
              <w:t>影响期限</w:t>
            </w:r>
          </w:p>
        </w:tc>
        <w:tc>
          <w:tcPr>
            <w:tcW w:w="2551" w:type="dxa"/>
            <w:vAlign w:val="center"/>
          </w:tcPr>
          <w:p>
            <w:pPr>
              <w:pStyle w:val="8"/>
            </w:pPr>
            <w:r>
              <w:t>≥90%</w:t>
            </w:r>
          </w:p>
        </w:tc>
        <w:tc>
          <w:tcPr>
            <w:tcW w:w="2268" w:type="dxa"/>
            <w:vAlign w:val="center"/>
          </w:tcPr>
          <w:p>
            <w:pPr>
              <w:pStyle w:val="8"/>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满意度</w:t>
            </w:r>
          </w:p>
        </w:tc>
        <w:tc>
          <w:tcPr>
            <w:tcW w:w="2835" w:type="dxa"/>
            <w:vAlign w:val="center"/>
          </w:tcPr>
          <w:p>
            <w:pPr>
              <w:pStyle w:val="8"/>
            </w:pPr>
            <w:r>
              <w:t>满意度</w:t>
            </w:r>
          </w:p>
        </w:tc>
        <w:tc>
          <w:tcPr>
            <w:tcW w:w="2551" w:type="dxa"/>
            <w:vAlign w:val="center"/>
          </w:tcPr>
          <w:p>
            <w:pPr>
              <w:pStyle w:val="8"/>
            </w:pPr>
            <w:r>
              <w:t>≥100%</w:t>
            </w:r>
          </w:p>
        </w:tc>
        <w:tc>
          <w:tcPr>
            <w:tcW w:w="2268" w:type="dxa"/>
            <w:vAlign w:val="center"/>
          </w:tcPr>
          <w:p>
            <w:pPr>
              <w:pStyle w:val="8"/>
            </w:pPr>
            <w:r>
              <w:t>部门职责、年度计划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7、一级伤残抚恤金绩效目标表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8"/>
              <w:rPr>
                <w:rFonts w:hint="default" w:eastAsia="方正书宋_GBK"/>
                <w:lang w:val="en-US" w:eastAsia="zh-CN"/>
              </w:rPr>
            </w:pPr>
            <w:r>
              <w:t>1.目标内容1</w:t>
            </w:r>
            <w:r>
              <w:rPr>
                <w:rFonts w:hint="eastAsia"/>
                <w:lang w:val="en-US" w:eastAsia="zh-CN"/>
              </w:rPr>
              <w:t>用于对我单位残疾人员生活补助。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8"/>
            </w:pPr>
            <w:r>
              <w:t>数量指标</w:t>
            </w:r>
          </w:p>
        </w:tc>
        <w:tc>
          <w:tcPr>
            <w:tcW w:w="2835" w:type="dxa"/>
            <w:vAlign w:val="center"/>
          </w:tcPr>
          <w:p>
            <w:pPr>
              <w:pStyle w:val="8"/>
            </w:pPr>
            <w:r>
              <w:t>发放补助人数</w:t>
            </w:r>
          </w:p>
        </w:tc>
        <w:tc>
          <w:tcPr>
            <w:tcW w:w="2835" w:type="dxa"/>
            <w:vAlign w:val="center"/>
          </w:tcPr>
          <w:p>
            <w:pPr>
              <w:pStyle w:val="8"/>
            </w:pPr>
            <w:r>
              <w:t>发放补助人数</w:t>
            </w:r>
          </w:p>
        </w:tc>
        <w:tc>
          <w:tcPr>
            <w:tcW w:w="2551" w:type="dxa"/>
            <w:vAlign w:val="center"/>
          </w:tcPr>
          <w:p>
            <w:pPr>
              <w:pStyle w:val="8"/>
            </w:pPr>
            <w:r>
              <w:t>1次</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质量指标</w:t>
            </w:r>
          </w:p>
        </w:tc>
        <w:tc>
          <w:tcPr>
            <w:tcW w:w="2835" w:type="dxa"/>
            <w:vAlign w:val="center"/>
          </w:tcPr>
          <w:p>
            <w:pPr>
              <w:pStyle w:val="8"/>
            </w:pPr>
            <w:r>
              <w:t>补助发放效率</w:t>
            </w:r>
          </w:p>
        </w:tc>
        <w:tc>
          <w:tcPr>
            <w:tcW w:w="2835" w:type="dxa"/>
            <w:vAlign w:val="center"/>
          </w:tcPr>
          <w:p>
            <w:pPr>
              <w:pStyle w:val="8"/>
            </w:pPr>
            <w:r>
              <w:t>补助发放效率</w:t>
            </w:r>
          </w:p>
        </w:tc>
        <w:tc>
          <w:tcPr>
            <w:tcW w:w="2551" w:type="dxa"/>
            <w:vAlign w:val="center"/>
          </w:tcPr>
          <w:p>
            <w:pPr>
              <w:pStyle w:val="8"/>
            </w:pPr>
            <w:r>
              <w:t>≥90%</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时效指标</w:t>
            </w:r>
          </w:p>
        </w:tc>
        <w:tc>
          <w:tcPr>
            <w:tcW w:w="2835" w:type="dxa"/>
            <w:vAlign w:val="center"/>
          </w:tcPr>
          <w:p>
            <w:pPr>
              <w:pStyle w:val="8"/>
            </w:pPr>
            <w:r>
              <w:t>工作完成的时效</w:t>
            </w:r>
          </w:p>
          <w:p>
            <w:pPr>
              <w:pStyle w:val="8"/>
            </w:pPr>
          </w:p>
          <w:p>
            <w:pPr>
              <w:pStyle w:val="8"/>
            </w:pPr>
          </w:p>
          <w:p>
            <w:pPr>
              <w:pStyle w:val="8"/>
            </w:pPr>
          </w:p>
          <w:p>
            <w:pPr>
              <w:pStyle w:val="8"/>
            </w:pPr>
          </w:p>
        </w:tc>
        <w:tc>
          <w:tcPr>
            <w:tcW w:w="2835" w:type="dxa"/>
            <w:vAlign w:val="center"/>
          </w:tcPr>
          <w:p>
            <w:pPr>
              <w:pStyle w:val="8"/>
            </w:pPr>
            <w:r>
              <w:t>工作完成的时效</w:t>
            </w:r>
          </w:p>
          <w:p>
            <w:pPr>
              <w:pStyle w:val="8"/>
            </w:pPr>
          </w:p>
          <w:p>
            <w:pPr>
              <w:pStyle w:val="8"/>
            </w:pPr>
          </w:p>
          <w:p>
            <w:pPr>
              <w:pStyle w:val="8"/>
            </w:pPr>
          </w:p>
          <w:p>
            <w:pPr>
              <w:pStyle w:val="8"/>
            </w:pPr>
          </w:p>
        </w:tc>
        <w:tc>
          <w:tcPr>
            <w:tcW w:w="2551" w:type="dxa"/>
            <w:vAlign w:val="center"/>
          </w:tcPr>
          <w:p>
            <w:pPr>
              <w:pStyle w:val="8"/>
            </w:pPr>
            <w:r>
              <w:t>≥92%</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成本指标</w:t>
            </w:r>
          </w:p>
        </w:tc>
        <w:tc>
          <w:tcPr>
            <w:tcW w:w="2835" w:type="dxa"/>
            <w:vAlign w:val="center"/>
          </w:tcPr>
          <w:p>
            <w:pPr>
              <w:pStyle w:val="8"/>
            </w:pPr>
            <w:r>
              <w:t>项目实际成本</w:t>
            </w:r>
          </w:p>
        </w:tc>
        <w:tc>
          <w:tcPr>
            <w:tcW w:w="2835" w:type="dxa"/>
            <w:vAlign w:val="center"/>
          </w:tcPr>
          <w:p>
            <w:pPr>
              <w:pStyle w:val="8"/>
            </w:pPr>
            <w:r>
              <w:t>项目实际成本</w:t>
            </w:r>
          </w:p>
        </w:tc>
        <w:tc>
          <w:tcPr>
            <w:tcW w:w="2551" w:type="dxa"/>
            <w:vAlign w:val="center"/>
          </w:tcPr>
          <w:p>
            <w:pPr>
              <w:pStyle w:val="8"/>
            </w:pPr>
            <w:r>
              <w:t>11.28万元</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8"/>
            </w:pPr>
            <w:r>
              <w:t>经济效益指标</w:t>
            </w:r>
          </w:p>
        </w:tc>
        <w:tc>
          <w:tcPr>
            <w:tcW w:w="2835" w:type="dxa"/>
            <w:vAlign w:val="center"/>
          </w:tcPr>
          <w:p>
            <w:pPr>
              <w:pStyle w:val="8"/>
            </w:pPr>
            <w:r>
              <w:t>经济效益提升%</w:t>
            </w:r>
          </w:p>
        </w:tc>
        <w:tc>
          <w:tcPr>
            <w:tcW w:w="2835" w:type="dxa"/>
            <w:vAlign w:val="center"/>
          </w:tcPr>
          <w:p>
            <w:pPr>
              <w:pStyle w:val="8"/>
            </w:pPr>
            <w:r>
              <w:t>经济效益提升%</w:t>
            </w:r>
          </w:p>
        </w:tc>
        <w:tc>
          <w:tcPr>
            <w:tcW w:w="2551" w:type="dxa"/>
            <w:vAlign w:val="center"/>
          </w:tcPr>
          <w:p>
            <w:pPr>
              <w:pStyle w:val="8"/>
            </w:pPr>
            <w:r>
              <w:t>≥93%</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社会效益指标</w:t>
            </w:r>
          </w:p>
        </w:tc>
        <w:tc>
          <w:tcPr>
            <w:tcW w:w="2835" w:type="dxa"/>
            <w:vAlign w:val="center"/>
          </w:tcPr>
          <w:p>
            <w:pPr>
              <w:pStyle w:val="8"/>
            </w:pPr>
            <w:r>
              <w:t>对社会发展带来的影响</w:t>
            </w:r>
          </w:p>
          <w:p>
            <w:pPr>
              <w:pStyle w:val="8"/>
            </w:pPr>
          </w:p>
          <w:p>
            <w:pPr>
              <w:pStyle w:val="8"/>
            </w:pPr>
          </w:p>
        </w:tc>
        <w:tc>
          <w:tcPr>
            <w:tcW w:w="2835" w:type="dxa"/>
            <w:vAlign w:val="center"/>
          </w:tcPr>
          <w:p>
            <w:pPr>
              <w:pStyle w:val="8"/>
            </w:pPr>
            <w:r>
              <w:t>对社会发展带来的影响</w:t>
            </w:r>
          </w:p>
          <w:p>
            <w:pPr>
              <w:pStyle w:val="8"/>
            </w:pPr>
          </w:p>
          <w:p>
            <w:pPr>
              <w:pStyle w:val="8"/>
            </w:pPr>
          </w:p>
        </w:tc>
        <w:tc>
          <w:tcPr>
            <w:tcW w:w="2551" w:type="dxa"/>
            <w:vAlign w:val="center"/>
          </w:tcPr>
          <w:p>
            <w:pPr>
              <w:pStyle w:val="8"/>
            </w:pPr>
            <w:r>
              <w:t>≥96%</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生态效益指标</w:t>
            </w:r>
          </w:p>
        </w:tc>
        <w:tc>
          <w:tcPr>
            <w:tcW w:w="2835" w:type="dxa"/>
            <w:vAlign w:val="center"/>
          </w:tcPr>
          <w:p>
            <w:pPr>
              <w:pStyle w:val="8"/>
            </w:pPr>
            <w:r>
              <w:t>生态效益指标</w:t>
            </w:r>
          </w:p>
        </w:tc>
        <w:tc>
          <w:tcPr>
            <w:tcW w:w="2835" w:type="dxa"/>
            <w:vAlign w:val="center"/>
          </w:tcPr>
          <w:p>
            <w:pPr>
              <w:pStyle w:val="8"/>
            </w:pPr>
            <w:r>
              <w:t>生态效益指标</w:t>
            </w:r>
          </w:p>
        </w:tc>
        <w:tc>
          <w:tcPr>
            <w:tcW w:w="2551" w:type="dxa"/>
            <w:vAlign w:val="center"/>
          </w:tcPr>
          <w:p>
            <w:pPr>
              <w:pStyle w:val="8"/>
            </w:pPr>
            <w:r>
              <w:t>≥90%</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8"/>
            </w:pPr>
            <w:r>
              <w:t>可持续影响指标</w:t>
            </w:r>
          </w:p>
        </w:tc>
        <w:tc>
          <w:tcPr>
            <w:tcW w:w="2835" w:type="dxa"/>
            <w:vAlign w:val="center"/>
          </w:tcPr>
          <w:p>
            <w:pPr>
              <w:pStyle w:val="8"/>
            </w:pPr>
            <w:r>
              <w:t>影响期限</w:t>
            </w:r>
          </w:p>
        </w:tc>
        <w:tc>
          <w:tcPr>
            <w:tcW w:w="2835" w:type="dxa"/>
            <w:vAlign w:val="center"/>
          </w:tcPr>
          <w:p>
            <w:pPr>
              <w:pStyle w:val="8"/>
            </w:pPr>
            <w:r>
              <w:t>影响期限</w:t>
            </w:r>
          </w:p>
        </w:tc>
        <w:tc>
          <w:tcPr>
            <w:tcW w:w="2551" w:type="dxa"/>
            <w:vAlign w:val="center"/>
          </w:tcPr>
          <w:p>
            <w:pPr>
              <w:pStyle w:val="8"/>
            </w:pPr>
            <w:r>
              <w:t>≥95%</w:t>
            </w:r>
          </w:p>
        </w:tc>
        <w:tc>
          <w:tcPr>
            <w:tcW w:w="2268" w:type="dxa"/>
            <w:vAlign w:val="center"/>
          </w:tcPr>
          <w:p>
            <w:pPr>
              <w:pStyle w:val="8"/>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8"/>
            </w:pPr>
            <w:r>
              <w:t>服务对象满意度指标</w:t>
            </w:r>
          </w:p>
        </w:tc>
        <w:tc>
          <w:tcPr>
            <w:tcW w:w="2835" w:type="dxa"/>
            <w:vAlign w:val="center"/>
          </w:tcPr>
          <w:p>
            <w:pPr>
              <w:pStyle w:val="8"/>
            </w:pPr>
            <w:r>
              <w:t>服务对象满意度</w:t>
            </w:r>
          </w:p>
        </w:tc>
        <w:tc>
          <w:tcPr>
            <w:tcW w:w="2835" w:type="dxa"/>
            <w:vAlign w:val="center"/>
          </w:tcPr>
          <w:p>
            <w:pPr>
              <w:pStyle w:val="8"/>
            </w:pPr>
            <w:r>
              <w:t>服务对象满意度</w:t>
            </w:r>
          </w:p>
        </w:tc>
        <w:tc>
          <w:tcPr>
            <w:tcW w:w="2551" w:type="dxa"/>
            <w:vAlign w:val="center"/>
          </w:tcPr>
          <w:p>
            <w:pPr>
              <w:pStyle w:val="8"/>
            </w:pPr>
            <w:r>
              <w:t>≥100%</w:t>
            </w:r>
          </w:p>
        </w:tc>
        <w:tc>
          <w:tcPr>
            <w:tcW w:w="2268" w:type="dxa"/>
            <w:vAlign w:val="center"/>
          </w:tcPr>
          <w:p>
            <w:pPr>
              <w:pStyle w:val="8"/>
            </w:pPr>
            <w:r>
              <w:t>年度计划、抚恤金标准</w:t>
            </w:r>
          </w:p>
        </w:tc>
      </w:tr>
    </w:tbl>
    <w:p>
      <w:pPr>
        <w:sectPr>
          <w:pgSz w:w="16840" w:h="11900" w:orient="landscape"/>
          <w:pgMar w:top="1361" w:right="1020" w:bottom="1134" w:left="1020" w:header="720" w:footer="720" w:gutter="0"/>
          <w:cols w:space="720" w:num="1"/>
        </w:sectPr>
      </w:pPr>
    </w:p>
    <w:p>
      <w:pPr>
        <w:spacing w:before="10" w:after="10"/>
        <w:ind w:firstLine="640"/>
        <w:jc w:val="left"/>
        <w:outlineLvl w:val="2"/>
      </w:pPr>
      <w:bookmarkStart w:id="5" w:name="_Toc_3_3_0000000015"/>
      <w:r>
        <w:rPr>
          <w:rFonts w:ascii="黑体" w:hAnsi="黑体" w:eastAsia="黑体" w:cs="黑体"/>
          <w:color w:val="000000"/>
          <w:sz w:val="32"/>
        </w:rPr>
        <w:t>六、政府采购预算情况</w:t>
      </w:r>
      <w:bookmarkEnd w:id="5"/>
    </w:p>
    <w:p>
      <w:pPr>
        <w:spacing w:line="500" w:lineRule="exact"/>
        <w:ind w:firstLine="560"/>
        <w:jc w:val="left"/>
      </w:pPr>
      <w:r>
        <w:rPr>
          <w:rFonts w:ascii="Times New Roman" w:hAnsi="Times New Roman" w:eastAsia="方正仿宋_GBK" w:cs="Times New Roman"/>
          <w:color w:val="000000"/>
          <w:sz w:val="28"/>
        </w:rPr>
        <w:t>2023年，曹妃甸区市场监督管理局安排政府采购预算</w:t>
      </w:r>
      <w:r>
        <w:rPr>
          <w:rFonts w:hint="eastAsia" w:eastAsia="方正仿宋_GBK" w:cs="Times New Roman"/>
          <w:color w:val="000000"/>
          <w:sz w:val="28"/>
        </w:rPr>
        <w:t>208.22</w:t>
      </w:r>
      <w:r>
        <w:rPr>
          <w:rFonts w:ascii="Times New Roman" w:hAnsi="Times New Roman"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840"/>
        <w:gridCol w:w="990"/>
        <w:gridCol w:w="990"/>
        <w:gridCol w:w="378"/>
        <w:gridCol w:w="627"/>
        <w:gridCol w:w="555"/>
        <w:gridCol w:w="1590"/>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802" w:type="dxa"/>
            <w:gridSpan w:val="7"/>
            <w:tcBorders>
              <w:top w:val="single" w:color="FFFFFF" w:sz="6" w:space="0"/>
              <w:left w:val="single" w:color="FFFFFF" w:sz="6" w:space="0"/>
              <w:right w:val="single" w:color="FFFFFF" w:sz="6" w:space="0"/>
            </w:tcBorders>
            <w:vAlign w:val="center"/>
          </w:tcPr>
          <w:p>
            <w:pPr>
              <w:pStyle w:val="15"/>
            </w:pPr>
            <w:r>
              <w:t>422曹妃甸区市场监督管理局</w:t>
            </w:r>
          </w:p>
        </w:tc>
        <w:tc>
          <w:tcPr>
            <w:tcW w:w="8982"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2" w:type="dxa"/>
            <w:gridSpan w:val="2"/>
            <w:vAlign w:val="center"/>
          </w:tcPr>
          <w:p>
            <w:pPr>
              <w:pStyle w:val="7"/>
            </w:pPr>
            <w:r>
              <w:t>政府采购项目来源</w:t>
            </w:r>
          </w:p>
        </w:tc>
        <w:tc>
          <w:tcPr>
            <w:tcW w:w="990" w:type="dxa"/>
            <w:vMerge w:val="restart"/>
            <w:vAlign w:val="center"/>
          </w:tcPr>
          <w:p>
            <w:pPr>
              <w:pStyle w:val="7"/>
            </w:pPr>
            <w:r>
              <w:t>采购物品名称</w:t>
            </w:r>
          </w:p>
        </w:tc>
        <w:tc>
          <w:tcPr>
            <w:tcW w:w="990" w:type="dxa"/>
            <w:vMerge w:val="restart"/>
            <w:vAlign w:val="center"/>
          </w:tcPr>
          <w:p>
            <w:pPr>
              <w:pStyle w:val="7"/>
            </w:pPr>
            <w:r>
              <w:t>政府采购目录序号</w:t>
            </w:r>
          </w:p>
        </w:tc>
        <w:tc>
          <w:tcPr>
            <w:tcW w:w="378" w:type="dxa"/>
            <w:vMerge w:val="restart"/>
            <w:vAlign w:val="center"/>
          </w:tcPr>
          <w:p>
            <w:pPr>
              <w:pStyle w:val="7"/>
            </w:pPr>
            <w:r>
              <w:t>计量  单位</w:t>
            </w:r>
          </w:p>
        </w:tc>
        <w:tc>
          <w:tcPr>
            <w:tcW w:w="627" w:type="dxa"/>
            <w:vMerge w:val="restart"/>
            <w:vAlign w:val="center"/>
          </w:tcPr>
          <w:p>
            <w:pPr>
              <w:pStyle w:val="7"/>
            </w:pPr>
            <w:r>
              <w:t>数量</w:t>
            </w:r>
          </w:p>
        </w:tc>
        <w:tc>
          <w:tcPr>
            <w:tcW w:w="555" w:type="dxa"/>
            <w:vMerge w:val="restart"/>
            <w:vAlign w:val="center"/>
          </w:tcPr>
          <w:p>
            <w:pPr>
              <w:pStyle w:val="7"/>
            </w:pPr>
            <w:r>
              <w:t>单价</w:t>
            </w:r>
          </w:p>
        </w:tc>
        <w:tc>
          <w:tcPr>
            <w:tcW w:w="8058"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22" w:type="dxa"/>
            <w:vAlign w:val="center"/>
          </w:tcPr>
          <w:p>
            <w:pPr>
              <w:pStyle w:val="7"/>
            </w:pPr>
            <w:r>
              <w:t>项目名称</w:t>
            </w:r>
          </w:p>
        </w:tc>
        <w:tc>
          <w:tcPr>
            <w:tcW w:w="840" w:type="dxa"/>
            <w:vAlign w:val="center"/>
          </w:tcPr>
          <w:p>
            <w:pPr>
              <w:pStyle w:val="7"/>
            </w:pPr>
            <w:r>
              <w:t>预算    资金</w:t>
            </w:r>
          </w:p>
        </w:tc>
        <w:tc>
          <w:tcPr>
            <w:tcW w:w="990" w:type="dxa"/>
            <w:vMerge w:val="continue"/>
          </w:tcPr>
          <w:p/>
        </w:tc>
        <w:tc>
          <w:tcPr>
            <w:tcW w:w="990" w:type="dxa"/>
            <w:vMerge w:val="continue"/>
          </w:tcPr>
          <w:p/>
        </w:tc>
        <w:tc>
          <w:tcPr>
            <w:tcW w:w="378" w:type="dxa"/>
            <w:vMerge w:val="continue"/>
          </w:tcPr>
          <w:p/>
        </w:tc>
        <w:tc>
          <w:tcPr>
            <w:tcW w:w="627" w:type="dxa"/>
            <w:vMerge w:val="continue"/>
          </w:tcPr>
          <w:p/>
        </w:tc>
        <w:tc>
          <w:tcPr>
            <w:tcW w:w="555" w:type="dxa"/>
            <w:vMerge w:val="continue"/>
          </w:tcPr>
          <w:p/>
        </w:tc>
        <w:tc>
          <w:tcPr>
            <w:tcW w:w="1590"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22" w:type="dxa"/>
            <w:vAlign w:val="center"/>
          </w:tcPr>
          <w:p>
            <w:pPr>
              <w:pStyle w:val="17"/>
            </w:pPr>
            <w:r>
              <w:t>合  计</w:t>
            </w:r>
          </w:p>
        </w:tc>
        <w:tc>
          <w:tcPr>
            <w:tcW w:w="840" w:type="dxa"/>
            <w:vAlign w:val="center"/>
          </w:tcPr>
          <w:p>
            <w:pPr>
              <w:pStyle w:val="18"/>
            </w:pPr>
          </w:p>
        </w:tc>
        <w:tc>
          <w:tcPr>
            <w:tcW w:w="990" w:type="dxa"/>
            <w:vAlign w:val="center"/>
          </w:tcPr>
          <w:p>
            <w:pPr>
              <w:pStyle w:val="19"/>
            </w:pPr>
          </w:p>
        </w:tc>
        <w:tc>
          <w:tcPr>
            <w:tcW w:w="990" w:type="dxa"/>
            <w:vAlign w:val="center"/>
          </w:tcPr>
          <w:p>
            <w:pPr>
              <w:pStyle w:val="19"/>
            </w:pPr>
          </w:p>
        </w:tc>
        <w:tc>
          <w:tcPr>
            <w:tcW w:w="378" w:type="dxa"/>
            <w:vAlign w:val="center"/>
          </w:tcPr>
          <w:p>
            <w:pPr>
              <w:pStyle w:val="17"/>
            </w:pPr>
          </w:p>
        </w:tc>
        <w:tc>
          <w:tcPr>
            <w:tcW w:w="627" w:type="dxa"/>
            <w:vAlign w:val="center"/>
          </w:tcPr>
          <w:p>
            <w:pPr>
              <w:pStyle w:val="18"/>
            </w:pPr>
          </w:p>
        </w:tc>
        <w:tc>
          <w:tcPr>
            <w:tcW w:w="555" w:type="dxa"/>
            <w:vAlign w:val="center"/>
          </w:tcPr>
          <w:p>
            <w:pPr>
              <w:pStyle w:val="18"/>
            </w:pPr>
          </w:p>
        </w:tc>
        <w:tc>
          <w:tcPr>
            <w:tcW w:w="1590" w:type="dxa"/>
            <w:vAlign w:val="center"/>
          </w:tcPr>
          <w:p>
            <w:pPr>
              <w:pStyle w:val="18"/>
            </w:pPr>
            <w:r>
              <w:t>208.22</w:t>
            </w:r>
          </w:p>
        </w:tc>
        <w:tc>
          <w:tcPr>
            <w:tcW w:w="924" w:type="dxa"/>
            <w:vAlign w:val="center"/>
          </w:tcPr>
          <w:p>
            <w:pPr>
              <w:pStyle w:val="18"/>
            </w:pPr>
            <w:r>
              <w:t>208.22</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17"/>
              <w:rPr>
                <w:lang w:eastAsia="uk-UA"/>
              </w:rPr>
            </w:pPr>
            <w:r>
              <w:t>曹妃甸区市场监督管理局本级小计</w:t>
            </w:r>
          </w:p>
        </w:tc>
        <w:tc>
          <w:tcPr>
            <w:tcW w:w="840" w:type="dxa"/>
            <w:vAlign w:val="center"/>
          </w:tcPr>
          <w:p>
            <w:pPr>
              <w:pStyle w:val="18"/>
              <w:rPr>
                <w:lang w:eastAsia="uk-UA"/>
              </w:rPr>
            </w:pPr>
          </w:p>
        </w:tc>
        <w:tc>
          <w:tcPr>
            <w:tcW w:w="990" w:type="dxa"/>
            <w:vAlign w:val="center"/>
          </w:tcPr>
          <w:p>
            <w:pPr>
              <w:pStyle w:val="19"/>
              <w:rPr>
                <w:lang w:eastAsia="uk-UA"/>
              </w:rPr>
            </w:pPr>
          </w:p>
        </w:tc>
        <w:tc>
          <w:tcPr>
            <w:tcW w:w="990" w:type="dxa"/>
            <w:vAlign w:val="center"/>
          </w:tcPr>
          <w:p>
            <w:pPr>
              <w:pStyle w:val="19"/>
              <w:rPr>
                <w:lang w:eastAsia="uk-UA"/>
              </w:rPr>
            </w:pPr>
          </w:p>
        </w:tc>
        <w:tc>
          <w:tcPr>
            <w:tcW w:w="378" w:type="dxa"/>
            <w:vAlign w:val="center"/>
          </w:tcPr>
          <w:p>
            <w:pPr>
              <w:pStyle w:val="17"/>
              <w:rPr>
                <w:lang w:eastAsia="uk-UA"/>
              </w:rPr>
            </w:pPr>
          </w:p>
        </w:tc>
        <w:tc>
          <w:tcPr>
            <w:tcW w:w="627" w:type="dxa"/>
            <w:vAlign w:val="center"/>
          </w:tcPr>
          <w:p>
            <w:pPr>
              <w:pStyle w:val="18"/>
              <w:rPr>
                <w:lang w:eastAsia="uk-UA"/>
              </w:rPr>
            </w:pPr>
          </w:p>
        </w:tc>
        <w:tc>
          <w:tcPr>
            <w:tcW w:w="555" w:type="dxa"/>
            <w:vAlign w:val="center"/>
          </w:tcPr>
          <w:p>
            <w:pPr>
              <w:pStyle w:val="18"/>
              <w:rPr>
                <w:lang w:eastAsia="uk-UA"/>
              </w:rPr>
            </w:pPr>
          </w:p>
        </w:tc>
        <w:tc>
          <w:tcPr>
            <w:tcW w:w="1590" w:type="dxa"/>
            <w:vAlign w:val="center"/>
          </w:tcPr>
          <w:p>
            <w:pPr>
              <w:pStyle w:val="18"/>
              <w:rPr>
                <w:lang w:eastAsia="uk-UA"/>
              </w:rPr>
            </w:pPr>
            <w:r>
              <w:t>208.22</w:t>
            </w:r>
          </w:p>
        </w:tc>
        <w:tc>
          <w:tcPr>
            <w:tcW w:w="924" w:type="dxa"/>
            <w:vAlign w:val="center"/>
          </w:tcPr>
          <w:p>
            <w:pPr>
              <w:pStyle w:val="18"/>
              <w:rPr>
                <w:lang w:eastAsia="uk-UA"/>
              </w:rPr>
            </w:pPr>
            <w:r>
              <w:t>208.22</w:t>
            </w:r>
          </w:p>
        </w:tc>
        <w:tc>
          <w:tcPr>
            <w:tcW w:w="924" w:type="dxa"/>
            <w:vAlign w:val="center"/>
          </w:tcPr>
          <w:p>
            <w:pPr>
              <w:pStyle w:val="18"/>
              <w:rPr>
                <w:lang w:eastAsia="uk-UA"/>
              </w:rPr>
            </w:pPr>
          </w:p>
        </w:tc>
        <w:tc>
          <w:tcPr>
            <w:tcW w:w="924" w:type="dxa"/>
            <w:vAlign w:val="center"/>
          </w:tcPr>
          <w:p>
            <w:pPr>
              <w:pStyle w:val="18"/>
              <w:rPr>
                <w:lang w:eastAsia="uk-UA"/>
              </w:rPr>
            </w:pPr>
          </w:p>
        </w:tc>
        <w:tc>
          <w:tcPr>
            <w:tcW w:w="924" w:type="dxa"/>
            <w:vAlign w:val="center"/>
          </w:tcPr>
          <w:p>
            <w:pPr>
              <w:pStyle w:val="18"/>
              <w:rPr>
                <w:lang w:eastAsia="uk-UA"/>
              </w:rPr>
            </w:pPr>
          </w:p>
        </w:tc>
        <w:tc>
          <w:tcPr>
            <w:tcW w:w="924" w:type="dxa"/>
            <w:vAlign w:val="center"/>
          </w:tcPr>
          <w:p>
            <w:pPr>
              <w:pStyle w:val="18"/>
              <w:rPr>
                <w:lang w:eastAsia="uk-UA"/>
              </w:rPr>
            </w:pPr>
          </w:p>
        </w:tc>
        <w:tc>
          <w:tcPr>
            <w:tcW w:w="924" w:type="dxa"/>
            <w:vAlign w:val="center"/>
          </w:tcPr>
          <w:p>
            <w:pPr>
              <w:pStyle w:val="18"/>
              <w:rPr>
                <w:lang w:eastAsia="uk-UA"/>
              </w:rPr>
            </w:pPr>
          </w:p>
        </w:tc>
        <w:tc>
          <w:tcPr>
            <w:tcW w:w="924" w:type="dxa"/>
            <w:vAlign w:val="center"/>
          </w:tcPr>
          <w:p>
            <w:pPr>
              <w:pStyle w:val="18"/>
              <w:rPr>
                <w:lang w:eastAsia="uk-UA"/>
              </w:rPr>
            </w:pPr>
          </w:p>
        </w:tc>
        <w:tc>
          <w:tcPr>
            <w:tcW w:w="924" w:type="dxa"/>
            <w:vAlign w:val="center"/>
          </w:tcPr>
          <w:p>
            <w:pPr>
              <w:pStyle w:val="18"/>
              <w:rPr>
                <w:lang w:eastAsia="uk-UA"/>
              </w:rPr>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8"/>
              <w:rPr>
                <w:lang w:eastAsia="uk-UA"/>
              </w:rPr>
            </w:pPr>
            <w:r>
              <w:t>其他市场监督管理事务</w:t>
            </w:r>
          </w:p>
        </w:tc>
        <w:tc>
          <w:tcPr>
            <w:tcW w:w="840" w:type="dxa"/>
            <w:vAlign w:val="center"/>
          </w:tcPr>
          <w:p>
            <w:pPr>
              <w:pStyle w:val="20"/>
              <w:rPr>
                <w:lang w:eastAsia="uk-UA"/>
              </w:rPr>
            </w:pPr>
            <w:r>
              <w:t>120.00</w:t>
            </w:r>
          </w:p>
        </w:tc>
        <w:tc>
          <w:tcPr>
            <w:tcW w:w="990" w:type="dxa"/>
            <w:vAlign w:val="center"/>
          </w:tcPr>
          <w:p>
            <w:pPr>
              <w:pStyle w:val="8"/>
              <w:rPr>
                <w:lang w:eastAsia="uk-UA"/>
              </w:rPr>
            </w:pPr>
            <w:r>
              <w:t>其他印刷服务</w:t>
            </w:r>
          </w:p>
        </w:tc>
        <w:tc>
          <w:tcPr>
            <w:tcW w:w="990" w:type="dxa"/>
            <w:vAlign w:val="center"/>
          </w:tcPr>
          <w:p>
            <w:pPr>
              <w:pStyle w:val="8"/>
              <w:rPr>
                <w:lang w:eastAsia="uk-UA"/>
              </w:rPr>
            </w:pPr>
            <w:r>
              <w:t>C23090199</w:t>
            </w:r>
          </w:p>
        </w:tc>
        <w:tc>
          <w:tcPr>
            <w:tcW w:w="378" w:type="dxa"/>
            <w:vAlign w:val="center"/>
          </w:tcPr>
          <w:p>
            <w:pPr>
              <w:pStyle w:val="9"/>
              <w:rPr>
                <w:lang w:eastAsia="uk-UA"/>
              </w:rPr>
            </w:pPr>
            <w:r>
              <w:t>批</w:t>
            </w:r>
          </w:p>
        </w:tc>
        <w:tc>
          <w:tcPr>
            <w:tcW w:w="627" w:type="dxa"/>
            <w:vAlign w:val="center"/>
          </w:tcPr>
          <w:p>
            <w:pPr>
              <w:pStyle w:val="20"/>
              <w:rPr>
                <w:lang w:eastAsia="uk-UA"/>
              </w:rPr>
            </w:pPr>
            <w:r>
              <w:t>1</w:t>
            </w:r>
          </w:p>
        </w:tc>
        <w:tc>
          <w:tcPr>
            <w:tcW w:w="555" w:type="dxa"/>
            <w:vAlign w:val="center"/>
          </w:tcPr>
          <w:p>
            <w:pPr>
              <w:pStyle w:val="20"/>
              <w:rPr>
                <w:lang w:eastAsia="uk-UA"/>
              </w:rPr>
            </w:pPr>
            <w:r>
              <w:t>4.00</w:t>
            </w:r>
          </w:p>
        </w:tc>
        <w:tc>
          <w:tcPr>
            <w:tcW w:w="1590" w:type="dxa"/>
            <w:vAlign w:val="center"/>
          </w:tcPr>
          <w:p>
            <w:pPr>
              <w:pStyle w:val="20"/>
              <w:rPr>
                <w:lang w:eastAsia="uk-UA"/>
              </w:rPr>
            </w:pPr>
            <w:r>
              <w:t>4.00</w:t>
            </w:r>
          </w:p>
        </w:tc>
        <w:tc>
          <w:tcPr>
            <w:tcW w:w="924" w:type="dxa"/>
            <w:vAlign w:val="center"/>
          </w:tcPr>
          <w:p>
            <w:pPr>
              <w:pStyle w:val="20"/>
              <w:rPr>
                <w:lang w:eastAsia="uk-UA"/>
              </w:rPr>
            </w:pPr>
            <w:r>
              <w:t>4.00</w:t>
            </w: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8"/>
              <w:rPr>
                <w:lang w:eastAsia="uk-UA"/>
              </w:rPr>
            </w:pPr>
            <w:r>
              <w:t>食品安全监管</w:t>
            </w:r>
          </w:p>
        </w:tc>
        <w:tc>
          <w:tcPr>
            <w:tcW w:w="840" w:type="dxa"/>
            <w:vAlign w:val="center"/>
          </w:tcPr>
          <w:p>
            <w:pPr>
              <w:pStyle w:val="20"/>
              <w:rPr>
                <w:lang w:eastAsia="uk-UA"/>
              </w:rPr>
            </w:pPr>
            <w:r>
              <w:t>104.00</w:t>
            </w:r>
          </w:p>
        </w:tc>
        <w:tc>
          <w:tcPr>
            <w:tcW w:w="990" w:type="dxa"/>
            <w:vAlign w:val="center"/>
          </w:tcPr>
          <w:p>
            <w:pPr>
              <w:pStyle w:val="8"/>
              <w:rPr>
                <w:lang w:eastAsia="uk-UA"/>
              </w:rPr>
            </w:pPr>
            <w:r>
              <w:t>技术测试和分析服务</w:t>
            </w:r>
          </w:p>
        </w:tc>
        <w:tc>
          <w:tcPr>
            <w:tcW w:w="990" w:type="dxa"/>
            <w:vAlign w:val="center"/>
          </w:tcPr>
          <w:p>
            <w:pPr>
              <w:pStyle w:val="8"/>
              <w:rPr>
                <w:lang w:eastAsia="uk-UA"/>
              </w:rPr>
            </w:pPr>
            <w:r>
              <w:t>C19010000</w:t>
            </w:r>
          </w:p>
        </w:tc>
        <w:tc>
          <w:tcPr>
            <w:tcW w:w="378" w:type="dxa"/>
            <w:vAlign w:val="center"/>
          </w:tcPr>
          <w:p>
            <w:pPr>
              <w:pStyle w:val="9"/>
              <w:rPr>
                <w:lang w:eastAsia="uk-UA"/>
              </w:rPr>
            </w:pPr>
            <w:r>
              <w:t>批</w:t>
            </w:r>
          </w:p>
        </w:tc>
        <w:tc>
          <w:tcPr>
            <w:tcW w:w="627" w:type="dxa"/>
            <w:vAlign w:val="center"/>
          </w:tcPr>
          <w:p>
            <w:pPr>
              <w:pStyle w:val="20"/>
              <w:rPr>
                <w:lang w:eastAsia="uk-UA"/>
              </w:rPr>
            </w:pPr>
            <w:r>
              <w:t>1</w:t>
            </w:r>
          </w:p>
        </w:tc>
        <w:tc>
          <w:tcPr>
            <w:tcW w:w="555" w:type="dxa"/>
            <w:vAlign w:val="center"/>
          </w:tcPr>
          <w:p>
            <w:pPr>
              <w:pStyle w:val="20"/>
              <w:rPr>
                <w:lang w:eastAsia="uk-UA"/>
              </w:rPr>
            </w:pPr>
            <w:r>
              <w:t>100.00</w:t>
            </w:r>
          </w:p>
        </w:tc>
        <w:tc>
          <w:tcPr>
            <w:tcW w:w="1590" w:type="dxa"/>
            <w:vAlign w:val="center"/>
          </w:tcPr>
          <w:p>
            <w:pPr>
              <w:pStyle w:val="20"/>
              <w:rPr>
                <w:lang w:eastAsia="uk-UA"/>
              </w:rPr>
            </w:pPr>
            <w:r>
              <w:t>100.00</w:t>
            </w:r>
          </w:p>
        </w:tc>
        <w:tc>
          <w:tcPr>
            <w:tcW w:w="924" w:type="dxa"/>
            <w:vAlign w:val="center"/>
          </w:tcPr>
          <w:p>
            <w:pPr>
              <w:pStyle w:val="20"/>
              <w:rPr>
                <w:lang w:eastAsia="uk-UA"/>
              </w:rPr>
            </w:pPr>
            <w:r>
              <w:t>100.00</w:t>
            </w: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22" w:type="dxa"/>
            <w:vAlign w:val="center"/>
          </w:tcPr>
          <w:p>
            <w:pPr>
              <w:pStyle w:val="8"/>
              <w:rPr>
                <w:lang w:eastAsia="uk-UA"/>
              </w:rPr>
            </w:pPr>
            <w:r>
              <w:t>市场秩序执法</w:t>
            </w:r>
          </w:p>
        </w:tc>
        <w:tc>
          <w:tcPr>
            <w:tcW w:w="840" w:type="dxa"/>
            <w:vAlign w:val="center"/>
          </w:tcPr>
          <w:p>
            <w:pPr>
              <w:pStyle w:val="20"/>
              <w:rPr>
                <w:lang w:eastAsia="uk-UA"/>
              </w:rPr>
            </w:pPr>
            <w:r>
              <w:t>144.00</w:t>
            </w:r>
          </w:p>
        </w:tc>
        <w:tc>
          <w:tcPr>
            <w:tcW w:w="990" w:type="dxa"/>
            <w:vAlign w:val="center"/>
          </w:tcPr>
          <w:p>
            <w:pPr>
              <w:pStyle w:val="8"/>
              <w:rPr>
                <w:lang w:eastAsia="uk-UA"/>
              </w:rPr>
            </w:pPr>
            <w:r>
              <w:t>其他印刷服务</w:t>
            </w:r>
          </w:p>
        </w:tc>
        <w:tc>
          <w:tcPr>
            <w:tcW w:w="990" w:type="dxa"/>
            <w:vAlign w:val="center"/>
          </w:tcPr>
          <w:p>
            <w:pPr>
              <w:pStyle w:val="8"/>
              <w:rPr>
                <w:lang w:eastAsia="uk-UA"/>
              </w:rPr>
            </w:pPr>
            <w:r>
              <w:t>C23090199</w:t>
            </w:r>
          </w:p>
        </w:tc>
        <w:tc>
          <w:tcPr>
            <w:tcW w:w="378" w:type="dxa"/>
            <w:vAlign w:val="center"/>
          </w:tcPr>
          <w:p>
            <w:pPr>
              <w:pStyle w:val="9"/>
              <w:rPr>
                <w:lang w:eastAsia="uk-UA"/>
              </w:rPr>
            </w:pPr>
            <w:r>
              <w:t>批</w:t>
            </w:r>
          </w:p>
        </w:tc>
        <w:tc>
          <w:tcPr>
            <w:tcW w:w="627" w:type="dxa"/>
            <w:vAlign w:val="center"/>
          </w:tcPr>
          <w:p>
            <w:pPr>
              <w:pStyle w:val="20"/>
              <w:rPr>
                <w:lang w:eastAsia="uk-UA"/>
              </w:rPr>
            </w:pPr>
            <w:r>
              <w:t>1</w:t>
            </w:r>
          </w:p>
        </w:tc>
        <w:tc>
          <w:tcPr>
            <w:tcW w:w="555" w:type="dxa"/>
            <w:vAlign w:val="center"/>
          </w:tcPr>
          <w:p>
            <w:pPr>
              <w:pStyle w:val="20"/>
              <w:rPr>
                <w:lang w:eastAsia="uk-UA"/>
              </w:rPr>
            </w:pPr>
            <w:r>
              <w:t>8.00</w:t>
            </w:r>
          </w:p>
        </w:tc>
        <w:tc>
          <w:tcPr>
            <w:tcW w:w="1590" w:type="dxa"/>
            <w:vAlign w:val="center"/>
          </w:tcPr>
          <w:p>
            <w:pPr>
              <w:pStyle w:val="20"/>
              <w:rPr>
                <w:lang w:eastAsia="uk-UA"/>
              </w:rPr>
            </w:pPr>
            <w:r>
              <w:t>8.00</w:t>
            </w:r>
          </w:p>
        </w:tc>
        <w:tc>
          <w:tcPr>
            <w:tcW w:w="924" w:type="dxa"/>
            <w:vAlign w:val="center"/>
          </w:tcPr>
          <w:p>
            <w:pPr>
              <w:pStyle w:val="20"/>
              <w:rPr>
                <w:lang w:eastAsia="uk-UA"/>
              </w:rPr>
            </w:pPr>
            <w:r>
              <w:t>8.00</w:t>
            </w: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8"/>
              <w:rPr>
                <w:lang w:eastAsia="uk-UA"/>
              </w:rPr>
            </w:pPr>
            <w:r>
              <w:t>市场主体管理</w:t>
            </w:r>
          </w:p>
        </w:tc>
        <w:tc>
          <w:tcPr>
            <w:tcW w:w="840" w:type="dxa"/>
            <w:vAlign w:val="center"/>
          </w:tcPr>
          <w:p>
            <w:pPr>
              <w:pStyle w:val="20"/>
              <w:rPr>
                <w:lang w:eastAsia="uk-UA"/>
              </w:rPr>
            </w:pPr>
            <w:r>
              <w:t>81.80</w:t>
            </w:r>
          </w:p>
        </w:tc>
        <w:tc>
          <w:tcPr>
            <w:tcW w:w="990" w:type="dxa"/>
            <w:vAlign w:val="center"/>
          </w:tcPr>
          <w:p>
            <w:pPr>
              <w:pStyle w:val="8"/>
              <w:rPr>
                <w:lang w:eastAsia="uk-UA"/>
              </w:rPr>
            </w:pPr>
            <w:r>
              <w:t>其他印刷服务</w:t>
            </w:r>
          </w:p>
        </w:tc>
        <w:tc>
          <w:tcPr>
            <w:tcW w:w="990" w:type="dxa"/>
            <w:vAlign w:val="center"/>
          </w:tcPr>
          <w:p>
            <w:pPr>
              <w:pStyle w:val="8"/>
              <w:rPr>
                <w:lang w:eastAsia="uk-UA"/>
              </w:rPr>
            </w:pPr>
            <w:r>
              <w:t>C23090199</w:t>
            </w:r>
          </w:p>
        </w:tc>
        <w:tc>
          <w:tcPr>
            <w:tcW w:w="378" w:type="dxa"/>
            <w:vAlign w:val="center"/>
          </w:tcPr>
          <w:p>
            <w:pPr>
              <w:pStyle w:val="9"/>
              <w:rPr>
                <w:lang w:eastAsia="uk-UA"/>
              </w:rPr>
            </w:pPr>
            <w:r>
              <w:t>批</w:t>
            </w:r>
          </w:p>
        </w:tc>
        <w:tc>
          <w:tcPr>
            <w:tcW w:w="627" w:type="dxa"/>
            <w:vAlign w:val="center"/>
          </w:tcPr>
          <w:p>
            <w:pPr>
              <w:pStyle w:val="20"/>
              <w:rPr>
                <w:lang w:eastAsia="uk-UA"/>
              </w:rPr>
            </w:pPr>
            <w:r>
              <w:t>1</w:t>
            </w:r>
          </w:p>
        </w:tc>
        <w:tc>
          <w:tcPr>
            <w:tcW w:w="555" w:type="dxa"/>
            <w:vAlign w:val="center"/>
          </w:tcPr>
          <w:p>
            <w:pPr>
              <w:pStyle w:val="20"/>
              <w:rPr>
                <w:lang w:eastAsia="uk-UA"/>
              </w:rPr>
            </w:pPr>
            <w:r>
              <w:t>21.22</w:t>
            </w:r>
          </w:p>
        </w:tc>
        <w:tc>
          <w:tcPr>
            <w:tcW w:w="1590" w:type="dxa"/>
            <w:vAlign w:val="center"/>
          </w:tcPr>
          <w:p>
            <w:pPr>
              <w:pStyle w:val="20"/>
              <w:rPr>
                <w:lang w:eastAsia="uk-UA"/>
              </w:rPr>
            </w:pPr>
            <w:r>
              <w:t>21.22</w:t>
            </w:r>
          </w:p>
        </w:tc>
        <w:tc>
          <w:tcPr>
            <w:tcW w:w="924" w:type="dxa"/>
            <w:vAlign w:val="center"/>
          </w:tcPr>
          <w:p>
            <w:pPr>
              <w:pStyle w:val="20"/>
              <w:rPr>
                <w:lang w:eastAsia="uk-UA"/>
              </w:rPr>
            </w:pPr>
            <w:r>
              <w:t>21.22</w:t>
            </w: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r>
              <w:t>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8"/>
              <w:rPr>
                <w:lang w:eastAsia="uk-UA"/>
              </w:rPr>
            </w:pPr>
            <w:r>
              <w:t>特种设备安全监察专家库购买服务费</w:t>
            </w:r>
          </w:p>
        </w:tc>
        <w:tc>
          <w:tcPr>
            <w:tcW w:w="840" w:type="dxa"/>
            <w:vAlign w:val="center"/>
          </w:tcPr>
          <w:p>
            <w:pPr>
              <w:pStyle w:val="20"/>
              <w:rPr>
                <w:lang w:eastAsia="uk-UA"/>
              </w:rPr>
            </w:pPr>
            <w:r>
              <w:t>75.00</w:t>
            </w:r>
          </w:p>
        </w:tc>
        <w:tc>
          <w:tcPr>
            <w:tcW w:w="990" w:type="dxa"/>
            <w:vAlign w:val="center"/>
          </w:tcPr>
          <w:p>
            <w:pPr>
              <w:pStyle w:val="8"/>
              <w:rPr>
                <w:lang w:eastAsia="uk-UA"/>
              </w:rPr>
            </w:pPr>
            <w:r>
              <w:t>其他服务</w:t>
            </w:r>
          </w:p>
        </w:tc>
        <w:tc>
          <w:tcPr>
            <w:tcW w:w="990" w:type="dxa"/>
            <w:vAlign w:val="center"/>
          </w:tcPr>
          <w:p>
            <w:pPr>
              <w:pStyle w:val="8"/>
              <w:rPr>
                <w:lang w:eastAsia="uk-UA"/>
              </w:rPr>
            </w:pPr>
            <w:r>
              <w:t>C99000000</w:t>
            </w:r>
          </w:p>
        </w:tc>
        <w:tc>
          <w:tcPr>
            <w:tcW w:w="378" w:type="dxa"/>
            <w:vAlign w:val="center"/>
          </w:tcPr>
          <w:p>
            <w:pPr>
              <w:pStyle w:val="9"/>
              <w:rPr>
                <w:lang w:eastAsia="uk-UA"/>
              </w:rPr>
            </w:pPr>
            <w:r>
              <w:t>批</w:t>
            </w:r>
          </w:p>
        </w:tc>
        <w:tc>
          <w:tcPr>
            <w:tcW w:w="627" w:type="dxa"/>
            <w:vAlign w:val="center"/>
          </w:tcPr>
          <w:p>
            <w:pPr>
              <w:pStyle w:val="20"/>
              <w:rPr>
                <w:lang w:eastAsia="uk-UA"/>
              </w:rPr>
            </w:pPr>
            <w:r>
              <w:t>1</w:t>
            </w:r>
          </w:p>
        </w:tc>
        <w:tc>
          <w:tcPr>
            <w:tcW w:w="555" w:type="dxa"/>
            <w:vAlign w:val="center"/>
          </w:tcPr>
          <w:p>
            <w:pPr>
              <w:pStyle w:val="20"/>
              <w:rPr>
                <w:lang w:eastAsia="uk-UA"/>
              </w:rPr>
            </w:pPr>
            <w:r>
              <w:t>75.00</w:t>
            </w:r>
          </w:p>
        </w:tc>
        <w:tc>
          <w:tcPr>
            <w:tcW w:w="1590" w:type="dxa"/>
            <w:vAlign w:val="center"/>
          </w:tcPr>
          <w:p>
            <w:pPr>
              <w:pStyle w:val="20"/>
              <w:rPr>
                <w:lang w:eastAsia="uk-UA"/>
              </w:rPr>
            </w:pPr>
            <w:r>
              <w:t>75.00</w:t>
            </w:r>
          </w:p>
        </w:tc>
        <w:tc>
          <w:tcPr>
            <w:tcW w:w="924" w:type="dxa"/>
            <w:vAlign w:val="center"/>
          </w:tcPr>
          <w:p>
            <w:pPr>
              <w:pStyle w:val="20"/>
              <w:rPr>
                <w:lang w:eastAsia="uk-UA"/>
              </w:rPr>
            </w:pPr>
            <w:r>
              <w:t>75.00</w:t>
            </w: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p>
        </w:tc>
        <w:tc>
          <w:tcPr>
            <w:tcW w:w="924" w:type="dxa"/>
            <w:vAlign w:val="center"/>
          </w:tcPr>
          <w:p>
            <w:pPr>
              <w:pStyle w:val="20"/>
              <w:rPr>
                <w:lang w:eastAsia="uk-UA"/>
              </w:rPr>
            </w:pPr>
            <w:r>
              <w:t>75.00</w:t>
            </w: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pPr>
    </w:p>
    <w:p>
      <w:pPr>
        <w:spacing w:before="10" w:after="10"/>
        <w:ind w:firstLine="640"/>
        <w:jc w:val="left"/>
        <w:outlineLvl w:val="2"/>
      </w:pPr>
      <w:bookmarkStart w:id="6" w:name="_Toc_3_3_0000000016"/>
      <w:r>
        <w:rPr>
          <w:rFonts w:ascii="黑体" w:hAnsi="黑体" w:eastAsia="黑体" w:cs="黑体"/>
          <w:color w:val="000000"/>
          <w:sz w:val="32"/>
        </w:rPr>
        <w:t>七、国有资产信息</w:t>
      </w:r>
      <w:bookmarkEnd w:id="6"/>
    </w:p>
    <w:p>
      <w:pPr>
        <w:spacing w:line="500" w:lineRule="exact"/>
        <w:ind w:firstLine="560"/>
        <w:jc w:val="left"/>
      </w:pPr>
      <w:r>
        <w:rPr>
          <w:rFonts w:ascii="Times New Roman" w:hAnsi="Times New Roman" w:eastAsia="方正仿宋_GBK" w:cs="Times New Roman"/>
          <w:color w:val="000000"/>
          <w:sz w:val="28"/>
        </w:rPr>
        <w:t>曹妃甸区市场监督管理局（含所属单位）上年末固定资产金额为</w:t>
      </w:r>
      <w:r>
        <w:rPr>
          <w:rFonts w:hint="eastAsia" w:ascii="Times New Roman" w:hAnsi="Times New Roman" w:eastAsia="方正仿宋_GBK" w:cs="Times New Roman"/>
          <w:color w:val="000000"/>
          <w:sz w:val="28"/>
        </w:rPr>
        <w:t>2439.71</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62.01</w:t>
      </w:r>
      <w:r>
        <w:rPr>
          <w:rFonts w:ascii="Times New Roman" w:hAnsi="Times New Roman"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t>422曹妃甸区市场监督管理局</w:t>
            </w:r>
          </w:p>
        </w:tc>
        <w:tc>
          <w:tcPr>
            <w:tcW w:w="9866" w:type="dxa"/>
            <w:gridSpan w:val="2"/>
            <w:tcBorders>
              <w:top w:val="single" w:color="FFFFFF" w:sz="6" w:space="0"/>
              <w:left w:val="single" w:color="FFFFFF" w:sz="6" w:space="0"/>
              <w:right w:val="single" w:color="FFFFFF" w:sz="6" w:space="0"/>
            </w:tcBorders>
            <w:vAlign w:val="center"/>
          </w:tcPr>
          <w:p>
            <w:pPr>
              <w:pStyle w:val="2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Times New Roman" w:eastAsia="Times New Roman" w:cs="宋体"/>
                <w:sz w:val="22"/>
                <w:szCs w:val="22"/>
                <w:lang w:eastAsia="uk-UA"/>
              </w:rPr>
            </w:pPr>
            <w:r>
              <w:rPr>
                <w:rFonts w:hint="eastAsia" w:ascii="宋体" w:hAnsi="宋体" w:cs="宋体"/>
                <w:sz w:val="22"/>
                <w:szCs w:val="22"/>
              </w:rPr>
              <w:t>资产总额</w:t>
            </w:r>
          </w:p>
        </w:tc>
        <w:tc>
          <w:tcPr>
            <w:tcW w:w="4933" w:type="dxa"/>
            <w:vAlign w:val="center"/>
          </w:tcPr>
          <w:p>
            <w:pPr>
              <w:jc w:val="center"/>
              <w:rPr>
                <w:rFonts w:ascii="宋体" w:hAnsi="Times New Roman" w:eastAsia="Times New Roman" w:cs="宋体"/>
                <w:sz w:val="22"/>
                <w:szCs w:val="22"/>
                <w:lang w:eastAsia="uk-UA"/>
              </w:rPr>
            </w:pPr>
            <w:r>
              <w:rPr>
                <w:rFonts w:ascii="宋体" w:hAnsi="宋体" w:cs="宋体"/>
                <w:sz w:val="22"/>
                <w:szCs w:val="22"/>
              </w:rPr>
              <w:t>——</w:t>
            </w:r>
          </w:p>
        </w:tc>
        <w:tc>
          <w:tcPr>
            <w:tcW w:w="4933" w:type="dxa"/>
            <w:vAlign w:val="center"/>
          </w:tcPr>
          <w:p>
            <w:pPr>
              <w:jc w:val="center"/>
              <w:rPr>
                <w:rFonts w:ascii="宋体" w:hAnsi="Times New Roman" w:eastAsia="宋体" w:cs="宋体"/>
                <w:sz w:val="22"/>
                <w:szCs w:val="22"/>
              </w:rPr>
            </w:pPr>
            <w:r>
              <w:rPr>
                <w:rFonts w:hint="eastAsia" w:ascii="宋体" w:hAnsi="宋体" w:cs="宋体"/>
                <w:sz w:val="22"/>
                <w:szCs w:val="22"/>
              </w:rPr>
              <w:t>2439.71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jc w:val="left"/>
              <w:rPr>
                <w:rFonts w:ascii="宋体" w:hAnsi="Times New Roman" w:eastAsia="Times New Roman" w:cs="宋体"/>
                <w:sz w:val="22"/>
                <w:szCs w:val="22"/>
                <w:lang w:eastAsia="uk-UA"/>
              </w:rPr>
            </w:pPr>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rPr>
                <w:rFonts w:ascii="宋体" w:hAnsi="Times New Roman" w:eastAsia="Times New Roman" w:cs="宋体"/>
                <w:sz w:val="22"/>
                <w:szCs w:val="22"/>
                <w:lang w:eastAsia="uk-UA"/>
              </w:rPr>
            </w:pPr>
            <w:r>
              <w:rPr>
                <w:rFonts w:ascii="宋体" w:hAnsi="宋体" w:cs="宋体"/>
                <w:sz w:val="22"/>
                <w:szCs w:val="22"/>
              </w:rPr>
              <w:t xml:space="preserve">8994 </w:t>
            </w:r>
          </w:p>
        </w:tc>
        <w:tc>
          <w:tcPr>
            <w:tcW w:w="4933" w:type="dxa"/>
            <w:vAlign w:val="center"/>
          </w:tcPr>
          <w:p>
            <w:pPr>
              <w:jc w:val="center"/>
              <w:rPr>
                <w:rFonts w:ascii="宋体" w:hAnsi="Times New Roman" w:eastAsia="宋体" w:cs="宋体"/>
                <w:sz w:val="22"/>
                <w:szCs w:val="22"/>
              </w:rPr>
            </w:pPr>
            <w:r>
              <w:rPr>
                <w:rFonts w:hint="eastAsia" w:ascii="宋体" w:hAnsi="宋体" w:cs="宋体"/>
                <w:sz w:val="22"/>
                <w:szCs w:val="22"/>
              </w:rPr>
              <w:t>934.9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Times New Roman" w:eastAsia="Times New Roman" w:cs="宋体"/>
                <w:sz w:val="22"/>
                <w:szCs w:val="22"/>
                <w:lang w:eastAsia="uk-UA"/>
              </w:rPr>
            </w:pPr>
            <w:r>
              <w:rPr>
                <w:rFonts w:hint="eastAsia" w:ascii="宋体" w:hAnsi="宋体" w:cs="宋体"/>
                <w:sz w:val="22"/>
                <w:szCs w:val="22"/>
              </w:rPr>
              <w:t>其中：办公用房（平方米）</w:t>
            </w:r>
          </w:p>
        </w:tc>
        <w:tc>
          <w:tcPr>
            <w:tcW w:w="4933" w:type="dxa"/>
            <w:vAlign w:val="center"/>
          </w:tcPr>
          <w:p>
            <w:pPr>
              <w:jc w:val="center"/>
              <w:rPr>
                <w:rFonts w:ascii="宋体" w:hAnsi="Times New Roman" w:eastAsia="Times New Roman" w:cs="宋体"/>
                <w:sz w:val="22"/>
                <w:szCs w:val="22"/>
                <w:lang w:eastAsia="uk-UA"/>
              </w:rPr>
            </w:pPr>
            <w:r>
              <w:rPr>
                <w:rFonts w:ascii="宋体" w:hAnsi="宋体" w:cs="宋体"/>
                <w:sz w:val="22"/>
                <w:szCs w:val="22"/>
              </w:rPr>
              <w:t xml:space="preserve"> 8724</w:t>
            </w:r>
          </w:p>
        </w:tc>
        <w:tc>
          <w:tcPr>
            <w:tcW w:w="4933" w:type="dxa"/>
            <w:vAlign w:val="center"/>
          </w:tcPr>
          <w:p>
            <w:pPr>
              <w:jc w:val="center"/>
              <w:rPr>
                <w:rFonts w:ascii="宋体" w:hAnsi="Times New Roman" w:eastAsia="宋体" w:cs="宋体"/>
                <w:sz w:val="22"/>
                <w:szCs w:val="22"/>
              </w:rPr>
            </w:pPr>
            <w:r>
              <w:rPr>
                <w:rFonts w:hint="eastAsia" w:ascii="宋体" w:hAnsi="宋体" w:cs="宋体"/>
                <w:sz w:val="22"/>
                <w:szCs w:val="22"/>
              </w:rPr>
              <w:t>837.91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Times New Roman" w:eastAsia="Times New Roman" w:cs="宋体"/>
                <w:sz w:val="22"/>
                <w:szCs w:val="22"/>
                <w:lang w:eastAsia="uk-UA"/>
              </w:rPr>
            </w:pPr>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rPr>
                <w:rFonts w:ascii="宋体" w:hAnsi="Times New Roman" w:eastAsia="Times New Roman" w:cs="宋体"/>
                <w:sz w:val="22"/>
                <w:szCs w:val="22"/>
                <w:lang w:eastAsia="uk-UA"/>
              </w:rPr>
            </w:pPr>
            <w:r>
              <w:rPr>
                <w:rFonts w:hint="eastAsia" w:ascii="宋体" w:hAnsi="宋体" w:cs="宋体"/>
                <w:sz w:val="22"/>
                <w:szCs w:val="22"/>
              </w:rPr>
              <w:t>22</w:t>
            </w:r>
          </w:p>
        </w:tc>
        <w:tc>
          <w:tcPr>
            <w:tcW w:w="4933" w:type="dxa"/>
            <w:vAlign w:val="center"/>
          </w:tcPr>
          <w:p>
            <w:pPr>
              <w:jc w:val="center"/>
              <w:rPr>
                <w:rFonts w:ascii="宋体" w:hAnsi="Times New Roman" w:eastAsia="宋体" w:cs="宋体"/>
                <w:sz w:val="22"/>
                <w:szCs w:val="22"/>
              </w:rPr>
            </w:pPr>
            <w:r>
              <w:rPr>
                <w:rFonts w:hint="eastAsia" w:ascii="宋体" w:hAnsi="宋体" w:cs="宋体"/>
                <w:sz w:val="22"/>
                <w:szCs w:val="22"/>
              </w:rPr>
              <w:t>352.45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Times New Roman" w:eastAsia="Times New Roman" w:cs="宋体"/>
                <w:sz w:val="22"/>
                <w:szCs w:val="22"/>
                <w:lang w:eastAsia="uk-UA"/>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万元以上设备</w:t>
            </w:r>
          </w:p>
        </w:tc>
        <w:tc>
          <w:tcPr>
            <w:tcW w:w="4933" w:type="dxa"/>
            <w:vAlign w:val="center"/>
          </w:tcPr>
          <w:p>
            <w:pPr>
              <w:jc w:val="center"/>
              <w:rPr>
                <w:rFonts w:ascii="宋体" w:hAnsi="Times New Roman" w:eastAsia="Times New Roman" w:cs="宋体"/>
                <w:sz w:val="22"/>
                <w:szCs w:val="22"/>
                <w:lang w:eastAsia="uk-UA"/>
              </w:rPr>
            </w:pPr>
            <w:r>
              <w:rPr>
                <w:rFonts w:ascii="宋体" w:hAnsi="宋体" w:cs="宋体"/>
                <w:sz w:val="22"/>
                <w:szCs w:val="22"/>
              </w:rPr>
              <w:t>——</w:t>
            </w:r>
          </w:p>
        </w:tc>
        <w:tc>
          <w:tcPr>
            <w:tcW w:w="4933" w:type="dxa"/>
            <w:vAlign w:val="center"/>
          </w:tcPr>
          <w:p>
            <w:pPr>
              <w:jc w:val="center"/>
              <w:rPr>
                <w:rFonts w:ascii="宋体" w:hAnsi="Times New Roman" w:eastAsia="Times New Roman" w:cs="宋体"/>
                <w:sz w:val="22"/>
                <w:szCs w:val="22"/>
                <w:lang w:eastAsia="uk-UA"/>
              </w:rPr>
            </w:pPr>
            <w:r>
              <w:rPr>
                <w:rFonts w:ascii="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jc w:val="left"/>
              <w:rPr>
                <w:rFonts w:ascii="宋体" w:hAnsi="Times New Roman" w:eastAsia="Times New Roman" w:cs="宋体"/>
                <w:sz w:val="22"/>
                <w:szCs w:val="22"/>
                <w:lang w:eastAsia="uk-UA"/>
              </w:rPr>
            </w:pPr>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rPr>
                <w:rFonts w:ascii="宋体" w:hAnsi="Times New Roman" w:eastAsia="Times New Roman" w:cs="宋体"/>
                <w:sz w:val="22"/>
                <w:szCs w:val="22"/>
                <w:lang w:eastAsia="uk-UA"/>
              </w:rPr>
            </w:pPr>
            <w:r>
              <w:rPr>
                <w:rFonts w:ascii="宋体" w:hAnsi="宋体" w:cs="宋体"/>
                <w:sz w:val="22"/>
                <w:szCs w:val="22"/>
              </w:rPr>
              <w:t>——</w:t>
            </w:r>
          </w:p>
        </w:tc>
        <w:tc>
          <w:tcPr>
            <w:tcW w:w="4933" w:type="dxa"/>
            <w:vAlign w:val="center"/>
          </w:tcPr>
          <w:p>
            <w:pPr>
              <w:jc w:val="center"/>
              <w:rPr>
                <w:rFonts w:ascii="宋体" w:hAnsi="Times New Roman" w:eastAsia="宋体" w:cs="宋体"/>
                <w:sz w:val="22"/>
                <w:szCs w:val="22"/>
              </w:rPr>
            </w:pPr>
            <w:r>
              <w:rPr>
                <w:rFonts w:hint="eastAsia" w:ascii="宋体" w:hAnsi="宋体" w:cs="宋体"/>
                <w:sz w:val="22"/>
                <w:szCs w:val="22"/>
              </w:rPr>
              <w:t>1152.36</w:t>
            </w:r>
          </w:p>
        </w:tc>
      </w:tr>
    </w:tbl>
    <w:p>
      <w:pPr>
        <w:jc w:val="left"/>
      </w:pPr>
    </w:p>
    <w:p>
      <w:pPr>
        <w:spacing w:before="10" w:after="10"/>
        <w:ind w:firstLine="640"/>
        <w:jc w:val="left"/>
        <w:outlineLvl w:val="2"/>
      </w:pPr>
      <w:bookmarkStart w:id="7" w:name="_Toc_3_3_0000000017"/>
      <w:r>
        <w:rPr>
          <w:rFonts w:ascii="黑体" w:hAnsi="黑体" w:eastAsia="黑体" w:cs="黑体"/>
          <w:color w:val="000000"/>
          <w:sz w:val="32"/>
        </w:rPr>
        <w:t>八、名词解释</w:t>
      </w:r>
      <w:bookmarkEnd w:id="7"/>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line="500" w:lineRule="exact"/>
        <w:ind w:firstLine="560"/>
        <w:jc w:val="left"/>
        <w:rPr>
          <w:rFonts w:ascii="Times New Roman" w:hAnsi="Times New Roman" w:eastAsia="方正仿宋_GBK" w:cs="Times New Roman"/>
          <w:color w:val="000000"/>
          <w:sz w:val="28"/>
        </w:rPr>
      </w:pPr>
      <w:bookmarkStart w:id="8" w:name="_Toc_3_3_0000000018"/>
      <w:r>
        <w:rPr>
          <w:rFonts w:ascii="Times New Roman" w:hAnsi="Times New Roman" w:eastAsia="方正仿宋_GBK" w:cs="Times New Roman"/>
          <w:color w:val="000000"/>
          <w:sz w:val="28"/>
        </w:rPr>
        <w:t>九、其他需要说明的事项</w:t>
      </w:r>
      <w:bookmarkEnd w:id="8"/>
    </w:p>
    <w:p>
      <w:pPr>
        <w:spacing w:line="500" w:lineRule="exact"/>
        <w:ind w:firstLine="560"/>
        <w:jc w:val="left"/>
      </w:pPr>
      <w:r>
        <w:rPr>
          <w:rFonts w:ascii="Times New Roman" w:hAnsi="Times New Roman" w:eastAsia="方正仿宋_GBK" w:cs="Times New Roman"/>
          <w:color w:val="000000"/>
          <w:sz w:val="28"/>
        </w:rPr>
        <w:t>我部门无其他需要说明的事项。</w:t>
      </w:r>
    </w:p>
    <w:p>
      <w:pPr>
        <w:jc w:val="center"/>
      </w:pPr>
    </w:p>
    <w:p>
      <w:pPr>
        <w:jc w:val="center"/>
      </w:pPr>
    </w:p>
    <w:p>
      <w:pPr>
        <w:spacing w:line="500" w:lineRule="exact"/>
        <w:ind w:firstLine="560"/>
        <w:jc w:val="left"/>
      </w:pPr>
    </w:p>
    <w:p>
      <w:pPr>
        <w:ind w:firstLine="640"/>
        <w:jc w:val="left"/>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line="500" w:lineRule="exact"/>
        <w:ind w:firstLine="560"/>
        <w:jc w:val="lef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_GB2312">
    <w:altName w:val="URW Bookman"/>
    <w:panose1 w:val="00000000000000000000"/>
    <w:charset w:val="00"/>
    <w:family w:val="auto"/>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52FCB"/>
    <w:multiLevelType w:val="singleLevel"/>
    <w:tmpl w:val="23D52FCB"/>
    <w:lvl w:ilvl="0" w:tentative="0">
      <w:start w:val="4"/>
      <w:numFmt w:val="chineseCounting"/>
      <w:suff w:val="nothing"/>
      <w:lvlText w:val="%1、"/>
      <w:lvlJc w:val="left"/>
      <w:rPr>
        <w:rFonts w:hint="eastAsia"/>
      </w:rPr>
    </w:lvl>
  </w:abstractNum>
  <w:abstractNum w:abstractNumId="1">
    <w:nsid w:val="2F000000"/>
    <w:multiLevelType w:val="multilevel"/>
    <w:tmpl w:val="2F000000"/>
    <w:lvl w:ilvl="0" w:tentative="0">
      <w:start w:val="2"/>
      <w:numFmt w:val="decimal"/>
      <w:suff w:val="nothing"/>
      <w:lvlText w:val="%1、"/>
      <w:lvlJc w:val="left"/>
      <w:rPr>
        <w:rFonts w:cs="Times New Roman"/>
      </w:rPr>
    </w:lvl>
    <w:lvl w:ilvl="1" w:tentative="0">
      <w:start w:val="2"/>
      <w:numFmt w:val="decimal"/>
      <w:suff w:val="nothing"/>
      <w:lvlText w:val="%1、"/>
      <w:lvlJc w:val="left"/>
      <w:rPr>
        <w:rFonts w:cs="Times New Roman"/>
      </w:rPr>
    </w:lvl>
    <w:lvl w:ilvl="2" w:tentative="0">
      <w:start w:val="2"/>
      <w:numFmt w:val="decimal"/>
      <w:suff w:val="nothing"/>
      <w:lvlText w:val="%1、"/>
      <w:lvlJc w:val="left"/>
      <w:rPr>
        <w:rFonts w:cs="Times New Roman"/>
      </w:rPr>
    </w:lvl>
    <w:lvl w:ilvl="3" w:tentative="0">
      <w:start w:val="2"/>
      <w:numFmt w:val="decimal"/>
      <w:suff w:val="nothing"/>
      <w:lvlText w:val="%1、"/>
      <w:lvlJc w:val="left"/>
      <w:rPr>
        <w:rFonts w:cs="Times New Roman"/>
      </w:rPr>
    </w:lvl>
    <w:lvl w:ilvl="4" w:tentative="0">
      <w:start w:val="2"/>
      <w:numFmt w:val="decimal"/>
      <w:suff w:val="nothing"/>
      <w:lvlText w:val="%1、"/>
      <w:lvlJc w:val="left"/>
      <w:rPr>
        <w:rFonts w:cs="Times New Roman"/>
      </w:rPr>
    </w:lvl>
    <w:lvl w:ilvl="5" w:tentative="0">
      <w:start w:val="2"/>
      <w:numFmt w:val="decimal"/>
      <w:suff w:val="nothing"/>
      <w:lvlText w:val="%1、"/>
      <w:lvlJc w:val="left"/>
      <w:rPr>
        <w:rFonts w:cs="Times New Roman"/>
      </w:rPr>
    </w:lvl>
    <w:lvl w:ilvl="6" w:tentative="0">
      <w:start w:val="2"/>
      <w:numFmt w:val="decimal"/>
      <w:suff w:val="nothing"/>
      <w:lvlText w:val="%1、"/>
      <w:lvlJc w:val="left"/>
      <w:rPr>
        <w:rFonts w:cs="Times New Roman"/>
      </w:rPr>
    </w:lvl>
    <w:lvl w:ilvl="7" w:tentative="0">
      <w:start w:val="2"/>
      <w:numFmt w:val="decimal"/>
      <w:suff w:val="nothing"/>
      <w:lvlText w:val="%1、"/>
      <w:lvlJc w:val="left"/>
      <w:rPr>
        <w:rFonts w:cs="Times New Roman"/>
      </w:rPr>
    </w:lvl>
    <w:lvl w:ilvl="8"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37097C"/>
    <w:rsid w:val="0037097C"/>
    <w:rsid w:val="008C3448"/>
    <w:rsid w:val="00D50A07"/>
    <w:rsid w:val="00FA239A"/>
    <w:rsid w:val="0AFA61CF"/>
    <w:rsid w:val="16F94C2D"/>
    <w:rsid w:val="1D4E67F3"/>
    <w:rsid w:val="39A52A6D"/>
    <w:rsid w:val="4BC16AD8"/>
    <w:rsid w:val="6B8E76D0"/>
    <w:rsid w:val="BD7EB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2"/>
    <w:basedOn w:val="1"/>
    <w:qFormat/>
    <w:uiPriority w:val="0"/>
    <w:pPr>
      <w:jc w:val="left"/>
    </w:pPr>
    <w:rPr>
      <w:rFonts w:ascii="方正书宋_GBK" w:hAnsi="方正书宋_GBK" w:eastAsia="方正书宋_GBK" w:cs="方正书宋_GBK"/>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1">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2">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3">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4">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单元格样式20"/>
    <w:basedOn w:val="1"/>
    <w:qFormat/>
    <w:uiPriority w:val="0"/>
    <w:pPr>
      <w:jc w:val="left"/>
    </w:pPr>
    <w:rPr>
      <w:rFonts w:ascii="方正小标宋_GBK" w:hAnsi="方正小标宋_GBK" w:eastAsia="方正小标宋_GBK" w:cs="方正小标宋_GBK"/>
      <w:sz w:val="24"/>
    </w:rPr>
  </w:style>
  <w:style w:type="paragraph" w:customStyle="1" w:styleId="16">
    <w:name w:val="单元格样式23"/>
    <w:basedOn w:val="1"/>
    <w:qFormat/>
    <w:uiPriority w:val="0"/>
    <w:pPr>
      <w:jc w:val="right"/>
    </w:pPr>
    <w:rPr>
      <w:rFonts w:ascii="方正书宋_GBK" w:hAnsi="方正书宋_GBK" w:eastAsia="方正书宋_GBK" w:cs="方正书宋_GBK"/>
      <w:sz w:val="24"/>
    </w:rPr>
  </w:style>
  <w:style w:type="paragraph" w:customStyle="1" w:styleId="17">
    <w:name w:val="单元格样式6"/>
    <w:basedOn w:val="1"/>
    <w:qFormat/>
    <w:uiPriority w:val="0"/>
    <w:pPr>
      <w:jc w:val="center"/>
    </w:pPr>
    <w:rPr>
      <w:rFonts w:ascii="方正书宋_GBK" w:hAnsi="方正书宋_GBK" w:eastAsia="方正书宋_GBK" w:cs="方正书宋_GBK"/>
      <w:b/>
    </w:rPr>
  </w:style>
  <w:style w:type="paragraph" w:customStyle="1" w:styleId="18">
    <w:name w:val="单元格样式7"/>
    <w:basedOn w:val="1"/>
    <w:qFormat/>
    <w:uiPriority w:val="0"/>
    <w:pPr>
      <w:jc w:val="right"/>
    </w:pPr>
    <w:rPr>
      <w:rFonts w:ascii="方正书宋_GBK" w:hAnsi="方正书宋_GBK" w:eastAsia="方正书宋_GBK" w:cs="方正书宋_GBK"/>
      <w:b/>
    </w:rPr>
  </w:style>
  <w:style w:type="paragraph" w:customStyle="1" w:styleId="19">
    <w:name w:val="单元格样式5"/>
    <w:basedOn w:val="1"/>
    <w:qFormat/>
    <w:uiPriority w:val="0"/>
    <w:pPr>
      <w:jc w:val="left"/>
    </w:pPr>
    <w:rPr>
      <w:rFonts w:ascii="方正书宋_GBK" w:hAnsi="方正书宋_GBK" w:eastAsia="方正书宋_GBK" w:cs="方正书宋_GBK"/>
      <w:b/>
    </w:rPr>
  </w:style>
  <w:style w:type="paragraph" w:customStyle="1" w:styleId="20">
    <w:name w:val="单元格样式4"/>
    <w:basedOn w:val="1"/>
    <w:qFormat/>
    <w:uiPriority w:val="0"/>
    <w:pPr>
      <w:jc w:val="right"/>
    </w:pPr>
    <w:rPr>
      <w:rFonts w:ascii="方正书宋_GBK" w:hAnsi="方正书宋_GBK" w:eastAsia="方正书宋_GBK" w:cs="方正书宋_GBK"/>
    </w:rPr>
  </w:style>
  <w:style w:type="paragraph" w:customStyle="1" w:styleId="21">
    <w:name w:val="单元格样式22"/>
    <w:basedOn w:val="1"/>
    <w:qFormat/>
    <w:uiPriority w:val="0"/>
    <w:pPr>
      <w:jc w:val="right"/>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10763</Words>
  <Characters>11308</Characters>
  <Lines>86</Lines>
  <Paragraphs>24</Paragraphs>
  <TotalTime>51</TotalTime>
  <ScaleCrop>false</ScaleCrop>
  <LinksUpToDate>false</LinksUpToDate>
  <CharactersWithSpaces>11350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2023-04-10T10:26:00Z</dcterms:created>
  <dc:creator>hp</dc:creator>
  <cp:lastModifiedBy>user</cp:lastModifiedBy>
  <dcterms:modified xsi:type="dcterms:W3CDTF">2025-02-19T10:03:03Z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DABE7AB6FC0E4F388F1F0CAD807841A1_13</vt:lpwstr>
  </property>
</Properties>
</file>