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黑体" w:hAnsi="黑体" w:eastAsia="黑体" w:cs="黑体"/>
          <w:b/>
          <w:color w:val="000000"/>
          <w:sz w:val="30"/>
        </w:rPr>
      </w:pPr>
      <w:r>
        <w:rPr>
          <w:rFonts w:hint="eastAsia" w:ascii="黑体" w:hAnsi="黑体" w:eastAsia="黑体" w:cs="黑体"/>
          <w:b/>
          <w:color w:val="000000"/>
          <w:sz w:val="30"/>
        </w:rPr>
        <w:t>唐山市曹妃甸区商务和投资促进局</w:t>
      </w:r>
      <w:r>
        <w:rPr>
          <w:rFonts w:ascii="黑体" w:hAnsi="黑体" w:eastAsia="黑体" w:cs="黑体"/>
          <w:b/>
          <w:color w:val="000000"/>
          <w:sz w:val="30"/>
        </w:rPr>
        <w:t>部门所属单位预算</w:t>
      </w:r>
    </w:p>
    <w:p>
      <w:pPr>
        <w:pStyle w:val="3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一、唐山市曹妃甸区商务和投资促进局本级收支预算</w:t>
      </w:r>
      <w:r>
        <w:tab/>
      </w:r>
      <w:r>
        <w:rPr>
          <w:rFonts w:hint="eastAsia" w:asciiTheme="minorEastAsia" w:hAnsiTheme="minorEastAsia" w:eastAsiaTheme="minorEastAsia"/>
          <w:lang w:eastAsia="zh-CN"/>
        </w:rPr>
        <w:t>1</w:t>
      </w:r>
      <w:r>
        <w:rPr>
          <w:rFonts w:hint="eastAsia" w:asciiTheme="minorEastAsia" w:hAnsiTheme="minorEastAsia" w:eastAsiaTheme="minorEastAsia"/>
          <w:lang w:eastAsia="zh-CN"/>
        </w:rPr>
        <w:fldChar w:fldCharType="end"/>
      </w:r>
    </w:p>
    <w:p>
      <w:pPr>
        <w:pStyle w:val="33"/>
        <w:tabs>
          <w:tab w:val="right" w:leader="dot" w:pos="14562"/>
        </w:tabs>
        <w:rPr>
          <w:rFonts w:hint="eastAsia" w:eastAsia="方正仿宋_GBK"/>
          <w:lang w:val="en-US" w:eastAsia="zh-CN"/>
        </w:rPr>
      </w:pPr>
      <w:r>
        <w:fldChar w:fldCharType="begin"/>
      </w:r>
      <w:r>
        <w:instrText xml:space="preserve"> HYPERLINK \l "_Toc_4_4_0000000020" </w:instrText>
      </w:r>
      <w:r>
        <w:fldChar w:fldCharType="separate"/>
      </w:r>
      <w:r>
        <w:t>二、曹妃甸区企管中心收支预算</w:t>
      </w:r>
      <w:r>
        <w:tab/>
      </w:r>
      <w:r>
        <w:rPr>
          <w:rFonts w:hint="eastAsia"/>
          <w:lang w:val="en-US" w:eastAsia="zh-CN"/>
        </w:rPr>
        <w:t>2</w:t>
      </w:r>
      <w:r>
        <w:fldChar w:fldCharType="end"/>
      </w:r>
      <w:r>
        <w:rPr>
          <w:rFonts w:hint="eastAsia"/>
          <w:lang w:val="en-US" w:eastAsia="zh-CN"/>
        </w:rPr>
        <w:t>3</w:t>
      </w:r>
    </w:p>
    <w:p>
      <w:r>
        <w:fldChar w:fldCharType="end"/>
      </w:r>
      <w:r>
        <w:br w:type="page"/>
      </w:r>
    </w:p>
    <w:p>
      <w:pPr>
        <w:sectPr>
          <w:footerReference r:id="rId5" w:type="first"/>
          <w:headerReference r:id="rId3" w:type="even"/>
          <w:footerReference r:id="rId4" w:type="even"/>
          <w:pgSz w:w="16840" w:h="11900" w:orient="landscape"/>
          <w:pgMar w:top="1587" w:right="1134" w:bottom="1361" w:left="1134" w:header="720" w:footer="720" w:gutter="0"/>
          <w:pgNumType w:start="1"/>
          <w:cols w:space="720" w:num="1"/>
        </w:sectPr>
      </w:pPr>
    </w:p>
    <w:p>
      <w:pPr>
        <w:jc w:val="center"/>
        <w:outlineLvl w:val="3"/>
      </w:pPr>
      <w:bookmarkStart w:id="0" w:name="_Toc_4_4_0000000019"/>
      <w:r>
        <w:rPr>
          <w:rFonts w:ascii="方正小标宋_GBK" w:hAnsi="方正小标宋_GBK" w:eastAsia="方正小标宋_GBK" w:cs="方正小标宋_GBK"/>
          <w:color w:val="000000"/>
          <w:sz w:val="44"/>
        </w:rPr>
        <w:t>一、唐山市曹妃甸区商务和投资促进局本级收支预算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322001唐山市曹妃甸区商务和投资促进局本级</w:t>
            </w:r>
          </w:p>
        </w:tc>
        <w:tc>
          <w:tcPr>
            <w:tcW w:w="2126" w:type="dxa"/>
            <w:tcBorders>
              <w:top w:val="single" w:color="FFFFFF" w:sz="6" w:space="0"/>
              <w:left w:val="single" w:color="FFFFFF" w:sz="6" w:space="0"/>
              <w:right w:val="single" w:color="FFFFFF" w:sz="6" w:space="0"/>
            </w:tcBorders>
            <w:vAlign w:val="center"/>
          </w:tcPr>
          <w:p>
            <w:pPr>
              <w:pStyle w:val="9"/>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865.98</w:t>
            </w:r>
          </w:p>
        </w:tc>
        <w:tc>
          <w:tcPr>
            <w:tcW w:w="4535" w:type="dxa"/>
            <w:vAlign w:val="center"/>
          </w:tcPr>
          <w:p>
            <w:pPr>
              <w:pStyle w:val="13"/>
            </w:pPr>
            <w:r>
              <w:t>一、一般公共服务支出</w:t>
            </w:r>
          </w:p>
        </w:tc>
        <w:tc>
          <w:tcPr>
            <w:tcW w:w="2126" w:type="dxa"/>
            <w:vAlign w:val="center"/>
          </w:tcPr>
          <w:p>
            <w:pPr>
              <w:pStyle w:val="12"/>
            </w:pPr>
            <w:r>
              <w:t>647.12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五、事业收入</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r>
              <w:t>六、事业单位经营收入</w:t>
            </w: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r>
              <w:t>七、上级补助收入</w:t>
            </w: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r>
              <w:t>八、附属单位上缴收入</w:t>
            </w: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94.40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r>
              <w:t>九、其他收入</w:t>
            </w: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78.86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45.60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5"/>
            </w:pPr>
            <w:r>
              <w:t>本年收入合计</w:t>
            </w:r>
          </w:p>
        </w:tc>
        <w:tc>
          <w:tcPr>
            <w:tcW w:w="2126" w:type="dxa"/>
            <w:vAlign w:val="center"/>
          </w:tcPr>
          <w:p>
            <w:pPr>
              <w:pStyle w:val="16"/>
            </w:pPr>
            <w:r>
              <w:t>865.98</w:t>
            </w:r>
          </w:p>
        </w:tc>
        <w:tc>
          <w:tcPr>
            <w:tcW w:w="4535" w:type="dxa"/>
            <w:vAlign w:val="center"/>
          </w:tcPr>
          <w:p>
            <w:pPr>
              <w:pStyle w:val="15"/>
            </w:pPr>
            <w:r>
              <w:t>本年支出合计</w:t>
            </w:r>
          </w:p>
        </w:tc>
        <w:tc>
          <w:tcPr>
            <w:tcW w:w="2126" w:type="dxa"/>
            <w:vAlign w:val="center"/>
          </w:tcPr>
          <w:p>
            <w:pPr>
              <w:pStyle w:val="16"/>
            </w:pPr>
            <w:r>
              <w:t>865.98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5"/>
            </w:pPr>
            <w:r>
              <w:t>收入总计</w:t>
            </w:r>
          </w:p>
        </w:tc>
        <w:tc>
          <w:tcPr>
            <w:tcW w:w="2126" w:type="dxa"/>
            <w:vAlign w:val="center"/>
          </w:tcPr>
          <w:p>
            <w:pPr>
              <w:pStyle w:val="16"/>
            </w:pPr>
            <w:r>
              <w:t>865.98</w:t>
            </w:r>
          </w:p>
        </w:tc>
        <w:tc>
          <w:tcPr>
            <w:tcW w:w="4535" w:type="dxa"/>
            <w:vAlign w:val="center"/>
          </w:tcPr>
          <w:p>
            <w:pPr>
              <w:pStyle w:val="15"/>
            </w:pPr>
            <w:r>
              <w:t>支出总计</w:t>
            </w:r>
          </w:p>
        </w:tc>
        <w:tc>
          <w:tcPr>
            <w:tcW w:w="2126" w:type="dxa"/>
            <w:vAlign w:val="center"/>
          </w:tcPr>
          <w:p>
            <w:pPr>
              <w:pStyle w:val="16"/>
            </w:pPr>
            <w:r>
              <w:t>865.98</w:t>
            </w:r>
          </w:p>
        </w:tc>
      </w:tr>
    </w:tbl>
    <w:p>
      <w:pPr>
        <w:sectPr>
          <w:footerReference r:id="rId8" w:type="first"/>
          <w:footerReference r:id="rId6" w:type="default"/>
          <w:footerReference r:id="rId7" w:type="even"/>
          <w:pgSz w:w="16840" w:h="11900" w:orient="landscape"/>
          <w:pgMar w:top="1361" w:right="1020" w:bottom="1134" w:left="1020" w:header="720" w:footer="720" w:gutter="0"/>
          <w:pgNumType w:fmt="decimal" w:start="1"/>
          <w:cols w:space="720" w:num="1"/>
          <w:titlePg/>
          <w:docGrid w:linePitch="326" w:charSpace="0"/>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322001唐山市曹妃甸区商务和投资促进局本级</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865.98</w:t>
            </w:r>
          </w:p>
        </w:tc>
        <w:tc>
          <w:tcPr>
            <w:tcW w:w="1134" w:type="dxa"/>
            <w:vAlign w:val="center"/>
          </w:tcPr>
          <w:p>
            <w:pPr>
              <w:pStyle w:val="16"/>
            </w:pPr>
            <w:r>
              <w:t>865.98</w:t>
            </w:r>
          </w:p>
        </w:tc>
        <w:tc>
          <w:tcPr>
            <w:tcW w:w="1134" w:type="dxa"/>
            <w:vAlign w:val="center"/>
          </w:tcPr>
          <w:p>
            <w:pPr>
              <w:pStyle w:val="16"/>
            </w:pPr>
            <w:r>
              <w:t>865.98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647.12</w:t>
            </w:r>
          </w:p>
        </w:tc>
        <w:tc>
          <w:tcPr>
            <w:tcW w:w="1134" w:type="dxa"/>
            <w:vAlign w:val="center"/>
          </w:tcPr>
          <w:p>
            <w:pPr>
              <w:pStyle w:val="12"/>
            </w:pPr>
            <w:r>
              <w:t>647.12</w:t>
            </w:r>
          </w:p>
        </w:tc>
        <w:tc>
          <w:tcPr>
            <w:tcW w:w="1134" w:type="dxa"/>
            <w:vAlign w:val="center"/>
          </w:tcPr>
          <w:p>
            <w:pPr>
              <w:pStyle w:val="12"/>
            </w:pPr>
            <w:r>
              <w:t>647.12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20113</w:t>
            </w:r>
          </w:p>
        </w:tc>
        <w:tc>
          <w:tcPr>
            <w:tcW w:w="1559" w:type="dxa"/>
            <w:vAlign w:val="center"/>
          </w:tcPr>
          <w:p>
            <w:pPr>
              <w:pStyle w:val="13"/>
            </w:pPr>
            <w:r>
              <w:t>商贸事务</w:t>
            </w:r>
          </w:p>
        </w:tc>
        <w:tc>
          <w:tcPr>
            <w:tcW w:w="1134" w:type="dxa"/>
            <w:vAlign w:val="center"/>
          </w:tcPr>
          <w:p>
            <w:pPr>
              <w:pStyle w:val="12"/>
            </w:pPr>
            <w:r>
              <w:t>647.12</w:t>
            </w:r>
          </w:p>
        </w:tc>
        <w:tc>
          <w:tcPr>
            <w:tcW w:w="1134" w:type="dxa"/>
            <w:vAlign w:val="center"/>
          </w:tcPr>
          <w:p>
            <w:pPr>
              <w:pStyle w:val="12"/>
            </w:pPr>
            <w:r>
              <w:t>647.12</w:t>
            </w:r>
          </w:p>
        </w:tc>
        <w:tc>
          <w:tcPr>
            <w:tcW w:w="1134" w:type="dxa"/>
            <w:vAlign w:val="center"/>
          </w:tcPr>
          <w:p>
            <w:pPr>
              <w:pStyle w:val="12"/>
            </w:pPr>
            <w:r>
              <w:t>647.12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2011301</w:t>
            </w:r>
          </w:p>
        </w:tc>
        <w:tc>
          <w:tcPr>
            <w:tcW w:w="1559" w:type="dxa"/>
            <w:vAlign w:val="center"/>
          </w:tcPr>
          <w:p>
            <w:pPr>
              <w:pStyle w:val="13"/>
            </w:pPr>
            <w:r>
              <w:t>行政运行</w:t>
            </w:r>
          </w:p>
        </w:tc>
        <w:tc>
          <w:tcPr>
            <w:tcW w:w="1134" w:type="dxa"/>
            <w:vAlign w:val="center"/>
          </w:tcPr>
          <w:p>
            <w:pPr>
              <w:pStyle w:val="12"/>
            </w:pPr>
            <w:r>
              <w:t>468.12</w:t>
            </w:r>
          </w:p>
        </w:tc>
        <w:tc>
          <w:tcPr>
            <w:tcW w:w="1134" w:type="dxa"/>
            <w:vAlign w:val="center"/>
          </w:tcPr>
          <w:p>
            <w:pPr>
              <w:pStyle w:val="12"/>
            </w:pPr>
            <w:r>
              <w:t>468.12</w:t>
            </w:r>
          </w:p>
        </w:tc>
        <w:tc>
          <w:tcPr>
            <w:tcW w:w="1134" w:type="dxa"/>
            <w:vAlign w:val="center"/>
          </w:tcPr>
          <w:p>
            <w:pPr>
              <w:pStyle w:val="12"/>
            </w:pPr>
            <w:r>
              <w:t>468.12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2011308</w:t>
            </w:r>
          </w:p>
        </w:tc>
        <w:tc>
          <w:tcPr>
            <w:tcW w:w="1559" w:type="dxa"/>
            <w:vAlign w:val="center"/>
          </w:tcPr>
          <w:p>
            <w:pPr>
              <w:pStyle w:val="13"/>
            </w:pPr>
            <w:r>
              <w:t>招商引资</w:t>
            </w:r>
          </w:p>
        </w:tc>
        <w:tc>
          <w:tcPr>
            <w:tcW w:w="1134" w:type="dxa"/>
            <w:vAlign w:val="center"/>
          </w:tcPr>
          <w:p>
            <w:pPr>
              <w:pStyle w:val="12"/>
            </w:pPr>
            <w:r>
              <w:t>179.00</w:t>
            </w:r>
          </w:p>
        </w:tc>
        <w:tc>
          <w:tcPr>
            <w:tcW w:w="1134" w:type="dxa"/>
            <w:vAlign w:val="center"/>
          </w:tcPr>
          <w:p>
            <w:pPr>
              <w:pStyle w:val="12"/>
            </w:pPr>
            <w:r>
              <w:t>179.00</w:t>
            </w:r>
          </w:p>
        </w:tc>
        <w:tc>
          <w:tcPr>
            <w:tcW w:w="1134" w:type="dxa"/>
            <w:vAlign w:val="center"/>
          </w:tcPr>
          <w:p>
            <w:pPr>
              <w:pStyle w:val="12"/>
            </w:pPr>
            <w:r>
              <w:t>179.00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94.40</w:t>
            </w:r>
          </w:p>
        </w:tc>
        <w:tc>
          <w:tcPr>
            <w:tcW w:w="1134" w:type="dxa"/>
            <w:vAlign w:val="center"/>
          </w:tcPr>
          <w:p>
            <w:pPr>
              <w:pStyle w:val="12"/>
            </w:pPr>
            <w:r>
              <w:t>94.40</w:t>
            </w:r>
          </w:p>
        </w:tc>
        <w:tc>
          <w:tcPr>
            <w:tcW w:w="1134" w:type="dxa"/>
            <w:vAlign w:val="center"/>
          </w:tcPr>
          <w:p>
            <w:pPr>
              <w:pStyle w:val="12"/>
            </w:pPr>
            <w:r>
              <w:t>94.40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91.20</w:t>
            </w:r>
          </w:p>
        </w:tc>
        <w:tc>
          <w:tcPr>
            <w:tcW w:w="1134" w:type="dxa"/>
            <w:vAlign w:val="center"/>
          </w:tcPr>
          <w:p>
            <w:pPr>
              <w:pStyle w:val="12"/>
            </w:pPr>
            <w:r>
              <w:t>91.20</w:t>
            </w:r>
          </w:p>
        </w:tc>
        <w:tc>
          <w:tcPr>
            <w:tcW w:w="1134" w:type="dxa"/>
            <w:vAlign w:val="center"/>
          </w:tcPr>
          <w:p>
            <w:pPr>
              <w:pStyle w:val="12"/>
            </w:pPr>
            <w:r>
              <w:t>91.20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60.80</w:t>
            </w:r>
          </w:p>
        </w:tc>
        <w:tc>
          <w:tcPr>
            <w:tcW w:w="1134" w:type="dxa"/>
            <w:vAlign w:val="center"/>
          </w:tcPr>
          <w:p>
            <w:pPr>
              <w:pStyle w:val="12"/>
            </w:pPr>
            <w:r>
              <w:t>60.80</w:t>
            </w:r>
          </w:p>
        </w:tc>
        <w:tc>
          <w:tcPr>
            <w:tcW w:w="1134" w:type="dxa"/>
            <w:vAlign w:val="center"/>
          </w:tcPr>
          <w:p>
            <w:pPr>
              <w:pStyle w:val="12"/>
            </w:pPr>
            <w:r>
              <w:t>60.80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30.40</w:t>
            </w:r>
          </w:p>
        </w:tc>
        <w:tc>
          <w:tcPr>
            <w:tcW w:w="1134" w:type="dxa"/>
            <w:vAlign w:val="center"/>
          </w:tcPr>
          <w:p>
            <w:pPr>
              <w:pStyle w:val="12"/>
            </w:pPr>
            <w:r>
              <w:t>30.40</w:t>
            </w:r>
          </w:p>
        </w:tc>
        <w:tc>
          <w:tcPr>
            <w:tcW w:w="1134" w:type="dxa"/>
            <w:vAlign w:val="center"/>
          </w:tcPr>
          <w:p>
            <w:pPr>
              <w:pStyle w:val="12"/>
            </w:pPr>
            <w:r>
              <w:t>30.40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20808</w:t>
            </w:r>
          </w:p>
        </w:tc>
        <w:tc>
          <w:tcPr>
            <w:tcW w:w="1559" w:type="dxa"/>
            <w:vAlign w:val="center"/>
          </w:tcPr>
          <w:p>
            <w:pPr>
              <w:pStyle w:val="13"/>
            </w:pPr>
            <w:r>
              <w:t>抚恤</w:t>
            </w:r>
          </w:p>
        </w:tc>
        <w:tc>
          <w:tcPr>
            <w:tcW w:w="1134" w:type="dxa"/>
            <w:vAlign w:val="center"/>
          </w:tcPr>
          <w:p>
            <w:pPr>
              <w:pStyle w:val="12"/>
            </w:pPr>
            <w:r>
              <w:t>3.20</w:t>
            </w:r>
          </w:p>
        </w:tc>
        <w:tc>
          <w:tcPr>
            <w:tcW w:w="1134" w:type="dxa"/>
            <w:vAlign w:val="center"/>
          </w:tcPr>
          <w:p>
            <w:pPr>
              <w:pStyle w:val="12"/>
            </w:pPr>
            <w:r>
              <w:t>3.20</w:t>
            </w:r>
          </w:p>
        </w:tc>
        <w:tc>
          <w:tcPr>
            <w:tcW w:w="1134" w:type="dxa"/>
            <w:vAlign w:val="center"/>
          </w:tcPr>
          <w:p>
            <w:pPr>
              <w:pStyle w:val="12"/>
            </w:pPr>
            <w:r>
              <w:t>3.20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2080802</w:t>
            </w:r>
          </w:p>
        </w:tc>
        <w:tc>
          <w:tcPr>
            <w:tcW w:w="1559" w:type="dxa"/>
            <w:vAlign w:val="center"/>
          </w:tcPr>
          <w:p>
            <w:pPr>
              <w:pStyle w:val="13"/>
            </w:pPr>
            <w:r>
              <w:t>伤残抚恤</w:t>
            </w:r>
          </w:p>
        </w:tc>
        <w:tc>
          <w:tcPr>
            <w:tcW w:w="1134" w:type="dxa"/>
            <w:vAlign w:val="center"/>
          </w:tcPr>
          <w:p>
            <w:pPr>
              <w:pStyle w:val="12"/>
            </w:pPr>
            <w:r>
              <w:t>3.20</w:t>
            </w:r>
          </w:p>
        </w:tc>
        <w:tc>
          <w:tcPr>
            <w:tcW w:w="1134" w:type="dxa"/>
            <w:vAlign w:val="center"/>
          </w:tcPr>
          <w:p>
            <w:pPr>
              <w:pStyle w:val="12"/>
            </w:pPr>
            <w:r>
              <w:t>3.20</w:t>
            </w:r>
          </w:p>
        </w:tc>
        <w:tc>
          <w:tcPr>
            <w:tcW w:w="1134" w:type="dxa"/>
            <w:vAlign w:val="center"/>
          </w:tcPr>
          <w:p>
            <w:pPr>
              <w:pStyle w:val="12"/>
            </w:pPr>
            <w:r>
              <w:t>3.20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78.86</w:t>
            </w:r>
          </w:p>
        </w:tc>
        <w:tc>
          <w:tcPr>
            <w:tcW w:w="1134" w:type="dxa"/>
            <w:vAlign w:val="center"/>
          </w:tcPr>
          <w:p>
            <w:pPr>
              <w:pStyle w:val="12"/>
            </w:pPr>
            <w:r>
              <w:t>78.86</w:t>
            </w:r>
          </w:p>
        </w:tc>
        <w:tc>
          <w:tcPr>
            <w:tcW w:w="1134" w:type="dxa"/>
            <w:vAlign w:val="center"/>
          </w:tcPr>
          <w:p>
            <w:pPr>
              <w:pStyle w:val="12"/>
            </w:pPr>
            <w:r>
              <w:t>78.86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78.86</w:t>
            </w:r>
          </w:p>
        </w:tc>
        <w:tc>
          <w:tcPr>
            <w:tcW w:w="1134" w:type="dxa"/>
            <w:vAlign w:val="center"/>
          </w:tcPr>
          <w:p>
            <w:pPr>
              <w:pStyle w:val="12"/>
            </w:pPr>
            <w:r>
              <w:t>78.86</w:t>
            </w:r>
          </w:p>
        </w:tc>
        <w:tc>
          <w:tcPr>
            <w:tcW w:w="1134" w:type="dxa"/>
            <w:vAlign w:val="center"/>
          </w:tcPr>
          <w:p>
            <w:pPr>
              <w:pStyle w:val="12"/>
            </w:pPr>
            <w:r>
              <w:t>78.86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28.45</w:t>
            </w:r>
          </w:p>
        </w:tc>
        <w:tc>
          <w:tcPr>
            <w:tcW w:w="1134" w:type="dxa"/>
            <w:vAlign w:val="center"/>
          </w:tcPr>
          <w:p>
            <w:pPr>
              <w:pStyle w:val="12"/>
            </w:pPr>
            <w:r>
              <w:t>28.45</w:t>
            </w:r>
          </w:p>
        </w:tc>
        <w:tc>
          <w:tcPr>
            <w:tcW w:w="1134" w:type="dxa"/>
            <w:vAlign w:val="center"/>
          </w:tcPr>
          <w:p>
            <w:pPr>
              <w:pStyle w:val="12"/>
            </w:pPr>
            <w:r>
              <w:t>28.45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50.41</w:t>
            </w:r>
          </w:p>
        </w:tc>
        <w:tc>
          <w:tcPr>
            <w:tcW w:w="1134" w:type="dxa"/>
            <w:vAlign w:val="center"/>
          </w:tcPr>
          <w:p>
            <w:pPr>
              <w:pStyle w:val="12"/>
            </w:pPr>
            <w:r>
              <w:t>50.41</w:t>
            </w:r>
          </w:p>
        </w:tc>
        <w:tc>
          <w:tcPr>
            <w:tcW w:w="1134" w:type="dxa"/>
            <w:vAlign w:val="center"/>
          </w:tcPr>
          <w:p>
            <w:pPr>
              <w:pStyle w:val="12"/>
            </w:pPr>
            <w:r>
              <w:t>50.41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45.60</w:t>
            </w:r>
          </w:p>
        </w:tc>
        <w:tc>
          <w:tcPr>
            <w:tcW w:w="1134" w:type="dxa"/>
            <w:vAlign w:val="center"/>
          </w:tcPr>
          <w:p>
            <w:pPr>
              <w:pStyle w:val="12"/>
            </w:pPr>
            <w:r>
              <w:t>45.60</w:t>
            </w:r>
          </w:p>
        </w:tc>
        <w:tc>
          <w:tcPr>
            <w:tcW w:w="1134" w:type="dxa"/>
            <w:vAlign w:val="center"/>
          </w:tcPr>
          <w:p>
            <w:pPr>
              <w:pStyle w:val="12"/>
            </w:pPr>
            <w:r>
              <w:t>45.60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45.60</w:t>
            </w:r>
          </w:p>
        </w:tc>
        <w:tc>
          <w:tcPr>
            <w:tcW w:w="1134" w:type="dxa"/>
            <w:vAlign w:val="center"/>
          </w:tcPr>
          <w:p>
            <w:pPr>
              <w:pStyle w:val="12"/>
            </w:pPr>
            <w:r>
              <w:t>45.60</w:t>
            </w:r>
          </w:p>
        </w:tc>
        <w:tc>
          <w:tcPr>
            <w:tcW w:w="1134" w:type="dxa"/>
            <w:vAlign w:val="center"/>
          </w:tcPr>
          <w:p>
            <w:pPr>
              <w:pStyle w:val="12"/>
            </w:pPr>
            <w:r>
              <w:t>45.60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45.60</w:t>
            </w:r>
          </w:p>
        </w:tc>
        <w:tc>
          <w:tcPr>
            <w:tcW w:w="1134" w:type="dxa"/>
            <w:vAlign w:val="center"/>
          </w:tcPr>
          <w:p>
            <w:pPr>
              <w:pStyle w:val="12"/>
            </w:pPr>
            <w:r>
              <w:t>45.60</w:t>
            </w:r>
          </w:p>
        </w:tc>
        <w:tc>
          <w:tcPr>
            <w:tcW w:w="1134" w:type="dxa"/>
            <w:vAlign w:val="center"/>
          </w:tcPr>
          <w:p>
            <w:pPr>
              <w:pStyle w:val="12"/>
            </w:pPr>
            <w:r>
              <w:t>45.60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pgNumType w:fmt="decimal"/>
          <w:cols w:space="720" w:num="1"/>
          <w:titlePg/>
          <w:docGrid w:linePitch="326" w:charSpace="0"/>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322001唐山市曹妃甸区商务和投资促进局本级</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865.98</w:t>
            </w:r>
          </w:p>
        </w:tc>
        <w:tc>
          <w:tcPr>
            <w:tcW w:w="1361" w:type="dxa"/>
            <w:vAlign w:val="center"/>
          </w:tcPr>
          <w:p>
            <w:pPr>
              <w:pStyle w:val="16"/>
            </w:pPr>
            <w:r>
              <w:t>683.78</w:t>
            </w:r>
          </w:p>
        </w:tc>
        <w:tc>
          <w:tcPr>
            <w:tcW w:w="1361" w:type="dxa"/>
            <w:vAlign w:val="center"/>
          </w:tcPr>
          <w:p>
            <w:pPr>
              <w:pStyle w:val="16"/>
            </w:pPr>
            <w:r>
              <w:t>182.20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647.12</w:t>
            </w:r>
          </w:p>
        </w:tc>
        <w:tc>
          <w:tcPr>
            <w:tcW w:w="1361" w:type="dxa"/>
            <w:vAlign w:val="center"/>
          </w:tcPr>
          <w:p>
            <w:pPr>
              <w:pStyle w:val="12"/>
            </w:pPr>
            <w:r>
              <w:t>468.12</w:t>
            </w:r>
          </w:p>
        </w:tc>
        <w:tc>
          <w:tcPr>
            <w:tcW w:w="1361" w:type="dxa"/>
            <w:vAlign w:val="center"/>
          </w:tcPr>
          <w:p>
            <w:pPr>
              <w:pStyle w:val="12"/>
            </w:pPr>
            <w:r>
              <w:t>179.00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20113</w:t>
            </w:r>
          </w:p>
        </w:tc>
        <w:tc>
          <w:tcPr>
            <w:tcW w:w="4535" w:type="dxa"/>
            <w:vAlign w:val="center"/>
          </w:tcPr>
          <w:p>
            <w:pPr>
              <w:pStyle w:val="13"/>
            </w:pPr>
            <w:r>
              <w:t>商贸事务</w:t>
            </w:r>
          </w:p>
        </w:tc>
        <w:tc>
          <w:tcPr>
            <w:tcW w:w="1361" w:type="dxa"/>
            <w:vAlign w:val="center"/>
          </w:tcPr>
          <w:p>
            <w:pPr>
              <w:pStyle w:val="12"/>
            </w:pPr>
            <w:r>
              <w:t>647.12</w:t>
            </w:r>
          </w:p>
        </w:tc>
        <w:tc>
          <w:tcPr>
            <w:tcW w:w="1361" w:type="dxa"/>
            <w:vAlign w:val="center"/>
          </w:tcPr>
          <w:p>
            <w:pPr>
              <w:pStyle w:val="12"/>
            </w:pPr>
            <w:r>
              <w:t>468.12</w:t>
            </w:r>
          </w:p>
        </w:tc>
        <w:tc>
          <w:tcPr>
            <w:tcW w:w="1361" w:type="dxa"/>
            <w:vAlign w:val="center"/>
          </w:tcPr>
          <w:p>
            <w:pPr>
              <w:pStyle w:val="12"/>
            </w:pPr>
            <w:r>
              <w:t>179.00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2011301</w:t>
            </w:r>
          </w:p>
        </w:tc>
        <w:tc>
          <w:tcPr>
            <w:tcW w:w="4535" w:type="dxa"/>
            <w:vAlign w:val="center"/>
          </w:tcPr>
          <w:p>
            <w:pPr>
              <w:pStyle w:val="13"/>
            </w:pPr>
            <w:r>
              <w:t>行政运行</w:t>
            </w:r>
          </w:p>
        </w:tc>
        <w:tc>
          <w:tcPr>
            <w:tcW w:w="1361" w:type="dxa"/>
            <w:vAlign w:val="center"/>
          </w:tcPr>
          <w:p>
            <w:pPr>
              <w:pStyle w:val="12"/>
            </w:pPr>
            <w:r>
              <w:t>468.12</w:t>
            </w:r>
          </w:p>
        </w:tc>
        <w:tc>
          <w:tcPr>
            <w:tcW w:w="1361" w:type="dxa"/>
            <w:vAlign w:val="center"/>
          </w:tcPr>
          <w:p>
            <w:pPr>
              <w:pStyle w:val="12"/>
            </w:pPr>
            <w:r>
              <w:t>468.12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2011308</w:t>
            </w:r>
          </w:p>
        </w:tc>
        <w:tc>
          <w:tcPr>
            <w:tcW w:w="4535" w:type="dxa"/>
            <w:vAlign w:val="center"/>
          </w:tcPr>
          <w:p>
            <w:pPr>
              <w:pStyle w:val="13"/>
            </w:pPr>
            <w:r>
              <w:t>招商引资</w:t>
            </w:r>
          </w:p>
        </w:tc>
        <w:tc>
          <w:tcPr>
            <w:tcW w:w="1361" w:type="dxa"/>
            <w:vAlign w:val="center"/>
          </w:tcPr>
          <w:p>
            <w:pPr>
              <w:pStyle w:val="12"/>
            </w:pPr>
            <w:r>
              <w:t>179.00</w:t>
            </w:r>
          </w:p>
        </w:tc>
        <w:tc>
          <w:tcPr>
            <w:tcW w:w="1361" w:type="dxa"/>
            <w:vAlign w:val="center"/>
          </w:tcPr>
          <w:p>
            <w:pPr>
              <w:pStyle w:val="12"/>
            </w:pPr>
          </w:p>
        </w:tc>
        <w:tc>
          <w:tcPr>
            <w:tcW w:w="1361" w:type="dxa"/>
            <w:vAlign w:val="center"/>
          </w:tcPr>
          <w:p>
            <w:pPr>
              <w:pStyle w:val="12"/>
            </w:pPr>
            <w:r>
              <w:t>179.00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94.40</w:t>
            </w:r>
          </w:p>
        </w:tc>
        <w:tc>
          <w:tcPr>
            <w:tcW w:w="1361" w:type="dxa"/>
            <w:vAlign w:val="center"/>
          </w:tcPr>
          <w:p>
            <w:pPr>
              <w:pStyle w:val="12"/>
            </w:pPr>
            <w:r>
              <w:t>91.20</w:t>
            </w:r>
          </w:p>
        </w:tc>
        <w:tc>
          <w:tcPr>
            <w:tcW w:w="1361" w:type="dxa"/>
            <w:vAlign w:val="center"/>
          </w:tcPr>
          <w:p>
            <w:pPr>
              <w:pStyle w:val="12"/>
            </w:pPr>
            <w:r>
              <w:t>3.20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91.20</w:t>
            </w:r>
          </w:p>
        </w:tc>
        <w:tc>
          <w:tcPr>
            <w:tcW w:w="1361" w:type="dxa"/>
            <w:vAlign w:val="center"/>
          </w:tcPr>
          <w:p>
            <w:pPr>
              <w:pStyle w:val="12"/>
            </w:pPr>
            <w:r>
              <w:t>91.20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60.80</w:t>
            </w:r>
          </w:p>
        </w:tc>
        <w:tc>
          <w:tcPr>
            <w:tcW w:w="1361" w:type="dxa"/>
            <w:vAlign w:val="center"/>
          </w:tcPr>
          <w:p>
            <w:pPr>
              <w:pStyle w:val="12"/>
            </w:pPr>
            <w:r>
              <w:t>60.80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30.40</w:t>
            </w:r>
          </w:p>
        </w:tc>
        <w:tc>
          <w:tcPr>
            <w:tcW w:w="1361" w:type="dxa"/>
            <w:vAlign w:val="center"/>
          </w:tcPr>
          <w:p>
            <w:pPr>
              <w:pStyle w:val="12"/>
            </w:pPr>
            <w:r>
              <w:t>30.40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20808</w:t>
            </w:r>
          </w:p>
        </w:tc>
        <w:tc>
          <w:tcPr>
            <w:tcW w:w="4535" w:type="dxa"/>
            <w:vAlign w:val="center"/>
          </w:tcPr>
          <w:p>
            <w:pPr>
              <w:pStyle w:val="13"/>
            </w:pPr>
            <w:r>
              <w:t>抚恤</w:t>
            </w:r>
          </w:p>
        </w:tc>
        <w:tc>
          <w:tcPr>
            <w:tcW w:w="1361" w:type="dxa"/>
            <w:vAlign w:val="center"/>
          </w:tcPr>
          <w:p>
            <w:pPr>
              <w:pStyle w:val="12"/>
            </w:pPr>
            <w:r>
              <w:t>3.20</w:t>
            </w:r>
          </w:p>
        </w:tc>
        <w:tc>
          <w:tcPr>
            <w:tcW w:w="1361" w:type="dxa"/>
            <w:vAlign w:val="center"/>
          </w:tcPr>
          <w:p>
            <w:pPr>
              <w:pStyle w:val="12"/>
            </w:pPr>
          </w:p>
        </w:tc>
        <w:tc>
          <w:tcPr>
            <w:tcW w:w="1361" w:type="dxa"/>
            <w:vAlign w:val="center"/>
          </w:tcPr>
          <w:p>
            <w:pPr>
              <w:pStyle w:val="12"/>
            </w:pPr>
            <w:r>
              <w:t>3.20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2080802</w:t>
            </w:r>
          </w:p>
        </w:tc>
        <w:tc>
          <w:tcPr>
            <w:tcW w:w="4535" w:type="dxa"/>
            <w:vAlign w:val="center"/>
          </w:tcPr>
          <w:p>
            <w:pPr>
              <w:pStyle w:val="13"/>
            </w:pPr>
            <w:r>
              <w:t>伤残抚恤</w:t>
            </w:r>
          </w:p>
        </w:tc>
        <w:tc>
          <w:tcPr>
            <w:tcW w:w="1361" w:type="dxa"/>
            <w:vAlign w:val="center"/>
          </w:tcPr>
          <w:p>
            <w:pPr>
              <w:pStyle w:val="12"/>
            </w:pPr>
            <w:r>
              <w:t>3.20</w:t>
            </w:r>
          </w:p>
        </w:tc>
        <w:tc>
          <w:tcPr>
            <w:tcW w:w="1361" w:type="dxa"/>
            <w:vAlign w:val="center"/>
          </w:tcPr>
          <w:p>
            <w:pPr>
              <w:pStyle w:val="12"/>
            </w:pPr>
          </w:p>
        </w:tc>
        <w:tc>
          <w:tcPr>
            <w:tcW w:w="1361" w:type="dxa"/>
            <w:vAlign w:val="center"/>
          </w:tcPr>
          <w:p>
            <w:pPr>
              <w:pStyle w:val="12"/>
            </w:pPr>
            <w:r>
              <w:t>3.20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78.86</w:t>
            </w:r>
          </w:p>
        </w:tc>
        <w:tc>
          <w:tcPr>
            <w:tcW w:w="1361" w:type="dxa"/>
            <w:vAlign w:val="center"/>
          </w:tcPr>
          <w:p>
            <w:pPr>
              <w:pStyle w:val="12"/>
            </w:pPr>
            <w:r>
              <w:t>78.86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78.86</w:t>
            </w:r>
          </w:p>
        </w:tc>
        <w:tc>
          <w:tcPr>
            <w:tcW w:w="1361" w:type="dxa"/>
            <w:vAlign w:val="center"/>
          </w:tcPr>
          <w:p>
            <w:pPr>
              <w:pStyle w:val="12"/>
            </w:pPr>
            <w:r>
              <w:t>78.86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28.45</w:t>
            </w:r>
          </w:p>
        </w:tc>
        <w:tc>
          <w:tcPr>
            <w:tcW w:w="1361" w:type="dxa"/>
            <w:vAlign w:val="center"/>
          </w:tcPr>
          <w:p>
            <w:pPr>
              <w:pStyle w:val="12"/>
            </w:pPr>
            <w:r>
              <w:t>28.45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50.41</w:t>
            </w:r>
          </w:p>
        </w:tc>
        <w:tc>
          <w:tcPr>
            <w:tcW w:w="1361" w:type="dxa"/>
            <w:vAlign w:val="center"/>
          </w:tcPr>
          <w:p>
            <w:pPr>
              <w:pStyle w:val="12"/>
            </w:pPr>
            <w:r>
              <w:t>50.41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45.60</w:t>
            </w:r>
          </w:p>
        </w:tc>
        <w:tc>
          <w:tcPr>
            <w:tcW w:w="1361" w:type="dxa"/>
            <w:vAlign w:val="center"/>
          </w:tcPr>
          <w:p>
            <w:pPr>
              <w:pStyle w:val="12"/>
            </w:pPr>
            <w:r>
              <w:t>45.60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45.60</w:t>
            </w:r>
          </w:p>
        </w:tc>
        <w:tc>
          <w:tcPr>
            <w:tcW w:w="1361" w:type="dxa"/>
            <w:vAlign w:val="center"/>
          </w:tcPr>
          <w:p>
            <w:pPr>
              <w:pStyle w:val="12"/>
            </w:pPr>
            <w:r>
              <w:t>45.60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45.60</w:t>
            </w:r>
          </w:p>
        </w:tc>
        <w:tc>
          <w:tcPr>
            <w:tcW w:w="1361" w:type="dxa"/>
            <w:vAlign w:val="center"/>
          </w:tcPr>
          <w:p>
            <w:pPr>
              <w:pStyle w:val="12"/>
            </w:pPr>
            <w:r>
              <w:t>45.60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322001唐山市曹妃甸区商务和投资促进局本级</w:t>
            </w:r>
          </w:p>
        </w:tc>
        <w:tc>
          <w:tcPr>
            <w:tcW w:w="3402" w:type="dxa"/>
            <w:tcBorders>
              <w:top w:val="single" w:color="FFFFFF" w:sz="6" w:space="0"/>
              <w:left w:val="single" w:color="FFFFFF" w:sz="6" w:space="0"/>
              <w:right w:val="single" w:color="FFFFFF" w:sz="6" w:space="0"/>
            </w:tcBorders>
            <w:vAlign w:val="center"/>
          </w:tcPr>
          <w:p>
            <w:pPr>
              <w:pStyle w:val="9"/>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865.98</w:t>
            </w:r>
          </w:p>
        </w:tc>
        <w:tc>
          <w:tcPr>
            <w:tcW w:w="3402" w:type="dxa"/>
            <w:vAlign w:val="center"/>
          </w:tcPr>
          <w:p>
            <w:pPr>
              <w:pStyle w:val="13"/>
            </w:pPr>
            <w:r>
              <w:t>一、一般公共服务支出</w:t>
            </w:r>
          </w:p>
        </w:tc>
        <w:tc>
          <w:tcPr>
            <w:tcW w:w="1474" w:type="dxa"/>
            <w:vAlign w:val="center"/>
          </w:tcPr>
          <w:p>
            <w:pPr>
              <w:pStyle w:val="12"/>
            </w:pPr>
            <w:r>
              <w:t>647.12</w:t>
            </w:r>
          </w:p>
        </w:tc>
        <w:tc>
          <w:tcPr>
            <w:tcW w:w="1474" w:type="dxa"/>
            <w:vAlign w:val="center"/>
          </w:tcPr>
          <w:p>
            <w:pPr>
              <w:pStyle w:val="12"/>
            </w:pPr>
            <w:r>
              <w:t>647.12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94.40</w:t>
            </w:r>
          </w:p>
        </w:tc>
        <w:tc>
          <w:tcPr>
            <w:tcW w:w="1474" w:type="dxa"/>
            <w:vAlign w:val="center"/>
          </w:tcPr>
          <w:p>
            <w:pPr>
              <w:pStyle w:val="12"/>
            </w:pPr>
            <w:r>
              <w:t>94.40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78.86</w:t>
            </w:r>
          </w:p>
        </w:tc>
        <w:tc>
          <w:tcPr>
            <w:tcW w:w="1474" w:type="dxa"/>
            <w:vAlign w:val="center"/>
          </w:tcPr>
          <w:p>
            <w:pPr>
              <w:pStyle w:val="12"/>
            </w:pPr>
            <w:r>
              <w:t>78.86</w:t>
            </w: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45.60</w:t>
            </w:r>
          </w:p>
        </w:tc>
        <w:tc>
          <w:tcPr>
            <w:tcW w:w="1474" w:type="dxa"/>
            <w:vAlign w:val="center"/>
          </w:tcPr>
          <w:p>
            <w:pPr>
              <w:pStyle w:val="12"/>
            </w:pPr>
            <w:r>
              <w:t>45.60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5"/>
            </w:pPr>
            <w:r>
              <w:t>本年收入合计</w:t>
            </w:r>
          </w:p>
        </w:tc>
        <w:tc>
          <w:tcPr>
            <w:tcW w:w="1474" w:type="dxa"/>
            <w:vAlign w:val="center"/>
          </w:tcPr>
          <w:p>
            <w:pPr>
              <w:pStyle w:val="16"/>
            </w:pPr>
            <w:r>
              <w:t>865.98</w:t>
            </w:r>
          </w:p>
        </w:tc>
        <w:tc>
          <w:tcPr>
            <w:tcW w:w="3402" w:type="dxa"/>
            <w:vAlign w:val="center"/>
          </w:tcPr>
          <w:p>
            <w:pPr>
              <w:pStyle w:val="15"/>
            </w:pPr>
            <w:r>
              <w:t>本年支出合计</w:t>
            </w:r>
          </w:p>
        </w:tc>
        <w:tc>
          <w:tcPr>
            <w:tcW w:w="1474" w:type="dxa"/>
            <w:vAlign w:val="center"/>
          </w:tcPr>
          <w:p>
            <w:pPr>
              <w:pStyle w:val="16"/>
            </w:pPr>
            <w:r>
              <w:t>865.98</w:t>
            </w:r>
          </w:p>
        </w:tc>
        <w:tc>
          <w:tcPr>
            <w:tcW w:w="1474" w:type="dxa"/>
            <w:vAlign w:val="center"/>
          </w:tcPr>
          <w:p>
            <w:pPr>
              <w:pStyle w:val="16"/>
            </w:pPr>
            <w:r>
              <w:t>865.98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5"/>
            </w:pPr>
            <w:r>
              <w:t>收入总计</w:t>
            </w:r>
          </w:p>
        </w:tc>
        <w:tc>
          <w:tcPr>
            <w:tcW w:w="1474" w:type="dxa"/>
            <w:vAlign w:val="center"/>
          </w:tcPr>
          <w:p>
            <w:pPr>
              <w:pStyle w:val="16"/>
            </w:pPr>
            <w:r>
              <w:t>865.98</w:t>
            </w:r>
          </w:p>
        </w:tc>
        <w:tc>
          <w:tcPr>
            <w:tcW w:w="3402" w:type="dxa"/>
            <w:vAlign w:val="center"/>
          </w:tcPr>
          <w:p>
            <w:pPr>
              <w:pStyle w:val="15"/>
            </w:pPr>
            <w:r>
              <w:t>支出总计</w:t>
            </w:r>
          </w:p>
        </w:tc>
        <w:tc>
          <w:tcPr>
            <w:tcW w:w="1474" w:type="dxa"/>
            <w:vAlign w:val="center"/>
          </w:tcPr>
          <w:p>
            <w:pPr>
              <w:pStyle w:val="16"/>
            </w:pPr>
            <w:r>
              <w:t>865.98</w:t>
            </w:r>
          </w:p>
        </w:tc>
        <w:tc>
          <w:tcPr>
            <w:tcW w:w="1474" w:type="dxa"/>
            <w:vAlign w:val="center"/>
          </w:tcPr>
          <w:p>
            <w:pPr>
              <w:pStyle w:val="16"/>
            </w:pPr>
            <w:r>
              <w:t>865.98</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322001唐山市曹妃甸区商务和投资促进局本级</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865.98</w:t>
            </w:r>
          </w:p>
        </w:tc>
        <w:tc>
          <w:tcPr>
            <w:tcW w:w="2551" w:type="dxa"/>
            <w:vAlign w:val="center"/>
          </w:tcPr>
          <w:p>
            <w:pPr>
              <w:pStyle w:val="16"/>
            </w:pPr>
            <w:r>
              <w:t>683.78</w:t>
            </w:r>
          </w:p>
        </w:tc>
        <w:tc>
          <w:tcPr>
            <w:tcW w:w="2551" w:type="dxa"/>
            <w:vAlign w:val="center"/>
          </w:tcPr>
          <w:p>
            <w:pPr>
              <w:pStyle w:val="16"/>
            </w:pPr>
            <w:r>
              <w:t>182.20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647.12</w:t>
            </w:r>
          </w:p>
        </w:tc>
        <w:tc>
          <w:tcPr>
            <w:tcW w:w="2551" w:type="dxa"/>
            <w:vAlign w:val="center"/>
          </w:tcPr>
          <w:p>
            <w:pPr>
              <w:pStyle w:val="12"/>
            </w:pPr>
            <w:r>
              <w:t>468.12</w:t>
            </w:r>
          </w:p>
        </w:tc>
        <w:tc>
          <w:tcPr>
            <w:tcW w:w="2551" w:type="dxa"/>
            <w:vAlign w:val="center"/>
          </w:tcPr>
          <w:p>
            <w:pPr>
              <w:pStyle w:val="12"/>
            </w:pPr>
            <w:r>
              <w:t>179.00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20113</w:t>
            </w:r>
          </w:p>
        </w:tc>
        <w:tc>
          <w:tcPr>
            <w:tcW w:w="4535" w:type="dxa"/>
            <w:vAlign w:val="center"/>
          </w:tcPr>
          <w:p>
            <w:pPr>
              <w:pStyle w:val="13"/>
            </w:pPr>
            <w:r>
              <w:t>商贸事务</w:t>
            </w:r>
          </w:p>
        </w:tc>
        <w:tc>
          <w:tcPr>
            <w:tcW w:w="2551" w:type="dxa"/>
            <w:vAlign w:val="center"/>
          </w:tcPr>
          <w:p>
            <w:pPr>
              <w:pStyle w:val="12"/>
            </w:pPr>
            <w:r>
              <w:t>647.12</w:t>
            </w:r>
          </w:p>
        </w:tc>
        <w:tc>
          <w:tcPr>
            <w:tcW w:w="2551" w:type="dxa"/>
            <w:vAlign w:val="center"/>
          </w:tcPr>
          <w:p>
            <w:pPr>
              <w:pStyle w:val="12"/>
            </w:pPr>
            <w:r>
              <w:t>468.12</w:t>
            </w:r>
          </w:p>
        </w:tc>
        <w:tc>
          <w:tcPr>
            <w:tcW w:w="2551" w:type="dxa"/>
            <w:vAlign w:val="center"/>
          </w:tcPr>
          <w:p>
            <w:pPr>
              <w:pStyle w:val="12"/>
            </w:pPr>
            <w:r>
              <w:t>179.00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2011301</w:t>
            </w:r>
          </w:p>
        </w:tc>
        <w:tc>
          <w:tcPr>
            <w:tcW w:w="4535" w:type="dxa"/>
            <w:vAlign w:val="center"/>
          </w:tcPr>
          <w:p>
            <w:pPr>
              <w:pStyle w:val="13"/>
            </w:pPr>
            <w:r>
              <w:t>行政运行</w:t>
            </w:r>
          </w:p>
        </w:tc>
        <w:tc>
          <w:tcPr>
            <w:tcW w:w="2551" w:type="dxa"/>
            <w:vAlign w:val="center"/>
          </w:tcPr>
          <w:p>
            <w:pPr>
              <w:pStyle w:val="12"/>
            </w:pPr>
            <w:r>
              <w:t>468.12</w:t>
            </w:r>
          </w:p>
        </w:tc>
        <w:tc>
          <w:tcPr>
            <w:tcW w:w="2551" w:type="dxa"/>
            <w:vAlign w:val="center"/>
          </w:tcPr>
          <w:p>
            <w:pPr>
              <w:pStyle w:val="12"/>
            </w:pPr>
            <w:r>
              <w:t>468.12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2011308</w:t>
            </w:r>
          </w:p>
        </w:tc>
        <w:tc>
          <w:tcPr>
            <w:tcW w:w="4535" w:type="dxa"/>
            <w:vAlign w:val="center"/>
          </w:tcPr>
          <w:p>
            <w:pPr>
              <w:pStyle w:val="13"/>
            </w:pPr>
            <w:r>
              <w:t>招商引资</w:t>
            </w:r>
          </w:p>
        </w:tc>
        <w:tc>
          <w:tcPr>
            <w:tcW w:w="2551" w:type="dxa"/>
            <w:vAlign w:val="center"/>
          </w:tcPr>
          <w:p>
            <w:pPr>
              <w:pStyle w:val="12"/>
            </w:pPr>
            <w:r>
              <w:t>179.00</w:t>
            </w:r>
          </w:p>
        </w:tc>
        <w:tc>
          <w:tcPr>
            <w:tcW w:w="2551" w:type="dxa"/>
            <w:vAlign w:val="center"/>
          </w:tcPr>
          <w:p>
            <w:pPr>
              <w:pStyle w:val="12"/>
            </w:pPr>
          </w:p>
        </w:tc>
        <w:tc>
          <w:tcPr>
            <w:tcW w:w="2551" w:type="dxa"/>
            <w:vAlign w:val="center"/>
          </w:tcPr>
          <w:p>
            <w:pPr>
              <w:pStyle w:val="12"/>
            </w:pPr>
            <w:r>
              <w:t>179.00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94.40</w:t>
            </w:r>
          </w:p>
        </w:tc>
        <w:tc>
          <w:tcPr>
            <w:tcW w:w="2551" w:type="dxa"/>
            <w:vAlign w:val="center"/>
          </w:tcPr>
          <w:p>
            <w:pPr>
              <w:pStyle w:val="12"/>
            </w:pPr>
            <w:r>
              <w:t>91.20</w:t>
            </w:r>
          </w:p>
        </w:tc>
        <w:tc>
          <w:tcPr>
            <w:tcW w:w="2551" w:type="dxa"/>
            <w:vAlign w:val="center"/>
          </w:tcPr>
          <w:p>
            <w:pPr>
              <w:pStyle w:val="12"/>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91.20</w:t>
            </w:r>
          </w:p>
        </w:tc>
        <w:tc>
          <w:tcPr>
            <w:tcW w:w="2551" w:type="dxa"/>
            <w:vAlign w:val="center"/>
          </w:tcPr>
          <w:p>
            <w:pPr>
              <w:pStyle w:val="12"/>
            </w:pPr>
            <w:r>
              <w:t>91.20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60.80</w:t>
            </w:r>
          </w:p>
        </w:tc>
        <w:tc>
          <w:tcPr>
            <w:tcW w:w="2551" w:type="dxa"/>
            <w:vAlign w:val="center"/>
          </w:tcPr>
          <w:p>
            <w:pPr>
              <w:pStyle w:val="12"/>
            </w:pPr>
            <w:r>
              <w:t>60.80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30.40</w:t>
            </w:r>
          </w:p>
        </w:tc>
        <w:tc>
          <w:tcPr>
            <w:tcW w:w="2551" w:type="dxa"/>
            <w:vAlign w:val="center"/>
          </w:tcPr>
          <w:p>
            <w:pPr>
              <w:pStyle w:val="12"/>
            </w:pPr>
            <w:r>
              <w:t>30.40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20808</w:t>
            </w:r>
          </w:p>
        </w:tc>
        <w:tc>
          <w:tcPr>
            <w:tcW w:w="4535" w:type="dxa"/>
            <w:vAlign w:val="center"/>
          </w:tcPr>
          <w:p>
            <w:pPr>
              <w:pStyle w:val="13"/>
            </w:pPr>
            <w:r>
              <w:t>抚恤</w:t>
            </w:r>
          </w:p>
        </w:tc>
        <w:tc>
          <w:tcPr>
            <w:tcW w:w="2551" w:type="dxa"/>
            <w:vAlign w:val="center"/>
          </w:tcPr>
          <w:p>
            <w:pPr>
              <w:pStyle w:val="12"/>
            </w:pPr>
            <w:r>
              <w:t>3.20</w:t>
            </w:r>
          </w:p>
        </w:tc>
        <w:tc>
          <w:tcPr>
            <w:tcW w:w="2551" w:type="dxa"/>
            <w:vAlign w:val="center"/>
          </w:tcPr>
          <w:p>
            <w:pPr>
              <w:pStyle w:val="12"/>
            </w:pPr>
          </w:p>
        </w:tc>
        <w:tc>
          <w:tcPr>
            <w:tcW w:w="2551" w:type="dxa"/>
            <w:vAlign w:val="center"/>
          </w:tcPr>
          <w:p>
            <w:pPr>
              <w:pStyle w:val="12"/>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2080802</w:t>
            </w:r>
          </w:p>
        </w:tc>
        <w:tc>
          <w:tcPr>
            <w:tcW w:w="4535" w:type="dxa"/>
            <w:vAlign w:val="center"/>
          </w:tcPr>
          <w:p>
            <w:pPr>
              <w:pStyle w:val="13"/>
            </w:pPr>
            <w:r>
              <w:t>伤残抚恤</w:t>
            </w:r>
          </w:p>
        </w:tc>
        <w:tc>
          <w:tcPr>
            <w:tcW w:w="2551" w:type="dxa"/>
            <w:vAlign w:val="center"/>
          </w:tcPr>
          <w:p>
            <w:pPr>
              <w:pStyle w:val="12"/>
            </w:pPr>
            <w:r>
              <w:t>3.20</w:t>
            </w:r>
          </w:p>
        </w:tc>
        <w:tc>
          <w:tcPr>
            <w:tcW w:w="2551" w:type="dxa"/>
            <w:vAlign w:val="center"/>
          </w:tcPr>
          <w:p>
            <w:pPr>
              <w:pStyle w:val="12"/>
            </w:pPr>
          </w:p>
        </w:tc>
        <w:tc>
          <w:tcPr>
            <w:tcW w:w="2551" w:type="dxa"/>
            <w:vAlign w:val="center"/>
          </w:tcPr>
          <w:p>
            <w:pPr>
              <w:pStyle w:val="12"/>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78.86</w:t>
            </w:r>
          </w:p>
        </w:tc>
        <w:tc>
          <w:tcPr>
            <w:tcW w:w="2551" w:type="dxa"/>
            <w:vAlign w:val="center"/>
          </w:tcPr>
          <w:p>
            <w:pPr>
              <w:pStyle w:val="12"/>
            </w:pPr>
            <w:r>
              <w:t>78.86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78.86</w:t>
            </w:r>
          </w:p>
        </w:tc>
        <w:tc>
          <w:tcPr>
            <w:tcW w:w="2551" w:type="dxa"/>
            <w:vAlign w:val="center"/>
          </w:tcPr>
          <w:p>
            <w:pPr>
              <w:pStyle w:val="12"/>
            </w:pPr>
            <w:r>
              <w:t>78.86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28.45</w:t>
            </w:r>
          </w:p>
        </w:tc>
        <w:tc>
          <w:tcPr>
            <w:tcW w:w="2551" w:type="dxa"/>
            <w:vAlign w:val="center"/>
          </w:tcPr>
          <w:p>
            <w:pPr>
              <w:pStyle w:val="12"/>
            </w:pPr>
            <w:r>
              <w:t>28.45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50.41</w:t>
            </w:r>
          </w:p>
        </w:tc>
        <w:tc>
          <w:tcPr>
            <w:tcW w:w="2551" w:type="dxa"/>
            <w:vAlign w:val="center"/>
          </w:tcPr>
          <w:p>
            <w:pPr>
              <w:pStyle w:val="12"/>
            </w:pPr>
            <w:r>
              <w:t>50.41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45.60</w:t>
            </w:r>
          </w:p>
        </w:tc>
        <w:tc>
          <w:tcPr>
            <w:tcW w:w="2551" w:type="dxa"/>
            <w:vAlign w:val="center"/>
          </w:tcPr>
          <w:p>
            <w:pPr>
              <w:pStyle w:val="12"/>
            </w:pPr>
            <w:r>
              <w:t>45.60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45.60</w:t>
            </w:r>
          </w:p>
        </w:tc>
        <w:tc>
          <w:tcPr>
            <w:tcW w:w="2551" w:type="dxa"/>
            <w:vAlign w:val="center"/>
          </w:tcPr>
          <w:p>
            <w:pPr>
              <w:pStyle w:val="12"/>
            </w:pPr>
            <w:r>
              <w:t>45.60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45.60</w:t>
            </w:r>
          </w:p>
        </w:tc>
        <w:tc>
          <w:tcPr>
            <w:tcW w:w="2551" w:type="dxa"/>
            <w:vAlign w:val="center"/>
          </w:tcPr>
          <w:p>
            <w:pPr>
              <w:pStyle w:val="12"/>
            </w:pPr>
            <w:r>
              <w:t>45.60</w:t>
            </w:r>
          </w:p>
        </w:tc>
        <w:tc>
          <w:tcPr>
            <w:tcW w:w="2551" w:type="dxa"/>
            <w:vAlign w:val="center"/>
          </w:tcPr>
          <w:p>
            <w:pPr>
              <w:pStyle w:val="12"/>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322001唐山市曹妃甸区商务和投资促进局本级</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683.78</w:t>
            </w:r>
          </w:p>
        </w:tc>
        <w:tc>
          <w:tcPr>
            <w:tcW w:w="2551" w:type="dxa"/>
            <w:vAlign w:val="center"/>
          </w:tcPr>
          <w:p>
            <w:pPr>
              <w:pStyle w:val="16"/>
            </w:pPr>
            <w:r>
              <w:t>629.29</w:t>
            </w:r>
          </w:p>
        </w:tc>
        <w:tc>
          <w:tcPr>
            <w:tcW w:w="2551" w:type="dxa"/>
            <w:vAlign w:val="center"/>
          </w:tcPr>
          <w:p>
            <w:pPr>
              <w:pStyle w:val="16"/>
            </w:pPr>
            <w:r>
              <w:t>54.49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620.92</w:t>
            </w:r>
          </w:p>
        </w:tc>
        <w:tc>
          <w:tcPr>
            <w:tcW w:w="2551" w:type="dxa"/>
            <w:vAlign w:val="center"/>
          </w:tcPr>
          <w:p>
            <w:pPr>
              <w:pStyle w:val="12"/>
            </w:pPr>
            <w:r>
              <w:t>620.92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171.17</w:t>
            </w:r>
          </w:p>
        </w:tc>
        <w:tc>
          <w:tcPr>
            <w:tcW w:w="2551" w:type="dxa"/>
            <w:vAlign w:val="center"/>
          </w:tcPr>
          <w:p>
            <w:pPr>
              <w:pStyle w:val="12"/>
            </w:pPr>
            <w:r>
              <w:t>171.17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51.77</w:t>
            </w:r>
          </w:p>
        </w:tc>
        <w:tc>
          <w:tcPr>
            <w:tcW w:w="2551" w:type="dxa"/>
            <w:vAlign w:val="center"/>
          </w:tcPr>
          <w:p>
            <w:pPr>
              <w:pStyle w:val="12"/>
            </w:pPr>
            <w:r>
              <w:t>51.77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2.90</w:t>
            </w:r>
          </w:p>
        </w:tc>
        <w:tc>
          <w:tcPr>
            <w:tcW w:w="2551" w:type="dxa"/>
            <w:vAlign w:val="center"/>
          </w:tcPr>
          <w:p>
            <w:pPr>
              <w:pStyle w:val="12"/>
            </w:pPr>
            <w:r>
              <w:t>2.90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165.23</w:t>
            </w:r>
          </w:p>
        </w:tc>
        <w:tc>
          <w:tcPr>
            <w:tcW w:w="2551" w:type="dxa"/>
            <w:vAlign w:val="center"/>
          </w:tcPr>
          <w:p>
            <w:pPr>
              <w:pStyle w:val="12"/>
            </w:pPr>
            <w:r>
              <w:t>165.23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60.80</w:t>
            </w:r>
          </w:p>
        </w:tc>
        <w:tc>
          <w:tcPr>
            <w:tcW w:w="2551" w:type="dxa"/>
            <w:vAlign w:val="center"/>
          </w:tcPr>
          <w:p>
            <w:pPr>
              <w:pStyle w:val="12"/>
            </w:pPr>
            <w:r>
              <w:t>60.80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30.40</w:t>
            </w:r>
          </w:p>
        </w:tc>
        <w:tc>
          <w:tcPr>
            <w:tcW w:w="2551" w:type="dxa"/>
            <w:vAlign w:val="center"/>
          </w:tcPr>
          <w:p>
            <w:pPr>
              <w:pStyle w:val="12"/>
            </w:pPr>
            <w:r>
              <w:t>30.40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城镇职工基本医疗保险缴费</w:t>
            </w:r>
          </w:p>
        </w:tc>
        <w:tc>
          <w:tcPr>
            <w:tcW w:w="2551" w:type="dxa"/>
            <w:vAlign w:val="center"/>
          </w:tcPr>
          <w:p>
            <w:pPr>
              <w:pStyle w:val="12"/>
            </w:pPr>
            <w:r>
              <w:t>28.45</w:t>
            </w:r>
          </w:p>
        </w:tc>
        <w:tc>
          <w:tcPr>
            <w:tcW w:w="2551" w:type="dxa"/>
            <w:vAlign w:val="center"/>
          </w:tcPr>
          <w:p>
            <w:pPr>
              <w:pStyle w:val="12"/>
            </w:pPr>
            <w:r>
              <w:t>28.45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50.41</w:t>
            </w:r>
          </w:p>
        </w:tc>
        <w:tc>
          <w:tcPr>
            <w:tcW w:w="2551" w:type="dxa"/>
            <w:vAlign w:val="center"/>
          </w:tcPr>
          <w:p>
            <w:pPr>
              <w:pStyle w:val="12"/>
            </w:pPr>
            <w:r>
              <w:t>50.41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4.77</w:t>
            </w:r>
          </w:p>
        </w:tc>
        <w:tc>
          <w:tcPr>
            <w:tcW w:w="2551" w:type="dxa"/>
            <w:vAlign w:val="center"/>
          </w:tcPr>
          <w:p>
            <w:pPr>
              <w:pStyle w:val="12"/>
            </w:pPr>
            <w:r>
              <w:t>4.77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45.60</w:t>
            </w:r>
          </w:p>
        </w:tc>
        <w:tc>
          <w:tcPr>
            <w:tcW w:w="2551" w:type="dxa"/>
            <w:vAlign w:val="center"/>
          </w:tcPr>
          <w:p>
            <w:pPr>
              <w:pStyle w:val="12"/>
            </w:pPr>
            <w:r>
              <w:t>45.60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9.42</w:t>
            </w:r>
          </w:p>
        </w:tc>
        <w:tc>
          <w:tcPr>
            <w:tcW w:w="2551" w:type="dxa"/>
            <w:vAlign w:val="center"/>
          </w:tcPr>
          <w:p>
            <w:pPr>
              <w:pStyle w:val="12"/>
            </w:pPr>
            <w:r>
              <w:t>9.42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52.49</w:t>
            </w:r>
          </w:p>
        </w:tc>
        <w:tc>
          <w:tcPr>
            <w:tcW w:w="2551" w:type="dxa"/>
            <w:vAlign w:val="center"/>
          </w:tcPr>
          <w:p>
            <w:pPr>
              <w:pStyle w:val="12"/>
            </w:pPr>
          </w:p>
        </w:tc>
        <w:tc>
          <w:tcPr>
            <w:tcW w:w="2551" w:type="dxa"/>
            <w:vAlign w:val="center"/>
          </w:tcPr>
          <w:p>
            <w:pPr>
              <w:pStyle w:val="12"/>
            </w:pPr>
            <w:r>
              <w:t>52.49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30204</w:t>
            </w:r>
          </w:p>
        </w:tc>
        <w:tc>
          <w:tcPr>
            <w:tcW w:w="4535" w:type="dxa"/>
            <w:vAlign w:val="center"/>
          </w:tcPr>
          <w:p>
            <w:pPr>
              <w:pStyle w:val="13"/>
            </w:pPr>
            <w:r>
              <w:t>手续费</w:t>
            </w:r>
          </w:p>
        </w:tc>
        <w:tc>
          <w:tcPr>
            <w:tcW w:w="2551" w:type="dxa"/>
            <w:vAlign w:val="center"/>
          </w:tcPr>
          <w:p>
            <w:pPr>
              <w:pStyle w:val="12"/>
            </w:pPr>
            <w:r>
              <w:t>0.20</w:t>
            </w:r>
          </w:p>
        </w:tc>
        <w:tc>
          <w:tcPr>
            <w:tcW w:w="2551" w:type="dxa"/>
            <w:vAlign w:val="center"/>
          </w:tcPr>
          <w:p>
            <w:pPr>
              <w:pStyle w:val="12"/>
            </w:pPr>
          </w:p>
        </w:tc>
        <w:tc>
          <w:tcPr>
            <w:tcW w:w="2551" w:type="dxa"/>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11.72</w:t>
            </w:r>
          </w:p>
        </w:tc>
        <w:tc>
          <w:tcPr>
            <w:tcW w:w="2551" w:type="dxa"/>
            <w:vAlign w:val="center"/>
          </w:tcPr>
          <w:p>
            <w:pPr>
              <w:pStyle w:val="12"/>
            </w:pPr>
          </w:p>
        </w:tc>
        <w:tc>
          <w:tcPr>
            <w:tcW w:w="2551" w:type="dxa"/>
            <w:vAlign w:val="center"/>
          </w:tcPr>
          <w:p>
            <w:pPr>
              <w:pStyle w:val="12"/>
            </w:pPr>
            <w:r>
              <w:t>11.72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3.65</w:t>
            </w:r>
          </w:p>
        </w:tc>
        <w:tc>
          <w:tcPr>
            <w:tcW w:w="2551" w:type="dxa"/>
            <w:vAlign w:val="center"/>
          </w:tcPr>
          <w:p>
            <w:pPr>
              <w:pStyle w:val="12"/>
            </w:pPr>
          </w:p>
        </w:tc>
        <w:tc>
          <w:tcPr>
            <w:tcW w:w="2551" w:type="dxa"/>
            <w:vAlign w:val="center"/>
          </w:tcPr>
          <w:p>
            <w:pPr>
              <w:pStyle w:val="12"/>
            </w:pPr>
            <w:r>
              <w:t>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4.08</w:t>
            </w:r>
          </w:p>
        </w:tc>
        <w:tc>
          <w:tcPr>
            <w:tcW w:w="2551" w:type="dxa"/>
            <w:vAlign w:val="center"/>
          </w:tcPr>
          <w:p>
            <w:pPr>
              <w:pStyle w:val="12"/>
            </w:pPr>
          </w:p>
        </w:tc>
        <w:tc>
          <w:tcPr>
            <w:tcW w:w="2551" w:type="dxa"/>
            <w:vAlign w:val="center"/>
          </w:tcPr>
          <w:p>
            <w:pPr>
              <w:pStyle w:val="12"/>
            </w:pPr>
            <w:r>
              <w:t>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5.94</w:t>
            </w:r>
          </w:p>
        </w:tc>
        <w:tc>
          <w:tcPr>
            <w:tcW w:w="2551" w:type="dxa"/>
            <w:vAlign w:val="center"/>
          </w:tcPr>
          <w:p>
            <w:pPr>
              <w:pStyle w:val="12"/>
            </w:pPr>
          </w:p>
        </w:tc>
        <w:tc>
          <w:tcPr>
            <w:tcW w:w="2551" w:type="dxa"/>
            <w:vAlign w:val="center"/>
          </w:tcPr>
          <w:p>
            <w:pPr>
              <w:pStyle w:val="12"/>
            </w:pPr>
            <w:r>
              <w:t>5.94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8.90</w:t>
            </w:r>
          </w:p>
        </w:tc>
        <w:tc>
          <w:tcPr>
            <w:tcW w:w="2551" w:type="dxa"/>
            <w:vAlign w:val="center"/>
          </w:tcPr>
          <w:p>
            <w:pPr>
              <w:pStyle w:val="12"/>
            </w:pPr>
          </w:p>
        </w:tc>
        <w:tc>
          <w:tcPr>
            <w:tcW w:w="2551" w:type="dxa"/>
            <w:vAlign w:val="center"/>
          </w:tcPr>
          <w:p>
            <w:pPr>
              <w:pStyle w:val="12"/>
            </w:pPr>
            <w:r>
              <w:t>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8.37</w:t>
            </w:r>
          </w:p>
        </w:tc>
        <w:tc>
          <w:tcPr>
            <w:tcW w:w="2551" w:type="dxa"/>
            <w:vAlign w:val="center"/>
          </w:tcPr>
          <w:p>
            <w:pPr>
              <w:pStyle w:val="12"/>
            </w:pPr>
            <w:r>
              <w:t>8.37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8.25</w:t>
            </w:r>
          </w:p>
        </w:tc>
        <w:tc>
          <w:tcPr>
            <w:tcW w:w="2551" w:type="dxa"/>
            <w:vAlign w:val="center"/>
          </w:tcPr>
          <w:p>
            <w:pPr>
              <w:pStyle w:val="12"/>
            </w:pPr>
            <w:r>
              <w:t>8.25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0.12</w:t>
            </w:r>
          </w:p>
        </w:tc>
        <w:tc>
          <w:tcPr>
            <w:tcW w:w="2551" w:type="dxa"/>
            <w:vAlign w:val="center"/>
          </w:tcPr>
          <w:p>
            <w:pPr>
              <w:pStyle w:val="12"/>
            </w:pPr>
            <w:r>
              <w:t>0.12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322001唐山市曹妃甸区商务和投资促进局本级</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322001唐山市曹妃甸区商务和投资促进局本级</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322001唐山市曹妃甸区商务和投资促进局本级</w:t>
            </w:r>
          </w:p>
        </w:tc>
        <w:tc>
          <w:tcPr>
            <w:tcW w:w="2381" w:type="dxa"/>
            <w:tcBorders>
              <w:top w:val="single" w:color="FFFFFF" w:sz="6" w:space="0"/>
              <w:left w:val="single" w:color="FFFFFF" w:sz="6" w:space="0"/>
              <w:right w:val="single" w:color="FFFFFF" w:sz="6" w:space="0"/>
            </w:tcBorders>
            <w:vAlign w:val="center"/>
          </w:tcPr>
          <w:p>
            <w:pPr>
              <w:pStyle w:val="9"/>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56.35</w:t>
            </w:r>
          </w:p>
        </w:tc>
        <w:tc>
          <w:tcPr>
            <w:tcW w:w="2381" w:type="dxa"/>
            <w:vAlign w:val="center"/>
          </w:tcPr>
          <w:p>
            <w:pPr>
              <w:pStyle w:val="16"/>
            </w:pPr>
            <w:r>
              <w:t>56.35</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29.55</w:t>
            </w:r>
          </w:p>
        </w:tc>
        <w:tc>
          <w:tcPr>
            <w:tcW w:w="2381" w:type="dxa"/>
            <w:vAlign w:val="center"/>
          </w:tcPr>
          <w:p>
            <w:pPr>
              <w:pStyle w:val="12"/>
            </w:pPr>
            <w:r>
              <w:t>29.55</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8.00</w:t>
            </w:r>
          </w:p>
        </w:tc>
        <w:tc>
          <w:tcPr>
            <w:tcW w:w="2381" w:type="dxa"/>
            <w:vAlign w:val="center"/>
          </w:tcPr>
          <w:p>
            <w:pPr>
              <w:pStyle w:val="12"/>
            </w:pPr>
            <w:r>
              <w:t>8.00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8.00</w:t>
            </w:r>
          </w:p>
        </w:tc>
        <w:tc>
          <w:tcPr>
            <w:tcW w:w="2381" w:type="dxa"/>
            <w:vAlign w:val="center"/>
          </w:tcPr>
          <w:p>
            <w:pPr>
              <w:pStyle w:val="12"/>
            </w:pPr>
            <w:r>
              <w:t>8.00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21.55</w:t>
            </w:r>
          </w:p>
        </w:tc>
        <w:tc>
          <w:tcPr>
            <w:tcW w:w="2381" w:type="dxa"/>
            <w:vAlign w:val="center"/>
          </w:tcPr>
          <w:p>
            <w:pPr>
              <w:pStyle w:val="12"/>
            </w:pPr>
            <w:r>
              <w:t>21.55</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pPr>
            <w:r>
              <w:t>23.00</w:t>
            </w:r>
          </w:p>
        </w:tc>
        <w:tc>
          <w:tcPr>
            <w:tcW w:w="2381" w:type="dxa"/>
            <w:vAlign w:val="center"/>
          </w:tcPr>
          <w:p>
            <w:pPr>
              <w:pStyle w:val="12"/>
            </w:pPr>
            <w:r>
              <w:t>23.00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五、培训费</w:t>
            </w:r>
          </w:p>
        </w:tc>
        <w:tc>
          <w:tcPr>
            <w:tcW w:w="2381" w:type="dxa"/>
            <w:vAlign w:val="center"/>
          </w:tcPr>
          <w:p>
            <w:pPr>
              <w:pStyle w:val="12"/>
            </w:pPr>
            <w:r>
              <w:t>3.80</w:t>
            </w:r>
          </w:p>
        </w:tc>
        <w:tc>
          <w:tcPr>
            <w:tcW w:w="2381" w:type="dxa"/>
            <w:vAlign w:val="center"/>
          </w:tcPr>
          <w:p>
            <w:pPr>
              <w:pStyle w:val="12"/>
            </w:pPr>
            <w:r>
              <w:t>3.80</w:t>
            </w:r>
          </w:p>
        </w:tc>
        <w:tc>
          <w:tcPr>
            <w:tcW w:w="2381" w:type="dxa"/>
            <w:vAlign w:val="center"/>
          </w:tcPr>
          <w:p>
            <w:pPr>
              <w:pStyle w:val="12"/>
            </w:pPr>
          </w:p>
        </w:tc>
        <w:tc>
          <w:tcPr>
            <w:tcW w:w="2381" w:type="dxa"/>
            <w:vAlign w:val="center"/>
          </w:tcPr>
          <w:p>
            <w:pPr>
              <w:pStyle w:val="12"/>
            </w:pPr>
          </w:p>
        </w:tc>
      </w:tr>
    </w:tbl>
    <w:p>
      <w:pPr>
        <w:sectPr>
          <w:pgSz w:w="16840" w:h="11900" w:orient="landscape"/>
          <w:pgMar w:top="1361" w:right="1020" w:bottom="1361"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44"/>
        </w:rPr>
        <w:t>唐山市曹妃甸区商务和投资促进局本级2022年单位预算信息公开情况说明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按照《预算法》、《地方预决算公开操作规程》和《关于进一步推进预算公开工作的实施意见》规定，现将唐山市曹妃甸区商务和投资促进局本级2022年单位预算公开如下：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6"/>
      </w:pPr>
      <w:r>
        <w:t xml:space="preserve">主要职责是： </w:t>
      </w:r>
    </w:p>
    <w:p>
      <w:pPr>
        <w:pStyle w:val="26"/>
      </w:pPr>
      <w:r>
        <w:t>（一）贯彻落实国家和省、市有关内外贸易、国际经济合作的发展战略、方针、政策和法律法规，商务领域地方性法规、规章草案；起草全区商务和投资促进发展规划、政策措施和年度安排并组织实施；研究经济全球化、区域经济合作、现代流通方式的发展趋势并提出建议。</w:t>
      </w:r>
    </w:p>
    <w:p>
      <w:pPr>
        <w:pStyle w:val="26"/>
      </w:pPr>
      <w:r>
        <w:t>（二）起草全区国内贸易发展规划。促进城乡市场发展，提出引导国内外资金投向市场体系建设的建议；推动大宗产品批发市场建设和城市商业网点规划、商业体系建设工作；推进农村市场体系建设，组织实施农村现代流通网络工程。</w:t>
      </w:r>
    </w:p>
    <w:p>
      <w:pPr>
        <w:pStyle w:val="26"/>
      </w:pPr>
      <w:r>
        <w:t>（三）提出流通体制改革建议。负责推进流通产业结构调整，指导流通企业改革、商贸服务业和社区商业发展；提出促进商贸中小企业发展的政策建议，推动流通标准化和连锁经营、商业特许经营、物流配送、电子商务等现代流通方式的发展；指导全区流通领域信息网络和电子商务建设。</w:t>
      </w:r>
    </w:p>
    <w:p>
      <w:pPr>
        <w:pStyle w:val="26"/>
      </w:pPr>
      <w:r>
        <w:t>（四）牵头推进商务领域信用体系建设。规范商贸企业交易行为，牵头推动重要产品追溯体系建设；按有关规定对特殊流通行业进行监督管理。</w:t>
      </w:r>
    </w:p>
    <w:p>
      <w:pPr>
        <w:pStyle w:val="26"/>
      </w:pPr>
      <w:r>
        <w:t>（五）组织实施重要消费品市场调控和重要生产资料流通管理。负责建立健全生活必需品市场供应应急管理机制，监测分析市场运行、商品供求状况，调查分析商品价格信息，进行预测预警和信息引导，按分工负责重要消费品储备管理和市场调控工作，按有关规定对成品油市场进行监督管理。</w:t>
      </w:r>
    </w:p>
    <w:p>
      <w:pPr>
        <w:pStyle w:val="26"/>
      </w:pPr>
      <w:r>
        <w:t>（六）执行国家和省、市制定的进出口商品、加工贸易管理办法和进出口商品、技术目录，贯彻执行国家和省、市促进外贸增长方式转变的政策措施，组织实施国家和省、市拟定的重要工业品、原材料和重要农产品进出口总量计划，会同有关部门协调大宗进出口商品，指导贸易促进活动和外贸促进体系建设。</w:t>
      </w:r>
    </w:p>
    <w:p>
      <w:pPr>
        <w:pStyle w:val="26"/>
      </w:pPr>
      <w:r>
        <w:t>（七）贯彻执行国家和省、市对外技术贸易、进出口管制以及鼓励技术和成套设备进出口的贸易政策；起草和推进全区科技兴贸战略；依法监督技术引进、设备进口、国家和省、市限制出口技术的工作。</w:t>
      </w:r>
    </w:p>
    <w:p>
      <w:pPr>
        <w:pStyle w:val="26"/>
      </w:pPr>
      <w:r>
        <w:t>（八）会同有关部门贯彻执行国家和省、市促进服务出口和服务外包发展的规划、政策，牵头起草全区服务贸易发展规划并组织实施。</w:t>
      </w:r>
    </w:p>
    <w:p>
      <w:pPr>
        <w:pStyle w:val="26"/>
      </w:pPr>
      <w:r>
        <w:t>（九）贯彻执行国家和省、市利用外资法律法规规章和外商投资产业政策。起草全区外商投资政策并组织实施;依法对外商投资企业的设立及变更事项进行备案；依法对外商投资项目的合同章程及法律规定的变更事项进行备案；依法监督检查外商投资企业执行有关法律法规规章、合同章程的情况并协调解决有关问题;指导全区吸引外资及外商投资企业备案工作，规范对外招商引资活动；综合协调、指导国家和省、市、区级经济技术开发区（园区）有关工作；指导和管理全区外商投资企业进出口工作。</w:t>
      </w:r>
    </w:p>
    <w:p>
      <w:pPr>
        <w:pStyle w:val="26"/>
      </w:pPr>
      <w:r>
        <w:t>（十）负责全区对外经济合作工作。起草并执行对外经济合作政策，依法管理和监督对外投资、对外承包工程、对外劳务合作等；指导外派劳务和境外就业人员的权益保护工作；起草全区对外投资管理办法和具体政策；指导境外经贸园区有关工作；负责对外援助有关工作；指导全区对外投资和经济合作促进工作。</w:t>
      </w:r>
    </w:p>
    <w:p>
      <w:pPr>
        <w:pStyle w:val="26"/>
      </w:pPr>
      <w:r>
        <w:t>（十一）配合商务部、省商务厅和市商务局调查国（境）外对我国出口商品实施的歧视性贸易政策、法律法规及做法；组织协调反倾销、反补贴和保障措施等贸易救济调查以及进出口公平贸易相关工作；指导、协调出口产品贸易摩擦应对和进口产品贸易救济申诉工作；跟踪调查反倾销、反补贴和保障措施等贸易救济措施对全区相关产业的影响；建立产业安全预警机制。</w:t>
      </w:r>
    </w:p>
    <w:p>
      <w:pPr>
        <w:pStyle w:val="26"/>
      </w:pPr>
      <w:r>
        <w:t>（十二）负责全区商务系统涉及世贸组织相关事务的研究、指导和服务工作，配合商务部、省商务厅和市商务局解决世贸组织框架下涉及全区的贸易争端，负责推进全区进出口贸易的标准化建设。</w:t>
      </w:r>
    </w:p>
    <w:p>
      <w:pPr>
        <w:pStyle w:val="26"/>
      </w:pPr>
      <w:r>
        <w:t>（十三）贯彻执行国家制定的对自由贸易区国家和地区的经贸规划、政策，并组织实施，管理联合国及其他国际组织或外国政府对全区经济技术合作方面的无偿援助及赠款等发展合作业务。</w:t>
      </w:r>
    </w:p>
    <w:p>
      <w:pPr>
        <w:pStyle w:val="26"/>
      </w:pPr>
      <w:r>
        <w:t>（十四）负责宏观指导、组织协调全区招商投资促进工作；起草并组织实施境内外国家和地区招商投资促进工作计划；组织和指导招商活动，开展相关产业研究，收集汇总并统筹协调承接有关重点产业项目的投资促进工作；指导招商主体开展项目跟踪，协调解决在谈项目重大问题，密切与有关投资促进机构的沟通交流，组织投资促进活动。</w:t>
      </w:r>
    </w:p>
    <w:p>
      <w:pPr>
        <w:pStyle w:val="26"/>
      </w:pPr>
      <w:r>
        <w:t>（十五）负责唐山市曹妃甸区会展业促进与管理工作;指导、管理境内外对外经济技术展览会和赴境外非商业性办展活动。</w:t>
      </w:r>
    </w:p>
    <w:p>
      <w:pPr>
        <w:pStyle w:val="26"/>
      </w:pPr>
      <w:r>
        <w:t>（十六）负责全区招商引资综合指标的分配、评估、考核工作；会同相关单位对重点签约项目和重大投资项目跟踪督办；整理分析全区外来投资产业总体概况、发展趋势，提出建设性意见和建议。</w:t>
      </w:r>
    </w:p>
    <w:p>
      <w:pPr>
        <w:pStyle w:val="26"/>
      </w:pPr>
      <w:r>
        <w:t>（十七）监测分析全区商务运行情况，承担全区商务系统对外宣传和信息发布工作。</w:t>
      </w:r>
    </w:p>
    <w:p>
      <w:pPr>
        <w:pStyle w:val="26"/>
      </w:pPr>
      <w:r>
        <w:t>（十八）负责监督管理所属企业国有资产；负责企业职工安置管理与服务。</w:t>
      </w:r>
    </w:p>
    <w:p>
      <w:pPr>
        <w:pStyle w:val="26"/>
      </w:pPr>
      <w:r>
        <w:t>（十九）承办区委、区政府交办的其他事项。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唐山市曹妃甸区商务和投资促进局本级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28"/>
        <w:ind w:left="557" w:leftChars="232" w:firstLine="0" w:firstLineChars="0"/>
        <w:rPr>
          <w:rFonts w:hint="eastAsia"/>
          <w:lang w:val="en-US" w:eastAsia="zh-CN"/>
        </w:rPr>
      </w:pPr>
      <w:r>
        <w:rPr>
          <w:rFonts w:hint="eastAsia"/>
          <w:lang w:val="en-US" w:eastAsia="zh-CN"/>
        </w:rPr>
        <w:t xml:space="preserve">1、收入说明 </w:t>
      </w:r>
    </w:p>
    <w:p>
      <w:pPr>
        <w:pStyle w:val="28"/>
        <w:ind w:left="557" w:leftChars="232" w:firstLine="0" w:firstLineChars="0"/>
        <w:rPr>
          <w:rFonts w:hint="default"/>
          <w:lang w:val="en-US" w:eastAsia="zh-CN"/>
        </w:rPr>
      </w:pPr>
      <w:r>
        <w:rPr>
          <w:rFonts w:hint="eastAsia"/>
          <w:lang w:val="en-US" w:eastAsia="zh-CN"/>
        </w:rPr>
        <w:t>反映</w:t>
      </w:r>
      <w:r>
        <w:rPr>
          <w:rFonts w:hint="default"/>
          <w:lang w:val="en-US" w:eastAsia="zh-CN"/>
        </w:rPr>
        <w:t>本</w:t>
      </w:r>
      <w:r>
        <w:rPr>
          <w:rFonts w:hint="eastAsia"/>
          <w:lang w:val="en-US" w:eastAsia="zh-CN"/>
        </w:rPr>
        <w:t>单位</w:t>
      </w:r>
      <w:r>
        <w:rPr>
          <w:rFonts w:hint="default"/>
          <w:lang w:val="en-US" w:eastAsia="zh-CN"/>
        </w:rPr>
        <w:t>当年全部收入，202</w:t>
      </w:r>
      <w:r>
        <w:rPr>
          <w:rFonts w:hint="eastAsia"/>
          <w:lang w:val="en-US" w:eastAsia="zh-CN"/>
        </w:rPr>
        <w:t>2</w:t>
      </w:r>
      <w:r>
        <w:rPr>
          <w:rFonts w:hint="default"/>
          <w:lang w:val="en-US" w:eastAsia="zh-CN"/>
        </w:rPr>
        <w:t>年预算收入</w:t>
      </w:r>
      <w:r>
        <w:rPr>
          <w:rFonts w:hint="eastAsia"/>
          <w:lang w:val="en-US" w:eastAsia="zh-CN"/>
        </w:rPr>
        <w:t>865.98</w:t>
      </w:r>
      <w:r>
        <w:rPr>
          <w:rFonts w:hint="default"/>
          <w:lang w:val="en-US" w:eastAsia="zh-CN"/>
        </w:rPr>
        <w:t>万元，全部为一般公共预算</w:t>
      </w:r>
      <w:r>
        <w:rPr>
          <w:rFonts w:hint="eastAsia"/>
          <w:lang w:val="en-US" w:eastAsia="zh-CN"/>
        </w:rPr>
        <w:t>收入</w:t>
      </w:r>
      <w:r>
        <w:rPr>
          <w:rFonts w:hint="default"/>
          <w:lang w:val="en-US" w:eastAsia="zh-CN"/>
        </w:rPr>
        <w:t>。</w:t>
      </w:r>
    </w:p>
    <w:p>
      <w:pPr>
        <w:pStyle w:val="28"/>
        <w:ind w:left="557" w:leftChars="232" w:firstLine="0" w:firstLineChars="0"/>
        <w:rPr>
          <w:rFonts w:hint="eastAsia"/>
          <w:lang w:val="en-US" w:eastAsia="zh-CN"/>
        </w:rPr>
      </w:pPr>
      <w:r>
        <w:rPr>
          <w:rFonts w:hint="eastAsia"/>
          <w:lang w:val="en-US" w:eastAsia="zh-CN"/>
        </w:rPr>
        <w:t>2、支出说明</w:t>
      </w:r>
    </w:p>
    <w:p>
      <w:pPr>
        <w:pStyle w:val="28"/>
        <w:ind w:left="557" w:leftChars="232" w:firstLine="0" w:firstLineChars="0"/>
        <w:rPr>
          <w:rFonts w:hint="default"/>
          <w:lang w:val="en-US" w:eastAsia="zh-CN"/>
        </w:rPr>
      </w:pPr>
      <w:r>
        <w:rPr>
          <w:rFonts w:hint="default"/>
          <w:lang w:val="en-US" w:eastAsia="zh-CN"/>
        </w:rPr>
        <w:t>收支预算总表支出栏、基本支出表、项目支出表按经济分类和支出功能分类科目编制，反映</w:t>
      </w:r>
      <w:r>
        <w:rPr>
          <w:rFonts w:hint="eastAsia"/>
          <w:lang w:val="en-US" w:eastAsia="zh-CN"/>
        </w:rPr>
        <w:t>曹妃甸区商务和投资促进局年度预算中</w:t>
      </w:r>
      <w:r>
        <w:rPr>
          <w:rFonts w:hint="default"/>
          <w:lang w:val="en-US" w:eastAsia="zh-CN"/>
        </w:rPr>
        <w:t>支出预算的总体情况。202</w:t>
      </w:r>
      <w:r>
        <w:rPr>
          <w:rFonts w:hint="eastAsia"/>
          <w:lang w:val="en-US" w:eastAsia="zh-CN"/>
        </w:rPr>
        <w:t>2</w:t>
      </w:r>
      <w:r>
        <w:rPr>
          <w:rFonts w:hint="default"/>
          <w:lang w:val="en-US" w:eastAsia="zh-CN"/>
        </w:rPr>
        <w:t>年支出预算为</w:t>
      </w:r>
      <w:r>
        <w:rPr>
          <w:rFonts w:hint="eastAsia"/>
          <w:lang w:val="en-US" w:eastAsia="zh-CN"/>
        </w:rPr>
        <w:t>865.98</w:t>
      </w:r>
      <w:r>
        <w:rPr>
          <w:rFonts w:hint="default"/>
          <w:lang w:val="en-US" w:eastAsia="zh-CN"/>
        </w:rPr>
        <w:t>万元，其中基本支出</w:t>
      </w:r>
      <w:r>
        <w:rPr>
          <w:rFonts w:hint="eastAsia"/>
          <w:lang w:val="en-US" w:eastAsia="zh-CN"/>
        </w:rPr>
        <w:t>683.78</w:t>
      </w:r>
      <w:r>
        <w:rPr>
          <w:rFonts w:hint="default"/>
          <w:lang w:val="en-US" w:eastAsia="zh-CN"/>
        </w:rPr>
        <w:t>万元，包括人员经费6</w:t>
      </w:r>
      <w:r>
        <w:rPr>
          <w:rFonts w:hint="eastAsia"/>
          <w:lang w:val="en-US" w:eastAsia="zh-CN"/>
        </w:rPr>
        <w:t>29.29</w:t>
      </w:r>
      <w:r>
        <w:rPr>
          <w:rFonts w:hint="default"/>
          <w:lang w:val="en-US" w:eastAsia="zh-CN"/>
        </w:rPr>
        <w:t>万元和公用经费5</w:t>
      </w:r>
      <w:r>
        <w:rPr>
          <w:rFonts w:hint="eastAsia"/>
          <w:lang w:val="en-US" w:eastAsia="zh-CN"/>
        </w:rPr>
        <w:t>4.4</w:t>
      </w:r>
      <w:r>
        <w:rPr>
          <w:rFonts w:hint="default"/>
          <w:lang w:val="en-US" w:eastAsia="zh-CN"/>
        </w:rPr>
        <w:t>9万元；项目支出</w:t>
      </w:r>
      <w:r>
        <w:rPr>
          <w:rFonts w:hint="eastAsia"/>
          <w:lang w:val="en-US" w:eastAsia="zh-CN"/>
        </w:rPr>
        <w:t>182.20</w:t>
      </w:r>
      <w:r>
        <w:rPr>
          <w:rFonts w:hint="default"/>
          <w:lang w:val="en-US" w:eastAsia="zh-CN"/>
        </w:rPr>
        <w:t>万元</w:t>
      </w:r>
      <w:r>
        <w:rPr>
          <w:rFonts w:hint="eastAsia"/>
          <w:lang w:val="en-US" w:eastAsia="zh-CN"/>
        </w:rPr>
        <w:t>，其中商贸事务、对外贸易、国开区及投资促进管理专项经费169万元，曹妃甸经济技术开发区ISO900</w:t>
      </w:r>
      <w:bookmarkStart w:id="1" w:name="_GoBack"/>
      <w:bookmarkEnd w:id="1"/>
      <w:r>
        <w:rPr>
          <w:rFonts w:hint="eastAsia"/>
          <w:lang w:val="en-US" w:eastAsia="zh-CN"/>
        </w:rPr>
        <w:t>1认证费用10元，伤残类人员抚恤金经费3.2万元</w:t>
      </w:r>
      <w:r>
        <w:rPr>
          <w:rFonts w:hint="default"/>
          <w:lang w:val="en-US" w:eastAsia="zh-CN"/>
        </w:rPr>
        <w:t>。</w:t>
      </w:r>
    </w:p>
    <w:p>
      <w:pPr>
        <w:pStyle w:val="28"/>
        <w:ind w:left="557" w:leftChars="232" w:firstLine="0" w:firstLineChars="0"/>
        <w:rPr>
          <w:rFonts w:hint="eastAsia"/>
          <w:lang w:val="en-US" w:eastAsia="zh-CN"/>
        </w:rPr>
      </w:pPr>
      <w:r>
        <w:rPr>
          <w:rFonts w:hint="eastAsia"/>
          <w:lang w:val="en-US" w:eastAsia="zh-CN"/>
        </w:rPr>
        <w:t>3、比上年增减情况</w:t>
      </w:r>
    </w:p>
    <w:p>
      <w:pPr>
        <w:pStyle w:val="28"/>
        <w:ind w:left="557" w:leftChars="232" w:firstLine="0" w:firstLineChars="0"/>
        <w:rPr>
          <w:rFonts w:hint="eastAsia"/>
          <w:lang w:val="en-US" w:eastAsia="zh-CN"/>
        </w:rPr>
      </w:pPr>
      <w:r>
        <w:rPr>
          <w:rFonts w:hint="default"/>
          <w:lang w:val="en-US" w:eastAsia="zh-CN"/>
        </w:rPr>
        <w:t>202</w:t>
      </w:r>
      <w:r>
        <w:rPr>
          <w:rFonts w:hint="eastAsia"/>
          <w:lang w:val="en-US" w:eastAsia="zh-CN"/>
        </w:rPr>
        <w:t>2</w:t>
      </w:r>
      <w:r>
        <w:rPr>
          <w:rFonts w:hint="default"/>
          <w:lang w:val="en-US" w:eastAsia="zh-CN"/>
        </w:rPr>
        <w:t>年预算较202</w:t>
      </w:r>
      <w:r>
        <w:rPr>
          <w:rFonts w:hint="eastAsia"/>
          <w:lang w:val="en-US" w:eastAsia="zh-CN"/>
        </w:rPr>
        <w:t>1</w:t>
      </w:r>
      <w:r>
        <w:rPr>
          <w:rFonts w:hint="default"/>
          <w:lang w:val="en-US" w:eastAsia="zh-CN"/>
        </w:rPr>
        <w:t>年</w:t>
      </w:r>
      <w:r>
        <w:rPr>
          <w:rFonts w:hint="eastAsia"/>
          <w:lang w:val="en-US" w:eastAsia="zh-CN"/>
        </w:rPr>
        <w:t>减少751.59</w:t>
      </w:r>
      <w:r>
        <w:rPr>
          <w:rFonts w:hint="default"/>
          <w:lang w:val="en-US" w:eastAsia="zh-CN"/>
        </w:rPr>
        <w:t>万元，</w:t>
      </w:r>
      <w:r>
        <w:rPr>
          <w:rFonts w:hint="eastAsia"/>
          <w:lang w:val="en-US" w:eastAsia="zh-CN"/>
        </w:rPr>
        <w:t>其中基本支出减少55.03万元，</w:t>
      </w:r>
      <w:r>
        <w:rPr>
          <w:rFonts w:hint="default"/>
          <w:lang w:val="en-US" w:eastAsia="zh-CN"/>
        </w:rPr>
        <w:t>项目支出</w:t>
      </w:r>
      <w:r>
        <w:rPr>
          <w:rFonts w:hint="eastAsia"/>
          <w:lang w:val="en-US" w:eastAsia="zh-CN"/>
        </w:rPr>
        <w:t>减少696.56</w:t>
      </w:r>
      <w:r>
        <w:rPr>
          <w:rFonts w:hint="default"/>
          <w:lang w:val="en-US" w:eastAsia="zh-CN"/>
        </w:rPr>
        <w:t>万元，原因是京津冀驻外招商组</w:t>
      </w:r>
      <w:r>
        <w:rPr>
          <w:rFonts w:hint="eastAsia"/>
          <w:lang w:val="en-US" w:eastAsia="zh-CN"/>
        </w:rPr>
        <w:t>预算</w:t>
      </w:r>
      <w:r>
        <w:rPr>
          <w:rFonts w:hint="default"/>
          <w:lang w:val="en-US" w:eastAsia="zh-CN"/>
        </w:rPr>
        <w:t>经费</w:t>
      </w:r>
      <w:r>
        <w:rPr>
          <w:rFonts w:hint="eastAsia"/>
          <w:lang w:val="en-US" w:eastAsia="zh-CN"/>
        </w:rPr>
        <w:t>转出</w:t>
      </w:r>
      <w:r>
        <w:rPr>
          <w:rFonts w:hint="default"/>
          <w:lang w:val="en-US" w:eastAsia="zh-CN"/>
        </w:rPr>
        <w:t>。</w:t>
      </w:r>
    </w:p>
    <w:p>
      <w:pPr>
        <w:spacing w:before="10" w:after="10"/>
        <w:ind w:firstLine="640"/>
        <w:outlineLvl w:val="5"/>
      </w:pPr>
      <w:r>
        <w:rPr>
          <w:rFonts w:ascii="黑体" w:hAnsi="黑体" w:eastAsia="黑体" w:cs="黑体"/>
          <w:color w:val="000000"/>
          <w:sz w:val="32"/>
        </w:rPr>
        <w:t>三、机关运行经费安排情况</w:t>
      </w:r>
    </w:p>
    <w:p>
      <w:pPr>
        <w:pStyle w:val="28"/>
        <w:ind w:left="560" w:leftChars="0" w:hanging="560" w:hangingChars="200"/>
      </w:pPr>
      <w:r>
        <w:rPr>
          <w:rFonts w:hint="eastAsia"/>
          <w:lang w:val="en-US" w:eastAsia="zh-CN"/>
        </w:rPr>
        <w:t xml:space="preserve">         2022年机关运行经费683.78万元，包括工资福利支出620.92万元，商品和服务支出52.49万元，对个人和家庭的补助8.37万元，资本性支出2万元。</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9"/>
        <w:rPr>
          <w:rFonts w:hint="eastAsia"/>
          <w:lang w:val="en-US" w:eastAsia="zh-CN"/>
        </w:rPr>
      </w:pPr>
      <w:r>
        <w:rPr>
          <w:rFonts w:hint="eastAsia"/>
          <w:lang w:val="en-US" w:eastAsia="zh-CN"/>
        </w:rPr>
        <w:t>2022年我单位“三公经费”预算安排29.55万元，较上年预算减少60.98万元，具体安排情况为：</w:t>
      </w:r>
    </w:p>
    <w:p>
      <w:pPr>
        <w:pStyle w:val="29"/>
        <w:numPr>
          <w:ilvl w:val="0"/>
          <w:numId w:val="1"/>
        </w:numPr>
        <w:rPr>
          <w:rFonts w:hint="eastAsia"/>
          <w:lang w:val="en-US" w:eastAsia="zh-CN"/>
        </w:rPr>
      </w:pPr>
      <w:r>
        <w:rPr>
          <w:rFonts w:hint="eastAsia"/>
          <w:lang w:val="en-US" w:eastAsia="zh-CN"/>
        </w:rPr>
        <w:t>公务用车购置及运行费安排8万元，与上年持平，无增减变化。</w:t>
      </w:r>
    </w:p>
    <w:p>
      <w:pPr>
        <w:pStyle w:val="29"/>
        <w:numPr>
          <w:ilvl w:val="0"/>
          <w:numId w:val="1"/>
        </w:numPr>
        <w:rPr>
          <w:rFonts w:hint="default"/>
          <w:lang w:val="en-US" w:eastAsia="zh-CN"/>
        </w:rPr>
      </w:pPr>
      <w:r>
        <w:rPr>
          <w:rFonts w:hint="eastAsia"/>
          <w:lang w:val="en-US" w:eastAsia="zh-CN"/>
        </w:rPr>
        <w:t>公务接待费安排21.55万元，比上年减少60.98万元，原因是驻外招商组经费调走。</w:t>
      </w:r>
    </w:p>
    <w:p>
      <w:pPr>
        <w:pStyle w:val="29"/>
        <w:numPr>
          <w:ilvl w:val="0"/>
          <w:numId w:val="1"/>
        </w:numPr>
      </w:pPr>
      <w:r>
        <w:rPr>
          <w:rFonts w:hint="eastAsia"/>
          <w:lang w:val="en-US" w:eastAsia="zh-CN"/>
        </w:rPr>
        <w:t>因公出国（境）费安排0万元，与上年持平，无增减变化。</w:t>
      </w:r>
    </w:p>
    <w:p>
      <w:pPr>
        <w:numPr>
          <w:ilvl w:val="0"/>
          <w:numId w:val="2"/>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预算绩效信息</w:t>
      </w:r>
    </w:p>
    <w:p>
      <w:pPr>
        <w:ind w:firstLine="560"/>
        <w:rPr>
          <w:rFonts w:ascii="方正仿宋_GBK" w:hAnsi="方正仿宋_GBK" w:eastAsia="方正仿宋_GBK" w:cs="方正仿宋_GBK"/>
          <w:b/>
          <w:color w:val="000000"/>
          <w:sz w:val="28"/>
        </w:rPr>
      </w:pPr>
    </w:p>
    <w:p>
      <w:pPr>
        <w:ind w:firstLine="560"/>
      </w:pPr>
      <w:r>
        <w:rPr>
          <w:rFonts w:ascii="方正仿宋_GBK" w:hAnsi="方正仿宋_GBK" w:eastAsia="方正仿宋_GBK" w:cs="方正仿宋_GBK"/>
          <w:b/>
          <w:color w:val="000000"/>
          <w:sz w:val="28"/>
        </w:rPr>
        <w:t>1、曹妃甸经济技术开发区ISO9001认证费用绩效目标表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1.促进曹妃甸经开区长远发展，合理调整产业规划。</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运维率</w:t>
            </w:r>
          </w:p>
        </w:tc>
        <w:tc>
          <w:tcPr>
            <w:tcW w:w="2835" w:type="dxa"/>
            <w:vAlign w:val="center"/>
          </w:tcPr>
          <w:p>
            <w:pPr>
              <w:pStyle w:val="13"/>
            </w:pPr>
            <w:r>
              <w:t>运行维护率</w:t>
            </w:r>
          </w:p>
        </w:tc>
        <w:tc>
          <w:tcPr>
            <w:tcW w:w="2551" w:type="dxa"/>
            <w:vAlign w:val="center"/>
          </w:tcPr>
          <w:p>
            <w:pPr>
              <w:pStyle w:val="13"/>
            </w:pPr>
            <w:r>
              <w:t>≤100</w:t>
            </w:r>
          </w:p>
        </w:tc>
        <w:tc>
          <w:tcPr>
            <w:tcW w:w="2268" w:type="dxa"/>
            <w:vAlign w:val="center"/>
          </w:tcPr>
          <w:p>
            <w:pPr>
              <w:pStyle w:val="13"/>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验收审核情况</w:t>
            </w:r>
          </w:p>
        </w:tc>
        <w:tc>
          <w:tcPr>
            <w:tcW w:w="2835" w:type="dxa"/>
            <w:vAlign w:val="center"/>
          </w:tcPr>
          <w:p>
            <w:pPr>
              <w:pStyle w:val="13"/>
            </w:pPr>
            <w:r>
              <w:t>验收审核通过率</w:t>
            </w:r>
          </w:p>
        </w:tc>
        <w:tc>
          <w:tcPr>
            <w:tcW w:w="2551" w:type="dxa"/>
            <w:vAlign w:val="center"/>
          </w:tcPr>
          <w:p>
            <w:pPr>
              <w:pStyle w:val="13"/>
            </w:pPr>
            <w:r>
              <w:t>≤100</w:t>
            </w:r>
          </w:p>
        </w:tc>
        <w:tc>
          <w:tcPr>
            <w:tcW w:w="2268" w:type="dxa"/>
            <w:vAlign w:val="center"/>
          </w:tcPr>
          <w:p>
            <w:pPr>
              <w:pStyle w:val="13"/>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按时完成率</w:t>
            </w:r>
          </w:p>
        </w:tc>
        <w:tc>
          <w:tcPr>
            <w:tcW w:w="2835" w:type="dxa"/>
            <w:vAlign w:val="center"/>
          </w:tcPr>
          <w:p>
            <w:pPr>
              <w:pStyle w:val="13"/>
            </w:pPr>
            <w:r>
              <w:t>运维10月底前完成，年审11月完成。</w:t>
            </w:r>
          </w:p>
        </w:tc>
        <w:tc>
          <w:tcPr>
            <w:tcW w:w="2551" w:type="dxa"/>
            <w:vAlign w:val="center"/>
          </w:tcPr>
          <w:p>
            <w:pPr>
              <w:pStyle w:val="13"/>
            </w:pPr>
            <w:r>
              <w:t>100</w:t>
            </w:r>
          </w:p>
        </w:tc>
        <w:tc>
          <w:tcPr>
            <w:tcW w:w="2268" w:type="dxa"/>
            <w:vAlign w:val="center"/>
          </w:tcPr>
          <w:p>
            <w:pPr>
              <w:pStyle w:val="13"/>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成本控制</w:t>
            </w:r>
          </w:p>
        </w:tc>
        <w:tc>
          <w:tcPr>
            <w:tcW w:w="2835" w:type="dxa"/>
            <w:vAlign w:val="center"/>
          </w:tcPr>
          <w:p>
            <w:pPr>
              <w:pStyle w:val="13"/>
            </w:pPr>
            <w:r>
              <w:t>预算内开展认证工作</w:t>
            </w:r>
          </w:p>
        </w:tc>
        <w:tc>
          <w:tcPr>
            <w:tcW w:w="2551" w:type="dxa"/>
            <w:vAlign w:val="center"/>
          </w:tcPr>
          <w:p>
            <w:pPr>
              <w:pStyle w:val="13"/>
            </w:pPr>
            <w:r>
              <w:t>≤10万元</w:t>
            </w:r>
          </w:p>
        </w:tc>
        <w:tc>
          <w:tcPr>
            <w:tcW w:w="2268" w:type="dxa"/>
            <w:vAlign w:val="center"/>
          </w:tcPr>
          <w:p>
            <w:pPr>
              <w:pStyle w:val="13"/>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工业排放达标率</w:t>
            </w:r>
          </w:p>
        </w:tc>
        <w:tc>
          <w:tcPr>
            <w:tcW w:w="2835" w:type="dxa"/>
            <w:vAlign w:val="center"/>
          </w:tcPr>
          <w:p>
            <w:pPr>
              <w:pStyle w:val="13"/>
            </w:pPr>
            <w:r>
              <w:t>工业污染物排放达标率</w:t>
            </w:r>
          </w:p>
        </w:tc>
        <w:tc>
          <w:tcPr>
            <w:tcW w:w="2551" w:type="dxa"/>
            <w:vAlign w:val="center"/>
          </w:tcPr>
          <w:p>
            <w:pPr>
              <w:pStyle w:val="13"/>
            </w:pPr>
            <w:r>
              <w:t>100</w:t>
            </w:r>
          </w:p>
        </w:tc>
        <w:tc>
          <w:tcPr>
            <w:tcW w:w="2268" w:type="dxa"/>
            <w:vAlign w:val="center"/>
          </w:tcPr>
          <w:p>
            <w:pPr>
              <w:pStyle w:val="13"/>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持续改进率</w:t>
            </w:r>
          </w:p>
        </w:tc>
        <w:tc>
          <w:tcPr>
            <w:tcW w:w="2835" w:type="dxa"/>
            <w:vAlign w:val="center"/>
          </w:tcPr>
          <w:p>
            <w:pPr>
              <w:pStyle w:val="13"/>
            </w:pPr>
            <w:r>
              <w:t>改进计划完成率</w:t>
            </w:r>
          </w:p>
        </w:tc>
        <w:tc>
          <w:tcPr>
            <w:tcW w:w="2551" w:type="dxa"/>
            <w:vAlign w:val="center"/>
          </w:tcPr>
          <w:p>
            <w:pPr>
              <w:pStyle w:val="13"/>
            </w:pPr>
            <w:r>
              <w:t>100</w:t>
            </w:r>
          </w:p>
        </w:tc>
        <w:tc>
          <w:tcPr>
            <w:tcW w:w="2268" w:type="dxa"/>
            <w:vAlign w:val="center"/>
          </w:tcPr>
          <w:p>
            <w:pPr>
              <w:pStyle w:val="13"/>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2835" w:type="dxa"/>
            <w:vAlign w:val="center"/>
          </w:tcPr>
          <w:p>
            <w:pPr>
              <w:pStyle w:val="13"/>
            </w:pPr>
            <w:r>
              <w:t>评审和认证咨询单位满意度调查</w:t>
            </w:r>
          </w:p>
        </w:tc>
        <w:tc>
          <w:tcPr>
            <w:tcW w:w="2551" w:type="dxa"/>
            <w:vAlign w:val="center"/>
          </w:tcPr>
          <w:p>
            <w:pPr>
              <w:pStyle w:val="13"/>
            </w:pPr>
            <w:r>
              <w:t>≥90</w:t>
            </w:r>
          </w:p>
        </w:tc>
        <w:tc>
          <w:tcPr>
            <w:tcW w:w="2268" w:type="dxa"/>
            <w:vAlign w:val="center"/>
          </w:tcPr>
          <w:p>
            <w:pPr>
              <w:pStyle w:val="13"/>
            </w:pPr>
            <w:r>
              <w:t>本单位年初计划安排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2、商贸事务、对外贸易、国开区及投资促进管理专项经费绩效目标表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1.促进招商引资工作开展，扩大曹妃甸区对外影响力。</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利用外资</w:t>
            </w:r>
          </w:p>
        </w:tc>
        <w:tc>
          <w:tcPr>
            <w:tcW w:w="2835" w:type="dxa"/>
            <w:vAlign w:val="center"/>
          </w:tcPr>
          <w:p>
            <w:pPr>
              <w:pStyle w:val="13"/>
            </w:pPr>
            <w:r>
              <w:t>实际利用外资数</w:t>
            </w:r>
          </w:p>
        </w:tc>
        <w:tc>
          <w:tcPr>
            <w:tcW w:w="2551" w:type="dxa"/>
            <w:vAlign w:val="center"/>
          </w:tcPr>
          <w:p>
            <w:pPr>
              <w:pStyle w:val="13"/>
            </w:pPr>
            <w:r>
              <w:t>≥3亿美元</w:t>
            </w:r>
          </w:p>
        </w:tc>
        <w:tc>
          <w:tcPr>
            <w:tcW w:w="2268" w:type="dxa"/>
            <w:vAlign w:val="center"/>
          </w:tcPr>
          <w:p>
            <w:pPr>
              <w:pStyle w:val="13"/>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亿元以上新签约项目</w:t>
            </w:r>
          </w:p>
        </w:tc>
        <w:tc>
          <w:tcPr>
            <w:tcW w:w="2835" w:type="dxa"/>
            <w:vAlign w:val="center"/>
          </w:tcPr>
          <w:p>
            <w:pPr>
              <w:pStyle w:val="13"/>
            </w:pPr>
            <w:r>
              <w:t>200个亿元以上新签约项目完成率</w:t>
            </w:r>
          </w:p>
        </w:tc>
        <w:tc>
          <w:tcPr>
            <w:tcW w:w="2551" w:type="dxa"/>
            <w:vAlign w:val="center"/>
          </w:tcPr>
          <w:p>
            <w:pPr>
              <w:pStyle w:val="13"/>
            </w:pPr>
            <w:r>
              <w:t>≥80</w:t>
            </w:r>
          </w:p>
        </w:tc>
        <w:tc>
          <w:tcPr>
            <w:tcW w:w="2268" w:type="dxa"/>
            <w:vAlign w:val="center"/>
          </w:tcPr>
          <w:p>
            <w:pPr>
              <w:pStyle w:val="13"/>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预算资金支付</w:t>
            </w:r>
          </w:p>
        </w:tc>
        <w:tc>
          <w:tcPr>
            <w:tcW w:w="2835" w:type="dxa"/>
            <w:vAlign w:val="center"/>
          </w:tcPr>
          <w:p>
            <w:pPr>
              <w:pStyle w:val="13"/>
            </w:pPr>
            <w:r>
              <w:t>预算资金支付及时率</w:t>
            </w:r>
          </w:p>
        </w:tc>
        <w:tc>
          <w:tcPr>
            <w:tcW w:w="2551" w:type="dxa"/>
            <w:vAlign w:val="center"/>
          </w:tcPr>
          <w:p>
            <w:pPr>
              <w:pStyle w:val="13"/>
            </w:pPr>
            <w:r>
              <w:t>≤100</w:t>
            </w:r>
          </w:p>
        </w:tc>
        <w:tc>
          <w:tcPr>
            <w:tcW w:w="2268" w:type="dxa"/>
            <w:vAlign w:val="center"/>
          </w:tcPr>
          <w:p>
            <w:pPr>
              <w:pStyle w:val="13"/>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工作开展费用支出</w:t>
            </w:r>
          </w:p>
        </w:tc>
        <w:tc>
          <w:tcPr>
            <w:tcW w:w="2835" w:type="dxa"/>
            <w:vAlign w:val="center"/>
          </w:tcPr>
          <w:p>
            <w:pPr>
              <w:pStyle w:val="13"/>
            </w:pPr>
            <w:r>
              <w:t>各项工作开展所需费用控制在预算内</w:t>
            </w:r>
          </w:p>
        </w:tc>
        <w:tc>
          <w:tcPr>
            <w:tcW w:w="2551" w:type="dxa"/>
            <w:vAlign w:val="center"/>
          </w:tcPr>
          <w:p>
            <w:pPr>
              <w:pStyle w:val="13"/>
            </w:pPr>
            <w:r>
              <w:t>≤169万元</w:t>
            </w:r>
          </w:p>
        </w:tc>
        <w:tc>
          <w:tcPr>
            <w:tcW w:w="2268" w:type="dxa"/>
            <w:vAlign w:val="center"/>
          </w:tcPr>
          <w:p>
            <w:pPr>
              <w:pStyle w:val="13"/>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实际利用外资增长率</w:t>
            </w:r>
          </w:p>
        </w:tc>
        <w:tc>
          <w:tcPr>
            <w:tcW w:w="2835" w:type="dxa"/>
            <w:vAlign w:val="center"/>
          </w:tcPr>
          <w:p>
            <w:pPr>
              <w:pStyle w:val="13"/>
            </w:pPr>
            <w:r>
              <w:t>实际利用外资增长率</w:t>
            </w:r>
          </w:p>
        </w:tc>
        <w:tc>
          <w:tcPr>
            <w:tcW w:w="2551" w:type="dxa"/>
            <w:vAlign w:val="center"/>
          </w:tcPr>
          <w:p>
            <w:pPr>
              <w:pStyle w:val="13"/>
            </w:pPr>
            <w:r>
              <w:t>≥5</w:t>
            </w:r>
          </w:p>
        </w:tc>
        <w:tc>
          <w:tcPr>
            <w:tcW w:w="2268" w:type="dxa"/>
            <w:vAlign w:val="center"/>
          </w:tcPr>
          <w:p>
            <w:pPr>
              <w:pStyle w:val="13"/>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带动就业提升</w:t>
            </w:r>
          </w:p>
        </w:tc>
        <w:tc>
          <w:tcPr>
            <w:tcW w:w="2835" w:type="dxa"/>
            <w:vAlign w:val="center"/>
          </w:tcPr>
          <w:p>
            <w:pPr>
              <w:pStyle w:val="13"/>
            </w:pPr>
            <w:r>
              <w:t>招商引资引进项目带动地区就业</w:t>
            </w:r>
          </w:p>
        </w:tc>
        <w:tc>
          <w:tcPr>
            <w:tcW w:w="2551" w:type="dxa"/>
            <w:vAlign w:val="center"/>
          </w:tcPr>
          <w:p>
            <w:pPr>
              <w:pStyle w:val="13"/>
            </w:pPr>
            <w:r>
              <w:t>有效带动</w:t>
            </w:r>
          </w:p>
        </w:tc>
        <w:tc>
          <w:tcPr>
            <w:tcW w:w="2268" w:type="dxa"/>
            <w:vAlign w:val="center"/>
          </w:tcPr>
          <w:p>
            <w:pPr>
              <w:pStyle w:val="13"/>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大气环保指标</w:t>
            </w:r>
          </w:p>
        </w:tc>
        <w:tc>
          <w:tcPr>
            <w:tcW w:w="2835" w:type="dxa"/>
            <w:vAlign w:val="center"/>
          </w:tcPr>
          <w:p>
            <w:pPr>
              <w:pStyle w:val="13"/>
            </w:pPr>
            <w:r>
              <w:t>引进企业未对环境造成污染</w:t>
            </w:r>
          </w:p>
        </w:tc>
        <w:tc>
          <w:tcPr>
            <w:tcW w:w="2551" w:type="dxa"/>
            <w:vAlign w:val="center"/>
          </w:tcPr>
          <w:p>
            <w:pPr>
              <w:pStyle w:val="13"/>
            </w:pPr>
            <w:r>
              <w:t>未造成污染</w:t>
            </w:r>
          </w:p>
        </w:tc>
        <w:tc>
          <w:tcPr>
            <w:tcW w:w="2268" w:type="dxa"/>
            <w:vAlign w:val="center"/>
          </w:tcPr>
          <w:p>
            <w:pPr>
              <w:pStyle w:val="13"/>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对税收的影响</w:t>
            </w:r>
          </w:p>
        </w:tc>
        <w:tc>
          <w:tcPr>
            <w:tcW w:w="2835" w:type="dxa"/>
            <w:vAlign w:val="center"/>
          </w:tcPr>
          <w:p>
            <w:pPr>
              <w:pStyle w:val="13"/>
            </w:pPr>
            <w:r>
              <w:t>落地入区企业对税收的可持续影响</w:t>
            </w:r>
          </w:p>
        </w:tc>
        <w:tc>
          <w:tcPr>
            <w:tcW w:w="2551" w:type="dxa"/>
            <w:vAlign w:val="center"/>
          </w:tcPr>
          <w:p>
            <w:pPr>
              <w:pStyle w:val="13"/>
            </w:pPr>
            <w:r>
              <w:t>持续增加</w:t>
            </w:r>
          </w:p>
        </w:tc>
        <w:tc>
          <w:tcPr>
            <w:tcW w:w="2268" w:type="dxa"/>
            <w:vAlign w:val="center"/>
          </w:tcPr>
          <w:p>
            <w:pPr>
              <w:pStyle w:val="13"/>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客商满意度</w:t>
            </w:r>
          </w:p>
        </w:tc>
        <w:tc>
          <w:tcPr>
            <w:tcW w:w="2835" w:type="dxa"/>
            <w:vAlign w:val="center"/>
          </w:tcPr>
          <w:p>
            <w:pPr>
              <w:pStyle w:val="13"/>
            </w:pPr>
            <w:r>
              <w:t>客商及办事群众满意度评价</w:t>
            </w:r>
          </w:p>
        </w:tc>
        <w:tc>
          <w:tcPr>
            <w:tcW w:w="2551" w:type="dxa"/>
            <w:vAlign w:val="center"/>
          </w:tcPr>
          <w:p>
            <w:pPr>
              <w:pStyle w:val="13"/>
            </w:pPr>
            <w:r>
              <w:t>≥90</w:t>
            </w:r>
          </w:p>
        </w:tc>
        <w:tc>
          <w:tcPr>
            <w:tcW w:w="2268" w:type="dxa"/>
            <w:vAlign w:val="center"/>
          </w:tcPr>
          <w:p>
            <w:pPr>
              <w:pStyle w:val="13"/>
            </w:pPr>
            <w:r>
              <w:t>本单位年初计划安排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3、左仲彦伤残抚恤金绩效目标表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1.确保因公伤残人员生活保障，减少不稳定因素。</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抚恤金发放月数</w:t>
            </w:r>
          </w:p>
        </w:tc>
        <w:tc>
          <w:tcPr>
            <w:tcW w:w="2835" w:type="dxa"/>
            <w:vAlign w:val="center"/>
          </w:tcPr>
          <w:p>
            <w:pPr>
              <w:pStyle w:val="13"/>
            </w:pPr>
            <w:r>
              <w:t>预算年度内发放月数</w:t>
            </w:r>
          </w:p>
        </w:tc>
        <w:tc>
          <w:tcPr>
            <w:tcW w:w="2551" w:type="dxa"/>
            <w:vAlign w:val="center"/>
          </w:tcPr>
          <w:p>
            <w:pPr>
              <w:pStyle w:val="13"/>
            </w:pPr>
            <w:r>
              <w:t>≤12个</w:t>
            </w:r>
          </w:p>
        </w:tc>
        <w:tc>
          <w:tcPr>
            <w:tcW w:w="2268" w:type="dxa"/>
            <w:vAlign w:val="center"/>
          </w:tcPr>
          <w:p>
            <w:pPr>
              <w:pStyle w:val="13"/>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抚恤金发放完成情况</w:t>
            </w:r>
          </w:p>
        </w:tc>
        <w:tc>
          <w:tcPr>
            <w:tcW w:w="2835" w:type="dxa"/>
            <w:vAlign w:val="center"/>
          </w:tcPr>
          <w:p>
            <w:pPr>
              <w:pStyle w:val="13"/>
            </w:pPr>
            <w:r>
              <w:t>抚恤金发放完成情况</w:t>
            </w:r>
          </w:p>
        </w:tc>
        <w:tc>
          <w:tcPr>
            <w:tcW w:w="2551" w:type="dxa"/>
            <w:vAlign w:val="center"/>
          </w:tcPr>
          <w:p>
            <w:pPr>
              <w:pStyle w:val="13"/>
            </w:pPr>
            <w:r>
              <w:t>≤100</w:t>
            </w:r>
          </w:p>
        </w:tc>
        <w:tc>
          <w:tcPr>
            <w:tcW w:w="2268" w:type="dxa"/>
            <w:vAlign w:val="center"/>
          </w:tcPr>
          <w:p>
            <w:pPr>
              <w:pStyle w:val="13"/>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发放及时性</w:t>
            </w:r>
          </w:p>
        </w:tc>
        <w:tc>
          <w:tcPr>
            <w:tcW w:w="2835" w:type="dxa"/>
            <w:vAlign w:val="center"/>
          </w:tcPr>
          <w:p>
            <w:pPr>
              <w:pStyle w:val="13"/>
            </w:pPr>
            <w:r>
              <w:t>抚恤金发放的及时率</w:t>
            </w:r>
          </w:p>
        </w:tc>
        <w:tc>
          <w:tcPr>
            <w:tcW w:w="2551" w:type="dxa"/>
            <w:vAlign w:val="center"/>
          </w:tcPr>
          <w:p>
            <w:pPr>
              <w:pStyle w:val="13"/>
            </w:pPr>
            <w:r>
              <w:t>≤100</w:t>
            </w:r>
          </w:p>
        </w:tc>
        <w:tc>
          <w:tcPr>
            <w:tcW w:w="2268" w:type="dxa"/>
            <w:vAlign w:val="center"/>
          </w:tcPr>
          <w:p>
            <w:pPr>
              <w:pStyle w:val="13"/>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抚恤金发放总数</w:t>
            </w:r>
          </w:p>
        </w:tc>
        <w:tc>
          <w:tcPr>
            <w:tcW w:w="2835" w:type="dxa"/>
            <w:vAlign w:val="center"/>
          </w:tcPr>
          <w:p>
            <w:pPr>
              <w:pStyle w:val="13"/>
            </w:pPr>
            <w:r>
              <w:t>抚恤金发放不超预算数</w:t>
            </w:r>
          </w:p>
        </w:tc>
        <w:tc>
          <w:tcPr>
            <w:tcW w:w="2551" w:type="dxa"/>
            <w:vAlign w:val="center"/>
          </w:tcPr>
          <w:p>
            <w:pPr>
              <w:pStyle w:val="13"/>
            </w:pPr>
            <w:r>
              <w:t>≤3.2万元</w:t>
            </w:r>
          </w:p>
        </w:tc>
        <w:tc>
          <w:tcPr>
            <w:tcW w:w="2268" w:type="dxa"/>
            <w:vAlign w:val="center"/>
          </w:tcPr>
          <w:p>
            <w:pPr>
              <w:pStyle w:val="13"/>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上访情况</w:t>
            </w:r>
          </w:p>
        </w:tc>
        <w:tc>
          <w:tcPr>
            <w:tcW w:w="2835" w:type="dxa"/>
            <w:vAlign w:val="center"/>
          </w:tcPr>
          <w:p>
            <w:pPr>
              <w:pStyle w:val="13"/>
            </w:pPr>
            <w:r>
              <w:t>因抚恤金问题上访事件</w:t>
            </w:r>
          </w:p>
        </w:tc>
        <w:tc>
          <w:tcPr>
            <w:tcW w:w="2551" w:type="dxa"/>
            <w:vAlign w:val="center"/>
          </w:tcPr>
          <w:p>
            <w:pPr>
              <w:pStyle w:val="13"/>
            </w:pPr>
            <w:r>
              <w:t>&lt;2件</w:t>
            </w:r>
          </w:p>
        </w:tc>
        <w:tc>
          <w:tcPr>
            <w:tcW w:w="2268" w:type="dxa"/>
            <w:vAlign w:val="center"/>
          </w:tcPr>
          <w:p>
            <w:pPr>
              <w:pStyle w:val="13"/>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对被抚恤对象的可持续影响</w:t>
            </w:r>
          </w:p>
        </w:tc>
        <w:tc>
          <w:tcPr>
            <w:tcW w:w="2835" w:type="dxa"/>
            <w:vAlign w:val="center"/>
          </w:tcPr>
          <w:p>
            <w:pPr>
              <w:pStyle w:val="13"/>
            </w:pPr>
            <w:r>
              <w:t>对被抚恤对象的生活保障，提升幸福指数。</w:t>
            </w:r>
          </w:p>
        </w:tc>
        <w:tc>
          <w:tcPr>
            <w:tcW w:w="2551" w:type="dxa"/>
            <w:vAlign w:val="center"/>
          </w:tcPr>
          <w:p>
            <w:pPr>
              <w:pStyle w:val="13"/>
            </w:pPr>
            <w:r>
              <w:t>100</w:t>
            </w:r>
          </w:p>
        </w:tc>
        <w:tc>
          <w:tcPr>
            <w:tcW w:w="2268" w:type="dxa"/>
            <w:vAlign w:val="center"/>
          </w:tcPr>
          <w:p>
            <w:pPr>
              <w:pStyle w:val="13"/>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2835" w:type="dxa"/>
            <w:vAlign w:val="center"/>
          </w:tcPr>
          <w:p>
            <w:pPr>
              <w:pStyle w:val="13"/>
            </w:pPr>
            <w:r>
              <w:t>受益对象左仲彦对补助发放的满意度调查</w:t>
            </w:r>
          </w:p>
        </w:tc>
        <w:tc>
          <w:tcPr>
            <w:tcW w:w="2551" w:type="dxa"/>
            <w:vAlign w:val="center"/>
          </w:tcPr>
          <w:p>
            <w:pPr>
              <w:pStyle w:val="13"/>
            </w:pPr>
            <w:r>
              <w:t>≥90</w:t>
            </w:r>
          </w:p>
        </w:tc>
        <w:tc>
          <w:tcPr>
            <w:tcW w:w="2268" w:type="dxa"/>
            <w:vAlign w:val="center"/>
          </w:tcPr>
          <w:p>
            <w:pPr>
              <w:pStyle w:val="13"/>
            </w:pPr>
            <w:r>
              <w:t>本单位年初计划安排</w:t>
            </w:r>
          </w:p>
        </w:tc>
      </w:tr>
    </w:tbl>
    <w:p>
      <w:pPr>
        <w:sectPr>
          <w:pgSz w:w="16840" w:h="11900" w:orient="landscape"/>
          <w:pgMar w:top="1361" w:right="1020" w:bottom="1134" w:left="1020" w:header="720" w:footer="720" w:gutter="0"/>
          <w:pgNumType w:fmt="decimal"/>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2022年，唐山市曹妃甸区商务和投资促进局本级安排政府采购预算0.00万元。具体内容见下表。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322001唐山市曹妃甸区商务和投资促进局本级</w:t>
            </w:r>
          </w:p>
        </w:tc>
        <w:tc>
          <w:tcPr>
            <w:tcW w:w="8674" w:type="dxa"/>
            <w:gridSpan w:val="9"/>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唐山市曹妃甸区商务和投资促进局本级上年末固定资产金额为</w:t>
      </w:r>
      <w:r>
        <w:rPr>
          <w:rFonts w:hint="eastAsia" w:eastAsia="方正仿宋_GBK"/>
          <w:color w:val="000000"/>
          <w:sz w:val="28"/>
          <w:lang w:val="en-US" w:eastAsia="zh-CN"/>
        </w:rPr>
        <w:t>99.79</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489"/>
        <w:gridCol w:w="4716"/>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489" w:type="dxa"/>
            <w:tcBorders>
              <w:top w:val="single" w:color="FFFFFF" w:sz="6" w:space="0"/>
              <w:left w:val="single" w:color="FFFFFF" w:sz="6" w:space="0"/>
              <w:right w:val="single" w:color="FFFFFF" w:sz="6" w:space="0"/>
            </w:tcBorders>
            <w:vAlign w:val="center"/>
          </w:tcPr>
          <w:p>
            <w:pPr>
              <w:pStyle w:val="10"/>
            </w:pPr>
            <w:r>
              <w:t>322001唐山市曹妃甸区商务和投资促进局本级</w:t>
            </w:r>
          </w:p>
          <w:p>
            <w:pPr>
              <w:pStyle w:val="10"/>
            </w:pPr>
          </w:p>
        </w:tc>
        <w:tc>
          <w:tcPr>
            <w:tcW w:w="7551" w:type="dxa"/>
            <w:gridSpan w:val="2"/>
            <w:tcBorders>
              <w:top w:val="single" w:color="FFFFFF" w:sz="6" w:space="0"/>
              <w:left w:val="single" w:color="FFFFFF" w:sz="6" w:space="0"/>
              <w:right w:val="single" w:color="FFFFFF" w:sz="6" w:space="0"/>
            </w:tcBorders>
            <w:vAlign w:val="center"/>
          </w:tcPr>
          <w:p>
            <w:pPr>
              <w:pStyle w:val="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489" w:type="dxa"/>
            <w:vAlign w:val="center"/>
          </w:tcPr>
          <w:p>
            <w:pPr>
              <w:pStyle w:val="11"/>
            </w:pPr>
            <w:r>
              <w:t>项   目</w:t>
            </w:r>
          </w:p>
        </w:tc>
        <w:tc>
          <w:tcPr>
            <w:tcW w:w="4716"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89" w:type="dxa"/>
            <w:vAlign w:val="center"/>
          </w:tcPr>
          <w:p>
            <w:pPr>
              <w:widowControl/>
              <w:jc w:val="center"/>
              <w:rPr>
                <w:rFonts w:ascii="宋体" w:hAnsi="宋体" w:eastAsia="Times New Roman" w:cs="宋体"/>
                <w:color w:val="000000"/>
                <w:kern w:val="0"/>
                <w:sz w:val="18"/>
                <w:szCs w:val="18"/>
                <w:lang w:val="en-US" w:eastAsia="uk-UA" w:bidi="ar-SA"/>
              </w:rPr>
            </w:pPr>
            <w:r>
              <w:rPr>
                <w:rFonts w:hint="eastAsia" w:ascii="宋体" w:hAnsi="宋体" w:cs="宋体"/>
                <w:color w:val="000000"/>
                <w:kern w:val="0"/>
                <w:sz w:val="18"/>
                <w:szCs w:val="18"/>
              </w:rPr>
              <w:t>资产总额</w:t>
            </w:r>
          </w:p>
        </w:tc>
        <w:tc>
          <w:tcPr>
            <w:tcW w:w="4716" w:type="dxa"/>
            <w:vAlign w:val="center"/>
          </w:tcPr>
          <w:p>
            <w:pPr>
              <w:widowControl/>
              <w:jc w:val="center"/>
              <w:rPr>
                <w:rFonts w:ascii="宋体" w:hAnsi="宋体" w:eastAsia="Times New Roman" w:cs="宋体"/>
                <w:color w:val="000000"/>
                <w:kern w:val="0"/>
                <w:sz w:val="22"/>
                <w:szCs w:val="24"/>
                <w:lang w:val="en-US" w:eastAsia="uk-UA" w:bidi="ar-SA"/>
              </w:rPr>
            </w:pPr>
            <w:r>
              <w:rPr>
                <w:rFonts w:hint="eastAsia" w:ascii="宋体" w:hAnsi="宋体" w:cs="宋体"/>
                <w:color w:val="000000"/>
                <w:kern w:val="0"/>
                <w:sz w:val="22"/>
              </w:rPr>
              <w:t>——</w:t>
            </w:r>
          </w:p>
        </w:tc>
        <w:tc>
          <w:tcPr>
            <w:tcW w:w="2835" w:type="dxa"/>
            <w:vAlign w:val="center"/>
          </w:tcPr>
          <w:p>
            <w:pPr>
              <w:widowControl/>
              <w:jc w:val="center"/>
              <w:rPr>
                <w:rFonts w:hint="default" w:ascii="宋体" w:hAnsi="宋体" w:eastAsia="宋体" w:cs="宋体"/>
                <w:color w:val="000000"/>
                <w:kern w:val="0"/>
                <w:sz w:val="22"/>
                <w:szCs w:val="24"/>
                <w:lang w:val="en-US" w:eastAsia="zh-CN" w:bidi="ar-SA"/>
              </w:rPr>
            </w:pPr>
            <w:r>
              <w:rPr>
                <w:rFonts w:hint="eastAsia" w:ascii="宋体" w:hAnsi="宋体" w:cs="宋体"/>
                <w:color w:val="000000"/>
                <w:kern w:val="0"/>
                <w:sz w:val="22"/>
                <w:lang w:val="en-US" w:eastAsia="zh-CN"/>
              </w:rPr>
              <w:t>99.79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89" w:type="dxa"/>
            <w:vAlign w:val="center"/>
          </w:tcPr>
          <w:p>
            <w:pPr>
              <w:widowControl/>
              <w:jc w:val="left"/>
              <w:rPr>
                <w:rFonts w:ascii="宋体" w:hAnsi="宋体" w:eastAsia="Times New Roman" w:cs="宋体"/>
                <w:color w:val="000000"/>
                <w:kern w:val="0"/>
                <w:sz w:val="18"/>
                <w:szCs w:val="18"/>
                <w:lang w:val="en-US" w:eastAsia="uk-UA" w:bidi="ar-SA"/>
              </w:rPr>
            </w:pPr>
            <w:r>
              <w:rPr>
                <w:rFonts w:hint="eastAsia" w:ascii="宋体" w:hAnsi="宋体" w:cs="宋体"/>
                <w:color w:val="000000"/>
                <w:kern w:val="0"/>
                <w:sz w:val="18"/>
                <w:szCs w:val="18"/>
              </w:rPr>
              <w:t>1、房屋（平方米）</w:t>
            </w:r>
          </w:p>
        </w:tc>
        <w:tc>
          <w:tcPr>
            <w:tcW w:w="4716" w:type="dxa"/>
            <w:vAlign w:val="center"/>
          </w:tcPr>
          <w:p>
            <w:pPr>
              <w:widowControl/>
              <w:jc w:val="center"/>
              <w:rPr>
                <w:rFonts w:ascii="宋体" w:hAnsi="宋体" w:eastAsia="Times New Roman" w:cs="宋体"/>
                <w:color w:val="000000"/>
                <w:kern w:val="0"/>
                <w:sz w:val="22"/>
                <w:szCs w:val="24"/>
                <w:lang w:val="en-US" w:eastAsia="uk-UA" w:bidi="ar-SA"/>
              </w:rPr>
            </w:pPr>
            <w:r>
              <w:rPr>
                <w:rFonts w:hint="eastAsia" w:ascii="宋体" w:hAnsi="宋体" w:cs="宋体"/>
                <w:color w:val="000000"/>
                <w:kern w:val="0"/>
                <w:sz w:val="22"/>
              </w:rPr>
              <w:t xml:space="preserve"> </w:t>
            </w:r>
          </w:p>
        </w:tc>
        <w:tc>
          <w:tcPr>
            <w:tcW w:w="2835" w:type="dxa"/>
            <w:vAlign w:val="center"/>
          </w:tcPr>
          <w:p>
            <w:pPr>
              <w:widowControl/>
              <w:jc w:val="center"/>
              <w:rPr>
                <w:rFonts w:ascii="宋体" w:hAnsi="宋体" w:eastAsia="Times New Roman" w:cs="宋体"/>
                <w:color w:val="000000"/>
                <w:kern w:val="0"/>
                <w:sz w:val="22"/>
                <w:szCs w:val="24"/>
                <w:lang w:val="en-US" w:eastAsia="uk-UA" w:bidi="ar-SA"/>
              </w:rPr>
            </w:pPr>
            <w:r>
              <w:rPr>
                <w:rFonts w:hint="eastAsia" w:ascii="宋体" w:hAnsi="宋体" w:cs="宋体"/>
                <w:color w:val="000000"/>
                <w:kern w:val="0"/>
                <w:sz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89" w:type="dxa"/>
            <w:vAlign w:val="center"/>
          </w:tcPr>
          <w:p>
            <w:pPr>
              <w:widowControl/>
              <w:jc w:val="left"/>
              <w:rPr>
                <w:rFonts w:ascii="宋体" w:hAnsi="宋体" w:eastAsia="Times New Roman" w:cs="宋体"/>
                <w:color w:val="000000"/>
                <w:kern w:val="0"/>
                <w:sz w:val="18"/>
                <w:szCs w:val="18"/>
                <w:lang w:val="en-US" w:eastAsia="uk-UA" w:bidi="ar-SA"/>
              </w:rPr>
            </w:pPr>
            <w:r>
              <w:rPr>
                <w:rFonts w:hint="eastAsia" w:ascii="宋体" w:hAnsi="宋体" w:cs="宋体"/>
                <w:color w:val="000000"/>
                <w:kern w:val="0"/>
                <w:sz w:val="18"/>
                <w:szCs w:val="18"/>
              </w:rPr>
              <w:t xml:space="preserve">  其中：办公用房（平方米）</w:t>
            </w:r>
          </w:p>
        </w:tc>
        <w:tc>
          <w:tcPr>
            <w:tcW w:w="4716" w:type="dxa"/>
            <w:vAlign w:val="center"/>
          </w:tcPr>
          <w:p>
            <w:pPr>
              <w:widowControl/>
              <w:jc w:val="center"/>
              <w:rPr>
                <w:rFonts w:ascii="宋体" w:hAnsi="宋体" w:eastAsia="Times New Roman" w:cs="宋体"/>
                <w:color w:val="000000"/>
                <w:kern w:val="0"/>
                <w:sz w:val="22"/>
                <w:szCs w:val="24"/>
                <w:lang w:val="en-US" w:eastAsia="uk-UA" w:bidi="ar-SA"/>
              </w:rPr>
            </w:pPr>
            <w:r>
              <w:rPr>
                <w:rFonts w:hint="eastAsia" w:ascii="宋体" w:hAnsi="宋体" w:cs="宋体"/>
                <w:color w:val="000000"/>
                <w:kern w:val="0"/>
                <w:sz w:val="22"/>
              </w:rPr>
              <w:t xml:space="preserve"> </w:t>
            </w:r>
          </w:p>
        </w:tc>
        <w:tc>
          <w:tcPr>
            <w:tcW w:w="2835" w:type="dxa"/>
            <w:vAlign w:val="center"/>
          </w:tcPr>
          <w:p>
            <w:pPr>
              <w:widowControl/>
              <w:jc w:val="center"/>
              <w:rPr>
                <w:rFonts w:ascii="宋体" w:hAnsi="宋体" w:eastAsia="Times New Roman" w:cs="宋体"/>
                <w:color w:val="000000"/>
                <w:kern w:val="0"/>
                <w:sz w:val="22"/>
                <w:szCs w:val="24"/>
                <w:lang w:val="en-US" w:eastAsia="uk-UA" w:bidi="ar-SA"/>
              </w:rPr>
            </w:pPr>
            <w:r>
              <w:rPr>
                <w:rFonts w:hint="eastAsia" w:ascii="宋体" w:hAnsi="宋体" w:cs="宋体"/>
                <w:color w:val="000000"/>
                <w:kern w:val="0"/>
                <w:sz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89" w:type="dxa"/>
            <w:vAlign w:val="center"/>
          </w:tcPr>
          <w:p>
            <w:pPr>
              <w:widowControl/>
              <w:jc w:val="left"/>
              <w:rPr>
                <w:rFonts w:ascii="宋体" w:hAnsi="宋体" w:eastAsia="Times New Roman" w:cs="宋体"/>
                <w:color w:val="000000"/>
                <w:kern w:val="0"/>
                <w:sz w:val="18"/>
                <w:szCs w:val="18"/>
                <w:lang w:val="en-US" w:eastAsia="uk-UA" w:bidi="ar-SA"/>
              </w:rPr>
            </w:pPr>
            <w:r>
              <w:rPr>
                <w:rFonts w:hint="eastAsia" w:ascii="宋体" w:hAnsi="宋体" w:cs="宋体"/>
                <w:color w:val="000000"/>
                <w:kern w:val="0"/>
                <w:sz w:val="18"/>
                <w:szCs w:val="18"/>
              </w:rPr>
              <w:t>2、车辆（台、辆）</w:t>
            </w:r>
          </w:p>
        </w:tc>
        <w:tc>
          <w:tcPr>
            <w:tcW w:w="4716" w:type="dxa"/>
            <w:vAlign w:val="center"/>
          </w:tcPr>
          <w:p>
            <w:pPr>
              <w:widowControl/>
              <w:jc w:val="center"/>
              <w:rPr>
                <w:rFonts w:ascii="宋体" w:hAnsi="宋体" w:eastAsia="Times New Roman" w:cs="宋体"/>
                <w:color w:val="000000"/>
                <w:kern w:val="0"/>
                <w:sz w:val="22"/>
                <w:szCs w:val="24"/>
                <w:lang w:val="en-US" w:eastAsia="uk-UA" w:bidi="ar-SA"/>
              </w:rPr>
            </w:pPr>
            <w:r>
              <w:rPr>
                <w:rFonts w:hint="eastAsia" w:ascii="宋体" w:hAnsi="宋体" w:cs="宋体"/>
                <w:color w:val="000000"/>
                <w:kern w:val="0"/>
                <w:sz w:val="22"/>
              </w:rPr>
              <w:t>2</w:t>
            </w:r>
          </w:p>
        </w:tc>
        <w:tc>
          <w:tcPr>
            <w:tcW w:w="2835" w:type="dxa"/>
            <w:vAlign w:val="center"/>
          </w:tcPr>
          <w:p>
            <w:pPr>
              <w:widowControl/>
              <w:jc w:val="center"/>
              <w:rPr>
                <w:rFonts w:hint="eastAsia" w:ascii="宋体" w:hAnsi="宋体" w:eastAsia="宋体" w:cs="宋体"/>
                <w:color w:val="000000"/>
                <w:kern w:val="0"/>
                <w:sz w:val="22"/>
                <w:szCs w:val="24"/>
                <w:lang w:val="en-US" w:eastAsia="zh-CN" w:bidi="ar-SA"/>
              </w:rPr>
            </w:pPr>
            <w:r>
              <w:rPr>
                <w:rFonts w:hint="eastAsia" w:ascii="宋体" w:hAnsi="宋体" w:cs="宋体"/>
                <w:color w:val="000000"/>
                <w:kern w:val="0"/>
                <w:sz w:val="22"/>
                <w:lang w:val="en-US" w:eastAsia="zh-CN"/>
              </w:rPr>
              <w:t>35.96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89" w:type="dxa"/>
            <w:vAlign w:val="center"/>
          </w:tcPr>
          <w:p>
            <w:pPr>
              <w:widowControl/>
              <w:jc w:val="left"/>
              <w:rPr>
                <w:rFonts w:ascii="宋体" w:hAnsi="宋体" w:eastAsia="Times New Roman" w:cs="宋体"/>
                <w:color w:val="000000"/>
                <w:kern w:val="0"/>
                <w:sz w:val="18"/>
                <w:szCs w:val="18"/>
                <w:lang w:val="en-US" w:eastAsia="uk-UA" w:bidi="ar-SA"/>
              </w:rPr>
            </w:pPr>
            <w:r>
              <w:rPr>
                <w:rFonts w:hint="eastAsia" w:ascii="宋体" w:hAnsi="宋体" w:cs="宋体"/>
                <w:color w:val="000000"/>
                <w:kern w:val="0"/>
                <w:sz w:val="18"/>
                <w:szCs w:val="18"/>
              </w:rPr>
              <w:t>3、单价在20万元以上设备</w:t>
            </w:r>
          </w:p>
        </w:tc>
        <w:tc>
          <w:tcPr>
            <w:tcW w:w="4716" w:type="dxa"/>
            <w:vAlign w:val="center"/>
          </w:tcPr>
          <w:p>
            <w:pPr>
              <w:widowControl/>
              <w:jc w:val="center"/>
              <w:rPr>
                <w:rFonts w:ascii="宋体" w:hAnsi="宋体" w:eastAsia="Times New Roman" w:cs="宋体"/>
                <w:color w:val="000000"/>
                <w:kern w:val="0"/>
                <w:sz w:val="22"/>
                <w:szCs w:val="24"/>
                <w:lang w:val="en-US" w:eastAsia="uk-UA" w:bidi="ar-SA"/>
              </w:rPr>
            </w:pPr>
            <w:r>
              <w:rPr>
                <w:rFonts w:hint="eastAsia" w:ascii="宋体" w:hAnsi="宋体" w:cs="宋体"/>
                <w:color w:val="000000"/>
                <w:kern w:val="0"/>
                <w:sz w:val="22"/>
              </w:rPr>
              <w:t>——</w:t>
            </w:r>
          </w:p>
        </w:tc>
        <w:tc>
          <w:tcPr>
            <w:tcW w:w="2835" w:type="dxa"/>
            <w:vAlign w:val="center"/>
          </w:tcPr>
          <w:p>
            <w:pPr>
              <w:widowControl/>
              <w:jc w:val="center"/>
              <w:rPr>
                <w:rFonts w:ascii="宋体" w:hAnsi="宋体" w:eastAsia="Times New Roman" w:cs="宋体"/>
                <w:color w:val="000000"/>
                <w:kern w:val="0"/>
                <w:sz w:val="22"/>
                <w:szCs w:val="24"/>
                <w:lang w:val="en-US" w:eastAsia="uk-UA" w:bidi="ar-SA"/>
              </w:rPr>
            </w:pPr>
            <w:r>
              <w:rPr>
                <w:rFonts w:hint="eastAsia" w:ascii="宋体" w:hAnsi="宋体" w:cs="宋体"/>
                <w:color w:val="000000"/>
                <w:kern w:val="0"/>
                <w:sz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89" w:type="dxa"/>
            <w:vAlign w:val="center"/>
          </w:tcPr>
          <w:p>
            <w:pPr>
              <w:widowControl/>
              <w:jc w:val="left"/>
              <w:rPr>
                <w:rFonts w:ascii="宋体" w:hAnsi="宋体" w:eastAsia="Times New Roman" w:cs="宋体"/>
                <w:color w:val="000000"/>
                <w:kern w:val="0"/>
                <w:sz w:val="18"/>
                <w:szCs w:val="18"/>
                <w:lang w:val="en-US" w:eastAsia="uk-UA" w:bidi="ar-SA"/>
              </w:rPr>
            </w:pPr>
            <w:r>
              <w:rPr>
                <w:rFonts w:hint="eastAsia" w:ascii="宋体" w:hAnsi="宋体" w:cs="宋体"/>
                <w:color w:val="000000"/>
                <w:kern w:val="0"/>
                <w:sz w:val="18"/>
                <w:szCs w:val="18"/>
              </w:rPr>
              <w:t>4、其他固定资产</w:t>
            </w:r>
          </w:p>
        </w:tc>
        <w:tc>
          <w:tcPr>
            <w:tcW w:w="4716" w:type="dxa"/>
            <w:vAlign w:val="center"/>
          </w:tcPr>
          <w:p>
            <w:pPr>
              <w:widowControl/>
              <w:jc w:val="center"/>
              <w:rPr>
                <w:rFonts w:ascii="宋体" w:hAnsi="宋体" w:eastAsia="Times New Roman" w:cs="宋体"/>
                <w:color w:val="000000"/>
                <w:kern w:val="0"/>
                <w:sz w:val="22"/>
                <w:szCs w:val="24"/>
                <w:lang w:val="en-US" w:eastAsia="uk-UA" w:bidi="ar-SA"/>
              </w:rPr>
            </w:pPr>
            <w:r>
              <w:rPr>
                <w:rFonts w:hint="eastAsia" w:ascii="宋体" w:hAnsi="宋体" w:cs="宋体"/>
                <w:color w:val="000000"/>
                <w:kern w:val="0"/>
                <w:sz w:val="22"/>
              </w:rPr>
              <w:t>——</w:t>
            </w:r>
          </w:p>
        </w:tc>
        <w:tc>
          <w:tcPr>
            <w:tcW w:w="2835" w:type="dxa"/>
            <w:vAlign w:val="center"/>
          </w:tcPr>
          <w:p>
            <w:pPr>
              <w:widowControl/>
              <w:jc w:val="center"/>
              <w:rPr>
                <w:rFonts w:hint="default" w:ascii="宋体" w:hAnsi="宋体" w:eastAsia="宋体" w:cs="宋体"/>
                <w:color w:val="000000"/>
                <w:kern w:val="0"/>
                <w:sz w:val="22"/>
                <w:szCs w:val="24"/>
                <w:lang w:val="en-US" w:eastAsia="zh-CN" w:bidi="ar-SA"/>
              </w:rPr>
            </w:pPr>
            <w:r>
              <w:rPr>
                <w:rFonts w:hint="eastAsia" w:ascii="宋体" w:hAnsi="宋体" w:cs="宋体"/>
                <w:color w:val="000000"/>
                <w:kern w:val="0"/>
                <w:sz w:val="22"/>
                <w:lang w:val="en-US" w:eastAsia="zh-CN"/>
              </w:rPr>
              <w:t>63.83</w:t>
            </w:r>
          </w:p>
        </w:tc>
      </w:tr>
    </w:tbl>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本</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本</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pgNumType w:fmt="decimal"/>
          <w:cols w:space="720" w:num="1"/>
        </w:sectPr>
      </w:pPr>
      <w:r>
        <w:rPr>
          <w:rFonts w:eastAsia="方正仿宋_GBK"/>
          <w:color w:val="000000"/>
          <w:sz w:val="28"/>
        </w:rPr>
        <w:t>我单位无其他需要说明的事项。</w:t>
      </w:r>
    </w:p>
    <w:p>
      <w:pPr>
        <w:jc w:val="center"/>
        <w:outlineLvl w:val="3"/>
      </w:pPr>
      <w:r>
        <w:rPr>
          <w:rFonts w:ascii="方正小标宋_GBK" w:hAnsi="方正小标宋_GBK" w:eastAsia="方正小标宋_GBK" w:cs="方正小标宋_GBK"/>
          <w:color w:val="000000"/>
          <w:sz w:val="44"/>
        </w:rPr>
        <w:t>二、曹妃甸区企管中心收支预算</w:t>
      </w:r>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322003曹妃甸区企管中心</w:t>
            </w:r>
          </w:p>
        </w:tc>
        <w:tc>
          <w:tcPr>
            <w:tcW w:w="2126" w:type="dxa"/>
            <w:tcBorders>
              <w:top w:val="single" w:color="FFFFFF" w:sz="6" w:space="0"/>
              <w:left w:val="single" w:color="FFFFFF" w:sz="6" w:space="0"/>
              <w:right w:val="single" w:color="FFFFFF" w:sz="6" w:space="0"/>
            </w:tcBorders>
            <w:vAlign w:val="center"/>
          </w:tcPr>
          <w:p>
            <w:pPr>
              <w:pStyle w:val="9"/>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237.73</w:t>
            </w:r>
          </w:p>
        </w:tc>
        <w:tc>
          <w:tcPr>
            <w:tcW w:w="4535" w:type="dxa"/>
            <w:vAlign w:val="center"/>
          </w:tcPr>
          <w:p>
            <w:pPr>
              <w:pStyle w:val="13"/>
            </w:pPr>
            <w:r>
              <w:t>一、一般公共服务支出</w:t>
            </w:r>
          </w:p>
        </w:tc>
        <w:tc>
          <w:tcPr>
            <w:tcW w:w="2126" w:type="dxa"/>
            <w:vAlign w:val="center"/>
          </w:tcPr>
          <w:p>
            <w:pPr>
              <w:pStyle w:val="12"/>
            </w:pPr>
            <w:r>
              <w:t>237.73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五、事业收入</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r>
              <w:t>六、事业单位经营收入</w:t>
            </w: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r>
              <w:t>七、上级补助收入</w:t>
            </w: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r>
              <w:t>八、附属单位上缴收入</w:t>
            </w: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r>
              <w:t>九、其他收入</w:t>
            </w: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5"/>
            </w:pPr>
            <w:r>
              <w:t>本年收入合计</w:t>
            </w:r>
          </w:p>
        </w:tc>
        <w:tc>
          <w:tcPr>
            <w:tcW w:w="2126" w:type="dxa"/>
            <w:vAlign w:val="center"/>
          </w:tcPr>
          <w:p>
            <w:pPr>
              <w:pStyle w:val="16"/>
            </w:pPr>
            <w:r>
              <w:t>237.73</w:t>
            </w:r>
          </w:p>
        </w:tc>
        <w:tc>
          <w:tcPr>
            <w:tcW w:w="4535" w:type="dxa"/>
            <w:vAlign w:val="center"/>
          </w:tcPr>
          <w:p>
            <w:pPr>
              <w:pStyle w:val="15"/>
            </w:pPr>
            <w:r>
              <w:t>本年支出合计</w:t>
            </w:r>
          </w:p>
        </w:tc>
        <w:tc>
          <w:tcPr>
            <w:tcW w:w="2126" w:type="dxa"/>
            <w:vAlign w:val="center"/>
          </w:tcPr>
          <w:p>
            <w:pPr>
              <w:pStyle w:val="16"/>
            </w:pPr>
            <w:r>
              <w:t>237.73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5"/>
            </w:pPr>
            <w:r>
              <w:t>收入总计</w:t>
            </w:r>
          </w:p>
        </w:tc>
        <w:tc>
          <w:tcPr>
            <w:tcW w:w="2126" w:type="dxa"/>
            <w:vAlign w:val="center"/>
          </w:tcPr>
          <w:p>
            <w:pPr>
              <w:pStyle w:val="16"/>
            </w:pPr>
            <w:r>
              <w:t>237.73</w:t>
            </w:r>
          </w:p>
        </w:tc>
        <w:tc>
          <w:tcPr>
            <w:tcW w:w="4535" w:type="dxa"/>
            <w:vAlign w:val="center"/>
          </w:tcPr>
          <w:p>
            <w:pPr>
              <w:pStyle w:val="15"/>
            </w:pPr>
            <w:r>
              <w:t>支出总计</w:t>
            </w:r>
          </w:p>
        </w:tc>
        <w:tc>
          <w:tcPr>
            <w:tcW w:w="2126" w:type="dxa"/>
            <w:vAlign w:val="center"/>
          </w:tcPr>
          <w:p>
            <w:pPr>
              <w:pStyle w:val="16"/>
            </w:pPr>
            <w:r>
              <w:t>237.73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322003曹妃甸区企管中心</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237.73</w:t>
            </w:r>
          </w:p>
        </w:tc>
        <w:tc>
          <w:tcPr>
            <w:tcW w:w="1134" w:type="dxa"/>
            <w:vAlign w:val="center"/>
          </w:tcPr>
          <w:p>
            <w:pPr>
              <w:pStyle w:val="16"/>
            </w:pPr>
            <w:r>
              <w:t>237.73</w:t>
            </w:r>
          </w:p>
        </w:tc>
        <w:tc>
          <w:tcPr>
            <w:tcW w:w="1134" w:type="dxa"/>
            <w:vAlign w:val="center"/>
          </w:tcPr>
          <w:p>
            <w:pPr>
              <w:pStyle w:val="16"/>
            </w:pPr>
            <w:r>
              <w:t>237.73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237.73</w:t>
            </w:r>
          </w:p>
        </w:tc>
        <w:tc>
          <w:tcPr>
            <w:tcW w:w="1134" w:type="dxa"/>
            <w:vAlign w:val="center"/>
          </w:tcPr>
          <w:p>
            <w:pPr>
              <w:pStyle w:val="12"/>
            </w:pPr>
            <w:r>
              <w:t>237.73</w:t>
            </w:r>
          </w:p>
        </w:tc>
        <w:tc>
          <w:tcPr>
            <w:tcW w:w="1134" w:type="dxa"/>
            <w:vAlign w:val="center"/>
          </w:tcPr>
          <w:p>
            <w:pPr>
              <w:pStyle w:val="12"/>
            </w:pPr>
            <w:r>
              <w:t>237.73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20113</w:t>
            </w:r>
          </w:p>
        </w:tc>
        <w:tc>
          <w:tcPr>
            <w:tcW w:w="1559" w:type="dxa"/>
            <w:vAlign w:val="center"/>
          </w:tcPr>
          <w:p>
            <w:pPr>
              <w:pStyle w:val="13"/>
            </w:pPr>
            <w:r>
              <w:t>商贸事务</w:t>
            </w:r>
          </w:p>
        </w:tc>
        <w:tc>
          <w:tcPr>
            <w:tcW w:w="1134" w:type="dxa"/>
            <w:vAlign w:val="center"/>
          </w:tcPr>
          <w:p>
            <w:pPr>
              <w:pStyle w:val="12"/>
            </w:pPr>
            <w:r>
              <w:t>237.73</w:t>
            </w:r>
          </w:p>
        </w:tc>
        <w:tc>
          <w:tcPr>
            <w:tcW w:w="1134" w:type="dxa"/>
            <w:vAlign w:val="center"/>
          </w:tcPr>
          <w:p>
            <w:pPr>
              <w:pStyle w:val="12"/>
            </w:pPr>
            <w:r>
              <w:t>237.73</w:t>
            </w:r>
          </w:p>
        </w:tc>
        <w:tc>
          <w:tcPr>
            <w:tcW w:w="1134" w:type="dxa"/>
            <w:vAlign w:val="center"/>
          </w:tcPr>
          <w:p>
            <w:pPr>
              <w:pStyle w:val="12"/>
            </w:pPr>
            <w:r>
              <w:t>237.73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2011301</w:t>
            </w:r>
          </w:p>
        </w:tc>
        <w:tc>
          <w:tcPr>
            <w:tcW w:w="1559" w:type="dxa"/>
            <w:vAlign w:val="center"/>
          </w:tcPr>
          <w:p>
            <w:pPr>
              <w:pStyle w:val="13"/>
            </w:pPr>
            <w:r>
              <w:t>行政运行</w:t>
            </w:r>
          </w:p>
        </w:tc>
        <w:tc>
          <w:tcPr>
            <w:tcW w:w="1134" w:type="dxa"/>
            <w:vAlign w:val="center"/>
          </w:tcPr>
          <w:p>
            <w:pPr>
              <w:pStyle w:val="12"/>
            </w:pPr>
            <w:r>
              <w:t>202.73</w:t>
            </w:r>
          </w:p>
        </w:tc>
        <w:tc>
          <w:tcPr>
            <w:tcW w:w="1134" w:type="dxa"/>
            <w:vAlign w:val="center"/>
          </w:tcPr>
          <w:p>
            <w:pPr>
              <w:pStyle w:val="12"/>
            </w:pPr>
            <w:r>
              <w:t>202.73</w:t>
            </w:r>
          </w:p>
        </w:tc>
        <w:tc>
          <w:tcPr>
            <w:tcW w:w="1134" w:type="dxa"/>
            <w:vAlign w:val="center"/>
          </w:tcPr>
          <w:p>
            <w:pPr>
              <w:pStyle w:val="12"/>
            </w:pPr>
            <w:r>
              <w:t>202.73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2011399</w:t>
            </w:r>
          </w:p>
        </w:tc>
        <w:tc>
          <w:tcPr>
            <w:tcW w:w="1559" w:type="dxa"/>
            <w:vAlign w:val="center"/>
          </w:tcPr>
          <w:p>
            <w:pPr>
              <w:pStyle w:val="13"/>
            </w:pPr>
            <w:r>
              <w:t>其他商贸事务支出</w:t>
            </w:r>
          </w:p>
        </w:tc>
        <w:tc>
          <w:tcPr>
            <w:tcW w:w="1134" w:type="dxa"/>
            <w:vAlign w:val="center"/>
          </w:tcPr>
          <w:p>
            <w:pPr>
              <w:pStyle w:val="12"/>
            </w:pPr>
            <w:r>
              <w:t>35.00</w:t>
            </w:r>
          </w:p>
        </w:tc>
        <w:tc>
          <w:tcPr>
            <w:tcW w:w="1134" w:type="dxa"/>
            <w:vAlign w:val="center"/>
          </w:tcPr>
          <w:p>
            <w:pPr>
              <w:pStyle w:val="12"/>
            </w:pPr>
            <w:r>
              <w:t>35.00</w:t>
            </w:r>
          </w:p>
        </w:tc>
        <w:tc>
          <w:tcPr>
            <w:tcW w:w="1134" w:type="dxa"/>
            <w:vAlign w:val="center"/>
          </w:tcPr>
          <w:p>
            <w:pPr>
              <w:pStyle w:val="12"/>
            </w:pPr>
            <w:r>
              <w:t>35.00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322003曹妃甸区企管中心</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237.73</w:t>
            </w:r>
          </w:p>
        </w:tc>
        <w:tc>
          <w:tcPr>
            <w:tcW w:w="1361" w:type="dxa"/>
            <w:vAlign w:val="center"/>
          </w:tcPr>
          <w:p>
            <w:pPr>
              <w:pStyle w:val="16"/>
            </w:pPr>
          </w:p>
        </w:tc>
        <w:tc>
          <w:tcPr>
            <w:tcW w:w="1361" w:type="dxa"/>
            <w:vAlign w:val="center"/>
          </w:tcPr>
          <w:p>
            <w:pPr>
              <w:pStyle w:val="16"/>
            </w:pPr>
            <w:r>
              <w:t>237.73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237.73</w:t>
            </w:r>
          </w:p>
        </w:tc>
        <w:tc>
          <w:tcPr>
            <w:tcW w:w="1361" w:type="dxa"/>
            <w:vAlign w:val="center"/>
          </w:tcPr>
          <w:p>
            <w:pPr>
              <w:pStyle w:val="12"/>
            </w:pPr>
          </w:p>
        </w:tc>
        <w:tc>
          <w:tcPr>
            <w:tcW w:w="1361" w:type="dxa"/>
            <w:vAlign w:val="center"/>
          </w:tcPr>
          <w:p>
            <w:pPr>
              <w:pStyle w:val="12"/>
            </w:pPr>
            <w:r>
              <w:t>237.73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20113</w:t>
            </w:r>
          </w:p>
        </w:tc>
        <w:tc>
          <w:tcPr>
            <w:tcW w:w="4535" w:type="dxa"/>
            <w:vAlign w:val="center"/>
          </w:tcPr>
          <w:p>
            <w:pPr>
              <w:pStyle w:val="13"/>
            </w:pPr>
            <w:r>
              <w:t>商贸事务</w:t>
            </w:r>
          </w:p>
        </w:tc>
        <w:tc>
          <w:tcPr>
            <w:tcW w:w="1361" w:type="dxa"/>
            <w:vAlign w:val="center"/>
          </w:tcPr>
          <w:p>
            <w:pPr>
              <w:pStyle w:val="12"/>
            </w:pPr>
            <w:r>
              <w:t>237.73</w:t>
            </w:r>
          </w:p>
        </w:tc>
        <w:tc>
          <w:tcPr>
            <w:tcW w:w="1361" w:type="dxa"/>
            <w:vAlign w:val="center"/>
          </w:tcPr>
          <w:p>
            <w:pPr>
              <w:pStyle w:val="12"/>
            </w:pPr>
          </w:p>
        </w:tc>
        <w:tc>
          <w:tcPr>
            <w:tcW w:w="1361" w:type="dxa"/>
            <w:vAlign w:val="center"/>
          </w:tcPr>
          <w:p>
            <w:pPr>
              <w:pStyle w:val="12"/>
            </w:pPr>
            <w:r>
              <w:t>237.73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2011301</w:t>
            </w:r>
          </w:p>
        </w:tc>
        <w:tc>
          <w:tcPr>
            <w:tcW w:w="4535" w:type="dxa"/>
            <w:vAlign w:val="center"/>
          </w:tcPr>
          <w:p>
            <w:pPr>
              <w:pStyle w:val="13"/>
            </w:pPr>
            <w:r>
              <w:t>行政运行</w:t>
            </w:r>
          </w:p>
        </w:tc>
        <w:tc>
          <w:tcPr>
            <w:tcW w:w="1361" w:type="dxa"/>
            <w:vAlign w:val="center"/>
          </w:tcPr>
          <w:p>
            <w:pPr>
              <w:pStyle w:val="12"/>
            </w:pPr>
            <w:r>
              <w:t>202.73</w:t>
            </w:r>
          </w:p>
        </w:tc>
        <w:tc>
          <w:tcPr>
            <w:tcW w:w="1361" w:type="dxa"/>
            <w:vAlign w:val="center"/>
          </w:tcPr>
          <w:p>
            <w:pPr>
              <w:pStyle w:val="12"/>
            </w:pPr>
          </w:p>
        </w:tc>
        <w:tc>
          <w:tcPr>
            <w:tcW w:w="1361" w:type="dxa"/>
            <w:vAlign w:val="center"/>
          </w:tcPr>
          <w:p>
            <w:pPr>
              <w:pStyle w:val="12"/>
            </w:pPr>
            <w:r>
              <w:t>202.73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2011399</w:t>
            </w:r>
          </w:p>
        </w:tc>
        <w:tc>
          <w:tcPr>
            <w:tcW w:w="4535" w:type="dxa"/>
            <w:vAlign w:val="center"/>
          </w:tcPr>
          <w:p>
            <w:pPr>
              <w:pStyle w:val="13"/>
            </w:pPr>
            <w:r>
              <w:t>其他商贸事务支出</w:t>
            </w:r>
          </w:p>
        </w:tc>
        <w:tc>
          <w:tcPr>
            <w:tcW w:w="1361" w:type="dxa"/>
            <w:vAlign w:val="center"/>
          </w:tcPr>
          <w:p>
            <w:pPr>
              <w:pStyle w:val="12"/>
            </w:pPr>
            <w:r>
              <w:t>35.00</w:t>
            </w:r>
          </w:p>
        </w:tc>
        <w:tc>
          <w:tcPr>
            <w:tcW w:w="1361" w:type="dxa"/>
            <w:vAlign w:val="center"/>
          </w:tcPr>
          <w:p>
            <w:pPr>
              <w:pStyle w:val="12"/>
            </w:pPr>
          </w:p>
        </w:tc>
        <w:tc>
          <w:tcPr>
            <w:tcW w:w="1361" w:type="dxa"/>
            <w:vAlign w:val="center"/>
          </w:tcPr>
          <w:p>
            <w:pPr>
              <w:pStyle w:val="12"/>
            </w:pPr>
            <w:r>
              <w:t>35.00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322003曹妃甸区企管中心</w:t>
            </w:r>
          </w:p>
        </w:tc>
        <w:tc>
          <w:tcPr>
            <w:tcW w:w="3402" w:type="dxa"/>
            <w:tcBorders>
              <w:top w:val="single" w:color="FFFFFF" w:sz="6" w:space="0"/>
              <w:left w:val="single" w:color="FFFFFF" w:sz="6" w:space="0"/>
              <w:right w:val="single" w:color="FFFFFF" w:sz="6" w:space="0"/>
            </w:tcBorders>
            <w:vAlign w:val="center"/>
          </w:tcPr>
          <w:p>
            <w:pPr>
              <w:pStyle w:val="9"/>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237.73</w:t>
            </w:r>
          </w:p>
        </w:tc>
        <w:tc>
          <w:tcPr>
            <w:tcW w:w="3402" w:type="dxa"/>
            <w:vAlign w:val="center"/>
          </w:tcPr>
          <w:p>
            <w:pPr>
              <w:pStyle w:val="13"/>
            </w:pPr>
            <w:r>
              <w:t>一、一般公共服务支出</w:t>
            </w:r>
          </w:p>
        </w:tc>
        <w:tc>
          <w:tcPr>
            <w:tcW w:w="1474" w:type="dxa"/>
            <w:vAlign w:val="center"/>
          </w:tcPr>
          <w:p>
            <w:pPr>
              <w:pStyle w:val="12"/>
            </w:pPr>
            <w:r>
              <w:t>237.73</w:t>
            </w:r>
          </w:p>
        </w:tc>
        <w:tc>
          <w:tcPr>
            <w:tcW w:w="1474" w:type="dxa"/>
            <w:vAlign w:val="center"/>
          </w:tcPr>
          <w:p>
            <w:pPr>
              <w:pStyle w:val="12"/>
            </w:pPr>
            <w:r>
              <w:t>237.73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5"/>
            </w:pPr>
            <w:r>
              <w:t>本年收入合计</w:t>
            </w:r>
          </w:p>
        </w:tc>
        <w:tc>
          <w:tcPr>
            <w:tcW w:w="1474" w:type="dxa"/>
            <w:vAlign w:val="center"/>
          </w:tcPr>
          <w:p>
            <w:pPr>
              <w:pStyle w:val="16"/>
            </w:pPr>
            <w:r>
              <w:t>237.73</w:t>
            </w:r>
          </w:p>
        </w:tc>
        <w:tc>
          <w:tcPr>
            <w:tcW w:w="3402" w:type="dxa"/>
            <w:vAlign w:val="center"/>
          </w:tcPr>
          <w:p>
            <w:pPr>
              <w:pStyle w:val="15"/>
            </w:pPr>
            <w:r>
              <w:t>本年支出合计</w:t>
            </w:r>
          </w:p>
        </w:tc>
        <w:tc>
          <w:tcPr>
            <w:tcW w:w="1474" w:type="dxa"/>
            <w:vAlign w:val="center"/>
          </w:tcPr>
          <w:p>
            <w:pPr>
              <w:pStyle w:val="16"/>
            </w:pPr>
            <w:r>
              <w:t>237.73</w:t>
            </w:r>
          </w:p>
        </w:tc>
        <w:tc>
          <w:tcPr>
            <w:tcW w:w="1474" w:type="dxa"/>
            <w:vAlign w:val="center"/>
          </w:tcPr>
          <w:p>
            <w:pPr>
              <w:pStyle w:val="16"/>
            </w:pPr>
            <w:r>
              <w:t>237.73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5"/>
            </w:pPr>
            <w:r>
              <w:t>收入总计</w:t>
            </w:r>
          </w:p>
        </w:tc>
        <w:tc>
          <w:tcPr>
            <w:tcW w:w="1474" w:type="dxa"/>
            <w:vAlign w:val="center"/>
          </w:tcPr>
          <w:p>
            <w:pPr>
              <w:pStyle w:val="16"/>
            </w:pPr>
            <w:r>
              <w:t>237.73</w:t>
            </w:r>
          </w:p>
        </w:tc>
        <w:tc>
          <w:tcPr>
            <w:tcW w:w="3402" w:type="dxa"/>
            <w:vAlign w:val="center"/>
          </w:tcPr>
          <w:p>
            <w:pPr>
              <w:pStyle w:val="15"/>
            </w:pPr>
            <w:r>
              <w:t>支出总计</w:t>
            </w:r>
          </w:p>
        </w:tc>
        <w:tc>
          <w:tcPr>
            <w:tcW w:w="1474" w:type="dxa"/>
            <w:vAlign w:val="center"/>
          </w:tcPr>
          <w:p>
            <w:pPr>
              <w:pStyle w:val="16"/>
            </w:pPr>
            <w:r>
              <w:t>237.73</w:t>
            </w:r>
          </w:p>
        </w:tc>
        <w:tc>
          <w:tcPr>
            <w:tcW w:w="1474" w:type="dxa"/>
            <w:vAlign w:val="center"/>
          </w:tcPr>
          <w:p>
            <w:pPr>
              <w:pStyle w:val="16"/>
            </w:pPr>
            <w:r>
              <w:t>237.73</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322003曹妃甸区企管中心</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237.73</w:t>
            </w:r>
          </w:p>
        </w:tc>
        <w:tc>
          <w:tcPr>
            <w:tcW w:w="2551" w:type="dxa"/>
            <w:vAlign w:val="center"/>
          </w:tcPr>
          <w:p>
            <w:pPr>
              <w:pStyle w:val="16"/>
            </w:pPr>
          </w:p>
        </w:tc>
        <w:tc>
          <w:tcPr>
            <w:tcW w:w="2551" w:type="dxa"/>
            <w:vAlign w:val="center"/>
          </w:tcPr>
          <w:p>
            <w:pPr>
              <w:pStyle w:val="16"/>
            </w:pPr>
            <w:r>
              <w:t>237.73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237.73</w:t>
            </w:r>
          </w:p>
        </w:tc>
        <w:tc>
          <w:tcPr>
            <w:tcW w:w="2551" w:type="dxa"/>
            <w:vAlign w:val="center"/>
          </w:tcPr>
          <w:p>
            <w:pPr>
              <w:pStyle w:val="12"/>
            </w:pPr>
          </w:p>
        </w:tc>
        <w:tc>
          <w:tcPr>
            <w:tcW w:w="2551" w:type="dxa"/>
            <w:vAlign w:val="center"/>
          </w:tcPr>
          <w:p>
            <w:pPr>
              <w:pStyle w:val="12"/>
            </w:pPr>
            <w:r>
              <w:t>237.73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20113</w:t>
            </w:r>
          </w:p>
        </w:tc>
        <w:tc>
          <w:tcPr>
            <w:tcW w:w="4535" w:type="dxa"/>
            <w:vAlign w:val="center"/>
          </w:tcPr>
          <w:p>
            <w:pPr>
              <w:pStyle w:val="13"/>
            </w:pPr>
            <w:r>
              <w:t>商贸事务</w:t>
            </w:r>
          </w:p>
        </w:tc>
        <w:tc>
          <w:tcPr>
            <w:tcW w:w="2551" w:type="dxa"/>
            <w:vAlign w:val="center"/>
          </w:tcPr>
          <w:p>
            <w:pPr>
              <w:pStyle w:val="12"/>
            </w:pPr>
            <w:r>
              <w:t>237.73</w:t>
            </w:r>
          </w:p>
        </w:tc>
        <w:tc>
          <w:tcPr>
            <w:tcW w:w="2551" w:type="dxa"/>
            <w:vAlign w:val="center"/>
          </w:tcPr>
          <w:p>
            <w:pPr>
              <w:pStyle w:val="12"/>
            </w:pPr>
          </w:p>
        </w:tc>
        <w:tc>
          <w:tcPr>
            <w:tcW w:w="2551" w:type="dxa"/>
            <w:vAlign w:val="center"/>
          </w:tcPr>
          <w:p>
            <w:pPr>
              <w:pStyle w:val="12"/>
            </w:pPr>
            <w:r>
              <w:t>237.73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2011301</w:t>
            </w:r>
          </w:p>
        </w:tc>
        <w:tc>
          <w:tcPr>
            <w:tcW w:w="4535" w:type="dxa"/>
            <w:vAlign w:val="center"/>
          </w:tcPr>
          <w:p>
            <w:pPr>
              <w:pStyle w:val="13"/>
            </w:pPr>
            <w:r>
              <w:t>行政运行</w:t>
            </w:r>
          </w:p>
        </w:tc>
        <w:tc>
          <w:tcPr>
            <w:tcW w:w="2551" w:type="dxa"/>
            <w:vAlign w:val="center"/>
          </w:tcPr>
          <w:p>
            <w:pPr>
              <w:pStyle w:val="12"/>
            </w:pPr>
            <w:r>
              <w:t>202.73</w:t>
            </w:r>
          </w:p>
        </w:tc>
        <w:tc>
          <w:tcPr>
            <w:tcW w:w="2551" w:type="dxa"/>
            <w:vAlign w:val="center"/>
          </w:tcPr>
          <w:p>
            <w:pPr>
              <w:pStyle w:val="12"/>
            </w:pPr>
          </w:p>
        </w:tc>
        <w:tc>
          <w:tcPr>
            <w:tcW w:w="2551" w:type="dxa"/>
            <w:vAlign w:val="center"/>
          </w:tcPr>
          <w:p>
            <w:pPr>
              <w:pStyle w:val="12"/>
            </w:pPr>
            <w:r>
              <w:t>202.73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2011399</w:t>
            </w:r>
          </w:p>
        </w:tc>
        <w:tc>
          <w:tcPr>
            <w:tcW w:w="4535" w:type="dxa"/>
            <w:vAlign w:val="center"/>
          </w:tcPr>
          <w:p>
            <w:pPr>
              <w:pStyle w:val="13"/>
            </w:pPr>
            <w:r>
              <w:t>其他商贸事务支出</w:t>
            </w:r>
          </w:p>
        </w:tc>
        <w:tc>
          <w:tcPr>
            <w:tcW w:w="2551" w:type="dxa"/>
            <w:vAlign w:val="center"/>
          </w:tcPr>
          <w:p>
            <w:pPr>
              <w:pStyle w:val="12"/>
            </w:pPr>
            <w:r>
              <w:t>35.00</w:t>
            </w:r>
          </w:p>
        </w:tc>
        <w:tc>
          <w:tcPr>
            <w:tcW w:w="2551" w:type="dxa"/>
            <w:vAlign w:val="center"/>
          </w:tcPr>
          <w:p>
            <w:pPr>
              <w:pStyle w:val="12"/>
            </w:pPr>
          </w:p>
        </w:tc>
        <w:tc>
          <w:tcPr>
            <w:tcW w:w="2551" w:type="dxa"/>
            <w:vAlign w:val="center"/>
          </w:tcPr>
          <w:p>
            <w:pPr>
              <w:pStyle w:val="12"/>
            </w:pPr>
            <w:r>
              <w:t>35.00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322003曹妃甸区企管中心</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322003曹妃甸区企管中心</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322003曹妃甸区企管中心</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322003曹妃甸区企管中心</w:t>
            </w:r>
          </w:p>
        </w:tc>
        <w:tc>
          <w:tcPr>
            <w:tcW w:w="2381" w:type="dxa"/>
            <w:tcBorders>
              <w:top w:val="single" w:color="FFFFFF" w:sz="6" w:space="0"/>
              <w:left w:val="single" w:color="FFFFFF" w:sz="6" w:space="0"/>
              <w:right w:val="single" w:color="FFFFFF" w:sz="6" w:space="0"/>
            </w:tcBorders>
            <w:vAlign w:val="center"/>
          </w:tcPr>
          <w:p>
            <w:pPr>
              <w:pStyle w:val="9"/>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曹妃甸区企管中心2022年单位预算信息公开情况说明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按照《预算法》、《地方预决算公开操作规程》和《关于进一步推进预算公开工作的实施意见》规定，现将曹妃甸区企管中心2022年单位预算公开如下：</w:t>
      </w:r>
    </w:p>
    <w:p>
      <w:pPr>
        <w:spacing w:before="10" w:after="10"/>
        <w:ind w:firstLine="640"/>
        <w:outlineLvl w:val="5"/>
      </w:pPr>
      <w:r>
        <w:rPr>
          <w:rFonts w:ascii="黑体" w:hAnsi="黑体" w:eastAsia="黑体" w:cs="黑体"/>
          <w:color w:val="000000"/>
          <w:sz w:val="32"/>
        </w:rPr>
        <w:t>一、单位职责及机构设置情况</w:t>
      </w:r>
    </w:p>
    <w:p>
      <w:pPr>
        <w:spacing w:line="500" w:lineRule="exact"/>
        <w:ind w:firstLine="560"/>
        <w:rPr>
          <w:rFonts w:eastAsia="方正仿宋_GBK"/>
          <w:b/>
          <w:color w:val="000000"/>
          <w:sz w:val="28"/>
        </w:rPr>
      </w:pPr>
      <w:r>
        <w:rPr>
          <w:rFonts w:eastAsia="方正仿宋_GBK"/>
          <w:b/>
          <w:color w:val="000000"/>
          <w:sz w:val="28"/>
        </w:rPr>
        <w:t>单位职责：</w:t>
      </w:r>
    </w:p>
    <w:p>
      <w:pPr>
        <w:spacing w:line="500" w:lineRule="exact"/>
        <w:ind w:firstLine="560"/>
        <w:rPr>
          <w:rFonts w:eastAsia="方正仿宋_GBK"/>
          <w:color w:val="000000"/>
          <w:sz w:val="28"/>
        </w:rPr>
      </w:pPr>
      <w:r>
        <w:rPr>
          <w:rFonts w:hint="eastAsia" w:eastAsia="方正仿宋_GBK"/>
          <w:color w:val="000000"/>
          <w:sz w:val="28"/>
        </w:rPr>
        <w:t>曹妃甸区企管中心为区商务投资和促进局一事业科室，承担着原唐海县经贸系统24家破产改制企业扫尾和遗留问题善后以及信访和维稳工作，是我区社会管理服务及维护社会稳定重点单位。</w:t>
      </w:r>
    </w:p>
    <w:p>
      <w:pPr>
        <w:spacing w:line="500" w:lineRule="exact"/>
        <w:ind w:firstLine="560"/>
        <w:rPr>
          <w:rFonts w:eastAsia="方正仿宋_GBK"/>
          <w:color w:val="000000"/>
          <w:sz w:val="28"/>
        </w:rPr>
      </w:pPr>
      <w:r>
        <w:rPr>
          <w:rFonts w:hint="eastAsia" w:eastAsia="方正仿宋_GBK"/>
          <w:color w:val="000000"/>
          <w:sz w:val="28"/>
        </w:rPr>
        <w:t>截止到2021年底，企管中心管理着原改制企业各类人员共计 870人,中心负责发放原破产企业留守干部、                                                                                                                                                                                                                                                                                                            工伤人员生活费、取暖费，并为其缴纳养老保险、失业保险、工伤保险、医疗保险及大病保险。缴纳企业退休人员医疗保险及大病保险，发放事业编制退休人员各项费用及离（退）休遗属生活费。为企业破产改制相关的个体性、群体性信访案件排查与化解等工作。</w:t>
      </w:r>
    </w:p>
    <w:p>
      <w:pPr>
        <w:spacing w:line="500" w:lineRule="exact"/>
        <w:ind w:firstLine="560"/>
        <w:rPr>
          <w:rFonts w:eastAsia="方正仿宋_GBK"/>
          <w:color w:val="000000"/>
          <w:sz w:val="28"/>
        </w:rPr>
      </w:pPr>
      <w:r>
        <w:rPr>
          <w:rFonts w:hint="eastAsia" w:eastAsia="方正仿宋_GBK"/>
          <w:color w:val="000000"/>
          <w:sz w:val="28"/>
        </w:rPr>
        <w:t>针对复杂的工作任务，中心科室人员领导的带领下紧紧把握任务重点，努力做好各类人员的社会管理服务基础工作，重点做好群体性信访维稳工作。确保重大活动和特殊敏感时期社会稳定局面。</w:t>
      </w:r>
    </w:p>
    <w:p>
      <w:pPr>
        <w:pStyle w:val="26"/>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曹妃甸区企管中心</w:t>
            </w:r>
          </w:p>
        </w:tc>
        <w:tc>
          <w:tcPr>
            <w:tcW w:w="1843" w:type="dxa"/>
            <w:vAlign w:val="center"/>
          </w:tcPr>
          <w:p>
            <w:pPr>
              <w:pStyle w:val="14"/>
            </w:pPr>
            <w:r>
              <w:t>事业</w:t>
            </w:r>
          </w:p>
        </w:tc>
        <w:tc>
          <w:tcPr>
            <w:tcW w:w="2126" w:type="dxa"/>
            <w:vAlign w:val="center"/>
          </w:tcPr>
          <w:p>
            <w:pPr>
              <w:pStyle w:val="14"/>
            </w:pPr>
            <w:r>
              <w:t>未定行政级别</w:t>
            </w:r>
          </w:p>
        </w:tc>
        <w:tc>
          <w:tcPr>
            <w:tcW w:w="3827" w:type="dxa"/>
            <w:vAlign w:val="center"/>
          </w:tcPr>
          <w:p>
            <w:pPr>
              <w:pStyle w:val="14"/>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rFonts w:eastAsia="方正仿宋_GBK"/>
          <w:color w:val="000000"/>
          <w:sz w:val="28"/>
        </w:rPr>
      </w:pPr>
      <w:r>
        <w:rPr>
          <w:rFonts w:eastAsia="方正仿宋_GBK"/>
          <w:color w:val="000000"/>
          <w:sz w:val="28"/>
        </w:rPr>
        <w:t>按照预算管理有关规定，目前我省单位预算的编制实行综合预算管理，即全部收入和支出都反映在预算中。曹妃甸区企管中心收支包含在单位预算中。</w:t>
      </w:r>
    </w:p>
    <w:p>
      <w:pPr>
        <w:spacing w:line="500" w:lineRule="exact"/>
        <w:ind w:firstLine="560"/>
        <w:rPr>
          <w:rFonts w:eastAsia="方正仿宋_GBK"/>
          <w:color w:val="000000"/>
          <w:sz w:val="28"/>
        </w:rPr>
      </w:pPr>
      <w:r>
        <w:rPr>
          <w:rFonts w:hint="eastAsia" w:eastAsia="方正仿宋_GBK"/>
          <w:color w:val="000000"/>
          <w:sz w:val="28"/>
        </w:rPr>
        <w:t>1、收入说明</w:t>
      </w:r>
    </w:p>
    <w:p>
      <w:pPr>
        <w:spacing w:line="500" w:lineRule="exact"/>
        <w:ind w:firstLine="560"/>
        <w:rPr>
          <w:rFonts w:eastAsia="方正仿宋_GBK"/>
          <w:color w:val="000000"/>
          <w:sz w:val="28"/>
        </w:rPr>
      </w:pPr>
      <w:r>
        <w:rPr>
          <w:rFonts w:hint="eastAsia" w:eastAsia="方正仿宋_GBK"/>
          <w:color w:val="000000"/>
          <w:sz w:val="28"/>
        </w:rPr>
        <w:t>2022年曹妃甸区企管中心预算项目收入237.73万元，全部为一般公共预算收入。</w:t>
      </w:r>
    </w:p>
    <w:p>
      <w:pPr>
        <w:spacing w:line="500" w:lineRule="exact"/>
        <w:ind w:firstLine="560"/>
        <w:rPr>
          <w:rFonts w:eastAsia="方正仿宋_GBK"/>
          <w:color w:val="000000"/>
          <w:sz w:val="28"/>
        </w:rPr>
      </w:pPr>
      <w:r>
        <w:rPr>
          <w:rFonts w:hint="eastAsia" w:eastAsia="方正仿宋_GBK"/>
          <w:color w:val="000000"/>
          <w:sz w:val="28"/>
        </w:rPr>
        <w:t>2、支出说明</w:t>
      </w:r>
    </w:p>
    <w:p>
      <w:pPr>
        <w:spacing w:line="500" w:lineRule="exact"/>
        <w:ind w:firstLine="560"/>
        <w:rPr>
          <w:rFonts w:eastAsia="方正仿宋_GBK"/>
          <w:color w:val="000000"/>
          <w:sz w:val="28"/>
        </w:rPr>
      </w:pPr>
      <w:r>
        <w:rPr>
          <w:rFonts w:hint="eastAsia" w:eastAsia="方正仿宋_GBK"/>
          <w:color w:val="000000"/>
          <w:sz w:val="28"/>
        </w:rPr>
        <w:t>2022年曹妃甸区企管中心预算支出237.73万元，项目支出237.73万元。其中：</w:t>
      </w:r>
      <w:r>
        <w:rPr>
          <w:rFonts w:hint="eastAsia" w:eastAsia="方正仿宋_GBK"/>
          <w:color w:val="000000"/>
          <w:sz w:val="28"/>
          <w:lang w:val="en-US" w:eastAsia="zh-CN"/>
        </w:rPr>
        <w:t>改制企业保障经费202.73万元，企管中心公用经费10万元，信访及维稳费25万元</w:t>
      </w:r>
      <w:r>
        <w:rPr>
          <w:rFonts w:hint="eastAsia" w:eastAsia="方正仿宋_GBK"/>
          <w:color w:val="000000"/>
          <w:sz w:val="28"/>
        </w:rPr>
        <w:t>。</w:t>
      </w:r>
    </w:p>
    <w:p>
      <w:pPr>
        <w:spacing w:line="500" w:lineRule="exact"/>
        <w:ind w:firstLine="560"/>
        <w:rPr>
          <w:rFonts w:eastAsia="方正仿宋_GBK"/>
          <w:color w:val="000000"/>
          <w:sz w:val="28"/>
        </w:rPr>
      </w:pPr>
      <w:r>
        <w:rPr>
          <w:rFonts w:hint="eastAsia" w:eastAsia="方正仿宋_GBK"/>
          <w:color w:val="000000"/>
          <w:sz w:val="28"/>
        </w:rPr>
        <w:t>3、比上年增减情况</w:t>
      </w:r>
    </w:p>
    <w:p>
      <w:pPr>
        <w:spacing w:line="500" w:lineRule="exact"/>
        <w:ind w:firstLine="560"/>
        <w:rPr>
          <w:rFonts w:eastAsia="方正仿宋_GBK"/>
          <w:color w:val="000000"/>
          <w:sz w:val="28"/>
        </w:rPr>
      </w:pPr>
      <w:r>
        <w:rPr>
          <w:rFonts w:hint="eastAsia" w:eastAsia="方正仿宋_GBK"/>
          <w:color w:val="000000"/>
          <w:sz w:val="28"/>
        </w:rPr>
        <w:t>2022曹妃甸区企管中心较2021年增加1.73万元，主要原因是工伤人员护理费增加。</w:t>
      </w: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三、机关运行经费安排情况</w:t>
      </w:r>
    </w:p>
    <w:p>
      <w:pPr>
        <w:spacing w:line="500" w:lineRule="exact"/>
        <w:ind w:firstLine="560"/>
        <w:rPr>
          <w:rFonts w:eastAsia="方正仿宋_GBK"/>
          <w:color w:val="000000"/>
          <w:sz w:val="28"/>
        </w:rPr>
      </w:pPr>
      <w:r>
        <w:rPr>
          <w:rFonts w:hint="eastAsia" w:eastAsia="方正仿宋_GBK"/>
          <w:color w:val="000000"/>
          <w:sz w:val="28"/>
        </w:rPr>
        <w:t>无</w:t>
      </w:r>
    </w:p>
    <w:p>
      <w:pPr>
        <w:pStyle w:val="27"/>
        <w:ind w:firstLineChars="200"/>
        <w:rPr>
          <w:rFonts w:hint="eastAsia" w:eastAsiaTheme="minorEastAsia"/>
          <w:lang w:eastAsia="zh-CN"/>
        </w:rPr>
      </w:pPr>
      <w:r>
        <w:rPr>
          <w:rFonts w:hint="eastAsia" w:eastAsiaTheme="minorEastAsia"/>
          <w:lang w:eastAsia="zh-CN"/>
        </w:rPr>
        <w:t>我单位管理的人员全部为原破产企业留守、工伤、退休、离退休遗属等，所拨费用全部为专项经费，无人员编制。</w:t>
      </w: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四、财政拨款“三公”经费预算情况及增减变化原因</w:t>
      </w:r>
    </w:p>
    <w:p>
      <w:pPr>
        <w:spacing w:before="10" w:after="10"/>
        <w:ind w:firstLine="560" w:firstLineChars="200"/>
        <w:outlineLvl w:val="5"/>
        <w:rPr>
          <w:rFonts w:eastAsiaTheme="minorEastAsia"/>
          <w:sz w:val="28"/>
          <w:lang w:eastAsia="zh-CN"/>
        </w:rPr>
      </w:pPr>
      <w:r>
        <w:rPr>
          <w:rFonts w:hint="eastAsia" w:eastAsiaTheme="minorEastAsia"/>
          <w:sz w:val="28"/>
          <w:lang w:eastAsia="zh-CN"/>
        </w:rPr>
        <w:t>无</w:t>
      </w:r>
    </w:p>
    <w:p>
      <w:pPr>
        <w:spacing w:before="10" w:after="10"/>
        <w:ind w:firstLine="560" w:firstLineChars="200"/>
        <w:outlineLvl w:val="5"/>
        <w:rPr>
          <w:rFonts w:eastAsiaTheme="minorEastAsia"/>
          <w:sz w:val="28"/>
          <w:lang w:eastAsia="zh-CN"/>
        </w:rPr>
      </w:pPr>
      <w:r>
        <w:rPr>
          <w:rFonts w:hint="eastAsia" w:eastAsiaTheme="minorEastAsia"/>
          <w:sz w:val="28"/>
          <w:lang w:eastAsia="zh-CN"/>
        </w:rPr>
        <w:t>我单位无人员编制，无三公经费。</w:t>
      </w:r>
    </w:p>
    <w:p>
      <w:pPr>
        <w:spacing w:before="10" w:after="10"/>
        <w:ind w:firstLine="640" w:firstLineChars="200"/>
        <w:outlineLvl w:val="5"/>
        <w:rPr>
          <w:rFonts w:ascii="黑体" w:hAnsi="黑体" w:eastAsia="黑体" w:cs="黑体"/>
          <w:color w:val="000000"/>
          <w:sz w:val="32"/>
          <w:lang w:eastAsia="zh-CN"/>
        </w:rPr>
      </w:pPr>
      <w:r>
        <w:rPr>
          <w:rFonts w:ascii="黑体" w:hAnsi="黑体" w:eastAsia="黑体" w:cs="黑体"/>
          <w:color w:val="000000"/>
          <w:sz w:val="32"/>
        </w:rPr>
        <w:t>五、预算绩效信息</w:t>
      </w:r>
    </w:p>
    <w:p>
      <w:pPr>
        <w:spacing w:before="10" w:after="10"/>
        <w:ind w:firstLine="640"/>
        <w:outlineLvl w:val="5"/>
        <w:rPr>
          <w:rFonts w:ascii="黑体" w:hAnsi="黑体" w:eastAsia="黑体" w:cs="黑体"/>
          <w:color w:val="000000"/>
          <w:sz w:val="32"/>
          <w:lang w:eastAsia="zh-CN"/>
        </w:rPr>
      </w:pPr>
      <w:r>
        <w:rPr>
          <w:rFonts w:hint="eastAsia" w:ascii="黑体" w:hAnsi="黑体" w:eastAsia="黑体" w:cs="黑体"/>
          <w:color w:val="000000"/>
          <w:sz w:val="32"/>
          <w:lang w:eastAsia="zh-CN"/>
        </w:rPr>
        <w:t>第一部分  单位整体绩效目标</w:t>
      </w:r>
    </w:p>
    <w:p>
      <w:pPr>
        <w:spacing w:line="570" w:lineRule="exact"/>
        <w:ind w:firstLine="640" w:firstLineChars="200"/>
        <w:rPr>
          <w:rFonts w:ascii="黑体" w:hAnsi="黑体" w:eastAsia="黑体" w:cs="黑体"/>
          <w:color w:val="000000"/>
          <w:sz w:val="32"/>
          <w:lang w:eastAsia="zh-CN"/>
        </w:rPr>
      </w:pPr>
      <w:r>
        <w:rPr>
          <w:rFonts w:hint="eastAsia" w:ascii="黑体" w:hAnsi="黑体" w:eastAsia="黑体" w:cs="黑体"/>
          <w:color w:val="000000"/>
          <w:sz w:val="32"/>
          <w:lang w:eastAsia="zh-CN"/>
        </w:rPr>
        <w:t>(一)、总体绩效目标</w:t>
      </w:r>
    </w:p>
    <w:p>
      <w:pPr>
        <w:pStyle w:val="27"/>
        <w:ind w:firstLineChars="200"/>
        <w:rPr>
          <w:rFonts w:eastAsiaTheme="minorEastAsia"/>
          <w:lang w:eastAsia="zh-CN"/>
        </w:rPr>
      </w:pPr>
      <w:r>
        <w:rPr>
          <w:rFonts w:hint="eastAsia" w:eastAsiaTheme="minorEastAsia"/>
          <w:lang w:eastAsia="zh-CN"/>
        </w:rPr>
        <w:t>做好原破产企业留守干部、工伤人员生活费、取暖费，养老保险、失业保险、工伤保险、医疗保险及大病保险发放及缴纳工作；做好企业退休人员医疗保险及大病保险的缴纳工作；做好事业编制退休人员各项费用发放工作 ； 做好离（退）休遗属生活费、取暖费的发放工作等；做好信访维稳工作，确保重大活动和特殊敏感时期社会稳定局面，保证日常工作的顺利进行。</w:t>
      </w:r>
    </w:p>
    <w:p>
      <w:pPr>
        <w:pStyle w:val="27"/>
        <w:ind w:left="641" w:leftChars="267" w:firstLine="0"/>
        <w:rPr>
          <w:rFonts w:eastAsiaTheme="minorEastAsia"/>
          <w:lang w:eastAsia="zh-CN"/>
        </w:rPr>
      </w:pPr>
      <w:r>
        <w:rPr>
          <w:rFonts w:hint="eastAsia" w:ascii="黑体" w:hAnsi="黑体" w:eastAsia="黑体" w:cs="黑体"/>
          <w:color w:val="000000"/>
          <w:sz w:val="32"/>
          <w:lang w:eastAsia="zh-CN"/>
        </w:rPr>
        <w:t xml:space="preserve">（二）、分项绩效目标 </w:t>
      </w:r>
      <w:r>
        <w:rPr>
          <w:rFonts w:hint="eastAsia" w:eastAsiaTheme="minorEastAsia"/>
          <w:lang w:eastAsia="zh-CN"/>
        </w:rPr>
        <w:t xml:space="preserve">                                                                                                                                                                                                                    1、做好各类人员生活的发放工作</w:t>
      </w:r>
    </w:p>
    <w:p>
      <w:pPr>
        <w:pStyle w:val="27"/>
        <w:ind w:firstLineChars="200"/>
        <w:rPr>
          <w:rFonts w:eastAsiaTheme="minorEastAsia"/>
          <w:lang w:eastAsia="zh-CN"/>
        </w:rPr>
      </w:pPr>
      <w:r>
        <w:rPr>
          <w:rFonts w:hint="eastAsia" w:eastAsiaTheme="minorEastAsia"/>
          <w:lang w:eastAsia="zh-CN"/>
        </w:rPr>
        <w:t>绩效目标：对留守、工伤、离退休遗属人员生活费等发放及时到位。</w:t>
      </w:r>
    </w:p>
    <w:p>
      <w:pPr>
        <w:pStyle w:val="27"/>
        <w:ind w:firstLineChars="200"/>
        <w:rPr>
          <w:rFonts w:eastAsiaTheme="minorEastAsia"/>
          <w:lang w:eastAsia="zh-CN"/>
        </w:rPr>
      </w:pPr>
      <w:r>
        <w:rPr>
          <w:rFonts w:hint="eastAsia" w:eastAsiaTheme="minorEastAsia"/>
          <w:lang w:eastAsia="zh-CN"/>
        </w:rPr>
        <w:t>绩效指标：发放留守、工伤、离退休遗属人员生活费等43人，服务对象满意度100%。</w:t>
      </w:r>
    </w:p>
    <w:p>
      <w:pPr>
        <w:pStyle w:val="27"/>
        <w:ind w:firstLineChars="200"/>
        <w:rPr>
          <w:rFonts w:eastAsiaTheme="minorEastAsia"/>
          <w:lang w:eastAsia="zh-CN"/>
        </w:rPr>
      </w:pPr>
      <w:r>
        <w:rPr>
          <w:rFonts w:hint="eastAsia" w:eastAsiaTheme="minorEastAsia"/>
          <w:lang w:eastAsia="zh-CN"/>
        </w:rPr>
        <w:t>2、做好各类人员各项保险的缴纳工作</w:t>
      </w:r>
    </w:p>
    <w:p>
      <w:pPr>
        <w:pStyle w:val="27"/>
        <w:ind w:firstLineChars="200"/>
        <w:rPr>
          <w:rFonts w:eastAsiaTheme="minorEastAsia"/>
          <w:lang w:eastAsia="zh-CN"/>
        </w:rPr>
      </w:pPr>
      <w:r>
        <w:rPr>
          <w:rFonts w:hint="eastAsia" w:eastAsiaTheme="minorEastAsia"/>
          <w:lang w:eastAsia="zh-CN"/>
        </w:rPr>
        <w:t>绩效目标：及时缴纳留守人员、工伤人员、退休人员医疗保险、养老保险、失业保险、工伤保险。</w:t>
      </w:r>
    </w:p>
    <w:p>
      <w:pPr>
        <w:pStyle w:val="27"/>
        <w:ind w:firstLineChars="200"/>
        <w:rPr>
          <w:rFonts w:eastAsiaTheme="minorEastAsia"/>
          <w:lang w:eastAsia="zh-CN"/>
        </w:rPr>
      </w:pPr>
      <w:r>
        <w:rPr>
          <w:rFonts w:hint="eastAsia" w:eastAsiaTheme="minorEastAsia"/>
          <w:lang w:eastAsia="zh-CN"/>
        </w:rPr>
        <w:t>绩效指标：缴纳各类人员各项保险861人，服务对象满意度100%。</w:t>
      </w:r>
    </w:p>
    <w:p>
      <w:pPr>
        <w:pStyle w:val="27"/>
        <w:ind w:firstLineChars="200"/>
        <w:rPr>
          <w:rFonts w:eastAsiaTheme="minorEastAsia"/>
          <w:lang w:eastAsia="zh-CN"/>
        </w:rPr>
      </w:pPr>
      <w:r>
        <w:rPr>
          <w:rFonts w:hint="eastAsia" w:eastAsiaTheme="minorEastAsia"/>
          <w:lang w:eastAsia="zh-CN"/>
        </w:rPr>
        <w:t>3、做好信访维稳工作</w:t>
      </w:r>
    </w:p>
    <w:p>
      <w:pPr>
        <w:pStyle w:val="27"/>
        <w:ind w:firstLineChars="200"/>
        <w:rPr>
          <w:rFonts w:eastAsiaTheme="minorEastAsia"/>
          <w:lang w:eastAsia="zh-CN"/>
        </w:rPr>
      </w:pPr>
      <w:r>
        <w:rPr>
          <w:rFonts w:hint="eastAsia" w:eastAsiaTheme="minorEastAsia"/>
          <w:lang w:eastAsia="zh-CN"/>
        </w:rPr>
        <w:t>绩效目标：做好信访维稳工作，确保重大活动和特殊敏感时期社会稳定局面。</w:t>
      </w:r>
    </w:p>
    <w:p>
      <w:pPr>
        <w:pStyle w:val="27"/>
        <w:ind w:firstLineChars="200"/>
        <w:rPr>
          <w:rFonts w:eastAsiaTheme="minorEastAsia"/>
          <w:lang w:eastAsia="zh-CN"/>
        </w:rPr>
      </w:pPr>
      <w:r>
        <w:rPr>
          <w:rFonts w:hint="eastAsia" w:eastAsiaTheme="minorEastAsia"/>
          <w:lang w:eastAsia="zh-CN"/>
        </w:rPr>
        <w:t>绩效指标：提高信访工作的应对能力，使群众满意度达到98%。</w:t>
      </w:r>
    </w:p>
    <w:p>
      <w:pPr>
        <w:pStyle w:val="27"/>
        <w:ind w:firstLine="640" w:firstLineChars="200"/>
        <w:rPr>
          <w:rFonts w:ascii="黑体" w:hAnsi="黑体" w:eastAsia="黑体" w:cs="黑体"/>
          <w:color w:val="000000"/>
          <w:sz w:val="32"/>
          <w:lang w:eastAsia="zh-CN"/>
        </w:rPr>
      </w:pPr>
      <w:r>
        <w:rPr>
          <w:rFonts w:hint="eastAsia" w:ascii="黑体" w:hAnsi="黑体" w:eastAsia="黑体" w:cs="黑体"/>
          <w:color w:val="000000"/>
          <w:sz w:val="32"/>
          <w:lang w:eastAsia="zh-CN"/>
        </w:rPr>
        <w:t>（三）、工作保证措施</w:t>
      </w:r>
    </w:p>
    <w:p>
      <w:pPr>
        <w:pStyle w:val="27"/>
        <w:ind w:firstLineChars="200"/>
        <w:rPr>
          <w:rFonts w:eastAsiaTheme="minorEastAsia"/>
          <w:lang w:eastAsia="zh-CN"/>
        </w:rPr>
      </w:pPr>
      <w:r>
        <w:rPr>
          <w:rFonts w:hint="eastAsia" w:eastAsiaTheme="minorEastAsia"/>
          <w:lang w:eastAsia="zh-CN"/>
        </w:rPr>
        <w:t>1、成立曹妃甸区企管中心财务工作领导小组，完善财务管理制度，严格审批程序，加强固定资产登记、使用和报废处置管理，年内开展固定资产盘点评估。</w:t>
      </w:r>
    </w:p>
    <w:p>
      <w:pPr>
        <w:pStyle w:val="27"/>
        <w:ind w:firstLineChars="200"/>
        <w:rPr>
          <w:rFonts w:eastAsiaTheme="minorEastAsia"/>
          <w:lang w:eastAsia="zh-CN"/>
        </w:rPr>
      </w:pPr>
      <w:r>
        <w:rPr>
          <w:rFonts w:hint="eastAsia" w:eastAsiaTheme="minorEastAsia"/>
          <w:lang w:eastAsia="zh-CN"/>
        </w:rPr>
        <w:t>2、按规定确保单位资金支付进度达标。</w:t>
      </w:r>
    </w:p>
    <w:p>
      <w:pPr>
        <w:pStyle w:val="24"/>
      </w:pPr>
      <w:r>
        <w:rPr>
          <w:rFonts w:hint="eastAsia"/>
        </w:rPr>
        <w:t>按要求开展绩效运行监控，发现问题及时采取措施，确保绩效目标如期保质实现。</w:t>
      </w:r>
    </w:p>
    <w:p>
      <w:pPr>
        <w:pStyle w:val="24"/>
      </w:pPr>
      <w:r>
        <w:rPr>
          <w:rFonts w:hint="eastAsia"/>
          <w:lang w:eastAsia="zh-CN"/>
        </w:rPr>
        <w:t>3</w:t>
      </w:r>
      <w:r>
        <w:rPr>
          <w:rFonts w:hint="eastAsia"/>
        </w:rPr>
        <w:t>、按要求开展上年度单位预算绩效自评和重点评价工作，对评价中发现的问题及时整改，调整优化支出结构，提高财政资金使用效益。</w:t>
      </w:r>
      <w:r>
        <w:t xml:space="preserve">  </w:t>
      </w:r>
    </w:p>
    <w:p>
      <w:pPr>
        <w:pStyle w:val="24"/>
        <w:rPr>
          <w:lang w:eastAsia="zh-CN"/>
        </w:rPr>
      </w:pPr>
      <w:r>
        <w:rPr>
          <w:rFonts w:hint="eastAsia"/>
          <w:lang w:eastAsia="zh-CN"/>
        </w:rPr>
        <w:t>4</w:t>
      </w:r>
      <w:r>
        <w:rPr>
          <w:rFonts w:hint="eastAsia"/>
        </w:rPr>
        <w:t>、成立曹妃甸区企管中心内部控制工作领导小组。加强内部监督制度建设，对绩效运行情况、重大支出决策、资产处置及其他重要经济业务事项的决策和执行进行督导，对会计资料进行内部审计，并配合做好审计、财政监督等外部监督工作，确保财政资金安全有效。</w:t>
      </w:r>
    </w:p>
    <w:p>
      <w:pPr>
        <w:rPr>
          <w:rFonts w:hint="eastAsia" w:eastAsiaTheme="minorEastAsia"/>
          <w:sz w:val="28"/>
          <w:lang w:eastAsia="zh-CN"/>
        </w:rPr>
      </w:pPr>
    </w:p>
    <w:p>
      <w:r>
        <w:rPr>
          <w:rFonts w:ascii="方正仿宋_GBK" w:hAnsi="方正仿宋_GBK" w:eastAsia="方正仿宋_GBK" w:cs="方正仿宋_GBK"/>
          <w:b/>
          <w:color w:val="000000"/>
          <w:sz w:val="28"/>
        </w:rPr>
        <w:t>1、改制企业保障经费2绩效目标表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1.目标内容1改制企业保障经费，确保原破产企业各类人员各项费用及时发放及缴纳。</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服务人数</w:t>
            </w:r>
          </w:p>
        </w:tc>
        <w:tc>
          <w:tcPr>
            <w:tcW w:w="2835" w:type="dxa"/>
            <w:vAlign w:val="center"/>
          </w:tcPr>
          <w:p>
            <w:pPr>
              <w:pStyle w:val="13"/>
            </w:pPr>
            <w:r>
              <w:t>服务人数</w:t>
            </w:r>
          </w:p>
        </w:tc>
        <w:tc>
          <w:tcPr>
            <w:tcW w:w="2551" w:type="dxa"/>
            <w:vAlign w:val="center"/>
          </w:tcPr>
          <w:p>
            <w:pPr>
              <w:pStyle w:val="13"/>
            </w:pPr>
            <w:r>
              <w:t>≥870人</w:t>
            </w:r>
          </w:p>
        </w:tc>
        <w:tc>
          <w:tcPr>
            <w:tcW w:w="2268" w:type="dxa"/>
            <w:vAlign w:val="center"/>
          </w:tcPr>
          <w:p>
            <w:pPr>
              <w:pStyle w:val="13"/>
            </w:pPr>
            <w:r>
              <w:t>本单位年初预算安排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服务水平</w:t>
            </w:r>
          </w:p>
        </w:tc>
        <w:tc>
          <w:tcPr>
            <w:tcW w:w="2835" w:type="dxa"/>
            <w:vAlign w:val="center"/>
          </w:tcPr>
          <w:p>
            <w:pPr>
              <w:pStyle w:val="13"/>
            </w:pPr>
            <w:r>
              <w:t>优质、热情、周到服务</w:t>
            </w:r>
          </w:p>
        </w:tc>
        <w:tc>
          <w:tcPr>
            <w:tcW w:w="2551" w:type="dxa"/>
            <w:vAlign w:val="center"/>
          </w:tcPr>
          <w:p>
            <w:pPr>
              <w:pStyle w:val="13"/>
            </w:pPr>
            <w:r>
              <w:t>优质服务</w:t>
            </w:r>
          </w:p>
        </w:tc>
        <w:tc>
          <w:tcPr>
            <w:tcW w:w="2268" w:type="dxa"/>
            <w:vAlign w:val="center"/>
          </w:tcPr>
          <w:p>
            <w:pPr>
              <w:pStyle w:val="13"/>
            </w:pPr>
            <w:r>
              <w:t>本单位年初预算安排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完工及时率</w:t>
            </w:r>
          </w:p>
        </w:tc>
        <w:tc>
          <w:tcPr>
            <w:tcW w:w="2835" w:type="dxa"/>
            <w:vAlign w:val="center"/>
          </w:tcPr>
          <w:p>
            <w:pPr>
              <w:pStyle w:val="13"/>
            </w:pPr>
            <w:r>
              <w:t>工作目标及时完成</w:t>
            </w:r>
          </w:p>
        </w:tc>
        <w:tc>
          <w:tcPr>
            <w:tcW w:w="2551" w:type="dxa"/>
            <w:vAlign w:val="center"/>
          </w:tcPr>
          <w:p>
            <w:pPr>
              <w:pStyle w:val="13"/>
            </w:pPr>
            <w:r>
              <w:t>12月31日前完成</w:t>
            </w:r>
          </w:p>
        </w:tc>
        <w:tc>
          <w:tcPr>
            <w:tcW w:w="2268" w:type="dxa"/>
            <w:vAlign w:val="center"/>
          </w:tcPr>
          <w:p>
            <w:pPr>
              <w:pStyle w:val="13"/>
            </w:pPr>
            <w:r>
              <w:t>本单位年初预算安排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项目实际成本</w:t>
            </w:r>
          </w:p>
        </w:tc>
        <w:tc>
          <w:tcPr>
            <w:tcW w:w="2835" w:type="dxa"/>
            <w:vAlign w:val="center"/>
          </w:tcPr>
          <w:p>
            <w:pPr>
              <w:pStyle w:val="13"/>
            </w:pPr>
            <w:r>
              <w:t>提高成本管理水平</w:t>
            </w:r>
          </w:p>
        </w:tc>
        <w:tc>
          <w:tcPr>
            <w:tcW w:w="2551" w:type="dxa"/>
            <w:vAlign w:val="center"/>
          </w:tcPr>
          <w:p>
            <w:pPr>
              <w:pStyle w:val="13"/>
            </w:pPr>
            <w:r>
              <w:t>≤202.73万元</w:t>
            </w:r>
          </w:p>
        </w:tc>
        <w:tc>
          <w:tcPr>
            <w:tcW w:w="2268" w:type="dxa"/>
            <w:vAlign w:val="center"/>
          </w:tcPr>
          <w:p>
            <w:pPr>
              <w:pStyle w:val="13"/>
            </w:pPr>
            <w:r>
              <w:t>本单位年初预算安排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对社会经济发展的影响</w:t>
            </w:r>
          </w:p>
        </w:tc>
        <w:tc>
          <w:tcPr>
            <w:tcW w:w="2835" w:type="dxa"/>
            <w:vAlign w:val="center"/>
          </w:tcPr>
          <w:p>
            <w:pPr>
              <w:pStyle w:val="13"/>
            </w:pPr>
            <w:r>
              <w:t>经济发展对社会保障的影响</w:t>
            </w:r>
          </w:p>
        </w:tc>
        <w:tc>
          <w:tcPr>
            <w:tcW w:w="2551" w:type="dxa"/>
            <w:vAlign w:val="center"/>
          </w:tcPr>
          <w:p>
            <w:pPr>
              <w:pStyle w:val="13"/>
            </w:pPr>
            <w:r>
              <w:t>100%资金使用到位率</w:t>
            </w:r>
          </w:p>
        </w:tc>
        <w:tc>
          <w:tcPr>
            <w:tcW w:w="2268" w:type="dxa"/>
            <w:vAlign w:val="center"/>
          </w:tcPr>
          <w:p>
            <w:pPr>
              <w:pStyle w:val="13"/>
            </w:pPr>
            <w:r>
              <w:t>本单位年初预算安排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群众投诉下降率（%）</w:t>
            </w:r>
          </w:p>
        </w:tc>
        <w:tc>
          <w:tcPr>
            <w:tcW w:w="2835" w:type="dxa"/>
            <w:vAlign w:val="center"/>
          </w:tcPr>
          <w:p>
            <w:pPr>
              <w:pStyle w:val="13"/>
            </w:pPr>
            <w:r>
              <w:t>投诉率降低</w:t>
            </w:r>
          </w:p>
        </w:tc>
        <w:tc>
          <w:tcPr>
            <w:tcW w:w="2551" w:type="dxa"/>
            <w:vAlign w:val="center"/>
          </w:tcPr>
          <w:p>
            <w:pPr>
              <w:pStyle w:val="13"/>
            </w:pPr>
            <w:r>
              <w:t>≤5%</w:t>
            </w:r>
          </w:p>
        </w:tc>
        <w:tc>
          <w:tcPr>
            <w:tcW w:w="2268" w:type="dxa"/>
            <w:vAlign w:val="center"/>
          </w:tcPr>
          <w:p>
            <w:pPr>
              <w:pStyle w:val="13"/>
            </w:pPr>
            <w:r>
              <w:t>本单位年初预算安排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2835" w:type="dxa"/>
            <w:vAlign w:val="center"/>
          </w:tcPr>
          <w:p>
            <w:pPr>
              <w:pStyle w:val="13"/>
            </w:pPr>
            <w:r>
              <w:t>提高生态保护意识</w:t>
            </w:r>
          </w:p>
        </w:tc>
        <w:tc>
          <w:tcPr>
            <w:tcW w:w="2551" w:type="dxa"/>
            <w:vAlign w:val="center"/>
          </w:tcPr>
          <w:p>
            <w:pPr>
              <w:pStyle w:val="13"/>
            </w:pPr>
            <w:r>
              <w:t>宣传推动生态保护意识</w:t>
            </w:r>
          </w:p>
        </w:tc>
        <w:tc>
          <w:tcPr>
            <w:tcW w:w="2268" w:type="dxa"/>
            <w:vAlign w:val="center"/>
          </w:tcPr>
          <w:p>
            <w:pPr>
              <w:pStyle w:val="13"/>
            </w:pPr>
            <w:r>
              <w:t>本单位年初预算安排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可持续服务</w:t>
            </w:r>
          </w:p>
        </w:tc>
        <w:tc>
          <w:tcPr>
            <w:tcW w:w="2835" w:type="dxa"/>
            <w:vAlign w:val="center"/>
          </w:tcPr>
          <w:p>
            <w:pPr>
              <w:pStyle w:val="13"/>
            </w:pPr>
            <w:r>
              <w:t>社会性服务</w:t>
            </w:r>
          </w:p>
        </w:tc>
        <w:tc>
          <w:tcPr>
            <w:tcW w:w="2551" w:type="dxa"/>
            <w:vAlign w:val="center"/>
          </w:tcPr>
          <w:p>
            <w:pPr>
              <w:pStyle w:val="13"/>
            </w:pPr>
            <w:r>
              <w:t>≥98%</w:t>
            </w:r>
          </w:p>
        </w:tc>
        <w:tc>
          <w:tcPr>
            <w:tcW w:w="2268" w:type="dxa"/>
            <w:vAlign w:val="center"/>
          </w:tcPr>
          <w:p>
            <w:pPr>
              <w:pStyle w:val="13"/>
            </w:pPr>
            <w:r>
              <w:t>本单位年初预算安排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2835" w:type="dxa"/>
            <w:vAlign w:val="center"/>
          </w:tcPr>
          <w:p>
            <w:pPr>
              <w:pStyle w:val="13"/>
            </w:pPr>
            <w:r>
              <w:t>群众满意度</w:t>
            </w:r>
          </w:p>
        </w:tc>
        <w:tc>
          <w:tcPr>
            <w:tcW w:w="2551" w:type="dxa"/>
            <w:vAlign w:val="center"/>
          </w:tcPr>
          <w:p>
            <w:pPr>
              <w:pStyle w:val="13"/>
            </w:pPr>
            <w:r>
              <w:t>≥98%</w:t>
            </w:r>
          </w:p>
        </w:tc>
        <w:tc>
          <w:tcPr>
            <w:tcW w:w="2268" w:type="dxa"/>
            <w:vAlign w:val="center"/>
          </w:tcPr>
          <w:p>
            <w:pPr>
              <w:pStyle w:val="13"/>
            </w:pPr>
            <w:r>
              <w:t>本单位年初预算安排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2、企管中心公用经费绩效目标表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1.目标内容1企管中心公用经费，确保日常工作正常运转。</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其他各项综合实务工作完成率</w:t>
            </w:r>
          </w:p>
        </w:tc>
        <w:tc>
          <w:tcPr>
            <w:tcW w:w="2835" w:type="dxa"/>
            <w:vAlign w:val="center"/>
          </w:tcPr>
          <w:p>
            <w:pPr>
              <w:pStyle w:val="13"/>
            </w:pPr>
            <w:r>
              <w:t>完成各项工作</w:t>
            </w:r>
          </w:p>
        </w:tc>
        <w:tc>
          <w:tcPr>
            <w:tcW w:w="2551" w:type="dxa"/>
            <w:vAlign w:val="center"/>
          </w:tcPr>
          <w:p>
            <w:pPr>
              <w:pStyle w:val="13"/>
            </w:pPr>
            <w:r>
              <w:t>≥95% 完成年初预算</w:t>
            </w:r>
          </w:p>
        </w:tc>
        <w:tc>
          <w:tcPr>
            <w:tcW w:w="2268" w:type="dxa"/>
            <w:vAlign w:val="center"/>
          </w:tcPr>
          <w:p>
            <w:pPr>
              <w:pStyle w:val="13"/>
            </w:pPr>
            <w:r>
              <w:t>本单位年初计划安排</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2835" w:type="dxa"/>
            <w:vAlign w:val="center"/>
          </w:tcPr>
          <w:p>
            <w:pPr>
              <w:pStyle w:val="13"/>
            </w:pPr>
            <w:r>
              <w:t>及时完成</w:t>
            </w:r>
          </w:p>
        </w:tc>
        <w:tc>
          <w:tcPr>
            <w:tcW w:w="2551" w:type="dxa"/>
            <w:vAlign w:val="center"/>
          </w:tcPr>
          <w:p>
            <w:pPr>
              <w:pStyle w:val="13"/>
            </w:pPr>
            <w:r>
              <w:t>12月31日前完成</w:t>
            </w:r>
          </w:p>
        </w:tc>
        <w:tc>
          <w:tcPr>
            <w:tcW w:w="2268" w:type="dxa"/>
            <w:vAlign w:val="center"/>
          </w:tcPr>
          <w:p>
            <w:pPr>
              <w:pStyle w:val="13"/>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项目实际成本</w:t>
            </w:r>
          </w:p>
        </w:tc>
        <w:tc>
          <w:tcPr>
            <w:tcW w:w="2835" w:type="dxa"/>
            <w:vAlign w:val="center"/>
          </w:tcPr>
          <w:p>
            <w:pPr>
              <w:pStyle w:val="13"/>
            </w:pPr>
            <w:r>
              <w:t>提高成本管理水平</w:t>
            </w:r>
          </w:p>
        </w:tc>
        <w:tc>
          <w:tcPr>
            <w:tcW w:w="2551" w:type="dxa"/>
            <w:vAlign w:val="center"/>
          </w:tcPr>
          <w:p>
            <w:pPr>
              <w:pStyle w:val="13"/>
            </w:pPr>
            <w:r>
              <w:t>≤10万元</w:t>
            </w:r>
          </w:p>
        </w:tc>
        <w:tc>
          <w:tcPr>
            <w:tcW w:w="2268" w:type="dxa"/>
            <w:vAlign w:val="center"/>
          </w:tcPr>
          <w:p>
            <w:pPr>
              <w:pStyle w:val="13"/>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服务人数</w:t>
            </w:r>
          </w:p>
        </w:tc>
        <w:tc>
          <w:tcPr>
            <w:tcW w:w="2835" w:type="dxa"/>
            <w:vAlign w:val="center"/>
          </w:tcPr>
          <w:p>
            <w:pPr>
              <w:pStyle w:val="13"/>
            </w:pPr>
            <w:r>
              <w:t>服务于改制企业各类人员</w:t>
            </w:r>
          </w:p>
        </w:tc>
        <w:tc>
          <w:tcPr>
            <w:tcW w:w="2551" w:type="dxa"/>
            <w:vAlign w:val="center"/>
          </w:tcPr>
          <w:p>
            <w:pPr>
              <w:pStyle w:val="13"/>
            </w:pPr>
            <w:r>
              <w:t>服务人数870人</w:t>
            </w:r>
          </w:p>
        </w:tc>
        <w:tc>
          <w:tcPr>
            <w:tcW w:w="2268" w:type="dxa"/>
            <w:vAlign w:val="center"/>
          </w:tcPr>
          <w:p>
            <w:pPr>
              <w:pStyle w:val="13"/>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提高效率</w:t>
            </w:r>
          </w:p>
        </w:tc>
        <w:tc>
          <w:tcPr>
            <w:tcW w:w="2835" w:type="dxa"/>
            <w:vAlign w:val="center"/>
          </w:tcPr>
          <w:p>
            <w:pPr>
              <w:pStyle w:val="13"/>
            </w:pPr>
            <w:r>
              <w:t>资金使用到位率</w:t>
            </w:r>
          </w:p>
        </w:tc>
        <w:tc>
          <w:tcPr>
            <w:tcW w:w="2551" w:type="dxa"/>
            <w:vAlign w:val="center"/>
          </w:tcPr>
          <w:p>
            <w:pPr>
              <w:pStyle w:val="13"/>
            </w:pPr>
            <w:r>
              <w:t>100%</w:t>
            </w:r>
          </w:p>
        </w:tc>
        <w:tc>
          <w:tcPr>
            <w:tcW w:w="2268" w:type="dxa"/>
            <w:vAlign w:val="center"/>
          </w:tcPr>
          <w:p>
            <w:pPr>
              <w:pStyle w:val="13"/>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工作完成率</w:t>
            </w:r>
          </w:p>
        </w:tc>
        <w:tc>
          <w:tcPr>
            <w:tcW w:w="2835" w:type="dxa"/>
            <w:vAlign w:val="center"/>
          </w:tcPr>
          <w:p>
            <w:pPr>
              <w:pStyle w:val="13"/>
            </w:pPr>
            <w:r>
              <w:t>工作目标及时完成</w:t>
            </w:r>
          </w:p>
        </w:tc>
        <w:tc>
          <w:tcPr>
            <w:tcW w:w="2551" w:type="dxa"/>
            <w:vAlign w:val="center"/>
          </w:tcPr>
          <w:p>
            <w:pPr>
              <w:pStyle w:val="13"/>
            </w:pPr>
            <w:r>
              <w:t>≥870人</w:t>
            </w:r>
          </w:p>
        </w:tc>
        <w:tc>
          <w:tcPr>
            <w:tcW w:w="2268" w:type="dxa"/>
            <w:vAlign w:val="center"/>
          </w:tcPr>
          <w:p>
            <w:pPr>
              <w:pStyle w:val="13"/>
            </w:pPr>
            <w:r>
              <w:t>本单位年初计划安排</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2835" w:type="dxa"/>
            <w:vAlign w:val="center"/>
          </w:tcPr>
          <w:p>
            <w:pPr>
              <w:pStyle w:val="13"/>
            </w:pPr>
            <w:r>
              <w:t>提高生态保护意识</w:t>
            </w:r>
          </w:p>
        </w:tc>
        <w:tc>
          <w:tcPr>
            <w:tcW w:w="2551" w:type="dxa"/>
            <w:vAlign w:val="center"/>
          </w:tcPr>
          <w:p>
            <w:pPr>
              <w:pStyle w:val="13"/>
            </w:pPr>
            <w:r>
              <w:t>宣传推动生态保护意识</w:t>
            </w:r>
          </w:p>
        </w:tc>
        <w:tc>
          <w:tcPr>
            <w:tcW w:w="2268" w:type="dxa"/>
            <w:vAlign w:val="center"/>
          </w:tcPr>
          <w:p>
            <w:pPr>
              <w:pStyle w:val="13"/>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2835" w:type="dxa"/>
            <w:vAlign w:val="center"/>
          </w:tcPr>
          <w:p>
            <w:pPr>
              <w:pStyle w:val="13"/>
            </w:pPr>
            <w:r>
              <w:t>社会性服务</w:t>
            </w:r>
          </w:p>
        </w:tc>
        <w:tc>
          <w:tcPr>
            <w:tcW w:w="2551" w:type="dxa"/>
            <w:vAlign w:val="center"/>
          </w:tcPr>
          <w:p>
            <w:pPr>
              <w:pStyle w:val="13"/>
            </w:pPr>
            <w:r>
              <w:t>≥90%</w:t>
            </w:r>
          </w:p>
        </w:tc>
        <w:tc>
          <w:tcPr>
            <w:tcW w:w="2268" w:type="dxa"/>
            <w:vAlign w:val="center"/>
          </w:tcPr>
          <w:p>
            <w:pPr>
              <w:pStyle w:val="13"/>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2835" w:type="dxa"/>
            <w:vAlign w:val="center"/>
          </w:tcPr>
          <w:p>
            <w:pPr>
              <w:pStyle w:val="13"/>
            </w:pPr>
            <w:r>
              <w:t>群众满意度</w:t>
            </w:r>
          </w:p>
        </w:tc>
        <w:tc>
          <w:tcPr>
            <w:tcW w:w="2551" w:type="dxa"/>
            <w:vAlign w:val="center"/>
          </w:tcPr>
          <w:p>
            <w:pPr>
              <w:pStyle w:val="13"/>
            </w:pPr>
            <w:r>
              <w:t>≥98%</w:t>
            </w:r>
          </w:p>
        </w:tc>
        <w:tc>
          <w:tcPr>
            <w:tcW w:w="2268" w:type="dxa"/>
            <w:vAlign w:val="center"/>
          </w:tcPr>
          <w:p>
            <w:pPr>
              <w:pStyle w:val="13"/>
            </w:pPr>
            <w:r>
              <w:t>本单位年初计划安排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3、信访维稳费绩效目标表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1.目标内容1信访维稳费，用于原破产企业系统内不稳定的信访群体重点人员及法轮功人员。</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登记办理群众来信数量</w:t>
            </w:r>
          </w:p>
        </w:tc>
        <w:tc>
          <w:tcPr>
            <w:tcW w:w="2835" w:type="dxa"/>
            <w:vAlign w:val="center"/>
          </w:tcPr>
          <w:p>
            <w:pPr>
              <w:pStyle w:val="13"/>
            </w:pPr>
            <w:r>
              <w:t>办理群众来信</w:t>
            </w:r>
          </w:p>
        </w:tc>
        <w:tc>
          <w:tcPr>
            <w:tcW w:w="2551" w:type="dxa"/>
            <w:vAlign w:val="center"/>
          </w:tcPr>
          <w:p>
            <w:pPr>
              <w:pStyle w:val="13"/>
            </w:pPr>
            <w:r>
              <w:t>≥10次</w:t>
            </w:r>
          </w:p>
        </w:tc>
        <w:tc>
          <w:tcPr>
            <w:tcW w:w="2268" w:type="dxa"/>
            <w:vAlign w:val="center"/>
          </w:tcPr>
          <w:p>
            <w:pPr>
              <w:pStyle w:val="13"/>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群众来访接待率</w:t>
            </w:r>
          </w:p>
        </w:tc>
        <w:tc>
          <w:tcPr>
            <w:tcW w:w="2835" w:type="dxa"/>
            <w:vAlign w:val="center"/>
          </w:tcPr>
          <w:p>
            <w:pPr>
              <w:pStyle w:val="13"/>
            </w:pPr>
            <w:r>
              <w:t>完成接待率100%</w:t>
            </w:r>
          </w:p>
        </w:tc>
        <w:tc>
          <w:tcPr>
            <w:tcW w:w="2551" w:type="dxa"/>
            <w:vAlign w:val="center"/>
          </w:tcPr>
          <w:p>
            <w:pPr>
              <w:pStyle w:val="13"/>
            </w:pPr>
            <w:r>
              <w:t>≥21人</w:t>
            </w:r>
          </w:p>
        </w:tc>
        <w:tc>
          <w:tcPr>
            <w:tcW w:w="2268" w:type="dxa"/>
            <w:vAlign w:val="center"/>
          </w:tcPr>
          <w:p>
            <w:pPr>
              <w:pStyle w:val="13"/>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2835" w:type="dxa"/>
            <w:vAlign w:val="center"/>
          </w:tcPr>
          <w:p>
            <w:pPr>
              <w:pStyle w:val="13"/>
            </w:pPr>
            <w:r>
              <w:t>最短时间内完成</w:t>
            </w:r>
          </w:p>
        </w:tc>
        <w:tc>
          <w:tcPr>
            <w:tcW w:w="2551" w:type="dxa"/>
            <w:vAlign w:val="center"/>
          </w:tcPr>
          <w:p>
            <w:pPr>
              <w:pStyle w:val="13"/>
            </w:pPr>
            <w:r>
              <w:t>≤7个工作日内完成</w:t>
            </w:r>
          </w:p>
        </w:tc>
        <w:tc>
          <w:tcPr>
            <w:tcW w:w="2268" w:type="dxa"/>
            <w:vAlign w:val="center"/>
          </w:tcPr>
          <w:p>
            <w:pPr>
              <w:pStyle w:val="13"/>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项目实际成本</w:t>
            </w:r>
          </w:p>
        </w:tc>
        <w:tc>
          <w:tcPr>
            <w:tcW w:w="2835" w:type="dxa"/>
            <w:vAlign w:val="center"/>
          </w:tcPr>
          <w:p>
            <w:pPr>
              <w:pStyle w:val="13"/>
            </w:pPr>
            <w:r>
              <w:t>提高成本管理水平</w:t>
            </w:r>
          </w:p>
        </w:tc>
        <w:tc>
          <w:tcPr>
            <w:tcW w:w="2551" w:type="dxa"/>
            <w:vAlign w:val="center"/>
          </w:tcPr>
          <w:p>
            <w:pPr>
              <w:pStyle w:val="13"/>
            </w:pPr>
            <w:r>
              <w:t>≤25万元</w:t>
            </w:r>
          </w:p>
        </w:tc>
        <w:tc>
          <w:tcPr>
            <w:tcW w:w="2268" w:type="dxa"/>
            <w:vAlign w:val="center"/>
          </w:tcPr>
          <w:p>
            <w:pPr>
              <w:pStyle w:val="13"/>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可持续性服务</w:t>
            </w:r>
          </w:p>
        </w:tc>
        <w:tc>
          <w:tcPr>
            <w:tcW w:w="2835" w:type="dxa"/>
            <w:vAlign w:val="center"/>
          </w:tcPr>
          <w:p>
            <w:pPr>
              <w:pStyle w:val="13"/>
            </w:pPr>
            <w:r>
              <w:t>社会性服务</w:t>
            </w:r>
          </w:p>
        </w:tc>
        <w:tc>
          <w:tcPr>
            <w:tcW w:w="2551" w:type="dxa"/>
            <w:vAlign w:val="center"/>
          </w:tcPr>
          <w:p>
            <w:pPr>
              <w:pStyle w:val="13"/>
            </w:pPr>
            <w:r>
              <w:t>服务于原破产企业870人</w:t>
            </w:r>
          </w:p>
        </w:tc>
        <w:tc>
          <w:tcPr>
            <w:tcW w:w="2268" w:type="dxa"/>
            <w:vAlign w:val="center"/>
          </w:tcPr>
          <w:p>
            <w:pPr>
              <w:pStyle w:val="13"/>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经济效益指标</w:t>
            </w:r>
          </w:p>
        </w:tc>
        <w:tc>
          <w:tcPr>
            <w:tcW w:w="2835" w:type="dxa"/>
            <w:vAlign w:val="center"/>
          </w:tcPr>
          <w:p>
            <w:pPr>
              <w:pStyle w:val="13"/>
            </w:pPr>
            <w:r>
              <w:t>经济效益提升%</w:t>
            </w:r>
          </w:p>
        </w:tc>
        <w:tc>
          <w:tcPr>
            <w:tcW w:w="2835" w:type="dxa"/>
            <w:vAlign w:val="center"/>
          </w:tcPr>
          <w:p>
            <w:pPr>
              <w:pStyle w:val="13"/>
            </w:pPr>
            <w:r>
              <w:t>提高工作的应对能力</w:t>
            </w:r>
          </w:p>
        </w:tc>
        <w:tc>
          <w:tcPr>
            <w:tcW w:w="2551" w:type="dxa"/>
            <w:vAlign w:val="center"/>
          </w:tcPr>
          <w:p>
            <w:pPr>
              <w:pStyle w:val="13"/>
            </w:pPr>
            <w:r>
              <w:t>≤100%资金使用到位率</w:t>
            </w:r>
          </w:p>
        </w:tc>
        <w:tc>
          <w:tcPr>
            <w:tcW w:w="2268" w:type="dxa"/>
            <w:vAlign w:val="center"/>
          </w:tcPr>
          <w:p>
            <w:pPr>
              <w:pStyle w:val="13"/>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信访转诉案件结案率</w:t>
            </w:r>
          </w:p>
        </w:tc>
        <w:tc>
          <w:tcPr>
            <w:tcW w:w="2835" w:type="dxa"/>
            <w:vAlign w:val="center"/>
          </w:tcPr>
          <w:p>
            <w:pPr>
              <w:pStyle w:val="13"/>
            </w:pPr>
            <w:r>
              <w:t>信访结案率</w:t>
            </w:r>
          </w:p>
        </w:tc>
        <w:tc>
          <w:tcPr>
            <w:tcW w:w="2551" w:type="dxa"/>
            <w:vAlign w:val="center"/>
          </w:tcPr>
          <w:p>
            <w:pPr>
              <w:pStyle w:val="13"/>
            </w:pPr>
            <w:r>
              <w:t>100%</w:t>
            </w:r>
          </w:p>
        </w:tc>
        <w:tc>
          <w:tcPr>
            <w:tcW w:w="2268" w:type="dxa"/>
            <w:vAlign w:val="center"/>
          </w:tcPr>
          <w:p>
            <w:pPr>
              <w:pStyle w:val="13"/>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2835" w:type="dxa"/>
            <w:vAlign w:val="center"/>
          </w:tcPr>
          <w:p>
            <w:pPr>
              <w:pStyle w:val="13"/>
            </w:pPr>
            <w:r>
              <w:t>提高生态保护意识</w:t>
            </w:r>
          </w:p>
        </w:tc>
        <w:tc>
          <w:tcPr>
            <w:tcW w:w="2551" w:type="dxa"/>
            <w:vAlign w:val="center"/>
          </w:tcPr>
          <w:p>
            <w:pPr>
              <w:pStyle w:val="13"/>
            </w:pPr>
            <w:r>
              <w:t>≥90宣传推动生态保护意识</w:t>
            </w:r>
          </w:p>
        </w:tc>
        <w:tc>
          <w:tcPr>
            <w:tcW w:w="2268" w:type="dxa"/>
            <w:vAlign w:val="center"/>
          </w:tcPr>
          <w:p>
            <w:pPr>
              <w:pStyle w:val="13"/>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信访群众满意度</w:t>
            </w:r>
          </w:p>
        </w:tc>
        <w:tc>
          <w:tcPr>
            <w:tcW w:w="2835" w:type="dxa"/>
            <w:vAlign w:val="center"/>
          </w:tcPr>
          <w:p>
            <w:pPr>
              <w:pStyle w:val="13"/>
            </w:pPr>
            <w:r>
              <w:t>群众来信来访满意度</w:t>
            </w:r>
          </w:p>
        </w:tc>
        <w:tc>
          <w:tcPr>
            <w:tcW w:w="2551" w:type="dxa"/>
            <w:vAlign w:val="center"/>
          </w:tcPr>
          <w:p>
            <w:pPr>
              <w:pStyle w:val="13"/>
            </w:pPr>
            <w:r>
              <w:t>≥98%</w:t>
            </w:r>
          </w:p>
        </w:tc>
        <w:tc>
          <w:tcPr>
            <w:tcW w:w="2268" w:type="dxa"/>
            <w:vAlign w:val="center"/>
          </w:tcPr>
          <w:p>
            <w:pPr>
              <w:pStyle w:val="13"/>
            </w:pPr>
            <w:r>
              <w:t>本单位年初计划安排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2022年，曹妃甸区企管中心安排政府采购预算0.00万元。具体内容见下表。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322003曹妃甸区企管中心</w:t>
            </w:r>
          </w:p>
        </w:tc>
        <w:tc>
          <w:tcPr>
            <w:tcW w:w="8674" w:type="dxa"/>
            <w:gridSpan w:val="9"/>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曹妃甸区企管中心上年末固定资产金额为0.00万元（详见下表）。本年度拟购置固定资产总额为0.00万元，已按要求列入政府采购预算，详见政府采购预算表。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322003曹妃甸区企管中心</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center"/>
            </w:pPr>
            <w:r>
              <w:rPr>
                <w:rFonts w:hint="eastAsia" w:ascii="宋体" w:hAnsi="宋体" w:cs="宋体"/>
                <w:color w:val="000000"/>
                <w:kern w:val="0"/>
                <w:sz w:val="18"/>
                <w:szCs w:val="18"/>
              </w:rPr>
              <w:t>资产总额</w:t>
            </w:r>
          </w:p>
        </w:tc>
        <w:tc>
          <w:tcPr>
            <w:tcW w:w="2835" w:type="dxa"/>
            <w:vAlign w:val="center"/>
          </w:tcPr>
          <w:p>
            <w:pPr>
              <w:widowControl/>
              <w:jc w:val="center"/>
            </w:pPr>
            <w:r>
              <w:rPr>
                <w:rFonts w:hint="eastAsia" w:ascii="宋体" w:hAnsi="宋体" w:cs="宋体"/>
                <w:color w:val="000000"/>
                <w:kern w:val="0"/>
                <w:sz w:val="22"/>
              </w:rPr>
              <w:t>——</w:t>
            </w:r>
          </w:p>
        </w:tc>
        <w:tc>
          <w:tcPr>
            <w:tcW w:w="2835" w:type="dxa"/>
            <w:vAlign w:val="center"/>
          </w:tcPr>
          <w:p>
            <w:pPr>
              <w:pStyle w:val="12"/>
              <w:jc w:val="center"/>
            </w:pPr>
            <w:r>
              <w:rPr>
                <w:rFonts w:hint="eastAsia"/>
              </w:rPr>
              <w:t>8</w:t>
            </w:r>
            <w:r>
              <w:rPr>
                <w:rFonts w:hint="eastAsia"/>
                <w:lang w:val="en-US" w:eastAsia="zh-CN"/>
              </w:rPr>
              <w:t>.</w:t>
            </w:r>
            <w:r>
              <w:rPr>
                <w:rFonts w:hint="eastAsia"/>
              </w:rPr>
              <w:t>9639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pPr>
            <w:r>
              <w:rPr>
                <w:rFonts w:hint="eastAsia" w:ascii="宋体" w:hAnsi="宋体" w:cs="宋体"/>
                <w:color w:val="000000"/>
                <w:kern w:val="0"/>
                <w:sz w:val="18"/>
                <w:szCs w:val="18"/>
              </w:rPr>
              <w:t>1、房屋（平方米）</w:t>
            </w:r>
          </w:p>
        </w:tc>
        <w:tc>
          <w:tcPr>
            <w:tcW w:w="2835" w:type="dxa"/>
            <w:vAlign w:val="center"/>
          </w:tcPr>
          <w:p>
            <w:pPr>
              <w:widowControl/>
              <w:jc w:val="center"/>
              <w:rPr>
                <w:rFonts w:hint="eastAsia" w:eastAsia="宋体"/>
                <w:lang w:val="en-US" w:eastAsia="zh-CN"/>
              </w:rPr>
            </w:pPr>
            <w:r>
              <w:rPr>
                <w:rFonts w:hint="eastAsia" w:ascii="宋体" w:hAnsi="宋体" w:eastAsia="宋体" w:cs="宋体"/>
                <w:color w:val="000000"/>
                <w:kern w:val="0"/>
                <w:sz w:val="22"/>
                <w:lang w:val="en-US" w:eastAsia="zh-CN"/>
              </w:rPr>
              <w:t>0</w:t>
            </w:r>
          </w:p>
        </w:tc>
        <w:tc>
          <w:tcPr>
            <w:tcW w:w="2835" w:type="dxa"/>
            <w:vAlign w:val="center"/>
          </w:tcPr>
          <w:p>
            <w:pPr>
              <w:pStyle w:val="12"/>
              <w:jc w:val="center"/>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pPr>
            <w:r>
              <w:rPr>
                <w:rFonts w:hint="eastAsia" w:ascii="宋体" w:hAnsi="宋体" w:cs="宋体"/>
                <w:color w:val="000000"/>
                <w:kern w:val="0"/>
                <w:sz w:val="18"/>
                <w:szCs w:val="18"/>
              </w:rPr>
              <w:t xml:space="preserve">  其中：办公用房（平方米）</w:t>
            </w:r>
          </w:p>
        </w:tc>
        <w:tc>
          <w:tcPr>
            <w:tcW w:w="2835" w:type="dxa"/>
            <w:vAlign w:val="center"/>
          </w:tcPr>
          <w:p>
            <w:pPr>
              <w:widowControl/>
              <w:jc w:val="center"/>
            </w:pPr>
            <w:r>
              <w:rPr>
                <w:rFonts w:hint="eastAsia" w:ascii="宋体" w:hAnsi="宋体" w:eastAsia="宋体" w:cs="宋体"/>
                <w:color w:val="000000"/>
                <w:kern w:val="0"/>
                <w:sz w:val="22"/>
                <w:lang w:val="en-US" w:eastAsia="zh-CN"/>
              </w:rPr>
              <w:t>0</w:t>
            </w:r>
            <w:r>
              <w:rPr>
                <w:rFonts w:hint="eastAsia" w:ascii="宋体" w:hAnsi="宋体" w:cs="宋体"/>
                <w:color w:val="000000"/>
                <w:kern w:val="0"/>
                <w:sz w:val="22"/>
              </w:rPr>
              <w:t xml:space="preserve"> </w:t>
            </w:r>
          </w:p>
        </w:tc>
        <w:tc>
          <w:tcPr>
            <w:tcW w:w="2835" w:type="dxa"/>
            <w:vAlign w:val="center"/>
          </w:tcPr>
          <w:p>
            <w:pPr>
              <w:pStyle w:val="12"/>
              <w:jc w:val="center"/>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pPr>
            <w:r>
              <w:rPr>
                <w:rFonts w:hint="eastAsia" w:ascii="宋体" w:hAnsi="宋体" w:cs="宋体"/>
                <w:color w:val="000000"/>
                <w:kern w:val="0"/>
                <w:sz w:val="18"/>
                <w:szCs w:val="18"/>
              </w:rPr>
              <w:t>2、车辆（台、辆）</w:t>
            </w:r>
          </w:p>
        </w:tc>
        <w:tc>
          <w:tcPr>
            <w:tcW w:w="2835" w:type="dxa"/>
            <w:vAlign w:val="center"/>
          </w:tcPr>
          <w:p>
            <w:pPr>
              <w:widowControl/>
              <w:jc w:val="center"/>
              <w:rPr>
                <w:rFonts w:hint="eastAsia" w:eastAsia="宋体"/>
                <w:lang w:val="en-US" w:eastAsia="zh-CN"/>
              </w:rPr>
            </w:pPr>
            <w:r>
              <w:rPr>
                <w:rFonts w:hint="eastAsia" w:eastAsia="宋体"/>
                <w:lang w:val="en-US" w:eastAsia="zh-CN"/>
              </w:rPr>
              <w:t>0</w:t>
            </w:r>
          </w:p>
        </w:tc>
        <w:tc>
          <w:tcPr>
            <w:tcW w:w="2835" w:type="dxa"/>
            <w:vAlign w:val="center"/>
          </w:tcPr>
          <w:p>
            <w:pPr>
              <w:pStyle w:val="12"/>
              <w:jc w:val="center"/>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pPr>
            <w:r>
              <w:rPr>
                <w:rFonts w:hint="eastAsia" w:ascii="宋体" w:hAnsi="宋体" w:cs="宋体"/>
                <w:color w:val="000000"/>
                <w:kern w:val="0"/>
                <w:sz w:val="18"/>
                <w:szCs w:val="18"/>
              </w:rPr>
              <w:t>3、单价在20万元以上设备</w:t>
            </w:r>
          </w:p>
        </w:tc>
        <w:tc>
          <w:tcPr>
            <w:tcW w:w="2835" w:type="dxa"/>
            <w:vAlign w:val="center"/>
          </w:tcPr>
          <w:p>
            <w:pPr>
              <w:widowControl/>
              <w:jc w:val="center"/>
            </w:pPr>
            <w:r>
              <w:rPr>
                <w:rFonts w:hint="eastAsia" w:ascii="宋体" w:hAnsi="宋体" w:cs="宋体"/>
                <w:color w:val="000000"/>
                <w:kern w:val="0"/>
                <w:sz w:val="22"/>
              </w:rPr>
              <w:t>——</w:t>
            </w:r>
          </w:p>
        </w:tc>
        <w:tc>
          <w:tcPr>
            <w:tcW w:w="2835"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pPr>
            <w:r>
              <w:rPr>
                <w:rFonts w:hint="eastAsia" w:ascii="宋体" w:hAnsi="宋体" w:cs="宋体"/>
                <w:color w:val="000000"/>
                <w:kern w:val="0"/>
                <w:sz w:val="18"/>
                <w:szCs w:val="18"/>
              </w:rPr>
              <w:t>4、其他固定资产</w:t>
            </w:r>
          </w:p>
        </w:tc>
        <w:tc>
          <w:tcPr>
            <w:tcW w:w="2835" w:type="dxa"/>
            <w:vAlign w:val="center"/>
          </w:tcPr>
          <w:p>
            <w:pPr>
              <w:widowControl/>
              <w:jc w:val="center"/>
            </w:pPr>
            <w:r>
              <w:rPr>
                <w:rFonts w:hint="eastAsia" w:ascii="宋体" w:hAnsi="宋体" w:cs="宋体"/>
                <w:color w:val="000000"/>
                <w:kern w:val="0"/>
                <w:sz w:val="22"/>
              </w:rPr>
              <w:t>——</w:t>
            </w:r>
          </w:p>
        </w:tc>
        <w:tc>
          <w:tcPr>
            <w:tcW w:w="2835" w:type="dxa"/>
            <w:vAlign w:val="center"/>
          </w:tcPr>
          <w:p>
            <w:pPr>
              <w:pStyle w:val="12"/>
              <w:jc w:val="center"/>
            </w:pPr>
            <w:r>
              <w:rPr>
                <w:rFonts w:hint="eastAsia"/>
              </w:rPr>
              <w:t>8</w:t>
            </w:r>
            <w:r>
              <w:rPr>
                <w:rFonts w:hint="eastAsia"/>
                <w:lang w:val="en-US" w:eastAsia="zh-CN"/>
              </w:rPr>
              <w:t>.</w:t>
            </w:r>
            <w:r>
              <w:rPr>
                <w:rFonts w:hint="eastAsia"/>
              </w:rPr>
              <w:t>9639</w:t>
            </w:r>
          </w:p>
        </w:tc>
      </w:tr>
    </w:tbl>
    <w:p>
      <w:pPr>
        <w:ind w:firstLine="420"/>
      </w:pPr>
    </w:p>
    <w:p>
      <w:pPr>
        <w:ind w:firstLine="640"/>
      </w:pPr>
    </w:p>
    <w:p>
      <w:pPr>
        <w:spacing w:before="10" w:after="10"/>
        <w:ind w:firstLine="640"/>
        <w:outlineLvl w:val="5"/>
      </w:pPr>
      <w:r>
        <w:rPr>
          <w:rFonts w:ascii="黑体" w:hAnsi="黑体" w:eastAsia="黑体" w:cs="黑体"/>
          <w:color w:val="000000"/>
          <w:sz w:val="32"/>
        </w:rPr>
        <w:t>八、名词解释</w:t>
      </w:r>
    </w:p>
    <w:p>
      <w:pPr>
        <w:tabs>
          <w:tab w:val="left" w:pos="10035"/>
        </w:tabs>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本</w:t>
      </w:r>
      <w:r>
        <w:rPr>
          <w:rFonts w:eastAsia="方正仿宋_GBK"/>
          <w:color w:val="000000"/>
          <w:sz w:val="28"/>
        </w:rPr>
        <w:t>级财政当年拨付的资金。</w:t>
      </w:r>
      <w:r>
        <w:rPr>
          <w:rFonts w:eastAsia="方正仿宋_GBK"/>
          <w:color w:val="000000"/>
          <w:sz w:val="28"/>
        </w:rPr>
        <w:tab/>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本</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eastAsia="方正仿宋_GBK"/>
          <w:color w:val="000000"/>
          <w:sz w:val="28"/>
        </w:rPr>
      </w:pPr>
      <w:r>
        <w:rPr>
          <w:rFonts w:eastAsia="方正仿宋_GBK"/>
          <w:color w:val="000000"/>
          <w:sz w:val="28"/>
        </w:rPr>
        <w:t>我单位无其他需要说明的事项。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eastAsiaTheme="minorEastAsia"/>
        <w:lang w:eastAsia="zh-CN"/>
      </w:rPr>
    </w:pPr>
    <w:r>
      <w:rPr>
        <w:rFonts w:hint="eastAsia" w:asciiTheme="minorEastAsia" w:hAnsiTheme="minorEastAsia" w:eastAsiaTheme="minorEastAsia"/>
        <w:lang w:eastAsia="zh-CN"/>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DF4A37"/>
    <w:multiLevelType w:val="singleLevel"/>
    <w:tmpl w:val="62DF4A37"/>
    <w:lvl w:ilvl="0" w:tentative="0">
      <w:start w:val="5"/>
      <w:numFmt w:val="chineseCounting"/>
      <w:suff w:val="nothing"/>
      <w:lvlText w:val="%1、"/>
      <w:lvlJc w:val="left"/>
      <w:rPr>
        <w:rFonts w:hint="eastAsia"/>
      </w:rPr>
    </w:lvl>
  </w:abstractNum>
  <w:abstractNum w:abstractNumId="1">
    <w:nsid w:val="7F17F44C"/>
    <w:multiLevelType w:val="singleLevel"/>
    <w:tmpl w:val="7F17F44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oNotTrackMoves/>
  <w:documentProtection w:enforcement="0"/>
  <w:defaultTabStop w:val="720"/>
  <w:drawingGridHorizontalSpacing w:val="120"/>
  <w:displayHorizontalDrawingGridEvery w:val="2"/>
  <w:characterSpacingControl w:val="doNotCompress"/>
  <w:hdrShapeDefaults>
    <o:shapelayout v:ext="edit">
      <o:idmap v:ext="edit" data="3"/>
    </o:shapelayout>
  </w:hdrShapeDefault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2YmEwYmM2YzQ0MzkzMjM1MjIwMTE5YzgxNzllM2QifQ=="/>
  </w:docVars>
  <w:rsids>
    <w:rsidRoot w:val="007F7E4F"/>
    <w:rsid w:val="007F7E4F"/>
    <w:rsid w:val="00856375"/>
    <w:rsid w:val="00A40546"/>
    <w:rsid w:val="00F86CC9"/>
    <w:rsid w:val="240D2E71"/>
    <w:rsid w:val="27010CE7"/>
    <w:rsid w:val="27AE76FB"/>
    <w:rsid w:val="440D2B0E"/>
    <w:rsid w:val="460C7AC5"/>
    <w:rsid w:val="4B9C7653"/>
    <w:rsid w:val="4FD237AB"/>
    <w:rsid w:val="5FFD1A1F"/>
    <w:rsid w:val="62B00C2F"/>
    <w:rsid w:val="6C9A2475"/>
    <w:rsid w:val="79987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3">
    <w:name w:val="footer"/>
    <w:basedOn w:val="1"/>
    <w:link w:val="35"/>
    <w:semiHidden/>
    <w:unhideWhenUsed/>
    <w:qFormat/>
    <w:uiPriority w:val="99"/>
    <w:pPr>
      <w:tabs>
        <w:tab w:val="center" w:pos="4153"/>
        <w:tab w:val="right" w:pos="8306"/>
      </w:tabs>
      <w:snapToGrid w:val="0"/>
    </w:pPr>
    <w:rPr>
      <w:sz w:val="18"/>
      <w:szCs w:val="18"/>
    </w:rPr>
  </w:style>
  <w:style w:type="paragraph" w:styleId="4">
    <w:name w:val="header"/>
    <w:basedOn w:val="1"/>
    <w:link w:val="3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 w:type="paragraph" w:customStyle="1" w:styleId="26">
    <w:name w:val="插入文本样式-插入单位职责文件"/>
    <w:basedOn w:val="1"/>
    <w:qFormat/>
    <w:uiPriority w:val="0"/>
    <w:pPr>
      <w:spacing w:line="500" w:lineRule="exact"/>
      <w:ind w:firstLine="560"/>
    </w:pPr>
    <w:rPr>
      <w:rFonts w:eastAsia="方正仿宋_GBK"/>
      <w:sz w:val="28"/>
    </w:rPr>
  </w:style>
  <w:style w:type="paragraph" w:customStyle="1" w:styleId="27">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8">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9">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0">
    <w:name w:val="TOC 2"/>
    <w:basedOn w:val="1"/>
    <w:qFormat/>
    <w:uiPriority w:val="0"/>
    <w:pPr>
      <w:ind w:left="240"/>
    </w:pPr>
  </w:style>
  <w:style w:type="paragraph" w:customStyle="1" w:styleId="31">
    <w:name w:val="TOC 3"/>
    <w:basedOn w:val="1"/>
    <w:qFormat/>
    <w:uiPriority w:val="0"/>
    <w:pPr>
      <w:ind w:left="480"/>
    </w:pPr>
  </w:style>
  <w:style w:type="paragraph" w:customStyle="1" w:styleId="32">
    <w:name w:val="TOC 4"/>
    <w:basedOn w:val="1"/>
    <w:qFormat/>
    <w:uiPriority w:val="0"/>
    <w:pPr>
      <w:ind w:left="720"/>
    </w:pPr>
  </w:style>
  <w:style w:type="paragraph" w:customStyle="1" w:styleId="33">
    <w:name w:val="TOC 1"/>
    <w:basedOn w:val="1"/>
    <w:qFormat/>
    <w:uiPriority w:val="0"/>
    <w:pPr>
      <w:spacing w:before="120"/>
      <w:ind w:firstLine="560"/>
    </w:pPr>
    <w:rPr>
      <w:rFonts w:eastAsia="方正仿宋_GBK"/>
      <w:color w:val="000000"/>
      <w:sz w:val="28"/>
    </w:rPr>
  </w:style>
  <w:style w:type="character" w:customStyle="1" w:styleId="34">
    <w:name w:val="页眉 Char"/>
    <w:basedOn w:val="7"/>
    <w:link w:val="4"/>
    <w:semiHidden/>
    <w:qFormat/>
    <w:uiPriority w:val="99"/>
    <w:rPr>
      <w:rFonts w:eastAsia="Times New Roman"/>
      <w:sz w:val="18"/>
      <w:szCs w:val="18"/>
      <w:lang w:eastAsia="uk-UA"/>
    </w:rPr>
  </w:style>
  <w:style w:type="character" w:customStyle="1" w:styleId="35">
    <w:name w:val="页脚 Char"/>
    <w:basedOn w:val="7"/>
    <w:link w:val="3"/>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1" Type="http://schemas.openxmlformats.org/officeDocument/2006/relationships/fontTable" Target="fontTable.xml"/><Relationship Id="rId50" Type="http://schemas.openxmlformats.org/officeDocument/2006/relationships/customXml" Target="../customXml/item40.xml"/><Relationship Id="rId5" Type="http://schemas.openxmlformats.org/officeDocument/2006/relationships/footer" Target="footer2.xml"/><Relationship Id="rId49" Type="http://schemas.openxmlformats.org/officeDocument/2006/relationships/customXml" Target="../customXml/item39.xml"/><Relationship Id="rId48" Type="http://schemas.openxmlformats.org/officeDocument/2006/relationships/customXml" Target="../customXml/item38.xml"/><Relationship Id="rId47" Type="http://schemas.openxmlformats.org/officeDocument/2006/relationships/customXml" Target="../customXml/item37.xml"/><Relationship Id="rId46" Type="http://schemas.openxmlformats.org/officeDocument/2006/relationships/customXml" Target="../customXml/item36.xml"/><Relationship Id="rId45" Type="http://schemas.openxmlformats.org/officeDocument/2006/relationships/customXml" Target="../customXml/item35.xml"/><Relationship Id="rId44" Type="http://schemas.openxmlformats.org/officeDocument/2006/relationships/customXml" Target="../customXml/item34.xml"/><Relationship Id="rId43" Type="http://schemas.openxmlformats.org/officeDocument/2006/relationships/customXml" Target="../customXml/item33.xml"/><Relationship Id="rId42" Type="http://schemas.openxmlformats.org/officeDocument/2006/relationships/customXml" Target="../customXml/item32.xml"/><Relationship Id="rId41" Type="http://schemas.openxmlformats.org/officeDocument/2006/relationships/customXml" Target="../customXml/item31.xml"/><Relationship Id="rId40" Type="http://schemas.openxmlformats.org/officeDocument/2006/relationships/customXml" Target="../customXml/item30.xml"/><Relationship Id="rId4" Type="http://schemas.openxmlformats.org/officeDocument/2006/relationships/footer" Target="footer1.xml"/><Relationship Id="rId39" Type="http://schemas.openxmlformats.org/officeDocument/2006/relationships/customXml" Target="../customXml/item29.xml"/><Relationship Id="rId38" Type="http://schemas.openxmlformats.org/officeDocument/2006/relationships/customXml" Target="../customXml/item28.xml"/><Relationship Id="rId37" Type="http://schemas.openxmlformats.org/officeDocument/2006/relationships/customXml" Target="../customXml/item27.xml"/><Relationship Id="rId36" Type="http://schemas.openxmlformats.org/officeDocument/2006/relationships/customXml" Target="../customXml/item26.xml"/><Relationship Id="rId35" Type="http://schemas.openxmlformats.org/officeDocument/2006/relationships/customXml" Target="../customXml/item25.xml"/><Relationship Id="rId34" Type="http://schemas.openxmlformats.org/officeDocument/2006/relationships/customXml" Target="../customXml/item24.xml"/><Relationship Id="rId33" Type="http://schemas.openxmlformats.org/officeDocument/2006/relationships/customXml" Target="../customXml/item23.xml"/><Relationship Id="rId32" Type="http://schemas.openxmlformats.org/officeDocument/2006/relationships/customXml" Target="../customXml/item22.xml"/><Relationship Id="rId31" Type="http://schemas.openxmlformats.org/officeDocument/2006/relationships/customXml" Target="../customXml/item21.xml"/><Relationship Id="rId30" Type="http://schemas.openxmlformats.org/officeDocument/2006/relationships/customXml" Target="../customXml/item20.xml"/><Relationship Id="rId3" Type="http://schemas.openxmlformats.org/officeDocument/2006/relationships/header" Target="header1.xml"/><Relationship Id="rId29" Type="http://schemas.openxmlformats.org/officeDocument/2006/relationships/customXml" Target="../customXml/item19.xml"/><Relationship Id="rId28" Type="http://schemas.openxmlformats.org/officeDocument/2006/relationships/customXml" Target="../customXml/item18.xml"/><Relationship Id="rId27" Type="http://schemas.openxmlformats.org/officeDocument/2006/relationships/customXml" Target="../customXml/item17.xml"/><Relationship Id="rId26" Type="http://schemas.openxmlformats.org/officeDocument/2006/relationships/customXml" Target="../customXml/item16.xml"/><Relationship Id="rId25" Type="http://schemas.openxmlformats.org/officeDocument/2006/relationships/customXml" Target="../customXml/item15.xml"/><Relationship Id="rId24" Type="http://schemas.openxmlformats.org/officeDocument/2006/relationships/customXml" Target="../customXml/item14.xml"/><Relationship Id="rId23" Type="http://schemas.openxmlformats.org/officeDocument/2006/relationships/customXml" Target="../customXml/item13.xml"/><Relationship Id="rId22" Type="http://schemas.openxmlformats.org/officeDocument/2006/relationships/customXml" Target="../customXml/item12.xml"/><Relationship Id="rId21" Type="http://schemas.openxmlformats.org/officeDocument/2006/relationships/customXml" Target="../customXml/item11.xml"/><Relationship Id="rId20" Type="http://schemas.openxmlformats.org/officeDocument/2006/relationships/customXml" Target="../customXml/item10.xml"/><Relationship Id="rId2" Type="http://schemas.openxmlformats.org/officeDocument/2006/relationships/settings" Target="settings.xml"/><Relationship Id="rId19" Type="http://schemas.openxmlformats.org/officeDocument/2006/relationships/customXml" Target="../customXml/item9.xml"/><Relationship Id="rId18" Type="http://schemas.openxmlformats.org/officeDocument/2006/relationships/customXml" Target="../customXml/item8.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2022-06-17T17:15:20Z</dcterms:created>
  <dcterms:modified xsi:type="dcterms:W3CDTF">2022-06-17T09:15:20Z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2022-06-17T17:15:20Z</dcterms:created>
  <dcterms:modified xsi:type="dcterms:W3CDTF">2022-06-17T09:15:20Z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2022-06-17T17:15:27Z</dcterms:created>
  <dcterms:modified xsi:type="dcterms:W3CDTF">2022-06-17T09:15:27Z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2022-06-17T17:15:27Z</dcterms:created>
  <dcterms:modified xsi:type="dcterms:W3CDTF">2022-06-17T09:15:27Z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2022-06-17T17:15:08Z</dcterms:created>
  <dcterms:modified xsi:type="dcterms:W3CDTF">2022-06-17T09:15:08Z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2022-06-17T17:15:16Z</dcterms:created>
  <dcterms:modified xsi:type="dcterms:W3CDTF">2022-06-17T09:15:16Z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2022-06-17T17:15:08Z</dcterms:created>
  <dcterms:modified xsi:type="dcterms:W3CDTF">2022-06-17T09:15:08Z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2022-06-17T17:15:27Z</dcterms:created>
  <dcterms:modified xsi:type="dcterms:W3CDTF">2022-06-17T09:15:27Z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2022-06-17T17:15:13Z</dcterms:created>
  <dcterms:modified xsi:type="dcterms:W3CDTF">2022-06-17T09:15:13Z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2022-06-17T17:15:25Z</dcterms:created>
  <dcterms:modified xsi:type="dcterms:W3CDTF">2022-06-17T09:15:25Z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2022-06-17T17:15:16Z</dcterms:created>
  <dcterms:modified xsi:type="dcterms:W3CDTF">2022-06-17T09:15:16Z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2022-06-17T17:15:16Z</dcterms:created>
  <dcterms:modified xsi:type="dcterms:W3CDTF">2022-06-17T09:15:16Z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2022-06-17T17:15:27Z</dcterms:created>
  <dcterms:modified xsi:type="dcterms:W3CDTF">2022-06-17T09:15:27Z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2022-06-17T17:15:27Z</dcterms:created>
  <dcterms:modified xsi:type="dcterms:W3CDTF">2022-06-17T09:15:27Z</dcterms:modified>
</cp:coreProperties>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2022-06-17T17:15:15Z</dcterms:created>
  <dcterms:modified xsi:type="dcterms:W3CDTF">2022-06-17T09:15:15Z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2022-06-17T17:15:26Z</dcterms:created>
  <dcterms:modified xsi:type="dcterms:W3CDTF">2022-06-17T09:15:26Z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2022-06-17T17:15:26Z</dcterms:created>
  <dcterms:modified xsi:type="dcterms:W3CDTF">2022-06-17T09:15:26Z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2022-06-17T17:15:09Z</dcterms:created>
  <dcterms:modified xsi:type="dcterms:W3CDTF">2022-06-17T09:15:09Z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2022-06-17T17:15:27Z</dcterms:created>
  <dcterms:modified xsi:type="dcterms:W3CDTF">2022-06-17T09:15:27Z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DCECCCDE-E70A-40C1-87A1-2EBEA094C525}">
  <ds:schemaRefs/>
</ds:datastoreItem>
</file>

<file path=customXml/itemProps11.xml><?xml version="1.0" encoding="utf-8"?>
<ds:datastoreItem xmlns:ds="http://schemas.openxmlformats.org/officeDocument/2006/customXml" ds:itemID="{40C30282-1DD0-4704-9927-CA17770E674B}">
  <ds:schemaRefs/>
</ds:datastoreItem>
</file>

<file path=customXml/itemProps12.xml><?xml version="1.0" encoding="utf-8"?>
<ds:datastoreItem xmlns:ds="http://schemas.openxmlformats.org/officeDocument/2006/customXml" ds:itemID="{36B95D6B-CB4D-41EB-80CA-699F8027E488}">
  <ds:schemaRefs/>
</ds:datastoreItem>
</file>

<file path=customXml/itemProps13.xml><?xml version="1.0" encoding="utf-8"?>
<ds:datastoreItem xmlns:ds="http://schemas.openxmlformats.org/officeDocument/2006/customXml" ds:itemID="{506B667E-F771-4F98-AC6B-68C62FB9ED59}">
  <ds:schemaRefs/>
</ds:datastoreItem>
</file>

<file path=customXml/itemProps14.xml><?xml version="1.0" encoding="utf-8"?>
<ds:datastoreItem xmlns:ds="http://schemas.openxmlformats.org/officeDocument/2006/customXml" ds:itemID="{3213FCA4-6E56-4C8A-9721-9E20424E8DFB}">
  <ds:schemaRefs/>
</ds:datastoreItem>
</file>

<file path=customXml/itemProps15.xml><?xml version="1.0" encoding="utf-8"?>
<ds:datastoreItem xmlns:ds="http://schemas.openxmlformats.org/officeDocument/2006/customXml" ds:itemID="{227A7F1F-4E7B-428D-AE2C-4B9EA6E339FA}">
  <ds:schemaRefs/>
</ds:datastoreItem>
</file>

<file path=customXml/itemProps16.xml><?xml version="1.0" encoding="utf-8"?>
<ds:datastoreItem xmlns:ds="http://schemas.openxmlformats.org/officeDocument/2006/customXml" ds:itemID="{4E586433-2004-49A8-A19D-4BE18BE083C0}">
  <ds:schemaRefs/>
</ds:datastoreItem>
</file>

<file path=customXml/itemProps17.xml><?xml version="1.0" encoding="utf-8"?>
<ds:datastoreItem xmlns:ds="http://schemas.openxmlformats.org/officeDocument/2006/customXml" ds:itemID="{46CE3046-18DB-47A4-8FB8-1CF4506B72F2}">
  <ds:schemaRefs/>
</ds:datastoreItem>
</file>

<file path=customXml/itemProps18.xml><?xml version="1.0" encoding="utf-8"?>
<ds:datastoreItem xmlns:ds="http://schemas.openxmlformats.org/officeDocument/2006/customXml" ds:itemID="{03E6AD08-342B-493F-B52D-4DC1FF121E3F}">
  <ds:schemaRefs/>
</ds:datastoreItem>
</file>

<file path=customXml/itemProps19.xml><?xml version="1.0" encoding="utf-8"?>
<ds:datastoreItem xmlns:ds="http://schemas.openxmlformats.org/officeDocument/2006/customXml" ds:itemID="{0634689D-D7EE-4758-84D7-58E41021802A}">
  <ds:schemaRefs/>
</ds:datastoreItem>
</file>

<file path=customXml/itemProps2.xml><?xml version="1.0" encoding="utf-8"?>
<ds:datastoreItem xmlns:ds="http://schemas.openxmlformats.org/officeDocument/2006/customXml" ds:itemID="{9A15E2CA-D64D-46CD-996E-0C7391C1D35E}">
  <ds:schemaRefs/>
</ds:datastoreItem>
</file>

<file path=customXml/itemProps20.xml><?xml version="1.0" encoding="utf-8"?>
<ds:datastoreItem xmlns:ds="http://schemas.openxmlformats.org/officeDocument/2006/customXml" ds:itemID="{E5CF57C3-6171-4E52-87CD-0989DF0D4787}">
  <ds:schemaRefs/>
</ds:datastoreItem>
</file>

<file path=customXml/itemProps21.xml><?xml version="1.0" encoding="utf-8"?>
<ds:datastoreItem xmlns:ds="http://schemas.openxmlformats.org/officeDocument/2006/customXml" ds:itemID="{681DAC79-D08E-4000-A560-41E65FD0C73F}">
  <ds:schemaRefs/>
</ds:datastoreItem>
</file>

<file path=customXml/itemProps22.xml><?xml version="1.0" encoding="utf-8"?>
<ds:datastoreItem xmlns:ds="http://schemas.openxmlformats.org/officeDocument/2006/customXml" ds:itemID="{B0835E2E-EC21-4489-985B-526D2AC33793}">
  <ds:schemaRefs/>
</ds:datastoreItem>
</file>

<file path=customXml/itemProps23.xml><?xml version="1.0" encoding="utf-8"?>
<ds:datastoreItem xmlns:ds="http://schemas.openxmlformats.org/officeDocument/2006/customXml" ds:itemID="{A4C3E34B-82D6-4C78-9099-2F2FFC1DC4BD}">
  <ds:schemaRefs/>
</ds:datastoreItem>
</file>

<file path=customXml/itemProps24.xml><?xml version="1.0" encoding="utf-8"?>
<ds:datastoreItem xmlns:ds="http://schemas.openxmlformats.org/officeDocument/2006/customXml" ds:itemID="{23C76FD8-C07A-4595-A0BA-F0FE3CE114B1}">
  <ds:schemaRefs/>
</ds:datastoreItem>
</file>

<file path=customXml/itemProps25.xml><?xml version="1.0" encoding="utf-8"?>
<ds:datastoreItem xmlns:ds="http://schemas.openxmlformats.org/officeDocument/2006/customXml" ds:itemID="{425B9238-B550-497A-942C-0BE8AB42499B}">
  <ds:schemaRefs/>
</ds:datastoreItem>
</file>

<file path=customXml/itemProps26.xml><?xml version="1.0" encoding="utf-8"?>
<ds:datastoreItem xmlns:ds="http://schemas.openxmlformats.org/officeDocument/2006/customXml" ds:itemID="{F4D7017A-E84F-496F-A5A4-9932E0351B0B}">
  <ds:schemaRefs/>
</ds:datastoreItem>
</file>

<file path=customXml/itemProps27.xml><?xml version="1.0" encoding="utf-8"?>
<ds:datastoreItem xmlns:ds="http://schemas.openxmlformats.org/officeDocument/2006/customXml" ds:itemID="{893D5DFA-5644-4197-B54C-A36005A8C44A}">
  <ds:schemaRefs/>
</ds:datastoreItem>
</file>

<file path=customXml/itemProps28.xml><?xml version="1.0" encoding="utf-8"?>
<ds:datastoreItem xmlns:ds="http://schemas.openxmlformats.org/officeDocument/2006/customXml" ds:itemID="{2BEEEE60-0A3F-4E6B-9285-7FF770C71729}">
  <ds:schemaRefs/>
</ds:datastoreItem>
</file>

<file path=customXml/itemProps29.xml><?xml version="1.0" encoding="utf-8"?>
<ds:datastoreItem xmlns:ds="http://schemas.openxmlformats.org/officeDocument/2006/customXml" ds:itemID="{D3EF3165-1A13-49F3-B6DB-3FE0F2D08B5E}">
  <ds:schemaRefs/>
</ds:datastoreItem>
</file>

<file path=customXml/itemProps3.xml><?xml version="1.0" encoding="utf-8"?>
<ds:datastoreItem xmlns:ds="http://schemas.openxmlformats.org/officeDocument/2006/customXml" ds:itemID="{218A6B5A-8DA9-4477-8D81-8B4DA1B0BD38}">
  <ds:schemaRefs/>
</ds:datastoreItem>
</file>

<file path=customXml/itemProps30.xml><?xml version="1.0" encoding="utf-8"?>
<ds:datastoreItem xmlns:ds="http://schemas.openxmlformats.org/officeDocument/2006/customXml" ds:itemID="{5D5ADADA-EDE9-4300-AC17-89947F459505}">
  <ds:schemaRefs/>
</ds:datastoreItem>
</file>

<file path=customXml/itemProps31.xml><?xml version="1.0" encoding="utf-8"?>
<ds:datastoreItem xmlns:ds="http://schemas.openxmlformats.org/officeDocument/2006/customXml" ds:itemID="{10A92831-3DA5-45E7-8BFE-DE5E225BA773}">
  <ds:schemaRefs/>
</ds:datastoreItem>
</file>

<file path=customXml/itemProps32.xml><?xml version="1.0" encoding="utf-8"?>
<ds:datastoreItem xmlns:ds="http://schemas.openxmlformats.org/officeDocument/2006/customXml" ds:itemID="{323012B3-28D4-46E9-8514-D8360F3753CF}">
  <ds:schemaRefs/>
</ds:datastoreItem>
</file>

<file path=customXml/itemProps33.xml><?xml version="1.0" encoding="utf-8"?>
<ds:datastoreItem xmlns:ds="http://schemas.openxmlformats.org/officeDocument/2006/customXml" ds:itemID="{9F884911-003A-42D8-9B38-1774F0068B19}">
  <ds:schemaRefs/>
</ds:datastoreItem>
</file>

<file path=customXml/itemProps34.xml><?xml version="1.0" encoding="utf-8"?>
<ds:datastoreItem xmlns:ds="http://schemas.openxmlformats.org/officeDocument/2006/customXml" ds:itemID="{FA1DD1E8-14F2-4685-A3CB-1D1DFA68ED65}">
  <ds:schemaRefs/>
</ds:datastoreItem>
</file>

<file path=customXml/itemProps35.xml><?xml version="1.0" encoding="utf-8"?>
<ds:datastoreItem xmlns:ds="http://schemas.openxmlformats.org/officeDocument/2006/customXml" ds:itemID="{CEC71776-38BB-407A-8BD0-F0E3EBB89E67}">
  <ds:schemaRefs/>
</ds:datastoreItem>
</file>

<file path=customXml/itemProps36.xml><?xml version="1.0" encoding="utf-8"?>
<ds:datastoreItem xmlns:ds="http://schemas.openxmlformats.org/officeDocument/2006/customXml" ds:itemID="{F048106E-AB4F-4866-B204-D33E70D7112D}">
  <ds:schemaRefs/>
</ds:datastoreItem>
</file>

<file path=customXml/itemProps37.xml><?xml version="1.0" encoding="utf-8"?>
<ds:datastoreItem xmlns:ds="http://schemas.openxmlformats.org/officeDocument/2006/customXml" ds:itemID="{217B5588-E431-4010-AC52-72DCF0D70504}">
  <ds:schemaRefs/>
</ds:datastoreItem>
</file>

<file path=customXml/itemProps38.xml><?xml version="1.0" encoding="utf-8"?>
<ds:datastoreItem xmlns:ds="http://schemas.openxmlformats.org/officeDocument/2006/customXml" ds:itemID="{1D6D6038-8636-485D-B7B3-2AB58F719906}">
  <ds:schemaRefs/>
</ds:datastoreItem>
</file>

<file path=customXml/itemProps39.xml><?xml version="1.0" encoding="utf-8"?>
<ds:datastoreItem xmlns:ds="http://schemas.openxmlformats.org/officeDocument/2006/customXml" ds:itemID="{103A6B88-EB8E-44CC-A9A7-0CAB3FDA7719}">
  <ds:schemaRefs/>
</ds:datastoreItem>
</file>

<file path=customXml/itemProps4.xml><?xml version="1.0" encoding="utf-8"?>
<ds:datastoreItem xmlns:ds="http://schemas.openxmlformats.org/officeDocument/2006/customXml" ds:itemID="{8AB3C9D8-8C28-4927-9AC9-ED9AAE6F2712}">
  <ds:schemaRefs/>
</ds:datastoreItem>
</file>

<file path=customXml/itemProps40.xml><?xml version="1.0" encoding="utf-8"?>
<ds:datastoreItem xmlns:ds="http://schemas.openxmlformats.org/officeDocument/2006/customXml" ds:itemID="{2F9E3EC1-F2CC-42CF-8AEE-13D3A32566C0}">
  <ds:schemaRefs/>
</ds:datastoreItem>
</file>

<file path=customXml/itemProps5.xml><?xml version="1.0" encoding="utf-8"?>
<ds:datastoreItem xmlns:ds="http://schemas.openxmlformats.org/officeDocument/2006/customXml" ds:itemID="{C210FCE0-7DE3-43B1-8EB3-5D82D764E0B5}">
  <ds:schemaRefs/>
</ds:datastoreItem>
</file>

<file path=customXml/itemProps6.xml><?xml version="1.0" encoding="utf-8"?>
<ds:datastoreItem xmlns:ds="http://schemas.openxmlformats.org/officeDocument/2006/customXml" ds:itemID="{861B01EB-B8F9-478C-A378-DE22536BBF3C}">
  <ds:schemaRefs/>
</ds:datastoreItem>
</file>

<file path=customXml/itemProps7.xml><?xml version="1.0" encoding="utf-8"?>
<ds:datastoreItem xmlns:ds="http://schemas.openxmlformats.org/officeDocument/2006/customXml" ds:itemID="{FFCE6D09-79EA-460C-B489-3CF9C468C43C}">
  <ds:schemaRefs/>
</ds:datastoreItem>
</file>

<file path=customXml/itemProps8.xml><?xml version="1.0" encoding="utf-8"?>
<ds:datastoreItem xmlns:ds="http://schemas.openxmlformats.org/officeDocument/2006/customXml" ds:itemID="{E2B990F4-469E-4097-B128-54012DE1B168}">
  <ds:schemaRefs/>
</ds:datastoreItem>
</file>

<file path=customXml/itemProps9.xml><?xml version="1.0" encoding="utf-8"?>
<ds:datastoreItem xmlns:ds="http://schemas.openxmlformats.org/officeDocument/2006/customXml" ds:itemID="{583CFFDB-2E48-4CB5-B47A-215028CCA502}">
  <ds:schemaRefs/>
</ds:datastoreItem>
</file>

<file path=docProps/app.xml><?xml version="1.0" encoding="utf-8"?>
<Properties xmlns="http://schemas.openxmlformats.org/officeDocument/2006/extended-properties" xmlns:vt="http://schemas.openxmlformats.org/officeDocument/2006/docPropsVTypes">
  <Template>Normal</Template>
  <Pages>42</Pages>
  <Words>13241</Words>
  <Characters>15442</Characters>
  <Lines>121</Lines>
  <Paragraphs>34</Paragraphs>
  <TotalTime>4</TotalTime>
  <ScaleCrop>false</ScaleCrop>
  <LinksUpToDate>false</LinksUpToDate>
  <CharactersWithSpaces>16230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2022-06-17T09:41:00Z</dcterms:created>
  <dc:creator>Administrator</dc:creator>
  <cp:lastModifiedBy>dell</cp:lastModifiedBy>
  <cp:lastPrinted>2022-06-17T10:04:00Z</cp:lastPrinted>
  <dcterms:modified xsi:type="dcterms:W3CDTF">2023-09-05T02:17:29Z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E892B669E488488EA4C60CAD0A9D22F7</vt:lpwstr>
  </property>
</Properties>
</file>