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唐山市曹妃甸区自然资源和规划局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唐山市曹妃甸区自然资源和规划局编制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曹妃甸区财政局审核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11</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1.2025年-2024-2025年耕地流出和耕地进出平衡项目及大占补实施方案编制工作绩效目标表</w:t>
        </w:r>
        <w:r>
          <w:tab/>
        </w:r>
        <w:r>
          <w:fldChar w:fldCharType="begin"/>
        </w:r>
        <w:r>
          <w:instrText xml:space="preserve">PAGEREF _Toc_4_4_0000000004 \h</w:instrText>
        </w:r>
        <w:r>
          <w:fldChar w:fldCharType="separate"/>
        </w:r>
        <w:r>
          <w:t xml:space="preserve">14</w:t>
        </w:r>
        <w:r>
          <w:fldChar w:fldCharType="end"/>
        </w:r>
      </w:hyperlink>
    </w:p>
    <w:p>
      <w:pPr>
        <w:pStyle w:val="TOC1"/>
        <w:tabs>
          <w:tab w:val="right" w:leader="dot" w:pos="9282"/>
        </w:tabs>
      </w:pPr>
      <w:hyperlink w:anchor="_Toc_4_4_0000000005" w:history="1">
        <w:r>
          <w:t xml:space="preserve">2.2025年编制《曹妃甸区林地利用保护规划（2021-2035)》绩效目标表</w:t>
        </w:r>
        <w:r>
          <w:tab/>
        </w:r>
        <w:r>
          <w:fldChar w:fldCharType="begin"/>
        </w:r>
        <w:r>
          <w:instrText xml:space="preserve">PAGEREF _Toc_4_4_0000000005 \h</w:instrText>
        </w:r>
        <w:r>
          <w:fldChar w:fldCharType="separate"/>
        </w:r>
        <w:r>
          <w:t xml:space="preserve">15</w:t>
        </w:r>
        <w:r>
          <w:fldChar w:fldCharType="end"/>
        </w:r>
      </w:hyperlink>
    </w:p>
    <w:p>
      <w:pPr>
        <w:pStyle w:val="TOC1"/>
        <w:tabs>
          <w:tab w:val="right" w:leader="dot" w:pos="9282"/>
        </w:tabs>
      </w:pPr>
      <w:hyperlink w:anchor="_Toc_4_4_0000000006" w:history="1">
        <w:r>
          <w:t xml:space="preserve">3.2025年编制《曹妃甸区省级重要湿地修复总体方案》绩效目标表</w:t>
        </w:r>
        <w:r>
          <w:tab/>
        </w:r>
        <w:r>
          <w:fldChar w:fldCharType="begin"/>
        </w:r>
        <w:r>
          <w:instrText xml:space="preserve">PAGEREF _Toc_4_4_0000000006 \h</w:instrText>
        </w:r>
        <w:r>
          <w:fldChar w:fldCharType="separate"/>
        </w:r>
        <w:r>
          <w:t xml:space="preserve">16</w:t>
        </w:r>
        <w:r>
          <w:fldChar w:fldCharType="end"/>
        </w:r>
      </w:hyperlink>
    </w:p>
    <w:p>
      <w:pPr>
        <w:pStyle w:val="TOC1"/>
        <w:tabs>
          <w:tab w:val="right" w:leader="dot" w:pos="9282"/>
        </w:tabs>
      </w:pPr>
      <w:hyperlink w:anchor="_Toc_4_4_0000000007" w:history="1">
        <w:r>
          <w:t xml:space="preserve">4.2025年不动产登记系统服务费绩效目标表</w:t>
        </w:r>
        <w:r>
          <w:tab/>
        </w:r>
        <w:r>
          <w:fldChar w:fldCharType="begin"/>
        </w:r>
        <w:r>
          <w:instrText xml:space="preserve">PAGEREF _Toc_4_4_0000000007 \h</w:instrText>
        </w:r>
        <w:r>
          <w:fldChar w:fldCharType="separate"/>
        </w:r>
        <w:r>
          <w:t xml:space="preserve">17</w:t>
        </w:r>
        <w:r>
          <w:fldChar w:fldCharType="end"/>
        </w:r>
      </w:hyperlink>
    </w:p>
    <w:p>
      <w:pPr>
        <w:pStyle w:val="TOC1"/>
        <w:tabs>
          <w:tab w:val="right" w:leader="dot" w:pos="9282"/>
        </w:tabs>
      </w:pPr>
      <w:hyperlink w:anchor="_Toc_4_4_0000000008" w:history="1">
        <w:r>
          <w:t xml:space="preserve">5.2025年曹妃甸区具体项目压覆矿产资源评估报告及地质灾害危险性评估报告绩效目标表</w:t>
        </w:r>
        <w:r>
          <w:tab/>
        </w:r>
        <w:r>
          <w:fldChar w:fldCharType="begin"/>
        </w:r>
        <w:r>
          <w:instrText xml:space="preserve">PAGEREF _Toc_4_4_0000000008 \h</w:instrText>
        </w:r>
        <w:r>
          <w:fldChar w:fldCharType="separate"/>
        </w:r>
        <w:r>
          <w:t xml:space="preserve">18</w:t>
        </w:r>
        <w:r>
          <w:fldChar w:fldCharType="end"/>
        </w:r>
      </w:hyperlink>
    </w:p>
    <w:p>
      <w:pPr>
        <w:pStyle w:val="TOC1"/>
        <w:tabs>
          <w:tab w:val="right" w:leader="dot" w:pos="9282"/>
        </w:tabs>
      </w:pPr>
      <w:hyperlink w:anchor="_Toc_4_4_0000000009" w:history="1">
        <w:r>
          <w:t xml:space="preserve">6.2025年曹妃甸区柳赞镇集体土地农村宅基地房地一体登记项目绩效目标表</w:t>
        </w:r>
        <w:r>
          <w:tab/>
        </w:r>
        <w:r>
          <w:fldChar w:fldCharType="begin"/>
        </w:r>
        <w:r>
          <w:instrText xml:space="preserve">PAGEREF _Toc_4_4_0000000009 \h</w:instrText>
        </w:r>
        <w:r>
          <w:fldChar w:fldCharType="separate"/>
        </w:r>
        <w:r>
          <w:t xml:space="preserve">19</w:t>
        </w:r>
        <w:r>
          <w:fldChar w:fldCharType="end"/>
        </w:r>
      </w:hyperlink>
    </w:p>
    <w:p>
      <w:pPr>
        <w:pStyle w:val="TOC1"/>
        <w:tabs>
          <w:tab w:val="right" w:leader="dot" w:pos="9282"/>
        </w:tabs>
      </w:pPr>
      <w:hyperlink w:anchor="_Toc_4_4_0000000010" w:history="1">
        <w:r>
          <w:t xml:space="preserve">7.2025年曹妃甸区全域耕地专项排查摸底工作绩效目标表</w:t>
        </w:r>
        <w:r>
          <w:tab/>
        </w:r>
        <w:r>
          <w:fldChar w:fldCharType="begin"/>
        </w:r>
        <w:r>
          <w:instrText xml:space="preserve">PAGEREF _Toc_4_4_0000000010 \h</w:instrText>
        </w:r>
        <w:r>
          <w:fldChar w:fldCharType="separate"/>
        </w:r>
        <w:r>
          <w:t xml:space="preserve">20</w:t>
        </w:r>
        <w:r>
          <w:fldChar w:fldCharType="end"/>
        </w:r>
      </w:hyperlink>
    </w:p>
    <w:p>
      <w:pPr>
        <w:pStyle w:val="TOC1"/>
        <w:tabs>
          <w:tab w:val="right" w:leader="dot" w:pos="9282"/>
        </w:tabs>
      </w:pPr>
      <w:hyperlink w:anchor="_Toc_4_4_0000000011" w:history="1">
        <w:r>
          <w:t xml:space="preserve">8.2025年曹妃甸区全域全要素地籍图编制项目绩效目标表</w:t>
        </w:r>
        <w:r>
          <w:tab/>
        </w:r>
        <w:r>
          <w:fldChar w:fldCharType="begin"/>
        </w:r>
        <w:r>
          <w:instrText xml:space="preserve">PAGEREF _Toc_4_4_0000000011 \h</w:instrText>
        </w:r>
        <w:r>
          <w:fldChar w:fldCharType="separate"/>
        </w:r>
        <w:r>
          <w:t xml:space="preserve">21</w:t>
        </w:r>
        <w:r>
          <w:fldChar w:fldCharType="end"/>
        </w:r>
      </w:hyperlink>
    </w:p>
    <w:p>
      <w:pPr>
        <w:pStyle w:val="TOC1"/>
        <w:tabs>
          <w:tab w:val="right" w:leader="dot" w:pos="9282"/>
        </w:tabs>
      </w:pPr>
      <w:hyperlink w:anchor="_Toc_4_4_0000000012" w:history="1">
        <w:r>
          <w:t xml:space="preserve">9.2025年曹妃甸区永久基本农田调整及储备区划定工作绩效目标表</w:t>
        </w:r>
        <w:r>
          <w:tab/>
        </w:r>
        <w:r>
          <w:fldChar w:fldCharType="begin"/>
        </w:r>
        <w:r>
          <w:instrText xml:space="preserve">PAGEREF _Toc_4_4_0000000012 \h</w:instrText>
        </w:r>
        <w:r>
          <w:fldChar w:fldCharType="separate"/>
        </w:r>
        <w:r>
          <w:t xml:space="preserve">22</w:t>
        </w:r>
        <w:r>
          <w:fldChar w:fldCharType="end"/>
        </w:r>
      </w:hyperlink>
    </w:p>
    <w:p>
      <w:pPr>
        <w:pStyle w:val="TOC1"/>
        <w:tabs>
          <w:tab w:val="right" w:leader="dot" w:pos="9282"/>
        </w:tabs>
      </w:pPr>
      <w:hyperlink w:anchor="_Toc_4_4_0000000013" w:history="1">
        <w:r>
          <w:t xml:space="preserve">10.2025年储备补充耕地定期季度巡查及曹妃甸区占补平衡项目卷宗审查服务费用绩效目标表</w:t>
        </w:r>
        <w:r>
          <w:tab/>
        </w:r>
        <w:r>
          <w:fldChar w:fldCharType="begin"/>
        </w:r>
        <w:r>
          <w:instrText xml:space="preserve">PAGEREF _Toc_4_4_0000000013 \h</w:instrText>
        </w:r>
        <w:r>
          <w:fldChar w:fldCharType="separate"/>
        </w:r>
        <w:r>
          <w:t xml:space="preserve">23</w:t>
        </w:r>
        <w:r>
          <w:fldChar w:fldCharType="end"/>
        </w:r>
      </w:hyperlink>
    </w:p>
    <w:p>
      <w:pPr>
        <w:pStyle w:val="TOC1"/>
        <w:tabs>
          <w:tab w:val="right" w:leader="dot" w:pos="9282"/>
        </w:tabs>
      </w:pPr>
      <w:hyperlink w:anchor="_Toc_4_4_0000000014" w:history="1">
        <w:r>
          <w:t xml:space="preserve">11.2025年度海域动态巡查费及海洋监察执法综合信息服务费绩效目标表</w:t>
        </w:r>
        <w:r>
          <w:tab/>
        </w:r>
        <w:r>
          <w:fldChar w:fldCharType="begin"/>
        </w:r>
        <w:r>
          <w:instrText xml:space="preserve">PAGEREF _Toc_4_4_0000000014 \h</w:instrText>
        </w:r>
        <w:r>
          <w:fldChar w:fldCharType="separate"/>
        </w:r>
        <w:r>
          <w:t xml:space="preserve">24</w:t>
        </w:r>
        <w:r>
          <w:fldChar w:fldCharType="end"/>
        </w:r>
      </w:hyperlink>
    </w:p>
    <w:p>
      <w:pPr>
        <w:pStyle w:val="TOC1"/>
        <w:tabs>
          <w:tab w:val="right" w:leader="dot" w:pos="9282"/>
        </w:tabs>
      </w:pPr>
      <w:hyperlink w:anchor="_Toc_4_4_0000000015" w:history="1">
        <w:r>
          <w:t xml:space="preserve">12.2025年度森林草原湿地调查监测项目绩效目标表</w:t>
        </w:r>
        <w:r>
          <w:tab/>
        </w:r>
        <w:r>
          <w:fldChar w:fldCharType="begin"/>
        </w:r>
        <w:r>
          <w:instrText xml:space="preserve">PAGEREF _Toc_4_4_0000000015 \h</w:instrText>
        </w:r>
        <w:r>
          <w:fldChar w:fldCharType="separate"/>
        </w:r>
        <w:r>
          <w:t xml:space="preserve">25</w:t>
        </w:r>
        <w:r>
          <w:fldChar w:fldCharType="end"/>
        </w:r>
      </w:hyperlink>
    </w:p>
    <w:p>
      <w:pPr>
        <w:pStyle w:val="TOC1"/>
        <w:tabs>
          <w:tab w:val="right" w:leader="dot" w:pos="9282"/>
        </w:tabs>
      </w:pPr>
      <w:hyperlink w:anchor="_Toc_4_4_0000000016" w:history="1">
        <w:r>
          <w:t xml:space="preserve">13.2025年购买第三方服务提高不动产登记效率绩效目标表</w:t>
        </w:r>
        <w:r>
          <w:tab/>
        </w:r>
        <w:r>
          <w:fldChar w:fldCharType="begin"/>
        </w:r>
        <w:r>
          <w:instrText xml:space="preserve">PAGEREF _Toc_4_4_0000000016 \h</w:instrText>
        </w:r>
        <w:r>
          <w:fldChar w:fldCharType="separate"/>
        </w:r>
        <w:r>
          <w:t xml:space="preserve">26</w:t>
        </w:r>
        <w:r>
          <w:fldChar w:fldCharType="end"/>
        </w:r>
      </w:hyperlink>
    </w:p>
    <w:p>
      <w:pPr>
        <w:pStyle w:val="TOC1"/>
        <w:tabs>
          <w:tab w:val="right" w:leader="dot" w:pos="9282"/>
        </w:tabs>
      </w:pPr>
      <w:hyperlink w:anchor="_Toc_4_4_0000000017" w:history="1">
        <w:r>
          <w:t xml:space="preserve">14.2025年规划执法案件工程造价及房产评估费绩效目标表</w:t>
        </w:r>
        <w:r>
          <w:tab/>
        </w:r>
        <w:r>
          <w:fldChar w:fldCharType="begin"/>
        </w:r>
        <w:r>
          <w:instrText xml:space="preserve">PAGEREF _Toc_4_4_0000000017 \h</w:instrText>
        </w:r>
        <w:r>
          <w:fldChar w:fldCharType="separate"/>
        </w:r>
        <w:r>
          <w:t xml:space="preserve">27</w:t>
        </w:r>
        <w:r>
          <w:fldChar w:fldCharType="end"/>
        </w:r>
      </w:hyperlink>
    </w:p>
    <w:p>
      <w:pPr>
        <w:pStyle w:val="TOC1"/>
        <w:tabs>
          <w:tab w:val="right" w:leader="dot" w:pos="9282"/>
        </w:tabs>
      </w:pPr>
      <w:hyperlink w:anchor="_Toc_4_4_0000000018" w:history="1">
        <w:r>
          <w:t xml:space="preserve">15.2025年海监执法船采购、维修保养、燃油及保险费绩效目标表</w:t>
        </w:r>
        <w:r>
          <w:tab/>
        </w:r>
        <w:r>
          <w:fldChar w:fldCharType="begin"/>
        </w:r>
        <w:r>
          <w:instrText xml:space="preserve">PAGEREF _Toc_4_4_0000000018 \h</w:instrText>
        </w:r>
        <w:r>
          <w:fldChar w:fldCharType="separate"/>
        </w:r>
        <w:r>
          <w:t xml:space="preserve">28</w:t>
        </w:r>
        <w:r>
          <w:fldChar w:fldCharType="end"/>
        </w:r>
      </w:hyperlink>
    </w:p>
    <w:p>
      <w:pPr>
        <w:pStyle w:val="TOC1"/>
        <w:tabs>
          <w:tab w:val="right" w:leader="dot" w:pos="9282"/>
        </w:tabs>
      </w:pPr>
      <w:hyperlink w:anchor="_Toc_4_4_0000000019" w:history="1">
        <w:r>
          <w:t xml:space="preserve">16.2025年核实对接卫片数据服务费、执法图斑宗地图测绘费用（含乱占耕地建房及耕地流出图斑测绘费用等）及自然资源、林业督察服务费绩效目标表</w:t>
        </w:r>
        <w:r>
          <w:tab/>
        </w:r>
        <w:r>
          <w:fldChar w:fldCharType="begin"/>
        </w:r>
        <w:r>
          <w:instrText xml:space="preserve">PAGEREF _Toc_4_4_0000000019 \h</w:instrText>
        </w:r>
        <w:r>
          <w:fldChar w:fldCharType="separate"/>
        </w:r>
        <w:r>
          <w:t xml:space="preserve">29</w:t>
        </w:r>
        <w:r>
          <w:fldChar w:fldCharType="end"/>
        </w:r>
      </w:hyperlink>
    </w:p>
    <w:p>
      <w:pPr>
        <w:pStyle w:val="TOC1"/>
        <w:tabs>
          <w:tab w:val="right" w:leader="dot" w:pos="9282"/>
        </w:tabs>
      </w:pPr>
      <w:hyperlink w:anchor="_Toc_4_4_0000000020" w:history="1">
        <w:r>
          <w:t xml:space="preserve">17.2025年节约集约示范县创建期末总结、年度曹妃甸区项目用海监管及围填海历史遗留问题处理监管、海岸带综合保护与利用规划（2021-2035年）编制及海草床、海洋环境监测项目绩效目标表</w:t>
        </w:r>
        <w:r>
          <w:tab/>
        </w:r>
        <w:r>
          <w:fldChar w:fldCharType="begin"/>
        </w:r>
        <w:r>
          <w:instrText xml:space="preserve">PAGEREF _Toc_4_4_0000000020 \h</w:instrText>
        </w:r>
        <w:r>
          <w:fldChar w:fldCharType="separate"/>
        </w:r>
        <w:r>
          <w:t xml:space="preserve">30</w:t>
        </w:r>
        <w:r>
          <w:fldChar w:fldCharType="end"/>
        </w:r>
      </w:hyperlink>
    </w:p>
    <w:p>
      <w:pPr>
        <w:pStyle w:val="TOC1"/>
        <w:tabs>
          <w:tab w:val="right" w:leader="dot" w:pos="9282"/>
        </w:tabs>
      </w:pPr>
      <w:hyperlink w:anchor="_Toc_4_4_0000000021" w:history="1">
        <w:r>
          <w:t xml:space="preserve">18.2025年开展林草湿荒资源普查项目绩效目标表</w:t>
        </w:r>
        <w:r>
          <w:tab/>
        </w:r>
        <w:r>
          <w:fldChar w:fldCharType="begin"/>
        </w:r>
        <w:r>
          <w:instrText xml:space="preserve">PAGEREF _Toc_4_4_0000000021 \h</w:instrText>
        </w:r>
        <w:r>
          <w:fldChar w:fldCharType="separate"/>
        </w:r>
        <w:r>
          <w:t xml:space="preserve">31</w:t>
        </w:r>
        <w:r>
          <w:fldChar w:fldCharType="end"/>
        </w:r>
      </w:hyperlink>
    </w:p>
    <w:p>
      <w:pPr>
        <w:pStyle w:val="TOC1"/>
        <w:tabs>
          <w:tab w:val="right" w:leader="dot" w:pos="9282"/>
        </w:tabs>
      </w:pPr>
      <w:hyperlink w:anchor="_Toc_4_4_0000000022" w:history="1">
        <w:r>
          <w:t xml:space="preserve">19.2025年控规及镇总规、村庄规划技术审查绩效目标表</w:t>
        </w:r>
        <w:r>
          <w:tab/>
        </w:r>
        <w:r>
          <w:fldChar w:fldCharType="begin"/>
        </w:r>
        <w:r>
          <w:instrText xml:space="preserve">PAGEREF _Toc_4_4_0000000022 \h</w:instrText>
        </w:r>
        <w:r>
          <w:fldChar w:fldCharType="separate"/>
        </w:r>
        <w:r>
          <w:t xml:space="preserve">32</w:t>
        </w:r>
        <w:r>
          <w:fldChar w:fldCharType="end"/>
        </w:r>
      </w:hyperlink>
    </w:p>
    <w:p>
      <w:pPr>
        <w:pStyle w:val="TOC1"/>
        <w:tabs>
          <w:tab w:val="right" w:leader="dot" w:pos="9282"/>
        </w:tabs>
      </w:pPr>
      <w:hyperlink w:anchor="_Toc_4_4_0000000023" w:history="1">
        <w:r>
          <w:t xml:space="preserve">20.2025年劳务派遣、海监船员、自收自支人员工资绩效目标表</w:t>
        </w:r>
        <w:r>
          <w:tab/>
        </w:r>
        <w:r>
          <w:fldChar w:fldCharType="begin"/>
        </w:r>
        <w:r>
          <w:instrText xml:space="preserve">PAGEREF _Toc_4_4_0000000023 \h</w:instrText>
        </w:r>
        <w:r>
          <w:fldChar w:fldCharType="separate"/>
        </w:r>
        <w:r>
          <w:t xml:space="preserve">33</w:t>
        </w:r>
        <w:r>
          <w:fldChar w:fldCharType="end"/>
        </w:r>
      </w:hyperlink>
    </w:p>
    <w:p>
      <w:pPr>
        <w:pStyle w:val="TOC1"/>
        <w:tabs>
          <w:tab w:val="right" w:leader="dot" w:pos="9282"/>
        </w:tabs>
      </w:pPr>
      <w:hyperlink w:anchor="_Toc_4_4_0000000024" w:history="1">
        <w:r>
          <w:t xml:space="preserve">21.2025年唐山曹妃甸经济技术开发区及曹妃甸综合保税区土地集约利用更新评价工作及全民所有自然资源资产清查工作绩效目标表</w:t>
        </w:r>
        <w:r>
          <w:tab/>
        </w:r>
        <w:r>
          <w:fldChar w:fldCharType="begin"/>
        </w:r>
        <w:r>
          <w:instrText xml:space="preserve">PAGEREF _Toc_4_4_0000000024 \h</w:instrText>
        </w:r>
        <w:r>
          <w:fldChar w:fldCharType="separate"/>
        </w:r>
        <w:r>
          <w:t xml:space="preserve">34</w:t>
        </w:r>
        <w:r>
          <w:fldChar w:fldCharType="end"/>
        </w:r>
      </w:hyperlink>
    </w:p>
    <w:p>
      <w:pPr>
        <w:pStyle w:val="TOC1"/>
        <w:tabs>
          <w:tab w:val="right" w:leader="dot" w:pos="9282"/>
        </w:tabs>
      </w:pPr>
      <w:hyperlink w:anchor="_Toc_4_4_0000000025" w:history="1">
        <w:r>
          <w:t xml:space="preserve">22.2025年唐山市曹妃甸区规划编制等费用绩效目标表</w:t>
        </w:r>
        <w:r>
          <w:tab/>
        </w:r>
        <w:r>
          <w:fldChar w:fldCharType="begin"/>
        </w:r>
        <w:r>
          <w:instrText xml:space="preserve">PAGEREF _Toc_4_4_0000000025 \h</w:instrText>
        </w:r>
        <w:r>
          <w:fldChar w:fldCharType="separate"/>
        </w:r>
        <w:r>
          <w:t xml:space="preserve">35</w:t>
        </w:r>
        <w:r>
          <w:fldChar w:fldCharType="end"/>
        </w:r>
      </w:hyperlink>
    </w:p>
    <w:p>
      <w:pPr>
        <w:pStyle w:val="TOC1"/>
        <w:tabs>
          <w:tab w:val="right" w:leader="dot" w:pos="9282"/>
        </w:tabs>
      </w:pPr>
      <w:hyperlink w:anchor="_Toc_4_4_0000000026" w:history="1">
        <w:r>
          <w:t xml:space="preserve">23.2025年新民居旧村址复垦及旧村庄拆除、垃圾清运项目绩效目标表</w:t>
        </w:r>
        <w:r>
          <w:tab/>
        </w:r>
        <w:r>
          <w:fldChar w:fldCharType="begin"/>
        </w:r>
        <w:r>
          <w:instrText xml:space="preserve">PAGEREF _Toc_4_4_0000000026 \h</w:instrText>
        </w:r>
        <w:r>
          <w:fldChar w:fldCharType="separate"/>
        </w:r>
        <w:r>
          <w:t xml:space="preserve">36</w:t>
        </w:r>
        <w:r>
          <w:fldChar w:fldCharType="end"/>
        </w:r>
      </w:hyperlink>
    </w:p>
    <w:p>
      <w:pPr>
        <w:pStyle w:val="TOC1"/>
        <w:tabs>
          <w:tab w:val="right" w:leader="dot" w:pos="9282"/>
        </w:tabs>
      </w:pPr>
      <w:hyperlink w:anchor="_Toc_4_4_0000000027" w:history="1">
        <w:r>
          <w:t xml:space="preserve">24.2025年巡护巡查费绩效目标表</w:t>
        </w:r>
        <w:r>
          <w:tab/>
        </w:r>
        <w:r>
          <w:fldChar w:fldCharType="begin"/>
        </w:r>
        <w:r>
          <w:instrText xml:space="preserve">PAGEREF _Toc_4_4_0000000027 \h</w:instrText>
        </w:r>
        <w:r>
          <w:fldChar w:fldCharType="separate"/>
        </w:r>
        <w:r>
          <w:t xml:space="preserve">37</w:t>
        </w:r>
        <w:r>
          <w:fldChar w:fldCharType="end"/>
        </w:r>
      </w:hyperlink>
    </w:p>
    <w:p>
      <w:pPr>
        <w:pStyle w:val="TOC1"/>
        <w:tabs>
          <w:tab w:val="right" w:leader="dot" w:pos="9282"/>
        </w:tabs>
      </w:pPr>
      <w:hyperlink w:anchor="_Toc_4_4_0000000028" w:history="1">
        <w:r>
          <w:t xml:space="preserve">25.2025年养殖用海整体海域使用论证项目绩效目标表</w:t>
        </w:r>
        <w:r>
          <w:tab/>
        </w:r>
        <w:r>
          <w:fldChar w:fldCharType="begin"/>
        </w:r>
        <w:r>
          <w:instrText xml:space="preserve">PAGEREF _Toc_4_4_0000000028 \h</w:instrText>
        </w:r>
        <w:r>
          <w:fldChar w:fldCharType="separate"/>
        </w:r>
        <w:r>
          <w:t xml:space="preserve">38</w:t>
        </w:r>
        <w:r>
          <w:fldChar w:fldCharType="end"/>
        </w:r>
      </w:hyperlink>
    </w:p>
    <w:p>
      <w:pPr>
        <w:pStyle w:val="TOC1"/>
        <w:tabs>
          <w:tab w:val="right" w:leader="dot" w:pos="9282"/>
        </w:tabs>
      </w:pPr>
      <w:hyperlink w:anchor="_Toc_4_4_0000000029" w:history="1">
        <w:r>
          <w:t xml:space="preserve">26.2025年增设土地承包经营权登记系统和居住权登记系统、不动产登记网络安全防护设备及配备网上缴费前置服务器绩效目标表</w:t>
        </w:r>
        <w:r>
          <w:tab/>
        </w:r>
        <w:r>
          <w:fldChar w:fldCharType="begin"/>
        </w:r>
        <w:r>
          <w:instrText xml:space="preserve">PAGEREF _Toc_4_4_0000000029 \h</w:instrText>
        </w:r>
        <w:r>
          <w:fldChar w:fldCharType="separate"/>
        </w:r>
        <w:r>
          <w:t xml:space="preserve">39</w:t>
        </w:r>
        <w:r>
          <w:fldChar w:fldCharType="end"/>
        </w:r>
      </w:hyperlink>
    </w:p>
    <w:p>
      <w:pPr>
        <w:pStyle w:val="TOC1"/>
        <w:tabs>
          <w:tab w:val="right" w:leader="dot" w:pos="9282"/>
        </w:tabs>
      </w:pPr>
      <w:hyperlink w:anchor="_Toc_4_4_0000000030" w:history="1">
        <w:r>
          <w:t xml:space="preserve">27.2025年自然资源和规划卫片执法、巡查执法、其他国土资源矿产资源管理运行经费等绩效目标表</w:t>
        </w:r>
        <w:r>
          <w:tab/>
        </w:r>
        <w:r>
          <w:fldChar w:fldCharType="begin"/>
        </w:r>
        <w:r>
          <w:instrText xml:space="preserve">PAGEREF _Toc_4_4_0000000030 \h</w:instrText>
        </w:r>
        <w:r>
          <w:fldChar w:fldCharType="separate"/>
        </w:r>
        <w:r>
          <w:t xml:space="preserve">40</w:t>
        </w:r>
        <w:r>
          <w:fldChar w:fldCharType="end"/>
        </w:r>
      </w:hyperlink>
    </w:p>
    <w:p>
      <w:pPr>
        <w:pStyle w:val="TOC1"/>
        <w:tabs>
          <w:tab w:val="right" w:leader="dot" w:pos="9282"/>
        </w:tabs>
      </w:pPr>
      <w:hyperlink w:anchor="_Toc_4_4_0000000031" w:history="1">
        <w:r>
          <w:t xml:space="preserve">28.2024年上半年国土变更调查工作经费绩效目标表</w:t>
        </w:r>
        <w:r>
          <w:tab/>
        </w:r>
        <w:r>
          <w:fldChar w:fldCharType="begin"/>
        </w:r>
        <w:r>
          <w:instrText xml:space="preserve">PAGEREF _Toc_4_4_0000000031 \h</w:instrText>
        </w:r>
        <w:r>
          <w:fldChar w:fldCharType="separate"/>
        </w:r>
        <w:r>
          <w:t xml:space="preserve">41</w:t>
        </w:r>
        <w:r>
          <w:fldChar w:fldCharType="end"/>
        </w:r>
      </w:hyperlink>
    </w:p>
    <w:p>
      <w:pPr>
        <w:pStyle w:val="TOC1"/>
        <w:tabs>
          <w:tab w:val="right" w:leader="dot" w:pos="9282"/>
        </w:tabs>
      </w:pPr>
      <w:hyperlink w:anchor="_Toc_4_4_0000000032" w:history="1">
        <w:r>
          <w:t xml:space="preserve">29.2024年下半年国土变更调查工作经费-唐财资环【2024】52号绩效目标表</w:t>
        </w:r>
        <w:r>
          <w:tab/>
        </w:r>
        <w:r>
          <w:fldChar w:fldCharType="begin"/>
        </w:r>
        <w:r>
          <w:instrText xml:space="preserve">PAGEREF _Toc_4_4_0000000032 \h</w:instrText>
        </w:r>
        <w:r>
          <w:fldChar w:fldCharType="separate"/>
        </w:r>
        <w:r>
          <w:t xml:space="preserve">42</w:t>
        </w:r>
        <w:r>
          <w:fldChar w:fldCharType="end"/>
        </w:r>
      </w:hyperlink>
    </w:p>
    <w:p>
      <w:pPr>
        <w:pStyle w:val="TOC1"/>
        <w:tabs>
          <w:tab w:val="right" w:leader="dot" w:pos="9282"/>
        </w:tabs>
      </w:pPr>
      <w:hyperlink w:anchor="_Toc_4_4_0000000033" w:history="1">
        <w:r>
          <w:t xml:space="preserve">30.2025年省级林业改革发展补助资金-唐财资环【2024】68号绩效目标表</w:t>
        </w:r>
        <w:r>
          <w:tab/>
        </w:r>
        <w:r>
          <w:fldChar w:fldCharType="begin"/>
        </w:r>
        <w:r>
          <w:instrText xml:space="preserve">PAGEREF _Toc_4_4_0000000033 \h</w:instrText>
        </w:r>
        <w:r>
          <w:fldChar w:fldCharType="separate"/>
        </w:r>
        <w:r>
          <w:t xml:space="preserve">43</w:t>
        </w:r>
        <w:r>
          <w:fldChar w:fldCharType="end"/>
        </w:r>
      </w:hyperlink>
    </w:p>
    <w:p>
      <w:pPr>
        <w:pStyle w:val="TOC1"/>
        <w:tabs>
          <w:tab w:val="right" w:leader="dot" w:pos="9282"/>
        </w:tabs>
      </w:pPr>
      <w:hyperlink w:anchor="_Toc_4_4_0000000034" w:history="1">
        <w:r>
          <w:t xml:space="preserve">31.2025年中央财政林业草原改革发展资金绩效目标表</w:t>
        </w:r>
        <w:r>
          <w:tab/>
        </w:r>
        <w:r>
          <w:fldChar w:fldCharType="begin"/>
        </w:r>
        <w:r>
          <w:instrText xml:space="preserve">PAGEREF _Toc_4_4_0000000034 \h</w:instrText>
        </w:r>
        <w:r>
          <w:fldChar w:fldCharType="separate"/>
        </w:r>
        <w:r>
          <w:t xml:space="preserve">44</w:t>
        </w:r>
        <w:r>
          <w:fldChar w:fldCharType="end"/>
        </w:r>
      </w:hyperlink>
    </w:p>
    <w:p>
      <w:pPr>
        <w:pStyle w:val="TOC1"/>
        <w:tabs>
          <w:tab w:val="right" w:leader="dot" w:pos="9282"/>
        </w:tabs>
      </w:pPr>
      <w:hyperlink w:anchor="_Toc_4_4_0000000035" w:history="1">
        <w:r>
          <w:t xml:space="preserve">32.2025年中央海洋生态保护修复资金-唐财资环【2024】61号绩效目标表</w:t>
        </w:r>
        <w:r>
          <w:tab/>
        </w:r>
        <w:r>
          <w:fldChar w:fldCharType="begin"/>
        </w:r>
        <w:r>
          <w:instrText xml:space="preserve">PAGEREF _Toc_4_4_0000000035 \h</w:instrText>
        </w:r>
        <w:r>
          <w:fldChar w:fldCharType="separate"/>
        </w:r>
        <w:r>
          <w:t xml:space="preserve">45</w:t>
        </w:r>
        <w:r>
          <w:fldChar w:fldCharType="end"/>
        </w:r>
      </w:hyperlink>
    </w:p>
    <w:p>
      <w:pPr>
        <w:pStyle w:val="TOC1"/>
        <w:tabs>
          <w:tab w:val="right" w:leader="dot" w:pos="9282"/>
        </w:tabs>
      </w:pPr>
      <w:hyperlink w:anchor="_Toc_4_4_0000000036" w:history="1">
        <w:r>
          <w:t xml:space="preserve">33.耕地资源质量分类年度更新与监测资金 唐财资环【2024】19号绩效目标表</w:t>
        </w:r>
        <w:r>
          <w:tab/>
        </w:r>
        <w:r>
          <w:fldChar w:fldCharType="begin"/>
        </w:r>
        <w:r>
          <w:instrText xml:space="preserve">PAGEREF _Toc_4_4_0000000036 \h</w:instrText>
        </w:r>
        <w:r>
          <w:fldChar w:fldCharType="separate"/>
        </w:r>
        <w:r>
          <w:t xml:space="preserve">46</w:t>
        </w:r>
        <w:r>
          <w:fldChar w:fldCharType="end"/>
        </w:r>
      </w:hyperlink>
    </w:p>
    <w:p>
      <w:pPr>
        <w:pStyle w:val="TOC1"/>
        <w:tabs>
          <w:tab w:val="right" w:leader="dot" w:pos="9282"/>
        </w:tabs>
      </w:pPr>
      <w:hyperlink w:anchor="_Toc_4_4_0000000037" w:history="1">
        <w:r>
          <w:t xml:space="preserve">34.土地整治专项资金-唐财资环【2024】62号绩效目标表</w:t>
        </w:r>
        <w:r>
          <w:tab/>
        </w:r>
        <w:r>
          <w:fldChar w:fldCharType="begin"/>
        </w:r>
        <w:r>
          <w:instrText xml:space="preserve">PAGEREF _Toc_4_4_0000000037 \h</w:instrText>
        </w:r>
        <w:r>
          <w:fldChar w:fldCharType="separate"/>
        </w:r>
        <w:r>
          <w:t xml:space="preserve">47</w:t>
        </w:r>
        <w:r>
          <w:fldChar w:fldCharType="end"/>
        </w:r>
      </w:hyperlink>
    </w:p>
    <w:p>
      <w:pPr>
        <w:pStyle w:val="TOC1"/>
        <w:tabs>
          <w:tab w:val="right" w:leader="dot" w:pos="9282"/>
        </w:tabs>
      </w:pPr>
      <w:hyperlink w:anchor="_Toc_4_4_0000000038" w:history="1">
        <w:r>
          <w:t xml:space="preserve">35.2025年收储中心办公经费绩效目标表</w:t>
        </w:r>
        <w:r>
          <w:tab/>
        </w:r>
        <w:r>
          <w:fldChar w:fldCharType="begin"/>
        </w:r>
        <w:r>
          <w:instrText xml:space="preserve">PAGEREF _Toc_4_4_0000000038 \h</w:instrText>
        </w:r>
        <w:r>
          <w:fldChar w:fldCharType="separate"/>
        </w:r>
        <w:r>
          <w:t xml:space="preserve">48</w:t>
        </w:r>
        <w:r>
          <w:fldChar w:fldCharType="end"/>
        </w:r>
      </w:hyperlink>
    </w:p>
    <w:p>
      <w:pPr>
        <w:pStyle w:val="TOC1"/>
        <w:tabs>
          <w:tab w:val="right" w:leader="dot" w:pos="9282"/>
        </w:tabs>
      </w:pPr>
      <w:hyperlink w:anchor="_Toc_4_4_0000000039" w:history="1">
        <w:r>
          <w:t xml:space="preserve">36.2025年收储中心前期业务费绩效目标表</w:t>
        </w:r>
        <w:r>
          <w:tab/>
        </w:r>
        <w:r>
          <w:fldChar w:fldCharType="begin"/>
        </w:r>
        <w:r>
          <w:instrText xml:space="preserve">PAGEREF _Toc_4_4_0000000039 \h</w:instrText>
        </w:r>
        <w:r>
          <w:fldChar w:fldCharType="separate"/>
        </w:r>
        <w:r>
          <w:t xml:space="preserve">49</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全面推进从严治党。强化宣传教育，通过党组会、中层干部会和专题会多种形式学习党的二十大精神、二十届三中全会精神、习近平总书记重要讲话精神、省市“两会”精神，及时传达党中央及省市区各项决策部署。全面强化党组织建设，按照《中国共产党党和国家机关基层组织工作条例》《中国共产党支部工作条例（试行）》的规定，强化组织设置，落实工作职责，过好组织生活，全面推进党建和业务融合共创。抓实意识形态建设，建好阵地，推动文明创建，凝聚思想共识。定期组织召开全局警示教育大会，通过观看廉政警示教育片、通报违纪违法事实，开展党组书记讲专题廉政党课等形式，对全局人员开展廉洁从政教育，切实改进工作作风。持续推进落实中央八项规定精神纠正“四风”问题，持续推进“资规系统教育整顿”“群腐集中整治”专项整治行动，为自然资源和规划工作健康持续发展提供有力保证。进一步健全完善各项规章制度，严肃制度执行，形成靠制度管人管事的常态化管理机制。</w:t>
      </w:r>
    </w:p>
    <w:p>
      <w:pPr>
        <w:pStyle w:val="插入文本样式-插入总体目标文件"/>
      </w:pPr>
      <w:r>
        <w:t xml:space="preserve">（二）持续推进规划编制和成果落实。全面落实国土空间总体规划，严格“三区三线”管理，推进各组团控规编制工作，加快新城控制性详细规划和城市风貌规划编制、曹妃甸城区（原唐海县城）控规修编，指导南堡控规修编、新城湿地旅游度假区控规编制，谋划启动临港产业组团控制性详细规划编制。联合农业农村局指导各镇政府加快推进镇一级国土空间总体规划和村庄规划编制，谋划启动镇区详细规划编制，持续推进公共服务、生态修复专项规划，并按照上级统一要求启动相关专项规划编制，常规性开展城镇开发边界优化调整、城市体检评估。</w:t>
      </w:r>
    </w:p>
    <w:p>
      <w:pPr>
        <w:pStyle w:val="插入文本样式-插入总体目标文件"/>
      </w:pPr>
      <w:r>
        <w:t xml:space="preserve">（三）强化要素保障支撑。发挥重点项目用地组卷报批、用海项目审批、推进国债项目三个专班作用，加大进京赴省跑办力度，重点重点盯办富海、三友精细化工、汉曹铁路、石化码头一期工程等重点项目用海手续办理进度。举全局之力为全区重点项目建设提供要素保障。加快完善围填海历史遗留问题区内审批手续。按照“应处置、尽处置”原则，坚持“早动手、早安排”，加大新增闲置土地和未按期开（竣）工项目用地的处置力度，列明详单、明确属地责任，传导压力。持续严把用地供地关、存量处置关、政策落实关、项目监督关、处置考核关，做好源头管控和精准供地用地，落实增存挂钩，不断盘活土地资源，着力解决土地资源“紧缺”和“沉睡”的双重问题，全力解决批而未供和闲置土地“前清后增”问题</w:t>
      </w:r>
    </w:p>
    <w:p>
      <w:pPr>
        <w:pStyle w:val="插入文本样式-插入总体目标文件"/>
      </w:pPr>
      <w:r>
        <w:t xml:space="preserve">（四）严抓生态资源保护。严守耕地和基本农田红线，以“田长制”为抓手，持续压实耕地保护责任。加强与基层执法队伍沟通对接，做好巡查、监管、督导，强化违法占地、耕地流出整改等工作，坚决遏制耕地“非农化”、防止“非粮化”。抓好土地开发整理，积极对接相关场镇，督促指导推进土地复垦工作，加快占补平衡项目建设。督促指导各单位做好造林绿化、养护和病虫害防治等工作，推进唐山市国家森林城市提升工作各项任务指标保质保量完成。持续推进“林长制”运行，督导各级林长按照要求开展巡林工作。开展保护野生动物栖息繁衍地和候鸟迁徙通道安全专项巡查，依法严厉打击野生动植物资源领域违法犯罪，保障生态安全。继续对湿地和鸟类省级自然保护区核心保护区实施封闭管理，实施保护区生态修复，重点抓好保护区生态补水、泵站管护、渠道治理、生态养护放流、防火减灾等项工作，提升自然保护区保护管理水平。推进地热能科学合法开发利用，严打违规地热井。组织推进曹妃甸区海岸综合整治修复工程项目建设，提升岸线岸滩生态质量水平、保护牡蛎礁生态系统，增加生物多样性、稳定性，提升防灾减灾能力。</w:t>
      </w:r>
    </w:p>
    <w:p>
      <w:pPr>
        <w:pStyle w:val="插入文本样式-插入总体目标文件"/>
      </w:pPr>
      <w:r>
        <w:t xml:space="preserve">（五）优化政务服务环境。统筹主动服务和严格审核的关系，协同联动，提前介入项目选址、选线、可研，将用地用海要素前置要求落实到项目前期，帮助项目少走弯路。加强部门间协作形成合力的同时，强化外部联动，理顺部门间协同关系，缩短用地、规划、验收手续办理时间，为项目早开工争取“黄金时间”。深入推进“交地即交证”“交房即交证”改革，符合条件的新供地项目100%实现“交地即交证”、更多新建商品房项目实现“交房即交证”，持续构建更为灵活便民的不动产登记常态化工作机制，</w:t>
      </w:r>
    </w:p>
    <w:p>
      <w:pPr>
        <w:pStyle w:val="插入文本样式-插入总体目标文件"/>
      </w:pPr>
      <w:r>
        <w:t xml:space="preserve">（六）防范化解风险隐患。进一步强化执法力度，切实履行自然资源管理职责，加强日常巡查，对发现的问题及时函告属地场镇进行整改。加强对基层执法工作的指导，提高辖区内整体执法水平，有效打击各类自然资源违法行为。同时，借助卫片执法全面排查，坚决制止新增违法占地问题。加强海域资源管理，发挥海监执法、平台监测、卫片执法作用，严厉打击违法围填海、违法网箱养殖和破坏海草床行为，切实做好海域资源的开发、利用和保护工作。常态化开展海洋预报预警信息收集、共享、发布等工作，全力防范化解重大海洋灾害风险。加强对纳入政府储备土地管护，对全区储备土地进行现场排查和督导整改，及时有效处置侵害储备土地权利行为。抓好系统内安全生产，重点围绕森林草原防火、湿地防火和测绘行业安全生产监管等方面开展日常监督检查，坚决遏制各类生产安全事故发生。积极开展矛盾纠纷排查化解工作，完善主动约访工作制度，着力解决用地审批、不动产登记、规划管理等问题引发的信访事件。提高12345政务服务便民热线交办问题处置效率，及时解决群众“急难愁盼”问题。</w:t>
      </w:r>
    </w:p>
    <w:p>
      <w:pPr>
        <w:pStyle w:val="插入文本样式-插入总体目标文件"/>
      </w:pPr>
      <w:r>
        <w:t xml:space="preserve">（七）做好自然资源督察整改工作。充分发挥牵头抓总作用，建立督察问题整改快速反应机制，对督察发现交办问题，深入剖析问题根源，认真研究整改措施，细化明确工作责任，强化日常督导调度。尤其针对养殖大棚无处置政策问题需恳请省厅继续向自然资源部争取政策，扎实推进整改，确保问题有效解决。</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（一）2025年-2024-2025年耕地流出和耕地进出平衡项目及大占补实施方案编制工作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r>
        <w:t xml:space="preserve">（二）2025年自然资源和规划卫片执法、巡查执法、其他国土资源矿产资源管理运行经费等</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（三）2025年新民居旧村址复垦及旧村庄拆除、垃圾清运项目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（四）2025年海监执法船采购、维修保养、燃油及保险费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（五）2025年规划执法案件工程造价及房产评估费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（六）2025年度海域动态巡查费及海洋监察执法综合信息服务费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p>
    <w:p>
      <w:pPr>
        <w:pStyle w:val="插入文本样式-插入职责分类绩效目标文件"/>
      </w:pPr>
      <w:r>
        <w:t xml:space="preserve">（七）2025年核实对接卫片数据服务费、执法图斑宗地图测绘费用（含乱占耕地建房及耕地流出图斑测绘费用等）及自然资源、林业督察服务费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（八）2025年曹妃甸区全域耕地专项排查摸底工作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绩效指标：完成数量指标、质量指标；时效指标：及时完成；成本指标:控制资金成本；效益指标：可持续影响指标；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（九）2025年曹妃甸区永久基本农田调整及储备区划定工作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（十）2025年劳务派遣、海监船员、自收自支人员工资</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（十一）2025年编制《曹妃甸区省级重要湿地修复总体方案》</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（十二）2025年储备补充耕地定期季度巡查及曹妃甸区占补平衡项目卷宗审查服务费用</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（十三）2025年巡护巡查费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（十四）2025年控规及镇总规、村庄规划技术审查</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（十五）2025年唐山市曹妃甸区规划编制等费用</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（十六）2025年节约集约示范县创建期末总结、年度曹妃甸区项目用海监管及围填海历史遗留问题处理监管、海岸带综合保护与利用规划（2021-2035年）编制及海草床、海洋环境监测项目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（十七）2025年增设土地承包经营权登记系统和居住权登记系统、不动产登记网络安全防护设备及配备网上缴费前置服务器</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（十八）2025年曹妃甸区全域全要素地籍图编制项目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（十九）2025年唐山曹妃甸经济技术开发区及曹妃甸综合保税区土地集约利用更新评价工作及全民所有自然资源资产清查工作</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（二十）2025年编制《曹妃甸区林地利用保护规划（2021-2035)》</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（二十一）2025年曹妃甸区具体项目压覆矿产资源评估报告及地质灾害危险性评估报告</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（二十二）2025年曹妃甸区柳赞镇集体土地农村宅基地房地一体登记项目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（二十三）2025年开展林草湿荒资源普查项目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（二十四）2025年度森林草原湿地调查监测项目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（二十五）2025年养殖用海整体海域使用论证项目</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（二十六）2025年购买第三方服务提高不动产登记效率</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绩效指标：完成数量指标、质量指标；时效指标：及时完成；成本指标:控制资金成本；效益指标：社会效益指标；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（二十七）2025年不动产登记系统服务费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（二十八）2025年省级林业改革发展补助资金-唐财资环【2024】68号</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（二十九）2025年中央财政林业草原改革发展资金</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（三十）2025年中央海洋生态保护修复资金-唐财资环【2024】61号</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绩效指标：完成数量指标、质量指标；时效指标：及时完成；成本指标:控制资金成本；效益指标：生态效益指标；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（三十一）2025年收储中心办公经费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绩效指标：完成数量指标、质量指标；时效指标：及时完成；成本指标:控制资金成本；效益指标：可持续影响指标；</w:t>
      </w:r>
    </w:p>
    <w:p>
      <w:pPr>
        <w:pStyle w:val="插入文本样式-插入职责分类绩效目标文件"/>
      </w:pPr>
      <w:r>
        <w:t xml:space="preserve">满意度指标：服务对象满意指标。</w:t>
      </w:r>
    </w:p>
    <w:p>
      <w:pPr>
        <w:pStyle w:val="插入文本样式-插入职责分类绩效目标文件"/>
      </w:pPr>
    </w:p>
    <w:p>
      <w:pPr>
        <w:pStyle w:val="插入文本样式-插入职责分类绩效目标文件"/>
      </w:pPr>
      <w:r>
        <w:t xml:space="preserve">（三十二）2025年收储中心前期业务费</w:t>
      </w:r>
    </w:p>
    <w:p>
      <w:pPr>
        <w:pStyle w:val="插入文本样式-插入职责分类绩效目标文件"/>
      </w:pPr>
      <w:r>
        <w:t xml:space="preserve">绩效目标：完成目标</w:t>
      </w:r>
    </w:p>
    <w:p>
      <w:pPr>
        <w:pStyle w:val="插入文本样式-插入职责分类绩效目标文件"/>
      </w:pPr>
      <w:r>
        <w:t xml:space="preserve">绩效指标：完成数量指标、质量指标；时效指标：及时完成；成本指标:控制资金成本；效益指标：经济效益指标；</w:t>
      </w:r>
    </w:p>
    <w:p>
      <w:pPr>
        <w:pStyle w:val="插入文本样式-插入职责分类绩效目标文件"/>
      </w:pPr>
      <w:r>
        <w:t xml:space="preserve">满意度指标：服务对象满意指标。</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（一）完善制度建设。制定完善预算绩效管理制度、资金管理办法、工作保障制度等，为全年预算绩效目标的实现奠定制度基础。</w:t>
      </w:r>
    </w:p>
    <w:p>
      <w:pPr>
        <w:pStyle w:val="插入文本样式-插入实现年度发展规划目标的保障措施文件"/>
      </w:pPr>
      <w:r>
        <w:t xml:space="preserve">（二）加强支出管理。通过优化支出结构、编细编实预算、加快履行政府采购手续、尽快启动项目、及时支付资金、预算、按规定及时下达资金等多种措施，确保支出进度达标。</w:t>
      </w:r>
    </w:p>
    <w:p>
      <w:pPr>
        <w:pStyle w:val="插入文本样式-插入实现年度发展规划目标的保障措施文件"/>
      </w:pPr>
      <w:r>
        <w:t xml:space="preserve">（三）加强绩效运行监控。按要求开展绩效运行监控，发现问题及时采取措施，确保绩效目标如期保质实现。</w:t>
      </w:r>
    </w:p>
    <w:p>
      <w:pPr>
        <w:pStyle w:val="插入文本样式-插入实现年度发展规划目标的保障措施文件"/>
      </w:pPr>
      <w:r>
        <w:t xml:space="preserve">(四) 做好绩效自评。重视全面预算管理，完善绩效评价制度，正确选择绩效评分析工具，并重视评估结果的反馈，建立健全绩效评机制。建立健全预算管理控制制度，加大评价力度，保证各项工作有序执行。</w:t>
      </w:r>
    </w:p>
    <w:p>
      <w:pPr>
        <w:pStyle w:val="插入文本样式-插入实现年度发展规划目标的保障措施文件"/>
      </w:pPr>
      <w:r>
        <w:t xml:space="preserve">（五）规范财务资产管理。完善财务管理制度，严格审批程序，加强固定资产登记、使用和报废处置管理，做到支出合理，物尽其用。</w:t>
      </w:r>
    </w:p>
    <w:p>
      <w:pPr>
        <w:pStyle w:val="插入文本样式-插入实现年度发展规划目标的保障措施文件"/>
      </w:pPr>
      <w: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1.2025年-2024-2025年耕地流出和耕地进出平衡项目及大占补实施方案编制工作绩效目标表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13020925P00075410001D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2025年-2024-2025年耕地流出和耕地进出平衡项目及大占补实施方案编制工作</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2024-2025年耕地流出和耕地进出平衡项目及大占补实施方案编制工作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1.根据文件要求，完成耕地及永久基本农田不合理流出整改工作、2024-2025年耕地流出和耕地进出平衡及大占补实施方案编制工作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根据年度工作需要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根据年度工作需要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根据年度工作需要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≤75万元</w:t>
            </w:r>
          </w:p>
        </w:tc>
        <w:tc>
          <w:tcPr>
            <w:tcW w:w="1843" w:type="dxa"/>
            <w:vAlign w:val="center"/>
          </w:tcPr>
          <w:p>
            <w:pPr>
              <w:pStyle w:val="单元格样式2"/>
            </w:pPr>
            <w:r>
              <w:t xml:space="preserve">根据年度工作需要</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根据年度工作需要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根据年度工作需要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2.2025年编制《曹妃甸区林地利用保护规划（2021-2035)》绩效目标表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13020925P00046910001R</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2025年编制《曹妃甸区林地利用保护规划（2021-2035)》</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支付《曹妃甸区林地利用保护规划（2021-2035)》</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1.委托资质单位编制曹妃甸区林地利用保护规划，按照要求提交技术成果资料。</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≤68万元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3.2025年编制《曹妃甸区省级重要湿地修复总体方案》绩效目标表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13020925P00004310001A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2025年编制《曹妃甸区省级重要湿地修复总体方案》</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编制《曹妃甸区省级重要湿地修复总体方案》</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1.根据文件要求，编制《曹妃甸区省级重要湿地修复总体方案》</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≤9万元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4.2025年不动产登记系统服务费绩效目标表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13020925P00000910001F</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2025年不动产登记系统服务费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2025年不动产登记系统服务费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1.全面完成登记机构、登记簿册、登记依据和信息平台“四统一”的改革目标，加强不动产登记信息管理基础平台建设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≤19.8万元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5.2025年曹妃甸区具体项目压覆矿产资源评估报告及地质灾害危险性评估报告绩效目标表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13020925P00002610001W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2025年曹妃甸区具体项目压覆矿产资源评估报告及地质灾害危险性评估报告</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完成曹妃甸区具体项目压覆矿产资源评估报告及地质灾害危险性评估报告</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1.按照文件要求，为切实减轻企业负担，编制曹妃甸区具体项目压覆矿产资源评估报告及地质灾害危险性评估报告</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≤21.5万元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6.2025年曹妃甸区柳赞镇集体土地农村宅基地房地一体登记项目绩效目标表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13020925P000025100017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2025年曹妃甸区柳赞镇集体土地农村宅基地房地一体登记项目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29.10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29.10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曹妃甸区柳赞镇集体土地农村宅基地房地一体登记项目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1.保质保量完成曹妃甸区柳赞镇集体土地农村宅基地房地一体登记工作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≤29.1万元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7.2025年曹妃甸区全域耕地专项排查摸底工作绩效目标表</w:t>
      </w:r>
      <w:bookmarkEnd w:id="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13020925P00005210001U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2025年曹妃甸区全域耕地专项排查摸底工作</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完成曹妃甸区全域耕地专项排查摸底工作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1.为全面掌握曹妃甸区全域内耕地及基本农田范围内现状耕地总量，做好曹妃甸区全域耕地专项排查摸底工作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≤150万元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8.2025年曹妃甸区全域全要素地籍图编制项目绩效目标表</w:t>
      </w:r>
      <w:bookmarkEnd w:id="1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13020925P00003110001P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2025年曹妃甸区全域全要素地籍图编制项目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完成曹妃甸区全域全要素地籍图编制项目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1.完成已有数据入库、未调查宗地调绘，实现地籍图全覆盖，数据成果汇交报部</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≤62万元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9.2025年曹妃甸区永久基本农田调整及储备区划定工作绩效目标表</w:t>
      </w:r>
      <w:bookmarkEnd w:id="1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13020925P000051100016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2025年曹妃甸区永久基本农田调整及储备区划定工作</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完成曹妃甸区永久基本农田调整及储备区划定工作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1.根据文件要求，做好曹妃甸区永久基本农田调整及储备区划定工作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≤60万元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10.2025年储备补充耕地定期季度巡查及曹妃甸区占补平衡项目卷宗审查服务费用绩效目标表</w:t>
      </w:r>
      <w:bookmarkEnd w:id="1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13020925P00004110001Y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2025年储备补充耕地定期季度巡查及曹妃甸区占补平衡项目卷宗审查服务费用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支付储备补充耕地定期季度巡查及曹妃甸区占补平衡项目卷宗审查服务费用</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1.加强储备补充耕地利用监管，落实补充耕地巡查制度，完成储备补充耕地定期季度巡查及曹妃甸区占补平衡项目卷宗审查服务</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≤11万元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11.2025年度海域动态巡查费及海洋监察执法综合信息服务费绩效目标表</w:t>
      </w:r>
      <w:bookmarkEnd w:id="1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13020925P000054100017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2025年度海域动态巡查费及海洋监察执法综合信息服务费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完成2025年度海域动态巡查费及海洋监察执法综合信息服务费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1.完成2025年度海域动态巡查费及海洋监察执法综合信息服务，做好重点区域、加强区域、一般区域的巡查工作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≤120万元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12.2025年度森林草原湿地调查监测项目绩效目标表</w:t>
      </w:r>
      <w:bookmarkEnd w:id="1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13020925P000022100016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2025年度森林草原湿地调查监测项目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14.90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14.90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完成2025年度森林草原湿地调查监测项目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1.开展2025年度森林草原湿地调查监测暨森林督查工作，按照要求提交技术成果资料</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≤14.9万元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13.2025年购买第三方服务提高不动产登记效率绩效目标表</w:t>
      </w:r>
      <w:bookmarkEnd w:id="1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13020925P000011100019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2025年购买第三方服务提高不动产登记效率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59.91</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59.91</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2025年购买第三方服务提高不动产登记效率</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1.提高不动产登记业务办理效率，提升服务效能</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≤59.92万元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14.2025年规划执法案件工程造价及房产评估费绩效目标表</w:t>
      </w:r>
      <w:bookmarkEnd w:id="1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13020925P00005610001J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2025年规划执法案件工程造价及房产评估费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完成规划执法案件工程造价及房产评估费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1.按照要求，对涉嫌违反规划执法的工程项目或者房产进行造价评估，作为建设工程及房产造价进行罚款的依据。</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≤40万元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15.2025年海监执法船采购、维修保养、燃油及保险费绩效目标表</w:t>
      </w:r>
      <w:bookmarkEnd w:id="1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13020925P00005710002U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2025年海监执法船采购、维修保养、燃油及保险费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支付海监执法船采购、维修保养、燃油及保险费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1.根据执法工作强度，采购海监执法船一艘、并对所有船只进行维修保养服务及缴纳保险费用，对执法船只提供运行所需燃油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≤261万元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16.2025年核实对接卫片数据服务费、执法图斑宗地图测绘费用（含乱占耕地建房及耕地流出图斑测绘费用等）及自然资源、林业督察服务费绩效目标表</w:t>
      </w:r>
      <w:bookmarkEnd w:id="1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13020925P00005310001H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2025年核实对接卫片数据服务费、执法图斑宗地图测绘费用（含乱占耕地建房及耕地流出图斑测绘费用等）及自然资源、林业督察服务费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完成核实对接卫片数据服务费、执法图斑宗地图测绘费用（含乱占耕地建房及耕地流出图斑测绘费用等）及自然资源、林业督察服务费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1.提高卫片执法工作的时效性、精准性和系统性，完成核实对接卫片数据服务费、执法图斑宗地图测绘费用（含乱占耕地建房及耕地流出图斑测绘费用等）及自然资源、林业督察服务，建立森林督查数据库。</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≤162万元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17.2025年节约集约示范县创建期末总结、年度曹妃甸区项目用海监管及围填海历史遗留问题处理监管、海岸带综合保护与利用规划（2021-2035年）编制及海草床、海洋环境监测项目绩效目标表</w:t>
      </w:r>
      <w:bookmarkEnd w:id="1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13020925P000038100023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2025年节约集约示范县创建期末总结、年度曹妃甸区项目用海监管及围填海历史遗留问题处理监管、海岸带综合保护与利用规划（2021-2035年）编制及海草床、海洋环境监测项目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309.80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309.80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一、节约集约示范县创建期末总结项目。二、2025年曹妃甸区项目用海监管及围填海历史遗留问题处理监管项目。三、编制《唐山市曹妃甸区海岸带综合保护与利用规划（2021-2035年）》四、唐山市海草床典型生态系统健康状况评估项目。五、唐山市曹妃甸海洋生态修复成效评估与生态产品价值实现研究项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一、节约集约示范县创建期末总结项目。二、2025年曹妃甸区项目用海监管及围填海历史遗留问题处理监管项目。三、编制《唐山市曹妃甸区海岸带综合保护与利用规划（2021-2035年）》四、唐山市海草床典型生态系统健康状况评估项目。五、唐山市曹妃甸海洋生态修复成效评估与生态产品价值实现研究项目</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≥2个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vAlign w:val="center"/>
          </w:tcPr>
          <w:p>
            <w:pPr>
              <w:pStyle w:val="单元格样式2"/>
            </w:pPr>
            <w:r>
              <w:t xml:space="preserve">项目成本</w:t>
            </w:r>
          </w:p>
        </w:tc>
        <w:tc>
          <w:tcPr>
            <w:tcW w:w="1276" w:type="dxa"/>
            <w:vAlign w:val="center"/>
          </w:tcPr>
          <w:p>
            <w:pPr>
              <w:pStyle w:val="单元格样式2"/>
            </w:pPr>
            <w:r>
              <w:t xml:space="preserve">≤309.8万元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项目对生态效益提升比</w:t>
            </w:r>
          </w:p>
        </w:tc>
        <w:tc>
          <w:tcPr>
            <w:tcW w:w="2891" w:type="dxa"/>
            <w:vAlign w:val="center"/>
          </w:tcPr>
          <w:p>
            <w:pPr>
              <w:pStyle w:val="单元格样式2"/>
            </w:pPr>
            <w:r>
              <w:t xml:space="preserve">项目对生态效益提升比值</w:t>
            </w:r>
          </w:p>
        </w:tc>
        <w:tc>
          <w:tcPr>
            <w:tcW w:w="1276" w:type="dxa"/>
            <w:vAlign w:val="center"/>
          </w:tcPr>
          <w:p>
            <w:pPr>
              <w:pStyle w:val="单元格样式2"/>
            </w:pPr>
            <w:r>
              <w:t xml:space="preserve">≥80%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18.2025年开展林草湿荒资源普查项目绩效目标表</w:t>
      </w:r>
      <w:bookmarkEnd w:id="2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13020925P00002410001H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2025年开展林草湿荒资源普查项目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支付林草湿荒资源普查项目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1.完成林草湿荒资源普查工作并按照要求提供技术成果。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≤20万元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19.2025年控规及镇总规、村庄规划技术审查绩效目标表</w:t>
      </w:r>
      <w:bookmarkEnd w:id="2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13020925P000040100019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2025年控规及镇总规、村庄规划技术审查</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完成控规及镇总规、村庄规划技术审查</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1.通过专业的技术性审查，确保规划的科学性和合理性，让规划方案满足相关技术规范和标准，避免因技术、相关政策问题导致的项目失败或资源浪费。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≤70万元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20.2025年劳务派遣、海监船员、自收自支人员工资绩效目标表</w:t>
      </w:r>
      <w:bookmarkEnd w:id="2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13020925P00000510001Q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2025年劳务派遣、海监船员、自收自支人员工资</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支付2025年劳务派遣、海监船员、自收自支人员工资</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1.按时支付2025年劳务派遣、海监船员、自收自支人员工资，不拖欠。</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≤310万元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21.2025年唐山曹妃甸经济技术开发区及曹妃甸综合保税区土地集约利用更新评价工作及全民所有自然资源资产清查工作绩效目标表</w:t>
      </w:r>
      <w:bookmarkEnd w:id="2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13020925P000030100012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2025年唐山曹妃甸经济技术开发区及曹妃甸综合保税区土地集约利用更新评价工作及全民所有自然资源资产清查工作</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40.96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40.96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完成2025年唐山曹妃甸经济技术开发区及曹妃甸综合保税区土地集约利用更新评价工作及全民所有自然资源资产清查工作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1.开展2025年唐山曹妃甸经济技术开发区及曹妃甸综合保税区土地集约利用更新评价工作及全民所有自然资源资产清查工作并完成该技术服务工作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≤40.96万元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22.2025年唐山市曹妃甸区规划编制等费用绩效目标表</w:t>
      </w:r>
      <w:bookmarkEnd w:id="2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13020925P000039100015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2025年唐山市曹妃甸区规划编制等费用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支付唐山市曹妃甸区规划编制等费用</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1.完成唐山市曹妃甸区规划编制工作、开展基础数据收集分析，形成数据库，提高效率等</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≤152万元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23.2025年新民居旧村址复垦及旧村庄拆除、垃圾清运项目绩效目标表</w:t>
      </w:r>
      <w:bookmarkEnd w:id="2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13020925P00005810001X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2025年新民居旧村址复垦及旧村庄拆除、垃圾清运项目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完成新民居旧村址复垦及旧村庄拆除、垃圾清运项目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1.对新民居旧村址进行复垦及旧村庄拆除、垃圾清运并保质保量完成工作，达到工作要求。</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≤800万元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24.2025年巡护巡查费绩效目标表</w:t>
      </w:r>
      <w:bookmarkEnd w:id="2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13020925P00002310001U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2025年巡护巡查费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21.36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21.36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支付2025年巡查巡护费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1.巡查巡护人员按照要求进行巡查巡护工作，防止林木等被破坏</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≤21.36万元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25.2025年养殖用海整体海域使用论证项目绩效目标表</w:t>
      </w:r>
      <w:bookmarkEnd w:id="2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13020925P00001710002Y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2025年养殖用海整体海域使用论证项目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162.80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162.80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完成2025年养殖用海整体海域使用论证项目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1.完成2025年养殖用海整体海域使用论证项目，推进我区柳赞镇、滨海镇管辖养殖海域确权发证，做好养殖用海出让前期准备工作，为后续海域出让提供必要条件。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≤162.8万元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26.2025年增设土地承包经营权登记系统和居住权登记系统、不动产登记网络安全防护设备及配备网上缴费前置服务器绩效目标表</w:t>
      </w:r>
      <w:bookmarkEnd w:id="2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13020925P00003410001Q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2025年增设土地承包经营权登记系统和居住权登记系统、不动产登记网络安全防护设备及配备网上缴费前置服务器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支付增设土地承包经营权登记系统和居住权登记系统、不动产登记网络安全防护设备及配备网上缴费前置服务器</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1.增设土地承包经营权登记系统和居住权登记系统、不动产登记网络安全防护设备及配备网上缴费前置服务器，更好的便民惠民。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≤30万元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27.2025年自然资源和规划卫片执法、巡查执法、其他国土资源矿产资源管理运行经费等绩效目标表</w:t>
      </w:r>
      <w:bookmarkEnd w:id="2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13020925P00000310001D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2025年自然资源和规划卫片执法、巡查执法、其他国土资源矿产资源管理运行经费等</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316.30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316.30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支付2025年自然资源和规划卫片执法、巡查执法、其他国土资源矿产资源管理运行经费等</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1.完成2025年自然资源和规划卫片执法、巡查执法、其他国土资源矿产资源管理运行等工作，保障单位正常运转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≤316.3万元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28.2024年上半年国土变更调查工作经费绩效目标表</w:t>
      </w:r>
      <w:bookmarkEnd w:id="3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13020924P00058210002D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2024年上半年国土变更调查工作经费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49.00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49.00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完成2024年上半年国土变更调查工作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29.2024年下半年国土变更调查工作经费-唐财资环【2024】52号绩效目标表</w:t>
      </w:r>
      <w:bookmarkEnd w:id="3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13020924P00063410002C</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2024年下半年国土变更调查工作经费-唐财资环【2024】52号</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完成2024年下半年国土变更调查工作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30.2025年省级林业改革发展补助资金-唐财资环【2024】68号绩效目标表</w:t>
      </w:r>
      <w:bookmarkEnd w:id="3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13020925P000770100015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2025年省级林业改革发展补助资金-唐财资环【2024】68号</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完成2025年省级林业改革发展补助资金-省级森林乡村及村庄绿化提升奖补资金发放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1.完成2025年省级林业改革发展补助资金-省级森林乡村及村庄绿化提升奖补资金发放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2025年省级林业改革发展补助资金-唐财资环【2024】68号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≥95%</w:t>
            </w:r>
          </w:p>
        </w:tc>
        <w:tc>
          <w:tcPr>
            <w:tcW w:w="1843" w:type="dxa"/>
            <w:vAlign w:val="center"/>
          </w:tcPr>
          <w:p>
            <w:pPr>
              <w:pStyle w:val="单元格样式2"/>
            </w:pPr>
            <w:r>
              <w:t xml:space="preserve">2025年省级林业改革发展补助资金-唐财资环【2024】68号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vAlign w:val="center"/>
          </w:tcPr>
          <w:p>
            <w:pPr>
              <w:pStyle w:val="单元格样式2"/>
            </w:pPr>
            <w:r>
              <w:t xml:space="preserve">按期完成率</w:t>
            </w:r>
          </w:p>
        </w:tc>
        <w:tc>
          <w:tcPr>
            <w:tcW w:w="1276" w:type="dxa"/>
            <w:vAlign w:val="center"/>
          </w:tcPr>
          <w:p>
            <w:pPr>
              <w:pStyle w:val="单元格样式2"/>
            </w:pPr>
            <w:r>
              <w:t xml:space="preserve">≥90%</w:t>
            </w:r>
          </w:p>
        </w:tc>
        <w:tc>
          <w:tcPr>
            <w:tcW w:w="1843" w:type="dxa"/>
            <w:vAlign w:val="center"/>
          </w:tcPr>
          <w:p>
            <w:pPr>
              <w:pStyle w:val="单元格样式2"/>
            </w:pPr>
            <w:r>
              <w:t xml:space="preserve">2025年省级林业改革发展补助资金-唐财资环【2024】68号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≤16万元</w:t>
            </w:r>
          </w:p>
        </w:tc>
        <w:tc>
          <w:tcPr>
            <w:tcW w:w="1843" w:type="dxa"/>
            <w:vAlign w:val="center"/>
          </w:tcPr>
          <w:p>
            <w:pPr>
              <w:pStyle w:val="单元格样式2"/>
            </w:pPr>
            <w:r>
              <w:t xml:space="preserve">2025年省级林业改革发展补助资金-唐财资环【2024】68号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2025年省级林业改革发展补助资金-唐财资环【2024】68号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w:t>
            </w:r>
          </w:p>
        </w:tc>
        <w:tc>
          <w:tcPr>
            <w:tcW w:w="1843" w:type="dxa"/>
            <w:vAlign w:val="center"/>
          </w:tcPr>
          <w:p>
            <w:pPr>
              <w:pStyle w:val="单元格样式2"/>
            </w:pPr>
            <w:r>
              <w:t xml:space="preserve">2025年省级林业改革发展补助资金-唐财资环【2024】68号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31.2025年中央财政林业草原改革发展资金绩效目标表</w:t>
      </w:r>
      <w:bookmarkEnd w:id="3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13020925P00076110001K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2025年中央财政林业草原改革发展资金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326.20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326.20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支付2025年中央财政林业草原改革发展资金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1.支付2025年中央财政林业草原改革发展资金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唐财资环【2024】65号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≥90%</w:t>
            </w:r>
          </w:p>
        </w:tc>
        <w:tc>
          <w:tcPr>
            <w:tcW w:w="1843" w:type="dxa"/>
            <w:vAlign w:val="center"/>
          </w:tcPr>
          <w:p>
            <w:pPr>
              <w:pStyle w:val="单元格样式2"/>
            </w:pPr>
            <w:r>
              <w:t xml:space="preserve">唐财资环【2024】65号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vAlign w:val="center"/>
          </w:tcPr>
          <w:p>
            <w:pPr>
              <w:pStyle w:val="单元格样式2"/>
            </w:pPr>
            <w:r>
              <w:t xml:space="preserve">保障工作时效性</w:t>
            </w:r>
          </w:p>
        </w:tc>
        <w:tc>
          <w:tcPr>
            <w:tcW w:w="1276" w:type="dxa"/>
            <w:vAlign w:val="center"/>
          </w:tcPr>
          <w:p>
            <w:pPr>
              <w:pStyle w:val="单元格样式2"/>
            </w:pPr>
            <w:r>
              <w:t xml:space="preserve">≥90%</w:t>
            </w:r>
          </w:p>
        </w:tc>
        <w:tc>
          <w:tcPr>
            <w:tcW w:w="1843" w:type="dxa"/>
            <w:vAlign w:val="center"/>
          </w:tcPr>
          <w:p>
            <w:pPr>
              <w:pStyle w:val="单元格样式2"/>
            </w:pPr>
            <w:r>
              <w:t xml:space="preserve">唐财资环【2024】65号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项目总预算控制额</w:t>
            </w:r>
          </w:p>
        </w:tc>
        <w:tc>
          <w:tcPr>
            <w:tcW w:w="1276" w:type="dxa"/>
            <w:vAlign w:val="center"/>
          </w:tcPr>
          <w:p>
            <w:pPr>
              <w:pStyle w:val="单元格样式2"/>
            </w:pPr>
            <w:r>
              <w:t xml:space="preserve">≤326.2万元</w:t>
            </w:r>
          </w:p>
        </w:tc>
        <w:tc>
          <w:tcPr>
            <w:tcW w:w="1843" w:type="dxa"/>
            <w:vAlign w:val="center"/>
          </w:tcPr>
          <w:p>
            <w:pPr>
              <w:pStyle w:val="单元格样式2"/>
            </w:pPr>
            <w:r>
              <w:t xml:space="preserve">唐财资环【2024】65号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项目实施对环境的影响</w:t>
            </w:r>
          </w:p>
        </w:tc>
        <w:tc>
          <w:tcPr>
            <w:tcW w:w="2891" w:type="dxa"/>
            <w:vAlign w:val="center"/>
          </w:tcPr>
          <w:p>
            <w:pPr>
              <w:pStyle w:val="单元格样式2"/>
            </w:pPr>
            <w:r>
              <w:t xml:space="preserve">项目实施对环境的影响</w:t>
            </w:r>
          </w:p>
        </w:tc>
        <w:tc>
          <w:tcPr>
            <w:tcW w:w="1276" w:type="dxa"/>
            <w:vAlign w:val="center"/>
          </w:tcPr>
          <w:p>
            <w:pPr>
              <w:pStyle w:val="单元格样式2"/>
            </w:pPr>
            <w:r>
              <w:t xml:space="preserve">≥90%</w:t>
            </w:r>
          </w:p>
        </w:tc>
        <w:tc>
          <w:tcPr>
            <w:tcW w:w="1843" w:type="dxa"/>
            <w:vAlign w:val="center"/>
          </w:tcPr>
          <w:p>
            <w:pPr>
              <w:pStyle w:val="单元格样式2"/>
            </w:pPr>
            <w:r>
              <w:t xml:space="preserve">唐财资环【2024】65号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w:t>
            </w:r>
          </w:p>
        </w:tc>
        <w:tc>
          <w:tcPr>
            <w:tcW w:w="1843" w:type="dxa"/>
            <w:vAlign w:val="center"/>
          </w:tcPr>
          <w:p>
            <w:pPr>
              <w:pStyle w:val="单元格样式2"/>
            </w:pPr>
            <w:r>
              <w:t xml:space="preserve">唐财资环【2024】65号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32.2025年中央海洋生态保护修复资金-唐财资环【2024】61号绩效目标表</w:t>
      </w:r>
      <w:bookmarkEnd w:id="3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13020925P00076410001L</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2025年中央海洋生态保护修复资金-唐财资环【2024】61号</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5406.00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5406.00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2025年中央海洋生态保护修复</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1.支付2025年中央海洋生态保护修复资金-唐财资环【2024】61号</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2025年中央海洋生态保护修复资金-唐财资环【2024】61号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≥95%</w:t>
            </w:r>
          </w:p>
        </w:tc>
        <w:tc>
          <w:tcPr>
            <w:tcW w:w="1843" w:type="dxa"/>
            <w:vAlign w:val="center"/>
          </w:tcPr>
          <w:p>
            <w:pPr>
              <w:pStyle w:val="单元格样式2"/>
            </w:pPr>
            <w:r>
              <w:t xml:space="preserve">2025年中央海洋生态保护修复资金-唐财资环【2024】61号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vAlign w:val="center"/>
          </w:tcPr>
          <w:p>
            <w:pPr>
              <w:pStyle w:val="单元格样式2"/>
            </w:pPr>
            <w:r>
              <w:t xml:space="preserve">按期完成率</w:t>
            </w:r>
          </w:p>
        </w:tc>
        <w:tc>
          <w:tcPr>
            <w:tcW w:w="1276" w:type="dxa"/>
            <w:vAlign w:val="center"/>
          </w:tcPr>
          <w:p>
            <w:pPr>
              <w:pStyle w:val="单元格样式2"/>
            </w:pPr>
            <w:r>
              <w:t xml:space="preserve">≥90%</w:t>
            </w:r>
          </w:p>
        </w:tc>
        <w:tc>
          <w:tcPr>
            <w:tcW w:w="1843" w:type="dxa"/>
            <w:vAlign w:val="center"/>
          </w:tcPr>
          <w:p>
            <w:pPr>
              <w:pStyle w:val="单元格样式2"/>
            </w:pPr>
            <w:r>
              <w:t xml:space="preserve">2025年中央海洋生态保护修复资金-唐财资环【2024】61号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≤5406万元</w:t>
            </w:r>
          </w:p>
        </w:tc>
        <w:tc>
          <w:tcPr>
            <w:tcW w:w="1843" w:type="dxa"/>
            <w:vAlign w:val="center"/>
          </w:tcPr>
          <w:p>
            <w:pPr>
              <w:pStyle w:val="单元格样式2"/>
            </w:pPr>
            <w:r>
              <w:t xml:space="preserve">2025年中央海洋生态保护修复资金-唐财资环【2024】61号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生态效益指标</w:t>
            </w:r>
          </w:p>
        </w:tc>
        <w:tc>
          <w:tcPr>
            <w:tcW w:w="2891" w:type="dxa"/>
            <w:vAlign w:val="center"/>
          </w:tcPr>
          <w:p>
            <w:pPr>
              <w:pStyle w:val="单元格样式2"/>
            </w:pPr>
            <w:r>
              <w:t xml:space="preserve">生态效益指标</w:t>
            </w:r>
          </w:p>
        </w:tc>
        <w:tc>
          <w:tcPr>
            <w:tcW w:w="1276" w:type="dxa"/>
            <w:vAlign w:val="center"/>
          </w:tcPr>
          <w:p>
            <w:pPr>
              <w:pStyle w:val="单元格样式2"/>
            </w:pPr>
            <w:r>
              <w:t xml:space="preserve">≥90%</w:t>
            </w:r>
          </w:p>
        </w:tc>
        <w:tc>
          <w:tcPr>
            <w:tcW w:w="1843" w:type="dxa"/>
            <w:vAlign w:val="center"/>
          </w:tcPr>
          <w:p>
            <w:pPr>
              <w:pStyle w:val="单元格样式2"/>
            </w:pPr>
            <w:r>
              <w:t xml:space="preserve">2025年中央海洋生态保护修复资金-唐财资环【2024】61号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w:t>
            </w:r>
          </w:p>
        </w:tc>
        <w:tc>
          <w:tcPr>
            <w:tcW w:w="1843" w:type="dxa"/>
            <w:vAlign w:val="center"/>
          </w:tcPr>
          <w:p>
            <w:pPr>
              <w:pStyle w:val="单元格样式2"/>
            </w:pPr>
            <w:r>
              <w:t xml:space="preserve">2025年中央海洋生态保护修复资金-唐财资环【2024】61号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33.耕地资源质量分类年度更新与监测资金 唐财资环【2024】19号绩效目标表</w:t>
      </w:r>
      <w:bookmarkEnd w:id="3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13020924P000540100025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耕地资源质量分类年度更新与监测资金 唐财资环【2024】19号</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完成耕地资源质量分类年度更新与监测 </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1.完成耕地资源质量分类年度更新与监测 </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≤10万元</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34.土地整治专项资金-唐财资环【2024】62号绩效目标表</w:t>
      </w:r>
      <w:bookmarkEnd w:id="3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324001唐山市曹妃甸区自然资源和规划局本级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13020924P00063710004L</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土地整治专项资金-唐财资环【2024】62号</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488.00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488.00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保质保量完成土地整治项目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1.保质保量完成土地整治项目</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w:t>
            </w:r>
          </w:p>
        </w:tc>
        <w:tc>
          <w:tcPr>
            <w:tcW w:w="1843" w:type="dxa"/>
            <w:vAlign w:val="center"/>
          </w:tcPr>
          <w:p>
            <w:pPr>
              <w:pStyle w:val="单元格样式2"/>
            </w:pPr>
            <w:r>
              <w:t xml:space="preserve">土地整治专项资金-唐财资环【2024】62号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≥90%</w:t>
            </w:r>
          </w:p>
        </w:tc>
        <w:tc>
          <w:tcPr>
            <w:tcW w:w="1843" w:type="dxa"/>
            <w:vAlign w:val="center"/>
          </w:tcPr>
          <w:p>
            <w:pPr>
              <w:pStyle w:val="单元格样式2"/>
            </w:pPr>
            <w:r>
              <w:t xml:space="preserve">土地整治专项资金-唐财资环【2024】62号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vAlign w:val="center"/>
          </w:tcPr>
          <w:p>
            <w:pPr>
              <w:pStyle w:val="单元格样式2"/>
            </w:pPr>
            <w:r>
              <w:t xml:space="preserve">按期完成率</w:t>
            </w:r>
          </w:p>
        </w:tc>
        <w:tc>
          <w:tcPr>
            <w:tcW w:w="1276" w:type="dxa"/>
            <w:vAlign w:val="center"/>
          </w:tcPr>
          <w:p>
            <w:pPr>
              <w:pStyle w:val="单元格样式2"/>
            </w:pPr>
            <w:r>
              <w:t xml:space="preserve">≥90%</w:t>
            </w:r>
          </w:p>
        </w:tc>
        <w:tc>
          <w:tcPr>
            <w:tcW w:w="1843" w:type="dxa"/>
            <w:vAlign w:val="center"/>
          </w:tcPr>
          <w:p>
            <w:pPr>
              <w:pStyle w:val="单元格样式2"/>
            </w:pPr>
            <w:r>
              <w:t xml:space="preserve">土地整治专项资金-唐财资环【2024】62号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≤488万元</w:t>
            </w:r>
          </w:p>
        </w:tc>
        <w:tc>
          <w:tcPr>
            <w:tcW w:w="1843" w:type="dxa"/>
            <w:vAlign w:val="center"/>
          </w:tcPr>
          <w:p>
            <w:pPr>
              <w:pStyle w:val="单元格样式2"/>
            </w:pPr>
            <w:r>
              <w:t xml:space="preserve">土地整治专项资金-唐财资环【2024】62号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土地整治专项资金-唐财资环【2024】62号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w:t>
            </w:r>
          </w:p>
        </w:tc>
        <w:tc>
          <w:tcPr>
            <w:tcW w:w="1843" w:type="dxa"/>
            <w:vAlign w:val="center"/>
          </w:tcPr>
          <w:p>
            <w:pPr>
              <w:pStyle w:val="单元格样式2"/>
            </w:pPr>
            <w:r>
              <w:t xml:space="preserve">土地整治专项资金-唐财资环【2024】62号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35.2025年收储中心办公经费绩效目标表</w:t>
      </w:r>
      <w:bookmarkEnd w:id="3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324003唐山市曹妃甸区土地收购储备开发中心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13020925P000028100018</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2025年收储中心办公经费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用于办公正常运转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1.支付2025年收储中心办公经费，保障收储中心日常办公正常运转。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36.2025年收储中心前期业务费绩效目标表</w:t>
      </w:r>
      <w:bookmarkEnd w:id="3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324003唐山市曹妃甸区土地收购储备开发中心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13020925P00002710001J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2025年收储中心前期业务费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用于测绘、评估等项目支出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做好土地（海域）收储、出让、执法监察及规划放线、验收等开展的测绘服务；海域使用权/土地使用权、建筑物、附属物、在建工程收储或出让开展的评估服务；土地使用权收储、出让前开展的地块土壤污染状况调查服务等前期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≥1个</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≤1年</w:t>
            </w:r>
          </w:p>
        </w:tc>
        <w:tc>
          <w:tcPr>
            <w:tcW w:w="1843" w:type="dxa"/>
            <w:vAlign w:val="center"/>
          </w:tcPr>
          <w:p>
            <w:pPr>
              <w:pStyle w:val="单元格样式2"/>
            </w:pPr>
            <w:r>
              <w:t xml:space="preserve">根据年度工作计划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≤330万元</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根据年度工作计划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≥98%</w:t>
            </w:r>
          </w:p>
        </w:tc>
        <w:tc>
          <w:tcPr>
            <w:tcW w:w="1843" w:type="dxa"/>
            <w:vAlign w:val="center"/>
          </w:tcPr>
          <w:p>
            <w:pPr>
              <w:pStyle w:val="单元格样式2"/>
            </w:pPr>
            <w:r>
              <w:t xml:space="preserve">根据年度工作计划</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2025-02-13T14:30:44Z</dcterms:created>
  <dcterms:modified xsi:type="dcterms:W3CDTF">2025-02-13T14:30:44Z</dcterms:modified>
</cp:coreProperties>
</file>