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唐山市曹妃甸区发展和改革局</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22</w:t>
      </w:r>
      <w:r>
        <w:rPr>
          <w:rFonts w:ascii="Times New Roman" w:hAnsi="Times New Roman" w:eastAsia="方正小标宋_GBK" w:cs="Times New Roman"/>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numPr>
          <w:ilvl w:val="0"/>
          <w:numId w:val="0"/>
        </w:numPr>
        <w:rPr>
          <w:rFonts w:hint="eastAsia" w:ascii="仿宋" w:hAnsi="仿宋" w:eastAsia="仿宋" w:cs="仿宋"/>
          <w:b w:val="0"/>
          <w:i w:val="0"/>
          <w:caps w:val="0"/>
          <w:color w:val="222222"/>
          <w:spacing w:val="0"/>
          <w:sz w:val="32"/>
          <w:szCs w:val="32"/>
          <w:shd w:val="clear" w:fill="FFFFFF"/>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 w:hAnsi="仿宋" w:eastAsia="仿宋" w:cs="仿宋"/>
          <w:b w:val="0"/>
          <w:i w:val="0"/>
          <w:caps w:val="0"/>
          <w:color w:val="222222"/>
          <w:spacing w:val="0"/>
          <w:sz w:val="32"/>
          <w:szCs w:val="32"/>
          <w:shd w:val="clear" w:fill="FFFFFF"/>
        </w:rPr>
        <w:t>起草并组织实施全区国民经济和社会发展战略、中长期规划和年度计划；负责区级专项规划、区域规划、空间规划与全区发展规划的统筹衔接；起草国民经济和社会发展、经济体制改革和对外开放的有关规范性文件；提出加快建设全区现代化经济体系、推动高质量发展的总体目标、重大任务以及相关政策；组织开展重大战略规划、重大政策、重大工程等的评估督导，提出相关调整建议；贯彻落实国家宏观调控政策，统筹提出全区国民经济和社会发展主要目标，监测预测预警宏观经济和社会发展态势趋势，提出经济调节政策建议；调节经济运行，协调解决经济运行中的重大问题；起草并组织实施有关价格政策，组织起草由区级管理的重要商品、服务价格和重要收费标准；指导推进和综合协调经济体制改革有关工作，提出相关改革建议；牵头推进供给侧结构性改革；落实国家完善基本经济制度政策，推动现代化市场体系建设，会同有关部门组织实施市场准入负面清单制度；牵头推进优化营商环境工作；提出全区利用外资和境外投资的战略、规划、总量平衡和结构优化政策；牵头推进实施全区“一带一路”建设有关工作；负责全区全口径外的总量控制、结构优化和监测工作；起草全区固定资产投资总规模、结构调控目标和政策；安排区级预算内基本建设资金和有关发展性专项资金，负责固定资产投资项目管理；起草并推动落实鼓励民间投资政策措施；推进落实区域协调发展战略、新型城镇化战略和重大政策，组织起草相关区域规划和政策；推进实施京津冀协同发展等区域发展战略；组织编制并推动实施新型城镇化规划；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推动实施全区创新驱动发展战略；组织起草并推动实施高技术产业和战略性新兴产业及数字经济发展规划政策，协调产业升级、重大技术装备推广应用等方面的重大问题；跟踪研判涉及经济安全、生态安全、资源安全、科技安全、社会安全等各类风险隐患，提出相关工作建议；协调落实重要工业品、原材料和重要农产品进出口调控措施；负责全区社会发展与国民经济发展的政策衔接，协调有关重大问题；组织起草社会发展战略、总体规划，统筹推进基本公共服务体系建设和收入分配制度改革，提出促进就业、完善社会保障与经济协调发展的政策建议；推进实施可持续发展战略，推动生态文明建设和改革，协调生态环境保护与修复、能源资源节约和综合利用等工作；提出健全生态保护补偿机制的政策措施，综合协调环保产业和清洁生产促进有关工作；组织起草推进全区经济建设与国防建设协调发展的战略和规划，组织推进经济建设项目贯彻国防要求；负责全区粮食物资和能源管理工作；负责重要商品和服务价格定调价前期成本监审工作和重要产品成本调查工作；负责全区地方铁路行业管理工作；牵头负责铁路沿线环境安全监管职责；承担区委财经委员会、区推进京津冀协同发展工作领导小组、区重点项目建设领导小组、区沿海地区开发建设领导小组、区铁路建设和管理领导小组等有关具体工作；贯彻执行国家、省、市关于港口、航道、航运跨境电商、口岸、打私工作等法律法规规章和方针政策，结合本地实际，组织起草地方规范性文件并组织实施；贯彻落实港口、航运、口岸发展规划；负责推进“港城融合”发展工作；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pPr>
        <w:numPr>
          <w:ilvl w:val="0"/>
          <w:numId w:val="0"/>
        </w:numPr>
        <w:rPr>
          <w:rFonts w:hint="eastAsia" w:ascii="仿宋" w:hAnsi="仿宋" w:eastAsia="仿宋" w:cs="仿宋"/>
          <w:b w:val="0"/>
          <w:i w:val="0"/>
          <w:caps w:val="0"/>
          <w:color w:val="222222"/>
          <w:spacing w:val="0"/>
          <w:sz w:val="32"/>
          <w:szCs w:val="32"/>
          <w:shd w:val="clear" w:fill="FFFFFF"/>
        </w:rPr>
      </w:pP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2"/>
        <w:gridCol w:w="1410"/>
        <w:gridCol w:w="411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2"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141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4118"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102"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唐山市曹妃甸区发展和改革局</w:t>
            </w:r>
          </w:p>
        </w:tc>
        <w:tc>
          <w:tcPr>
            <w:tcW w:w="1410" w:type="dxa"/>
            <w:vAlign w:val="top"/>
          </w:tcPr>
          <w:p>
            <w:pPr>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tc>
        <w:tc>
          <w:tcPr>
            <w:tcW w:w="4118" w:type="dxa"/>
            <w:vAlign w:val="top"/>
          </w:tcPr>
          <w:p>
            <w:pPr>
              <w:jc w:val="center"/>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正科级</w:t>
            </w:r>
          </w:p>
        </w:tc>
        <w:tc>
          <w:tcPr>
            <w:tcW w:w="3544" w:type="dxa"/>
            <w:vAlign w:val="top"/>
          </w:tcPr>
          <w:p>
            <w:pPr>
              <w:jc w:val="center"/>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财政拨款</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本部门当年全部收入，2022年</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1286.39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一般公共预算收入</w:t>
      </w:r>
      <w:r>
        <w:rPr>
          <w:rFonts w:hint="eastAsia" w:ascii="仿宋_GB2312" w:hAnsi="仿宋_GB2312" w:eastAsia="仿宋_GB2312" w:cs="仿宋_GB2312"/>
          <w:sz w:val="32"/>
          <w:szCs w:val="32"/>
          <w:lang w:val="en-US" w:eastAsia="zh-CN"/>
        </w:rPr>
        <w:t>1285.23万元，政府性基金预算收入1.16万元</w:t>
      </w:r>
      <w:r>
        <w:rPr>
          <w:rFonts w:hint="eastAsia" w:ascii="仿宋_GB2312" w:hAnsi="仿宋_GB2312" w:eastAsia="仿宋_GB2312" w:cs="仿宋_GB2312"/>
          <w:sz w:val="32"/>
          <w:szCs w:val="32"/>
        </w:rPr>
        <w:t>。</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default"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收支预算总表支出栏、基本支出表、项目支出表按经济分类和支出功能分类科目编制，反映唐山市曹妃甸区发展和改革局2022年度部门预算中支出预算的总体情况。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1286.39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697.18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628.61万元和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68.57万元；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589.21万元，全部为本级支出，其中大型支出主要为区级储备粮利息费用补贴215.68万元、其它政策性亏损财务挂账利息175.59万元。</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bookmarkStart w:id="0" w:name="_GoBack"/>
      <w:bookmarkEnd w:id="0"/>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2022年部门预算较2021年增加了61.79万元，其中：基本支出比上年增加18.09万元，主要由于人员增加，项目支出比上年增加43.7万元，主要是区级储备粮利息费用补贴增加。</w:t>
      </w:r>
    </w:p>
    <w:p>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68.57</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保证机关正常运转的办公及印刷费、邮电费、差旅费、福利费、公务车运行维护费、办公设备购置费等支出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其中，办公费</w:t>
      </w:r>
      <w:r>
        <w:rPr>
          <w:rFonts w:hint="eastAsia" w:ascii="仿宋_GB2312" w:hAnsi="仿宋_GB2312" w:eastAsia="仿宋_GB2312" w:cs="仿宋_GB2312"/>
          <w:sz w:val="32"/>
          <w:szCs w:val="32"/>
          <w:lang w:val="en-US" w:eastAsia="zh-CN"/>
        </w:rPr>
        <w:t>6.5万元、邮电费17.17万元（移动通信补贴15.17万元、电话费2万元）、差旅费1万元、维修（护）费2万元、会议费0.3万元、公务用车运行维护费9万元、离退休干部经费2.8万元、公务交通补贴15.96万元、印刷费3万元、劳务费1万元、公务接待0.7万元、工会经费3.58万元、福利费4.06万元、党组织活动经费1.5万元。</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autoSpaceDE w:val="0"/>
        <w:autoSpaceDN w:val="0"/>
        <w:adjustRightInd w:val="0"/>
        <w:ind w:left="198"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年，财政拨款“三公”经费预算安排</w:t>
      </w:r>
      <w:r>
        <w:rPr>
          <w:rFonts w:hint="eastAsia" w:ascii="仿宋_GB2312" w:hAnsi="仿宋_GB2312" w:eastAsia="仿宋_GB2312" w:cs="仿宋_GB2312"/>
          <w:sz w:val="32"/>
          <w:szCs w:val="32"/>
          <w:highlight w:val="none"/>
          <w:lang w:val="en-US" w:eastAsia="zh-CN"/>
        </w:rPr>
        <w:t>10.4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总额比2021年减少3.6万元。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与上年持平</w:t>
      </w:r>
      <w:r>
        <w:rPr>
          <w:rFonts w:hint="eastAsia" w:ascii="仿宋_GB2312" w:hAnsi="仿宋_GB2312" w:eastAsia="仿宋_GB2312" w:cs="仿宋_GB2312"/>
          <w:sz w:val="32"/>
          <w:szCs w:val="32"/>
          <w:highlight w:val="none"/>
        </w:rPr>
        <w:t>；公务用车购置</w:t>
      </w:r>
      <w:r>
        <w:rPr>
          <w:rFonts w:hint="eastAsia" w:ascii="仿宋_GB2312" w:hAnsi="仿宋_GB2312" w:eastAsia="仿宋_GB2312" w:cs="仿宋_GB2312"/>
          <w:sz w:val="32"/>
          <w:szCs w:val="32"/>
          <w:highlight w:val="none"/>
          <w:lang w:eastAsia="zh-CN"/>
        </w:rPr>
        <w:t>费</w:t>
      </w:r>
      <w:r>
        <w:rPr>
          <w:rFonts w:hint="eastAsia" w:ascii="仿宋_GB2312" w:hAnsi="仿宋_GB2312" w:eastAsia="仿宋_GB2312" w:cs="仿宋_GB2312"/>
          <w:sz w:val="32"/>
          <w:szCs w:val="32"/>
          <w:highlight w:val="none"/>
          <w:lang w:val="en-US" w:eastAsia="zh-CN"/>
        </w:rPr>
        <w:t>0万元与上年持平；公务用车运行</w:t>
      </w:r>
      <w:r>
        <w:rPr>
          <w:rFonts w:hint="eastAsia" w:ascii="仿宋_GB2312" w:hAnsi="仿宋_GB2312" w:eastAsia="仿宋_GB2312" w:cs="仿宋_GB2312"/>
          <w:sz w:val="32"/>
          <w:szCs w:val="32"/>
          <w:highlight w:val="none"/>
        </w:rPr>
        <w:t>运维费</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2021年减少3万元，原因是减少三公经费预算支出</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，较上年</w:t>
      </w:r>
      <w:r>
        <w:rPr>
          <w:rFonts w:hint="eastAsia" w:ascii="仿宋_GB2312" w:hAnsi="仿宋_GB2312" w:eastAsia="仿宋_GB2312" w:cs="仿宋_GB2312"/>
          <w:sz w:val="32"/>
          <w:szCs w:val="32"/>
          <w:highlight w:val="none"/>
          <w:lang w:val="en-US" w:eastAsia="zh-CN"/>
        </w:rPr>
        <w:t>减少0.6万元，原因是接待活动减少。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宋体" w:hAnsi="宋体"/>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hAnsi="宋体" w:eastAsia="方正仿宋_GBK" w:cs="宋体"/>
          <w:color w:val="000000"/>
          <w:sz w:val="28"/>
          <w:szCs w:val="28"/>
          <w:lang w:val="en-US" w:eastAsia="zh-CN"/>
        </w:rPr>
      </w:pPr>
      <w:r>
        <w:rPr>
          <w:rFonts w:hint="eastAsia" w:ascii="方正楷体_GBK" w:eastAsia="方正楷体_GBK"/>
          <w:b/>
          <w:sz w:val="28"/>
        </w:rPr>
        <w:t>总体目标：</w:t>
      </w:r>
      <w:r>
        <w:rPr>
          <w:rFonts w:hint="eastAsia" w:hAnsi="宋体" w:eastAsia="方正仿宋_GBK" w:cs="宋体"/>
          <w:sz w:val="28"/>
        </w:rPr>
        <w:t>完成地区生产总值479.6亿元，同比增长7.7%，全年预计完成680亿元左右，同比增长8.5%左右，与全年计划增速持平；1-10月份，完成固定资产投资649亿元，同比增长6.2%，预计全年完成714.2亿元，完成全年任务；1-10月份，完成服务业增加值216.5亿元，同比增长4.8%，全年预计完成290亿元左右，同比增长7%左右，低于全年计划增速（9%左右）2个百分点；1-10月份，新增规模以上服务业企业2家，全年预计新增30家，完成市达任务的230.8%；1-11月份，规模以上高新技术产业增加值预计下降5%左右，低于全年计划增速（20%）25个百分点，全年预计与去年同期持平（略有增长），低于全年计划增速20个百分点；1-11月份，规模以上战略性新兴产业增加值增长预计增长15%左右，低于全年计划增速（20%）5个百分点；全年预计增长20%，达到全年计划增速；单位GDP能耗全年预计较去年同期上升6%左右。</w:t>
      </w:r>
    </w:p>
    <w:p>
      <w:pPr>
        <w:adjustRightInd w:val="0"/>
        <w:snapToGrid w:val="0"/>
        <w:spacing w:line="580" w:lineRule="exact"/>
        <w:ind w:firstLine="560" w:firstLineChars="200"/>
        <w:rPr>
          <w:rFonts w:hint="eastAsia" w:ascii="仿宋" w:hAnsi="仿宋" w:eastAsia="仿宋" w:cs="仿宋"/>
          <w:color w:val="000000"/>
          <w:sz w:val="32"/>
          <w:szCs w:val="32"/>
        </w:rPr>
      </w:pPr>
      <w:r>
        <w:rPr>
          <w:rFonts w:hint="eastAsia" w:ascii="方正楷体_GBK" w:eastAsia="方正楷体_GBK"/>
          <w:b/>
          <w:color w:val="000000"/>
          <w:sz w:val="28"/>
        </w:rPr>
        <w:t>职责分类绩效目标：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曹妃甸区发展和改革局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一、组织编制经济社会发展规划和计划</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组织拟订全县经济社会发展战略（中长期）规划、年度计划及重点领域、区域经济的规划；落实国民经济和社会发展有关地方性法规，起草相关规章。</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、规划、计划及课题编制</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重点领域与区域经济社会规划编制完成率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县人大代表表决通过率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二、推进全县改革开放和经济技术合作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推进经济体制改革，实施经济体制改革、对外开放有关地方性法规，以及对相关规章的起草和实施。</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、推进体制改革、社会公共服务均等化</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改革方案，组织实施重要改革事项，统筹推动全县综合配套改革试点和专项改革试点。统筹全县重大公共服务资源布局和相关项目的计划实施，促进公共服务资源有效整合和协调配置。推进全县信用体系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力争重点领域和关键环节改革取得积极进展；促进全县城镇居民人均可支配收入增长和新增就业目标的实现。协调推进文化、教育、体育、卫生、养老、社会救助等基本公共服务体系建设，促进全县社会公共服务均等化。推进全县统一的信用信息数据库和共享、公示平台。</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公共服务均等化评估结果</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实现规划目标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较好完成规划目标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基本完成规划目标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推进全县社会信用体系建设</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较好完成指标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基本完成指标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较差完成指标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全县城乡居民可支配收入增长率</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、内、外资管理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全县利用外资和境外投资工作；组织开展全县对外经贸洽谈和招商活动，组织项目谋划发布、洽谈等活动。组织开展全县经济技术交流合作，组织谋划县际合作项目的考察、论证、对接、落实和实施；组织与交流合作方和县内各方面沟通对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稳步提高全县利用外资、境外投资规模和水平。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实际利用外资规模增长率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境外投资规模增长率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引进县外资金数量增长率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三、经济和社会运行监测、调节与协调</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协调和监测调节经济社会协调发展，实施重大调控政策，实施促进就业、调整收入分配、完善社会保障与经济协调发展的政策措施，推进社会公共服务均等化；实施产业政策；组织实施全县国民经济、装备动员。</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做好经济运行监测分析，协调经济社会运行平稳有序和健康发展，提升全县经济、装备动员能力。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、经济社会发展形势监测分析、调节</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经济社会发展运行调节、监测，综合协调经济社会发展，进行区域经济的预测、预警；负责日常经济和社会事业发展运行的调节，组织解决经济运行和社会事业发展中重大问题；组织实施全县国民经济、装备动员潜力调查、预案编制、专业队伍组建、动员中心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推进经济社会健康协调发展，提升全县经济、装备动员能力。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形势分析或调研报告采用率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年度经济、装备动员年度计划完成率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调研次数、形势分析或调研报告数量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2</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组织</w:t>
            </w:r>
            <w:r>
              <w:rPr>
                <w:rFonts w:ascii="方正书宋_GBK" w:eastAsia="方正书宋_GBK"/>
              </w:rPr>
              <w:t>1</w:t>
            </w:r>
            <w:r>
              <w:rPr>
                <w:rFonts w:hint="eastAsia" w:ascii="方正书宋_GBK" w:eastAsia="方正书宋_GBK"/>
              </w:rPr>
              <w:t>次（含）以上集中调研活动，形成</w:t>
            </w:r>
            <w:r>
              <w:rPr>
                <w:rFonts w:ascii="方正书宋_GBK" w:eastAsia="方正书宋_GBK"/>
              </w:rPr>
              <w:t>1</w:t>
            </w:r>
            <w:r>
              <w:rPr>
                <w:rFonts w:hint="eastAsia" w:ascii="方正书宋_GBK" w:eastAsia="方正书宋_GBK"/>
              </w:rPr>
              <w:t>个（含）以上形势分析或调研报告</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未组织集中调研活动，或未形成政策性文件、形势分析或调研报告</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、经济运行综合协调保障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煤炭、电力、石油、天然气、交通运输调度和保障工作，协调解决重大问题，抓好供需总量平衡，保障经济社会发展和人民生活需要；制订经济运行和能源供应预警和应急预案，适时组织能源、运输及重要物资、商品的紧急调度，提出安排和动用应急物资和商品储备的建议；做好粮棉等商品进出口配额的审核上报工作；做好国防建设和国民经济发展的衔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做好运行分析、数据上报、要素保障、应急处置、安全管理、矿山管理等工作，确保经济社会运行平稳有序和健康发展；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月度分析和数据统计报告完成数（期）</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铁路运输协调调度</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电力保障率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四、促进全县区域经济发展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推进区域经济协调发展、加快城镇化、县域经济发展；负责区域经济合作统筹协调；推动沿海、京津冀两大区域发展。</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、推进区域经济与可持续发展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实施区域经济的政策措施；推进可持续发展工作。组织全县农业区划管理工作。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加强区域经济发展管理工作，提高县域经济发展水平；开展农业资源可持续发展和高效利用试验示范工作。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重点项目建设数量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区域经济可持续发展规划实施完成情况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全部如期完成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1</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项未能如期完成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有</w:t>
            </w:r>
            <w:r>
              <w:rPr>
                <w:rFonts w:ascii="方正书宋_GBK" w:eastAsia="方正书宋_GBK"/>
              </w:rPr>
              <w:t>2</w:t>
            </w:r>
            <w:r>
              <w:rPr>
                <w:rFonts w:hint="eastAsia" w:ascii="方正书宋_GBK" w:eastAsia="方正书宋_GBK"/>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五、推进全县产业结构调整和转型升级</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综合性产业政策，负责协调全县第一、二、三产业发展的重大问题并衔接平衡相关发展规划和重大政策，推进经济结构战略性调整。按照经济和社会发展要求，引导产业升级和转型，支持重点领域和行业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有效引导行业健康发展，提升全县产业和行业竞争力。</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、促进战略性新兴产业发展</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组织实施战略性新兴产业发展战略、规划、政策措施；宣传展示我县战略性新兴产业发展成果。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推动产业规模不断壮大。促进产业聚集发展，提升产业竞争力。创新能力稳步提升，协同创新取得成效。创新改革不断深化，创新创业生态环境进一步改善。</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战略性新兴产业增加值占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逐年增加</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与往年持平</w:t>
            </w: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低于往年水平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、推进物流业及服务业发展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并组织实施加快服务业发展的战略规划，落实有关政策措施，推进服务业项目建设。落实现代物流业发展的相关政策，支持县级物流产业聚集区发展和物流项目建设，进一步完善全县物流基础设施，增强物流企业竞争力。</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加快县级物流产业聚集区建设；加快县级物流产业聚集区、已列入物流发展规划的重点项目、农产品物流项目交易设施改造升级及大型冷链物流项目建设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服务业增加值占</w:t>
            </w:r>
            <w:r>
              <w:rPr>
                <w:rFonts w:ascii="方正书宋_GBK" w:eastAsia="方正书宋_GBK"/>
              </w:rPr>
              <w:t>GDP</w:t>
            </w:r>
            <w:r>
              <w:rPr>
                <w:rFonts w:hint="eastAsia" w:ascii="方正书宋_GBK" w:eastAsia="方正书宋_GBK"/>
              </w:rPr>
              <w:t>总值的比重</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物流业增加值增长率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县级物流产业聚集区、已列入物流发展规划的重点项目、农产品物流项目交易设施改造升级及大型冷链物流项目建设完成率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、洁净型煤推广</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以城市建成区居民冬季采暖及炊事为主要对象，以型煤生产配送体系建设为首要保障，以洁净型煤替代散煤为重点工作，以型煤专用炉具推广为重要辅助，坚持疏堵结合，政府推动与市场管控并举，确保城市县城建成区散煤压减替代全面完成。</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洁净型煤推广任务全面完成</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付款订购占总任务比率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配送到户占总任务比率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、促进节能降耗、资源综合利用和生态建设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可持续发展战略，组织实施发展循环经济、全社会资源节约和综合利用、应对气候变化政策；协调生态建设、能源资源节约和综合利用、环保产业和清洁生产促进等工作；推进综合协调节能减排工作；开展节能监察、监测，加强节能宣传培训，确保完成节能、削煤、降碳约束性指标；加强散装水泥、新型墙体材料和冶金矿产资源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专项资金的引导和激励的作用，通过采取补助、奖励等方式推进能源结构调整，调动企业节能降耗的积极性，确保完成节能、削煤、降碳目标任务；电能使用效率不断提高；积极助推节能减排和大气污染防治；确保实现年度单位</w:t>
            </w:r>
            <w:r>
              <w:rPr>
                <w:rFonts w:ascii="方正书宋_GBK" w:eastAsia="方正书宋_GBK"/>
              </w:rPr>
              <w:t>GDP</w:t>
            </w:r>
            <w:r>
              <w:rPr>
                <w:rFonts w:hint="eastAsia" w:ascii="方正书宋_GBK" w:eastAsia="方正书宋_GBK"/>
              </w:rPr>
              <w:t>能耗下降率</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二氧化碳减排量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二氧化硫减排量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w:t>
            </w:r>
            <w:r>
              <w:rPr>
                <w:rFonts w:ascii="方正书宋_GBK" w:eastAsia="方正书宋_GBK"/>
              </w:rPr>
              <w:t>GDP</w:t>
            </w:r>
            <w:r>
              <w:rPr>
                <w:rFonts w:hint="eastAsia" w:ascii="方正书宋_GBK" w:eastAsia="方正书宋_GBK"/>
              </w:rPr>
              <w:t>能耗下降率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节能量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节电量</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可转移高峰负荷</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六、固定资产投资调控与管理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拟订社会固定资产投资规模和投资结构的调控目标、及措施，衔接政府投资和重大建设项目的专项规划；按规定权限审批、核准、审核重大建设项目，提出预算内基建建设项目安排建议；开展重点建设项目管理。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提升公共设施水平，提高公共服务能力，促进经济和社会发展。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、固定资产投资政策制订与实施和县级预算内基本投资建设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社会固定资产投资规模和投资结构的调控目标及措施；研究制定全县重点项目建设管理的思路；制定或完善投资项目审批、核准、备案管理办法及相关措施，完善投资体制和机制建设；引导民间资金用于符合我县固定资产投资方向的项目。编制县级预算内基本建设投资计划；统筹提出县级预算内基本建设资金安排基础设施建设项目资金安排建议，落实与中央、省市投资项目配套。</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落实县固定资产投资目标；指导政策性贷款使用，有效引导民间资金用于我县固定资产投资。按时编制并提交年度预算内基建项目安排建议，并落实到具体项目；足额保证县委、县政府确定的重点基建投资项目；落实与中央、省市投资项目配套；及时下达预算内基建项目投资计划，提高县级政务设施服务保障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固定资产投资计划完成率</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预算内基本建设资金完成率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预算内基本建设投资计划执行率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、组织实施全县重点项目和稽查</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128.6</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加强重点项目谋划、协调，推动重点项目顺利实施。加强项目监管，推动项目顺利实施，处罚项目建设中重大突出违法问题。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重点项目监督稽察覆盖率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项目开工率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七、发展和改革政务管理</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、县政府购买行业协会服务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县政府购买行业协会服务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政府购买行业协会服务评价合格率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vMerge w:val="restart"/>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460.61</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负责全县依法必须招标项目的招标投标公告发布、方案核准以及评标专家库、招标代理机构等实施监督管理；按照县政府政策要求，加强行业协会管理。</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招投标管理制度完善，操作实施规范，应依法必须招投标项目覆盖全面</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年内督导企业个数</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、综合事务管理</w:t>
            </w:r>
          </w:p>
        </w:tc>
        <w:tc>
          <w:tcPr>
            <w:tcW w:w="1276" w:type="dxa"/>
            <w:shd w:val="clear" w:color="auto" w:fill="auto"/>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697.18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展改革工作运转保障，包括会议组织、政务督办、档案管理、信访接待、政务信息、行政复议、对外宣传、干部培训、课题研究、调研活动等行政事务；开展党风廉政建设、政府信息公开、行政许可事项受理，信息化建设等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保障发展改革工作正常开展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bl>
    <w:p>
      <w:pPr>
        <w:spacing w:line="300" w:lineRule="exact"/>
        <w:jc w:val="left"/>
        <w:outlineLvl w:val="0"/>
        <w:sectPr>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00"/>
        <w:jc w:val="left"/>
        <w:rPr>
          <w:rFonts w:hint="eastAsia"/>
          <w:sz w:val="28"/>
          <w:lang w:val="en-US" w:eastAsia="zh-CN"/>
        </w:rPr>
      </w:pPr>
      <w:r>
        <w:rPr>
          <w:rFonts w:hint="eastAsia"/>
          <w:sz w:val="28"/>
          <w:lang w:val="en-US" w:eastAsia="zh-CN"/>
        </w:rPr>
        <w:t>2022年政府采购预算安排33.5万元，具体内容见下表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37"/>
        <w:gridCol w:w="997"/>
        <w:gridCol w:w="678"/>
        <w:gridCol w:w="1338"/>
        <w:gridCol w:w="628"/>
        <w:gridCol w:w="477"/>
        <w:gridCol w:w="741"/>
        <w:gridCol w:w="746"/>
        <w:gridCol w:w="1022"/>
        <w:gridCol w:w="678"/>
        <w:gridCol w:w="879"/>
        <w:gridCol w:w="678"/>
        <w:gridCol w:w="678"/>
        <w:gridCol w:w="779"/>
        <w:gridCol w:w="1031"/>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9"/>
            </w:pPr>
            <w:r>
              <w:t>303曹妃甸区发展和改革局</w:t>
            </w:r>
          </w:p>
        </w:tc>
        <w:tc>
          <w:tcPr>
            <w:tcW w:w="0" w:type="auto"/>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21"/>
            </w:pPr>
            <w:r>
              <w:t>政府采购项目来源</w:t>
            </w:r>
          </w:p>
        </w:tc>
        <w:tc>
          <w:tcPr>
            <w:tcW w:w="0" w:type="auto"/>
            <w:vMerge w:val="restart"/>
            <w:vAlign w:val="center"/>
          </w:tcPr>
          <w:p>
            <w:pPr>
              <w:pStyle w:val="21"/>
            </w:pPr>
            <w:r>
              <w:t>采购物品名称</w:t>
            </w:r>
          </w:p>
        </w:tc>
        <w:tc>
          <w:tcPr>
            <w:tcW w:w="0" w:type="auto"/>
            <w:vMerge w:val="restart"/>
            <w:vAlign w:val="center"/>
          </w:tcPr>
          <w:p>
            <w:pPr>
              <w:pStyle w:val="21"/>
            </w:pPr>
            <w:r>
              <w:t>政府采购目录序号</w:t>
            </w:r>
          </w:p>
        </w:tc>
        <w:tc>
          <w:tcPr>
            <w:tcW w:w="0" w:type="auto"/>
            <w:vMerge w:val="restart"/>
            <w:vAlign w:val="center"/>
          </w:tcPr>
          <w:p>
            <w:pPr>
              <w:pStyle w:val="21"/>
            </w:pPr>
            <w:r>
              <w:t>计量  单位</w:t>
            </w:r>
          </w:p>
        </w:tc>
        <w:tc>
          <w:tcPr>
            <w:tcW w:w="0" w:type="auto"/>
            <w:vMerge w:val="restart"/>
            <w:vAlign w:val="center"/>
          </w:tcPr>
          <w:p>
            <w:pPr>
              <w:pStyle w:val="21"/>
            </w:pPr>
            <w:r>
              <w:t>数量</w:t>
            </w:r>
          </w:p>
        </w:tc>
        <w:tc>
          <w:tcPr>
            <w:tcW w:w="0" w:type="auto"/>
            <w:vMerge w:val="restart"/>
            <w:vAlign w:val="center"/>
          </w:tcPr>
          <w:p>
            <w:pPr>
              <w:pStyle w:val="21"/>
            </w:pPr>
            <w:r>
              <w:t>单价</w:t>
            </w:r>
          </w:p>
        </w:tc>
        <w:tc>
          <w:tcPr>
            <w:tcW w:w="0" w:type="auto"/>
            <w:gridSpan w:val="8"/>
            <w:vAlign w:val="center"/>
          </w:tcPr>
          <w:p>
            <w:pPr>
              <w:pStyle w:val="21"/>
            </w:pPr>
            <w:r>
              <w:t>政府采购金额（当年部门预算安排资金）</w:t>
            </w:r>
          </w:p>
        </w:tc>
        <w:tc>
          <w:tcPr>
            <w:tcW w:w="0" w:type="auto"/>
            <w:vMerge w:val="restart"/>
            <w:vAlign w:val="center"/>
          </w:tcPr>
          <w:p>
            <w:pPr>
              <w:pStyle w:val="2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21"/>
            </w:pPr>
            <w:r>
              <w:t>项目名称</w:t>
            </w:r>
          </w:p>
        </w:tc>
        <w:tc>
          <w:tcPr>
            <w:tcW w:w="0" w:type="auto"/>
            <w:vAlign w:val="center"/>
          </w:tcPr>
          <w:p>
            <w:pPr>
              <w:pStyle w:val="21"/>
            </w:pPr>
            <w:r>
              <w:t>预算    资金</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Align w:val="center"/>
          </w:tcPr>
          <w:p>
            <w:pPr>
              <w:pStyle w:val="21"/>
            </w:pPr>
            <w:r>
              <w:t>合计</w:t>
            </w:r>
          </w:p>
        </w:tc>
        <w:tc>
          <w:tcPr>
            <w:tcW w:w="0" w:type="auto"/>
            <w:vAlign w:val="center"/>
          </w:tcPr>
          <w:p>
            <w:pPr>
              <w:pStyle w:val="21"/>
            </w:pPr>
            <w:r>
              <w:t>一般公共预算拨款</w:t>
            </w:r>
          </w:p>
        </w:tc>
        <w:tc>
          <w:tcPr>
            <w:tcW w:w="0" w:type="auto"/>
            <w:vAlign w:val="center"/>
          </w:tcPr>
          <w:p>
            <w:pPr>
              <w:pStyle w:val="21"/>
            </w:pPr>
            <w:r>
              <w:t>基金预算拨款</w:t>
            </w:r>
          </w:p>
        </w:tc>
        <w:tc>
          <w:tcPr>
            <w:tcW w:w="0" w:type="auto"/>
            <w:vAlign w:val="center"/>
          </w:tcPr>
          <w:p>
            <w:pPr>
              <w:pStyle w:val="21"/>
            </w:pPr>
            <w:r>
              <w:t>国有资本经营预算拨款</w:t>
            </w:r>
          </w:p>
        </w:tc>
        <w:tc>
          <w:tcPr>
            <w:tcW w:w="0" w:type="auto"/>
            <w:vAlign w:val="center"/>
          </w:tcPr>
          <w:p>
            <w:pPr>
              <w:pStyle w:val="21"/>
            </w:pPr>
            <w:r>
              <w:t>财政专户核拨</w:t>
            </w:r>
          </w:p>
        </w:tc>
        <w:tc>
          <w:tcPr>
            <w:tcW w:w="0" w:type="auto"/>
            <w:vAlign w:val="center"/>
          </w:tcPr>
          <w:p>
            <w:pPr>
              <w:pStyle w:val="21"/>
            </w:pPr>
            <w:r>
              <w:t>单位    资金</w:t>
            </w:r>
          </w:p>
        </w:tc>
        <w:tc>
          <w:tcPr>
            <w:tcW w:w="0" w:type="auto"/>
            <w:vAlign w:val="center"/>
          </w:tcPr>
          <w:p>
            <w:pPr>
              <w:pStyle w:val="21"/>
            </w:pPr>
            <w:r>
              <w:t>财政拨    款结转</w:t>
            </w:r>
          </w:p>
        </w:tc>
        <w:tc>
          <w:tcPr>
            <w:tcW w:w="0" w:type="auto"/>
            <w:vAlign w:val="center"/>
          </w:tcPr>
          <w:p>
            <w:pPr>
              <w:pStyle w:val="21"/>
            </w:pPr>
            <w:r>
              <w:t>非财政    拨款结    转结余</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22"/>
            </w:pPr>
            <w:r>
              <w:t>合  计</w:t>
            </w:r>
          </w:p>
        </w:tc>
        <w:tc>
          <w:tcPr>
            <w:tcW w:w="0" w:type="auto"/>
            <w:vAlign w:val="center"/>
          </w:tcPr>
          <w:p>
            <w:pPr>
              <w:pStyle w:val="23"/>
            </w:pPr>
          </w:p>
        </w:tc>
        <w:tc>
          <w:tcPr>
            <w:tcW w:w="0" w:type="auto"/>
            <w:vAlign w:val="center"/>
          </w:tcPr>
          <w:p>
            <w:pPr>
              <w:pStyle w:val="24"/>
            </w:pPr>
          </w:p>
        </w:tc>
        <w:tc>
          <w:tcPr>
            <w:tcW w:w="0" w:type="auto"/>
            <w:vAlign w:val="center"/>
          </w:tcPr>
          <w:p>
            <w:pPr>
              <w:pStyle w:val="24"/>
            </w:pPr>
          </w:p>
        </w:tc>
        <w:tc>
          <w:tcPr>
            <w:tcW w:w="0" w:type="auto"/>
            <w:vAlign w:val="center"/>
          </w:tcPr>
          <w:p>
            <w:pPr>
              <w:pStyle w:val="22"/>
            </w:pPr>
          </w:p>
        </w:tc>
        <w:tc>
          <w:tcPr>
            <w:tcW w:w="0" w:type="auto"/>
            <w:vAlign w:val="center"/>
          </w:tcPr>
          <w:p>
            <w:pPr>
              <w:pStyle w:val="23"/>
            </w:pPr>
          </w:p>
        </w:tc>
        <w:tc>
          <w:tcPr>
            <w:tcW w:w="0" w:type="auto"/>
            <w:vAlign w:val="center"/>
          </w:tcPr>
          <w:p>
            <w:pPr>
              <w:pStyle w:val="23"/>
            </w:pPr>
          </w:p>
        </w:tc>
        <w:tc>
          <w:tcPr>
            <w:tcW w:w="0" w:type="auto"/>
            <w:vAlign w:val="center"/>
          </w:tcPr>
          <w:p>
            <w:pPr>
              <w:pStyle w:val="23"/>
            </w:pPr>
            <w:r>
              <w:t>33.50</w:t>
            </w:r>
          </w:p>
        </w:tc>
        <w:tc>
          <w:tcPr>
            <w:tcW w:w="0" w:type="auto"/>
            <w:vAlign w:val="center"/>
          </w:tcPr>
          <w:p>
            <w:pPr>
              <w:pStyle w:val="23"/>
            </w:pPr>
            <w:r>
              <w:t>33.50</w:t>
            </w: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22"/>
            </w:pPr>
            <w:r>
              <w:t>曹妃甸区发展和改革局本级小计</w:t>
            </w:r>
          </w:p>
        </w:tc>
        <w:tc>
          <w:tcPr>
            <w:tcW w:w="0" w:type="auto"/>
            <w:vAlign w:val="center"/>
          </w:tcPr>
          <w:p>
            <w:pPr>
              <w:pStyle w:val="23"/>
            </w:pPr>
          </w:p>
        </w:tc>
        <w:tc>
          <w:tcPr>
            <w:tcW w:w="0" w:type="auto"/>
            <w:vAlign w:val="center"/>
          </w:tcPr>
          <w:p>
            <w:pPr>
              <w:pStyle w:val="24"/>
            </w:pPr>
          </w:p>
        </w:tc>
        <w:tc>
          <w:tcPr>
            <w:tcW w:w="0" w:type="auto"/>
            <w:vAlign w:val="center"/>
          </w:tcPr>
          <w:p>
            <w:pPr>
              <w:pStyle w:val="24"/>
            </w:pPr>
          </w:p>
        </w:tc>
        <w:tc>
          <w:tcPr>
            <w:tcW w:w="0" w:type="auto"/>
            <w:vAlign w:val="center"/>
          </w:tcPr>
          <w:p>
            <w:pPr>
              <w:pStyle w:val="22"/>
            </w:pPr>
          </w:p>
        </w:tc>
        <w:tc>
          <w:tcPr>
            <w:tcW w:w="0" w:type="auto"/>
            <w:vAlign w:val="center"/>
          </w:tcPr>
          <w:p>
            <w:pPr>
              <w:pStyle w:val="23"/>
            </w:pPr>
          </w:p>
        </w:tc>
        <w:tc>
          <w:tcPr>
            <w:tcW w:w="0" w:type="auto"/>
            <w:vAlign w:val="center"/>
          </w:tcPr>
          <w:p>
            <w:pPr>
              <w:pStyle w:val="23"/>
            </w:pPr>
          </w:p>
        </w:tc>
        <w:tc>
          <w:tcPr>
            <w:tcW w:w="0" w:type="auto"/>
            <w:vAlign w:val="center"/>
          </w:tcPr>
          <w:p>
            <w:pPr>
              <w:pStyle w:val="23"/>
            </w:pPr>
            <w:r>
              <w:t>33.50</w:t>
            </w:r>
          </w:p>
        </w:tc>
        <w:tc>
          <w:tcPr>
            <w:tcW w:w="0" w:type="auto"/>
            <w:vAlign w:val="center"/>
          </w:tcPr>
          <w:p>
            <w:pPr>
              <w:pStyle w:val="23"/>
            </w:pPr>
            <w:r>
              <w:t>33.50</w:t>
            </w: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p>
        </w:tc>
        <w:tc>
          <w:tcPr>
            <w:tcW w:w="0" w:type="auto"/>
            <w:vAlign w:val="center"/>
          </w:tcPr>
          <w:p>
            <w:pPr>
              <w:pStyle w:val="2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25"/>
            </w:pPr>
            <w:r>
              <w:t>公用类项目</w:t>
            </w:r>
          </w:p>
        </w:tc>
        <w:tc>
          <w:tcPr>
            <w:tcW w:w="0" w:type="auto"/>
            <w:vAlign w:val="center"/>
          </w:tcPr>
          <w:p>
            <w:pPr>
              <w:pStyle w:val="26"/>
            </w:pPr>
            <w:r>
              <w:t>68.57</w:t>
            </w:r>
          </w:p>
        </w:tc>
        <w:tc>
          <w:tcPr>
            <w:tcW w:w="0" w:type="auto"/>
            <w:vAlign w:val="center"/>
          </w:tcPr>
          <w:p>
            <w:pPr>
              <w:pStyle w:val="25"/>
            </w:pPr>
            <w:r>
              <w:t>其他印刷服务</w:t>
            </w:r>
          </w:p>
        </w:tc>
        <w:tc>
          <w:tcPr>
            <w:tcW w:w="0" w:type="auto"/>
            <w:vAlign w:val="center"/>
          </w:tcPr>
          <w:p>
            <w:pPr>
              <w:pStyle w:val="25"/>
            </w:pPr>
            <w:r>
              <w:t>C08140199</w:t>
            </w:r>
          </w:p>
        </w:tc>
        <w:tc>
          <w:tcPr>
            <w:tcW w:w="0" w:type="auto"/>
            <w:vAlign w:val="center"/>
          </w:tcPr>
          <w:p>
            <w:pPr>
              <w:pStyle w:val="27"/>
            </w:pPr>
            <w:r>
              <w:t>册</w:t>
            </w:r>
          </w:p>
        </w:tc>
        <w:tc>
          <w:tcPr>
            <w:tcW w:w="0" w:type="auto"/>
            <w:vAlign w:val="center"/>
          </w:tcPr>
          <w:p>
            <w:pPr>
              <w:pStyle w:val="26"/>
            </w:pPr>
            <w:r>
              <w:t>1</w:t>
            </w:r>
          </w:p>
        </w:tc>
        <w:tc>
          <w:tcPr>
            <w:tcW w:w="0" w:type="auto"/>
            <w:vAlign w:val="center"/>
          </w:tcPr>
          <w:p>
            <w:pPr>
              <w:pStyle w:val="26"/>
            </w:pPr>
            <w:r>
              <w:t>3.00</w:t>
            </w:r>
          </w:p>
        </w:tc>
        <w:tc>
          <w:tcPr>
            <w:tcW w:w="0" w:type="auto"/>
            <w:vAlign w:val="center"/>
          </w:tcPr>
          <w:p>
            <w:pPr>
              <w:pStyle w:val="26"/>
            </w:pPr>
            <w:r>
              <w:t>3.00</w:t>
            </w:r>
          </w:p>
        </w:tc>
        <w:tc>
          <w:tcPr>
            <w:tcW w:w="0" w:type="auto"/>
            <w:vAlign w:val="center"/>
          </w:tcPr>
          <w:p>
            <w:pPr>
              <w:pStyle w:val="26"/>
            </w:pPr>
            <w:r>
              <w:t>3.00</w:t>
            </w: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25"/>
            </w:pPr>
            <w:r>
              <w:t>重点项目跑办、粮食事务、物价监测经费</w:t>
            </w:r>
          </w:p>
        </w:tc>
        <w:tc>
          <w:tcPr>
            <w:tcW w:w="0" w:type="auto"/>
            <w:vAlign w:val="center"/>
          </w:tcPr>
          <w:p>
            <w:pPr>
              <w:pStyle w:val="26"/>
            </w:pPr>
            <w:r>
              <w:t>128.60</w:t>
            </w:r>
          </w:p>
        </w:tc>
        <w:tc>
          <w:tcPr>
            <w:tcW w:w="0" w:type="auto"/>
            <w:vAlign w:val="center"/>
          </w:tcPr>
          <w:p>
            <w:pPr>
              <w:pStyle w:val="25"/>
            </w:pPr>
            <w:r>
              <w:t>其他印刷服务</w:t>
            </w:r>
          </w:p>
        </w:tc>
        <w:tc>
          <w:tcPr>
            <w:tcW w:w="0" w:type="auto"/>
            <w:vAlign w:val="center"/>
          </w:tcPr>
          <w:p>
            <w:pPr>
              <w:pStyle w:val="25"/>
            </w:pPr>
            <w:r>
              <w:t>C08140199</w:t>
            </w:r>
          </w:p>
        </w:tc>
        <w:tc>
          <w:tcPr>
            <w:tcW w:w="0" w:type="auto"/>
            <w:vAlign w:val="center"/>
          </w:tcPr>
          <w:p>
            <w:pPr>
              <w:pStyle w:val="27"/>
            </w:pPr>
            <w:r>
              <w:t>册</w:t>
            </w:r>
          </w:p>
        </w:tc>
        <w:tc>
          <w:tcPr>
            <w:tcW w:w="0" w:type="auto"/>
            <w:vAlign w:val="center"/>
          </w:tcPr>
          <w:p>
            <w:pPr>
              <w:pStyle w:val="26"/>
            </w:pPr>
            <w:r>
              <w:t>1</w:t>
            </w:r>
          </w:p>
        </w:tc>
        <w:tc>
          <w:tcPr>
            <w:tcW w:w="0" w:type="auto"/>
            <w:vAlign w:val="center"/>
          </w:tcPr>
          <w:p>
            <w:pPr>
              <w:pStyle w:val="26"/>
            </w:pPr>
            <w:r>
              <w:t>30.50</w:t>
            </w:r>
          </w:p>
        </w:tc>
        <w:tc>
          <w:tcPr>
            <w:tcW w:w="0" w:type="auto"/>
            <w:vAlign w:val="center"/>
          </w:tcPr>
          <w:p>
            <w:pPr>
              <w:pStyle w:val="26"/>
            </w:pPr>
            <w:r>
              <w:t>30.50</w:t>
            </w:r>
          </w:p>
        </w:tc>
        <w:tc>
          <w:tcPr>
            <w:tcW w:w="0" w:type="auto"/>
            <w:vAlign w:val="center"/>
          </w:tcPr>
          <w:p>
            <w:pPr>
              <w:pStyle w:val="26"/>
            </w:pPr>
            <w:r>
              <w:t>30.50</w:t>
            </w: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p>
        </w:tc>
        <w:tc>
          <w:tcPr>
            <w:tcW w:w="0" w:type="auto"/>
            <w:vAlign w:val="center"/>
          </w:tcPr>
          <w:p>
            <w:pPr>
              <w:pStyle w:val="26"/>
            </w:pPr>
            <w:r>
              <w:t>30.50</w:t>
            </w:r>
          </w:p>
        </w:tc>
      </w:tr>
    </w:tbl>
    <w:p>
      <w:pPr>
        <w:ind w:firstLine="600"/>
        <w:jc w:val="left"/>
        <w:rPr>
          <w:rFonts w:hint="eastAsia"/>
        </w:rPr>
      </w:pPr>
      <w:r>
        <w:rPr>
          <w:rFonts w:hint="eastAsia"/>
          <w:sz w:val="28"/>
        </w:rPr>
        <w:t xml:space="preserve">  </w:t>
      </w:r>
      <w:r>
        <w:t xml:space="preserve">                                                </w:t>
      </w:r>
    </w:p>
    <w:p>
      <w:pPr>
        <w:rPr>
          <w:rFonts w:hint="eastAsia" w:ascii="黑体" w:hAnsi="黑体" w:eastAsia="黑体" w:cs="黑体"/>
          <w:sz w:val="32"/>
          <w:szCs w:val="32"/>
        </w:rPr>
      </w:pPr>
      <w:r>
        <w:rPr>
          <w:rFonts w:hint="eastAsia"/>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七、国有资产信息</w:t>
      </w:r>
    </w:p>
    <w:p>
      <w:pPr>
        <w:rPr>
          <w:rFonts w:hint="default" w:ascii="仿宋" w:hAnsi="仿宋" w:eastAsia="仿宋" w:cs="仿宋"/>
          <w:sz w:val="32"/>
          <w:szCs w:val="32"/>
          <w:lang w:val="en-US" w:eastAsia="zh-CN"/>
        </w:rPr>
      </w:pP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217.90</w:t>
      </w:r>
      <w:r>
        <w:rPr>
          <w:rFonts w:hint="eastAsia" w:ascii="仿宋" w:hAnsi="仿宋" w:eastAsia="仿宋" w:cs="仿宋"/>
          <w:sz w:val="32"/>
          <w:szCs w:val="32"/>
        </w:rPr>
        <w:t>万元（详见下表）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本年度拟购置资产0万元，每项均在20万元以下。</w:t>
      </w:r>
    </w:p>
    <w:p>
      <w:pPr>
        <w:ind w:firstLine="640"/>
        <w:rPr>
          <w:rFonts w:ascii="仿宋_GB2312" w:hAnsi="黑体" w:eastAsia="仿宋_GB2312" w:cs="Times New Roman"/>
          <w:color w:val="auto"/>
          <w:sz w:val="32"/>
          <w:szCs w:val="32"/>
          <w:highlight w:val="yellow"/>
          <w:shd w:val="clear" w:color="FFFFFF" w:fill="D9D9D9"/>
        </w:rPr>
      </w:pPr>
    </w:p>
    <w:tbl>
      <w:tblPr>
        <w:tblStyle w:val="9"/>
        <w:tblW w:w="13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pPr>
            <w:r>
              <w:rPr>
                <w:rFonts w:hint="eastAsia"/>
                <w:b/>
                <w:bCs/>
                <w:sz w:val="32"/>
                <w:szCs w:val="32"/>
                <w:lang w:eastAsia="zh-CN"/>
              </w:rPr>
              <w:t>唐山市曹妃甸区发展和改革局</w:t>
            </w:r>
            <w:r>
              <w:rPr>
                <w:rFonts w:hint="eastAsia"/>
                <w:b/>
                <w:bCs/>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both"/>
              <w:rPr>
                <w:rFonts w:hint="default" w:ascii="宋体" w:hAnsi="宋体" w:eastAsia="宋体" w:cs="宋体"/>
                <w:sz w:val="22"/>
                <w:szCs w:val="22"/>
                <w:lang w:val="en-US" w:eastAsia="zh-CN"/>
              </w:rPr>
            </w:pPr>
            <w:r>
              <w:rPr>
                <w:rFonts w:hint="eastAsia" w:ascii="宋体" w:hAnsi="宋体" w:eastAsia="宋体" w:cs="宋体"/>
                <w:sz w:val="22"/>
                <w:szCs w:val="22"/>
              </w:rPr>
              <w:t>编制部门：</w:t>
            </w:r>
            <w:r>
              <w:rPr>
                <w:rFonts w:hint="eastAsia" w:ascii="宋体" w:hAnsi="宋体" w:cs="宋体"/>
                <w:sz w:val="22"/>
                <w:szCs w:val="22"/>
                <w:lang w:val="en-US" w:eastAsia="zh-CN"/>
              </w:rPr>
              <w:t>唐山市曹妃甸区发展和改革局</w:t>
            </w:r>
          </w:p>
        </w:tc>
        <w:tc>
          <w:tcPr>
            <w:tcW w:w="5103" w:type="dxa"/>
            <w:tcBorders>
              <w:top w:val="nil"/>
              <w:left w:val="nil"/>
              <w:bottom w:val="nil"/>
              <w:right w:val="nil"/>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截止时间：20</w:t>
            </w:r>
            <w:r>
              <w:rPr>
                <w:rFonts w:hint="eastAsia" w:ascii="宋体" w:hAnsi="宋体" w:cs="宋体"/>
                <w:sz w:val="22"/>
                <w:szCs w:val="22"/>
                <w:lang w:val="en-US" w:eastAsia="zh-CN"/>
              </w:rPr>
              <w:t>21</w:t>
            </w:r>
            <w:r>
              <w:rPr>
                <w:rFonts w:hint="eastAsia" w:ascii="宋体" w:hAnsi="宋体" w:eastAsia="宋体" w:cs="宋体"/>
                <w:sz w:val="22"/>
                <w:szCs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2"/>
                <w:szCs w:val="22"/>
              </w:rPr>
            </w:pPr>
            <w:r>
              <w:rPr>
                <w:rFonts w:hint="eastAsia" w:ascii="宋体" w:hAnsi="宋体" w:eastAsia="宋体" w:cs="宋体"/>
                <w:b/>
                <w:bCs/>
                <w:sz w:val="22"/>
                <w:szCs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资产总额</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1、房屋（平方米）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其中：办公用房（平方米）</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2、车辆（台、辆）</w:t>
            </w:r>
          </w:p>
        </w:tc>
        <w:tc>
          <w:tcPr>
            <w:tcW w:w="3155"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4、其他固定资产</w:t>
            </w:r>
          </w:p>
        </w:tc>
        <w:tc>
          <w:tcPr>
            <w:tcW w:w="3155" w:type="dxa"/>
            <w:tcBorders>
              <w:top w:val="nil"/>
              <w:left w:val="nil"/>
              <w:bottom w:val="single" w:color="auto" w:sz="4" w:space="0"/>
              <w:right w:val="single" w:color="auto" w:sz="4"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w:t>
            </w:r>
          </w:p>
        </w:tc>
        <w:tc>
          <w:tcPr>
            <w:tcW w:w="5103" w:type="dxa"/>
            <w:tcBorders>
              <w:top w:val="nil"/>
              <w:left w:val="nil"/>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165.89</w:t>
            </w:r>
          </w:p>
        </w:tc>
      </w:tr>
    </w:tbl>
    <w:p>
      <w:pPr>
        <w:rPr>
          <w:rFonts w:hint="eastAsia"/>
          <w:lang w:val="en-US" w:eastAsia="zh-CN"/>
        </w:rPr>
      </w:pP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1、一般预算收入：本级财政当年拨付的资金。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w:t>
      </w:r>
      <w:r>
        <w:rPr>
          <w:rFonts w:hint="eastAsia" w:ascii="仿宋_GB2312" w:hAnsi="仿宋_GB2312" w:eastAsia="仿宋_GB2312" w:cs="仿宋_GB2312"/>
          <w:sz w:val="32"/>
          <w:szCs w:val="32"/>
          <w:lang w:eastAsia="zh-CN"/>
        </w:rPr>
        <w:t>办公费、印刷费、电费、邮电费、差旅费、福利费、公务车运行维护费、委托业务费</w:t>
      </w:r>
      <w:r>
        <w:rPr>
          <w:rFonts w:hint="eastAsia" w:ascii="仿宋_GB2312" w:hAnsi="仿宋_GB2312" w:eastAsia="仿宋_GB2312" w:cs="仿宋_GB2312"/>
          <w:sz w:val="32"/>
          <w:szCs w:val="32"/>
          <w:lang w:val="en-US" w:eastAsia="zh-CN"/>
        </w:rPr>
        <w:t>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r>
        <w:t xml:space="preserve">         </w:t>
      </w:r>
    </w:p>
    <w:sectPr>
      <w:headerReference r:id="rId3" w:type="default"/>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FjNjRiZjBhNTRkOTRmMzNlZjczYTViMzIxNzk1MTMifQ=="/>
  </w:docVars>
  <w:rsids>
    <w:rsidRoot w:val="00172A27"/>
    <w:rsid w:val="01E255E9"/>
    <w:rsid w:val="01FB0BA4"/>
    <w:rsid w:val="02335EF2"/>
    <w:rsid w:val="024034B9"/>
    <w:rsid w:val="067319FF"/>
    <w:rsid w:val="081465EC"/>
    <w:rsid w:val="0896008C"/>
    <w:rsid w:val="08B872E5"/>
    <w:rsid w:val="0911508A"/>
    <w:rsid w:val="0D3D7863"/>
    <w:rsid w:val="0E5869F0"/>
    <w:rsid w:val="0EB022FF"/>
    <w:rsid w:val="0F711230"/>
    <w:rsid w:val="0FEF6B57"/>
    <w:rsid w:val="101F1AB4"/>
    <w:rsid w:val="11B14DCE"/>
    <w:rsid w:val="11BD51BB"/>
    <w:rsid w:val="124A0C2F"/>
    <w:rsid w:val="133B3F6F"/>
    <w:rsid w:val="13FE75A2"/>
    <w:rsid w:val="142C45C0"/>
    <w:rsid w:val="14B90BB4"/>
    <w:rsid w:val="15177AF2"/>
    <w:rsid w:val="173B5C25"/>
    <w:rsid w:val="173E1959"/>
    <w:rsid w:val="17A43CFF"/>
    <w:rsid w:val="17B27C12"/>
    <w:rsid w:val="182B5206"/>
    <w:rsid w:val="18E406CF"/>
    <w:rsid w:val="1A6C0E84"/>
    <w:rsid w:val="1A7C3068"/>
    <w:rsid w:val="1B081771"/>
    <w:rsid w:val="1B6C046B"/>
    <w:rsid w:val="1C5A49B1"/>
    <w:rsid w:val="1C6D28A3"/>
    <w:rsid w:val="1CC5044C"/>
    <w:rsid w:val="1DC43078"/>
    <w:rsid w:val="1E7A59F6"/>
    <w:rsid w:val="1E8A0D90"/>
    <w:rsid w:val="1F436A91"/>
    <w:rsid w:val="20490F69"/>
    <w:rsid w:val="20880B42"/>
    <w:rsid w:val="20D06600"/>
    <w:rsid w:val="235A35FF"/>
    <w:rsid w:val="238603F0"/>
    <w:rsid w:val="23DC6899"/>
    <w:rsid w:val="253476E6"/>
    <w:rsid w:val="2573511A"/>
    <w:rsid w:val="265F4F62"/>
    <w:rsid w:val="26A175C9"/>
    <w:rsid w:val="26B55F79"/>
    <w:rsid w:val="2968695E"/>
    <w:rsid w:val="2A043840"/>
    <w:rsid w:val="2B2D036C"/>
    <w:rsid w:val="2B6670A2"/>
    <w:rsid w:val="2C343CEB"/>
    <w:rsid w:val="2C7359FE"/>
    <w:rsid w:val="2C973BA3"/>
    <w:rsid w:val="2C980AD7"/>
    <w:rsid w:val="2CCD79DF"/>
    <w:rsid w:val="2CD91EE1"/>
    <w:rsid w:val="2CF27E86"/>
    <w:rsid w:val="2D3D47D0"/>
    <w:rsid w:val="2D9F209F"/>
    <w:rsid w:val="2DFA07EA"/>
    <w:rsid w:val="2FAF2DC0"/>
    <w:rsid w:val="30D91266"/>
    <w:rsid w:val="3139007C"/>
    <w:rsid w:val="32765951"/>
    <w:rsid w:val="32AB630F"/>
    <w:rsid w:val="32CD098A"/>
    <w:rsid w:val="33A15908"/>
    <w:rsid w:val="33A27A5E"/>
    <w:rsid w:val="33CE6897"/>
    <w:rsid w:val="344B299B"/>
    <w:rsid w:val="35DE5241"/>
    <w:rsid w:val="35EF4C98"/>
    <w:rsid w:val="36E017BE"/>
    <w:rsid w:val="37020B3A"/>
    <w:rsid w:val="37346343"/>
    <w:rsid w:val="376059F1"/>
    <w:rsid w:val="376B2DF9"/>
    <w:rsid w:val="38185DCB"/>
    <w:rsid w:val="383032EE"/>
    <w:rsid w:val="39B624A1"/>
    <w:rsid w:val="3B273268"/>
    <w:rsid w:val="3B8831FB"/>
    <w:rsid w:val="3B9D05E2"/>
    <w:rsid w:val="3B9D3F7B"/>
    <w:rsid w:val="3BC06A63"/>
    <w:rsid w:val="3CA80DB5"/>
    <w:rsid w:val="3DC811C1"/>
    <w:rsid w:val="3F675A63"/>
    <w:rsid w:val="3FCA05AF"/>
    <w:rsid w:val="400F6D09"/>
    <w:rsid w:val="417B1318"/>
    <w:rsid w:val="41DD0728"/>
    <w:rsid w:val="42646472"/>
    <w:rsid w:val="427D1357"/>
    <w:rsid w:val="42835482"/>
    <w:rsid w:val="43420C26"/>
    <w:rsid w:val="442A3AA9"/>
    <w:rsid w:val="448C6D81"/>
    <w:rsid w:val="44A93FD0"/>
    <w:rsid w:val="460974D0"/>
    <w:rsid w:val="477E5776"/>
    <w:rsid w:val="47E52DBD"/>
    <w:rsid w:val="48E3630B"/>
    <w:rsid w:val="495757E8"/>
    <w:rsid w:val="49FE28A6"/>
    <w:rsid w:val="4D667939"/>
    <w:rsid w:val="4D6C3DFF"/>
    <w:rsid w:val="4EFF208A"/>
    <w:rsid w:val="4F762266"/>
    <w:rsid w:val="4F9D17D6"/>
    <w:rsid w:val="4FBC277B"/>
    <w:rsid w:val="4FF50776"/>
    <w:rsid w:val="507B57E7"/>
    <w:rsid w:val="516D3442"/>
    <w:rsid w:val="51E13594"/>
    <w:rsid w:val="51FE2333"/>
    <w:rsid w:val="522205F8"/>
    <w:rsid w:val="525A132C"/>
    <w:rsid w:val="52F74406"/>
    <w:rsid w:val="53934B54"/>
    <w:rsid w:val="54B75209"/>
    <w:rsid w:val="55490586"/>
    <w:rsid w:val="56412769"/>
    <w:rsid w:val="56456ADF"/>
    <w:rsid w:val="56A439CF"/>
    <w:rsid w:val="57000976"/>
    <w:rsid w:val="588958A6"/>
    <w:rsid w:val="589A500C"/>
    <w:rsid w:val="58EF0A49"/>
    <w:rsid w:val="594A1907"/>
    <w:rsid w:val="5A227BBC"/>
    <w:rsid w:val="5AA8643C"/>
    <w:rsid w:val="5C5C3E00"/>
    <w:rsid w:val="5CF32068"/>
    <w:rsid w:val="5CFF519B"/>
    <w:rsid w:val="5E052238"/>
    <w:rsid w:val="5FE279F9"/>
    <w:rsid w:val="62066A9A"/>
    <w:rsid w:val="63F43330"/>
    <w:rsid w:val="64A475E0"/>
    <w:rsid w:val="666369ED"/>
    <w:rsid w:val="66BE64D0"/>
    <w:rsid w:val="67C9021A"/>
    <w:rsid w:val="67DC6689"/>
    <w:rsid w:val="6A4C6835"/>
    <w:rsid w:val="6A6F47D4"/>
    <w:rsid w:val="6B7329FB"/>
    <w:rsid w:val="6BDC690F"/>
    <w:rsid w:val="6BF81301"/>
    <w:rsid w:val="6CB176F1"/>
    <w:rsid w:val="6DD3630B"/>
    <w:rsid w:val="6F123BFA"/>
    <w:rsid w:val="6FF45727"/>
    <w:rsid w:val="712552E9"/>
    <w:rsid w:val="71EC40C7"/>
    <w:rsid w:val="72515FE8"/>
    <w:rsid w:val="72FA0020"/>
    <w:rsid w:val="73F82226"/>
    <w:rsid w:val="74871138"/>
    <w:rsid w:val="76DB4D4F"/>
    <w:rsid w:val="779F354D"/>
    <w:rsid w:val="78626282"/>
    <w:rsid w:val="7944331F"/>
    <w:rsid w:val="79CD23A7"/>
    <w:rsid w:val="7A4D1E47"/>
    <w:rsid w:val="7AEC23D6"/>
    <w:rsid w:val="7B061C93"/>
    <w:rsid w:val="7B7B6697"/>
    <w:rsid w:val="7BBC722B"/>
    <w:rsid w:val="7BFB2973"/>
    <w:rsid w:val="7C9A7756"/>
    <w:rsid w:val="7C9C5543"/>
    <w:rsid w:val="7D871CB4"/>
    <w:rsid w:val="7F535DD4"/>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rPr>
      <w:rFonts w:cs="Times New Roman"/>
    </w:rPr>
  </w:style>
  <w:style w:type="character" w:styleId="13">
    <w:name w:val="Hyperlink"/>
    <w:qFormat/>
    <w:uiPriority w:val="0"/>
    <w:rPr>
      <w:color w:val="0000FF"/>
      <w:u w:val="single"/>
    </w:rPr>
  </w:style>
  <w:style w:type="character" w:customStyle="1" w:styleId="14">
    <w:name w:val="页脚 Char"/>
    <w:basedOn w:val="11"/>
    <w:link w:val="3"/>
    <w:semiHidden/>
    <w:qFormat/>
    <w:uiPriority w:val="0"/>
    <w:rPr>
      <w:rFonts w:ascii="Times New Roman" w:hAnsi="Times New Roman" w:eastAsia="宋体" w:cs="Times New Roman"/>
      <w:sz w:val="18"/>
      <w:szCs w:val="18"/>
    </w:rPr>
  </w:style>
  <w:style w:type="character" w:customStyle="1" w:styleId="15">
    <w:name w:val="页眉 Char"/>
    <w:basedOn w:val="11"/>
    <w:link w:val="4"/>
    <w:semiHidden/>
    <w:qFormat/>
    <w:uiPriority w:val="0"/>
    <w:rPr>
      <w:rFonts w:ascii="Times New Roman" w:hAnsi="Times New Roman" w:eastAsia="宋体" w:cs="Times New Roman"/>
      <w:sz w:val="18"/>
      <w:szCs w:val="18"/>
    </w:rPr>
  </w:style>
  <w:style w:type="character" w:customStyle="1" w:styleId="16">
    <w:name w:val="page number"/>
    <w:basedOn w:val="11"/>
    <w:qFormat/>
    <w:uiPriority w:val="0"/>
  </w:style>
  <w:style w:type="character" w:customStyle="1" w:styleId="17">
    <w:name w:val="font11"/>
    <w:basedOn w:val="11"/>
    <w:qFormat/>
    <w:uiPriority w:val="0"/>
    <w:rPr>
      <w:rFonts w:hint="eastAsia" w:ascii="宋体" w:hAnsi="宋体" w:eastAsia="宋体" w:cs="宋体"/>
      <w:color w:val="000000"/>
      <w:sz w:val="18"/>
      <w:szCs w:val="18"/>
      <w:u w:val="none"/>
    </w:rPr>
  </w:style>
  <w:style w:type="paragraph" w:customStyle="1" w:styleId="1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8139</Words>
  <Characters>8683</Characters>
  <Lines>5</Lines>
  <Paragraphs>1</Paragraphs>
  <TotalTime>1</TotalTime>
  <ScaleCrop>false</ScaleCrop>
  <LinksUpToDate>false</LinksUpToDate>
  <CharactersWithSpaces>8823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^_^^_^</cp:lastModifiedBy>
  <cp:lastPrinted>2017-05-03T09:08:00Z</cp:lastPrinted>
  <dcterms:modified xsi:type="dcterms:W3CDTF">2023-09-01T02:00:47Z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FB81036F506E41EB8A4C7879D67D82D0</vt:lpwstr>
  </property>
  <property fmtid="{D5CDD505-2E9C-101B-9397-08002B2CF9AE}" pid="4" name="commondata">
    <vt:lpwstr>eyJoZGlkIjoiNmEyYzA5NzU1ZTJhYjUxZmM4ZDYyOGJkMjk2NTM4YWEifQ==</vt:lpwstr>
  </property>
</Properties>
</file>