
<file path=[Content_Types].xml><?xml version="1.0" encoding="utf-8"?>
<Types xmlns="http://schemas.openxmlformats.org/package/2006/content-types">
  <Default Extension="xml" ContentType="application/xml"/>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drawing>
          <wp:inline distT="0" distB="0" distL="114300" distR="114300">
            <wp:extent cx="5574030" cy="7432040"/>
            <wp:effectExtent l="0" t="0" r="7620" b="16510"/>
            <wp:docPr id="23" name="图片 23" descr="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正"/>
                    <pic:cNvPicPr>
                      <a:picLocks noChangeAspect="1"/>
                    </pic:cNvPicPr>
                  </pic:nvPicPr>
                  <pic:blipFill>
                    <a:blip r:embed="rId25"/>
                    <a:stretch>
                      <a:fillRect/>
                    </a:stretch>
                  </pic:blipFill>
                  <pic:spPr>
                    <a:xfrm>
                      <a:off x="0" y="0"/>
                      <a:ext cx="5574030" cy="7432040"/>
                    </a:xfrm>
                    <a:prstGeom prst="rect">
                      <a:avLst/>
                    </a:prstGeom>
                  </pic:spPr>
                </pic:pic>
              </a:graphicData>
            </a:graphic>
          </wp:inline>
        </w:drawing>
      </w: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sz w:val="56"/>
          <w:szCs w:val="72"/>
          <w:lang w:val="en-US" w:eastAsia="zh-CN"/>
        </w:rPr>
      </w:pPr>
      <w:r>
        <w:rPr>
          <w:rFonts w:hint="eastAsia" w:ascii="黑体" w:hAnsi="黑体" w:eastAsia="黑体" w:cs="黑体"/>
          <w:sz w:val="56"/>
          <w:szCs w:val="72"/>
          <w:lang w:val="en-US" w:eastAsia="zh-CN"/>
        </w:rPr>
        <w:drawing>
          <wp:inline distT="0" distB="0" distL="114300" distR="114300">
            <wp:extent cx="5574030" cy="7432040"/>
            <wp:effectExtent l="0" t="0" r="7620" b="16510"/>
            <wp:docPr id="24" name="图片 24" descr="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反"/>
                    <pic:cNvPicPr>
                      <a:picLocks noChangeAspect="1"/>
                    </pic:cNvPicPr>
                  </pic:nvPicPr>
                  <pic:blipFill>
                    <a:blip r:embed="rId26"/>
                    <a:stretch>
                      <a:fillRect/>
                    </a:stretch>
                  </pic:blipFill>
                  <pic:spPr>
                    <a:xfrm>
                      <a:off x="0" y="0"/>
                      <a:ext cx="5574030" cy="7432040"/>
                    </a:xfrm>
                    <a:prstGeom prst="rect">
                      <a:avLst/>
                    </a:prstGeom>
                  </pic:spPr>
                </pic:pic>
              </a:graphicData>
            </a:graphic>
          </wp:inline>
        </w:drawing>
      </w: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中共唐山市曹妃甸区委网络安全和信息化委员会办公室</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二〇二〇年七月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r>
        <w:rPr>
          <w:rFonts w:hint="eastAsia" w:ascii="Times New Roman" w:hAnsi="Times New Roman" w:eastAsia="仿宋_GB2312" w:cs="Times New Roman"/>
          <w:sz w:val="32"/>
          <w:szCs w:val="32"/>
          <w:lang w:val="en-US" w:eastAsia="zh-CN"/>
        </w:rPr>
        <w:t xml:space="preserve"> </w:t>
      </w:r>
    </w:p>
    <w:p>
      <w:pPr>
        <w:widowControl/>
        <w:numPr>
          <w:ilvl w:val="0"/>
          <w:numId w:val="1"/>
        </w:numPr>
        <w:spacing w:after="160" w:line="580" w:lineRule="exact"/>
        <w:ind w:firstLine="1273" w:firstLineChars="398"/>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机构设置</w:t>
      </w:r>
    </w:p>
    <w:p>
      <w:pPr>
        <w:widowControl/>
        <w:numPr>
          <w:ilvl w:val="0"/>
          <w:numId w:val="0"/>
        </w:numPr>
        <w:spacing w:after="160" w:line="580" w:lineRule="exact"/>
        <w:rPr>
          <w:rFonts w:hint="eastAsia" w:ascii="Times New Roman" w:hAnsi="Times New Roman" w:eastAsia="仿宋_GB2312" w:cs="Times New Roman"/>
          <w:sz w:val="32"/>
          <w:szCs w:val="32"/>
          <w:lang w:val="en-US" w:eastAsia="zh-CN"/>
        </w:rPr>
      </w:pP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focussize="0,0" r:id="rId27"/>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numPr>
          <w:ilvl w:val="0"/>
          <w:numId w:val="2"/>
        </w:numPr>
        <w:kinsoku/>
        <w:wordWrap/>
        <w:overflowPunct/>
        <w:topLinePunct w:val="0"/>
        <w:autoSpaceDE/>
        <w:autoSpaceDN/>
        <w:bidi w:val="0"/>
        <w:adjustRightInd/>
        <w:snapToGrid/>
        <w:spacing w:before="0" w:after="0" w:line="580" w:lineRule="exact"/>
        <w:ind w:firstLine="640" w:firstLineChars="200"/>
        <w:jc w:val="left"/>
        <w:textAlignment w:val="auto"/>
        <w:rPr>
          <w:rFonts w:hint="eastAsia"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部门职责</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．主要职能</w:t>
      </w:r>
    </w:p>
    <w:p>
      <w:pPr>
        <w:spacing w:line="560" w:lineRule="exact"/>
        <w:ind w:firstLine="640" w:firstLineChars="200"/>
        <w:rPr>
          <w:rFonts w:hint="eastAsia" w:ascii="方正黑体简体" w:hAnsi="仿宋_GB2312" w:eastAsia="方正黑体简体" w:cs="仿宋_GB2312"/>
          <w:sz w:val="32"/>
          <w:szCs w:val="32"/>
        </w:rPr>
      </w:pPr>
      <w:r>
        <w:rPr>
          <w:rFonts w:hint="eastAsia" w:ascii="方正黑体简体" w:hAnsi="仿宋_GB2312" w:eastAsia="方正黑体简体" w:cs="仿宋_GB2312"/>
          <w:sz w:val="32"/>
          <w:szCs w:val="32"/>
        </w:rPr>
        <w:t>一、深化机构改革</w:t>
      </w:r>
    </w:p>
    <w:p>
      <w:pPr>
        <w:spacing w:line="560" w:lineRule="exact"/>
        <w:ind w:firstLine="640" w:firstLineChars="200"/>
        <w:rPr>
          <w:rFonts w:hint="eastAsia" w:ascii="方正仿宋简体" w:hAnsi="仿宋_GB2312" w:eastAsia="方正仿宋简体" w:cs="仿宋_GB2312"/>
          <w:sz w:val="32"/>
          <w:szCs w:val="32"/>
        </w:rPr>
      </w:pPr>
      <w:r>
        <w:rPr>
          <w:rFonts w:hint="eastAsia" w:ascii="方正仿宋简体" w:hAnsi="仿宋_GB2312" w:eastAsia="方正仿宋简体" w:cs="仿宋_GB2312"/>
          <w:sz w:val="32"/>
          <w:szCs w:val="32"/>
        </w:rPr>
        <w:t>区委、区政府对全区网络安全和信息化工作给予高度重视和全力支持。按照机构改革的时间节点，区委印发文件明确了区委网信委的领导和成员。2019年1月，区委网信办正式挂牌成立，制定印发《中共唐山市曹妃甸区委网络安全和信息化委员会办公室职能配置、内设机构和人员编制规定》，迅速完成人员转隶、办公地点、财务账户、档案交接等各项基础工作，成立了区委网信办党支部，组建了一支能懂网、会用网的专业网信队伍。区委网信办统筹全区100多个政务新媒体阵地，将全市首家经民政机构审批的区互联网协会及其成员全部纳入统一管理，与</w:t>
      </w:r>
      <w:r>
        <w:rPr>
          <w:rFonts w:hint="eastAsia" w:ascii="方正仿宋简体" w:eastAsia="方正仿宋简体"/>
          <w:sz w:val="32"/>
          <w:szCs w:val="32"/>
        </w:rPr>
        <w:t>14家</w:t>
      </w:r>
      <w:r>
        <w:rPr>
          <w:rFonts w:hint="eastAsia" w:ascii="方正仿宋简体" w:hAnsi="仿宋_GB2312" w:eastAsia="方正仿宋简体" w:cs="仿宋_GB2312"/>
          <w:sz w:val="32"/>
          <w:szCs w:val="32"/>
        </w:rPr>
        <w:t>全国重点新闻和商业网站保持密切联系，在发生重大网络舆情时，能够调动网络平台形成强大合力，做到在较短时间内引导舆论、驳斥谣言、以正视听。</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二、严格网络管理</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组织开展“燕赵净网·2019”暨“清朗”系列专项整治和网络生态治理专项行动，做好敏感节点的网络舆情保障工作和各类有害信息的及时上报。制定了《曹妃甸区“清朗·燕赵净网2019”专项行动方案》，成立了相关成员单位组成的领导小组。为加强互联网管理执法协调联动，制定了《曹妃甸区互联网信息内容管理执法协调工作机制》，进一步提高网络综合治理能力。截止目前，我办共发现上报谣言类和虚假信息类7个，政治类有害信息2个，色情低俗庸俗类网站1个。印发了《关于进一步规范全区政务新媒体运维管理的通知》，对全区政务新媒体重新进行摸排整改，加强对全区政务新媒体管理，确保政务新媒体运行安全、健康发展。强化新媒体领域新的社会阶层的统战工作，对网络“大V”加强互动沟通，增进政治认同，实现正面发声。</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三、筑牢安全防线</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一是集中开展全区政务网站、政务新媒体以及自媒体的涉网安全检查和督导活动，形成共同防范网络风险、维护网络安全的良好氛围，防范化解不良信息传播风险点。首次开展属地网站和自媒体基础信息摸底调研工作，对595个属地网站的数据信息逐一进行核实，发现存在各类问题的网站430个，正常访问165个。二是</w:t>
      </w:r>
      <w:r>
        <w:rPr>
          <w:rFonts w:hint="eastAsia" w:eastAsia="方正仿宋简体"/>
          <w:sz w:val="32"/>
          <w:szCs w:val="32"/>
        </w:rPr>
        <w:t>开展公共区域LED屏幕整治专项行动，对</w:t>
      </w:r>
      <w:r>
        <w:rPr>
          <w:rFonts w:eastAsia="方正仿宋简体"/>
          <w:sz w:val="32"/>
          <w:szCs w:val="32"/>
        </w:rPr>
        <w:t>辖区各</w:t>
      </w:r>
      <w:r>
        <w:rPr>
          <w:rFonts w:hint="eastAsia" w:eastAsia="方正仿宋简体"/>
          <w:sz w:val="32"/>
          <w:szCs w:val="32"/>
        </w:rPr>
        <w:t>主要路段、</w:t>
      </w:r>
      <w:r>
        <w:rPr>
          <w:rFonts w:eastAsia="方正仿宋简体"/>
          <w:sz w:val="32"/>
          <w:szCs w:val="32"/>
        </w:rPr>
        <w:t>车站、医院、宾馆、商场</w:t>
      </w:r>
      <w:r>
        <w:rPr>
          <w:rFonts w:hint="eastAsia" w:eastAsia="方正仿宋简体"/>
          <w:sz w:val="32"/>
          <w:szCs w:val="32"/>
        </w:rPr>
        <w:t>、学校、广场</w:t>
      </w:r>
      <w:r>
        <w:rPr>
          <w:rFonts w:eastAsia="方正仿宋简体"/>
          <w:sz w:val="32"/>
          <w:szCs w:val="32"/>
        </w:rPr>
        <w:t>等公共场所</w:t>
      </w:r>
      <w:r>
        <w:rPr>
          <w:rFonts w:hint="eastAsia" w:eastAsia="方正仿宋简体"/>
          <w:sz w:val="32"/>
          <w:szCs w:val="32"/>
        </w:rPr>
        <w:t>进行重点排查，</w:t>
      </w:r>
      <w:r>
        <w:rPr>
          <w:rFonts w:eastAsia="方正仿宋简体"/>
          <w:sz w:val="32"/>
          <w:szCs w:val="32"/>
        </w:rPr>
        <w:t>全面掌握</w:t>
      </w:r>
      <w:r>
        <w:rPr>
          <w:rFonts w:hint="eastAsia" w:eastAsia="方正仿宋简体"/>
          <w:sz w:val="32"/>
          <w:szCs w:val="32"/>
        </w:rPr>
        <w:t>776块</w:t>
      </w:r>
      <w:r>
        <w:rPr>
          <w:rFonts w:eastAsia="方正仿宋简体"/>
          <w:sz w:val="32"/>
          <w:szCs w:val="32"/>
        </w:rPr>
        <w:t>LED电子显示屏情况，建立安全管理工作台账，</w:t>
      </w:r>
      <w:r>
        <w:rPr>
          <w:rFonts w:hint="eastAsia" w:eastAsia="方正仿宋简体"/>
          <w:sz w:val="32"/>
          <w:szCs w:val="32"/>
        </w:rPr>
        <w:t>确保排查工作无隐患。三是全面开展网络安全风险隐患自查评估工作，组织辖区内网站及企事业单位办公电脑进行安全风险隐患自查整改，督导各单位对查找到的漏洞进行修复。对全区场镇、园区管委会、企事业单位、重点行业部门等进行常态化网络安全检查，对查出的问题逐一登记整改。四是召开庆祝新中国成立70周年网络安全保障工作部署暨培训会，坚决防范化解网络安全重大风险，遏制网络安全重大事故发生。五是推进系列专项行动，加强重点领域防护，开展网络安全责任制督导、网络安全风险隐患整治、互联网网站安全整治、关键信息基础设施安全隐患排查、打击网络违法犯罪和网络黑产、公共区域LED屏幕整治、网络安全知识宣传教育专项行动。六是组织开展2019年网络安全宣传周，在全省各区县首次开展网络安全应急演练活动。</w:t>
      </w:r>
    </w:p>
    <w:p>
      <w:pPr>
        <w:spacing w:line="560" w:lineRule="exact"/>
        <w:ind w:firstLine="640" w:firstLineChars="200"/>
        <w:rPr>
          <w:rFonts w:hint="eastAsia" w:ascii="方正黑体简体" w:hAnsi="黑体" w:eastAsia="方正黑体简体"/>
          <w:sz w:val="32"/>
          <w:szCs w:val="32"/>
        </w:rPr>
      </w:pPr>
      <w:r>
        <w:rPr>
          <w:rFonts w:hint="eastAsia" w:ascii="方正黑体简体" w:hAnsi="黑体" w:eastAsia="方正黑体简体"/>
          <w:sz w:val="32"/>
          <w:szCs w:val="32"/>
        </w:rPr>
        <w:t>四、加强舆情应对</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全力做好涉曹网络舆情监控、研判、上报、处置工作，将其作为网信工作的头等大事，作为考量自身工作合格与否的第一标准。无论是工作时间还是节假日，严格执行双人24小时值班制度，软件监控和人工监控相结合，不断细化《网络舆情应对工作流程》、《网络舆情危机应对工作方案》，持续完善《网上突发事件应急处置预案》，探索应急处置的模板化。</w:t>
      </w:r>
      <w:r>
        <w:rPr>
          <w:rFonts w:hint="eastAsia" w:ascii="方正仿宋简体" w:eastAsia="方正仿宋简体"/>
          <w:sz w:val="32"/>
          <w:szCs w:val="32"/>
        </w:rPr>
        <w:t>针对石化产业、金融债务、问题项目、生态环境、安全生产、民生保障等敏感领域，提前做好关键词设置，</w:t>
      </w:r>
      <w:r>
        <w:rPr>
          <w:rFonts w:hint="eastAsia" w:ascii="方正仿宋简体" w:hAnsi="仿宋" w:eastAsia="方正仿宋简体"/>
          <w:sz w:val="32"/>
          <w:szCs w:val="32"/>
        </w:rPr>
        <w:t>今年以来，</w:t>
      </w:r>
      <w:r>
        <w:rPr>
          <w:rFonts w:eastAsia="方正仿宋简体"/>
          <w:sz w:val="32"/>
          <w:szCs w:val="32"/>
        </w:rPr>
        <w:t>共上报涉唐负面舆情</w:t>
      </w:r>
      <w:r>
        <w:rPr>
          <w:rFonts w:hint="eastAsia" w:eastAsia="方正仿宋简体"/>
          <w:sz w:val="32"/>
          <w:szCs w:val="32"/>
        </w:rPr>
        <w:t>8697</w:t>
      </w:r>
      <w:r>
        <w:rPr>
          <w:rFonts w:eastAsia="方正仿宋简体"/>
          <w:sz w:val="32"/>
          <w:szCs w:val="32"/>
        </w:rPr>
        <w:t>条，其中涉曹舆情</w:t>
      </w:r>
      <w:r>
        <w:rPr>
          <w:rFonts w:hint="eastAsia" w:eastAsia="方正仿宋简体"/>
          <w:sz w:val="32"/>
          <w:szCs w:val="32"/>
        </w:rPr>
        <w:t>493</w:t>
      </w:r>
      <w:r>
        <w:rPr>
          <w:rFonts w:eastAsia="方正仿宋简体"/>
          <w:sz w:val="32"/>
          <w:szCs w:val="32"/>
        </w:rPr>
        <w:t>余条</w:t>
      </w:r>
      <w:r>
        <w:rPr>
          <w:rFonts w:hint="eastAsia" w:eastAsia="方正仿宋简体"/>
          <w:sz w:val="32"/>
          <w:szCs w:val="32"/>
        </w:rPr>
        <w:t>，将舆情风险及时通报相关单位预警。目前，共上报《网络舆情专报》</w:t>
      </w:r>
      <w:r>
        <w:rPr>
          <w:rFonts w:hint="eastAsia" w:ascii="方正仿宋简体" w:hAnsi="仿宋" w:eastAsia="方正仿宋简体"/>
          <w:sz w:val="32"/>
          <w:szCs w:val="32"/>
        </w:rPr>
        <w:t>53期、《每日网上舆情呈报》56期，其中9期得到区委主要领导批示，下达《网络舆情预警通知书》16期。省委巡视期间，上报《网上舆情专报》43期。在处置过程中，通过积极联系相关网络平台、争取上级网信部门支持、及时准确发布情况通报、组织协调媒体正面发声、指导网评队伍正确引导等手段，及时妥善处置了龙成煤公司火灾事故、食用海虹中毒等舆情20余次，均未形成</w:t>
      </w:r>
      <w:r>
        <w:rPr>
          <w:rFonts w:hint="eastAsia" w:ascii="方正仿宋简体" w:eastAsia="方正仿宋简体"/>
          <w:sz w:val="32"/>
          <w:szCs w:val="32"/>
        </w:rPr>
        <w:t>大面积</w:t>
      </w:r>
      <w:r>
        <w:rPr>
          <w:rFonts w:hint="eastAsia" w:ascii="方正仿宋简体" w:hAnsi="仿宋" w:eastAsia="方正仿宋简体"/>
          <w:sz w:val="32"/>
          <w:szCs w:val="32"/>
        </w:rPr>
        <w:t>负面炒作。截至目前，作为省直报点共报送网络舆情信息</w:t>
      </w:r>
      <w:r>
        <w:rPr>
          <w:rFonts w:ascii="方正仿宋简体" w:hAnsi="仿宋" w:eastAsia="方正仿宋简体"/>
          <w:sz w:val="32"/>
          <w:szCs w:val="32"/>
        </w:rPr>
        <w:t>3</w:t>
      </w:r>
      <w:r>
        <w:rPr>
          <w:rFonts w:hint="eastAsia" w:ascii="方正仿宋简体" w:hAnsi="仿宋" w:eastAsia="方正仿宋简体"/>
          <w:sz w:val="32"/>
          <w:szCs w:val="32"/>
        </w:rPr>
        <w:t>500多条，综合得分全市第1名。</w:t>
      </w:r>
    </w:p>
    <w:p>
      <w:pPr>
        <w:spacing w:line="56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五、繁荣网络文化</w:t>
      </w:r>
    </w:p>
    <w:p>
      <w:pPr>
        <w:spacing w:line="560" w:lineRule="exact"/>
        <w:ind w:firstLine="640" w:firstLineChars="200"/>
        <w:rPr>
          <w:rFonts w:hint="eastAsia" w:ascii="方正仿宋简体" w:hAnsi="方正仿宋简体" w:eastAsia="方正仿宋简体" w:cs="方正仿宋简体"/>
          <w:bCs/>
          <w:sz w:val="32"/>
          <w:szCs w:val="32"/>
        </w:rPr>
      </w:pPr>
      <w:r>
        <w:rPr>
          <w:rFonts w:hint="eastAsia" w:ascii="方正仿宋简体" w:eastAsia="方正仿宋简体"/>
          <w:sz w:val="32"/>
          <w:szCs w:val="32"/>
        </w:rPr>
        <w:t>成功承办河北省委网信办组织开展的“奋进新时代魅力新河北”自媒体“百佳号”曹妃甸采风活动，新浪微博</w:t>
      </w:r>
      <w:r>
        <w:rPr>
          <w:rFonts w:hint="eastAsia" w:eastAsia="方正仿宋简体"/>
          <w:sz w:val="32"/>
          <w:szCs w:val="32"/>
        </w:rPr>
        <w:t>相关</w:t>
      </w:r>
      <w:r>
        <w:rPr>
          <w:rFonts w:hint="eastAsia" w:ascii="方正仿宋简体" w:eastAsia="方正仿宋简体"/>
          <w:sz w:val="32"/>
          <w:szCs w:val="32"/>
        </w:rPr>
        <w:t>话题点击量近5800万，集中宣传了我区在港口贸易、项目建设、协同发展、文化旅游等方面的亮点工作。加强在人民网、中国经济网、凤凰网等全国重点新闻网站、商业网站和媒体“两微一端”的宣传，组织网媒采访、推送原创稿件、策划专题专栏、开设主题网页，</w:t>
      </w:r>
      <w:r>
        <w:rPr>
          <w:rFonts w:hint="eastAsia" w:ascii="方正仿宋简体" w:hAnsi="方正仿宋简体" w:eastAsia="方正仿宋简体" w:cs="方正仿宋简体"/>
          <w:bCs/>
          <w:sz w:val="32"/>
          <w:szCs w:val="32"/>
        </w:rPr>
        <w:t>发稿6120余篇，其中首屏、首页166篇，排名继续保持全市第一方阵</w:t>
      </w:r>
      <w:r>
        <w:rPr>
          <w:rFonts w:hint="eastAsia" w:ascii="方正仿宋简体" w:eastAsia="方正仿宋简体"/>
          <w:sz w:val="32"/>
          <w:szCs w:val="32"/>
        </w:rPr>
        <w:t>。组织了唐山周末</w:t>
      </w:r>
      <w:r>
        <w:rPr>
          <w:rFonts w:hint="eastAsia" w:ascii="宋体" w:hAnsi="宋体" w:cs="宋体"/>
          <w:sz w:val="32"/>
          <w:szCs w:val="32"/>
        </w:rPr>
        <w:t>•</w:t>
      </w:r>
      <w:r>
        <w:rPr>
          <w:rFonts w:hint="eastAsia" w:ascii="方正仿宋简体" w:hAnsi="方正仿宋简体" w:eastAsia="方正仿宋简体" w:cs="方正仿宋简体"/>
          <w:sz w:val="32"/>
          <w:szCs w:val="32"/>
        </w:rPr>
        <w:t>第二届皮皮虾海鲜节暨首届曹妃甸情侣虾节、中国电煤采购价格指数（</w:t>
      </w:r>
      <w:r>
        <w:rPr>
          <w:rFonts w:hint="eastAsia" w:ascii="方正仿宋简体" w:eastAsia="方正仿宋简体"/>
          <w:sz w:val="32"/>
          <w:szCs w:val="32"/>
        </w:rPr>
        <w:t>CECI）曹妃甸指数发布会</w:t>
      </w:r>
      <w:r>
        <w:rPr>
          <w:rFonts w:hint="eastAsia" w:ascii="方正仿宋简体" w:hAnsi="方正仿宋简体" w:eastAsia="方正仿宋简体" w:cs="方正仿宋简体"/>
          <w:bCs/>
          <w:sz w:val="32"/>
          <w:szCs w:val="32"/>
        </w:rPr>
        <w:t>首列京唐曹客运动车开通、自贸区曹妃甸片区挂牌、第四届曹妃甸海洋发展大会、第二届曹妃甸国际河豚美食节等重大网络媒体采访活动，</w:t>
      </w:r>
      <w:r>
        <w:rPr>
          <w:rFonts w:hint="eastAsia" w:ascii="方正仿宋简体" w:eastAsia="方正仿宋简体"/>
          <w:sz w:val="32"/>
          <w:szCs w:val="32"/>
        </w:rPr>
        <w:t>其中</w:t>
      </w:r>
      <w:r>
        <w:rPr>
          <w:rFonts w:hint="eastAsia" w:ascii="方正仿宋简体" w:hAnsi="方正仿宋简体" w:eastAsia="方正仿宋简体" w:cs="方正仿宋简体"/>
          <w:bCs/>
          <w:sz w:val="32"/>
          <w:szCs w:val="32"/>
        </w:rPr>
        <w:t>人民网总网首屏位置刊发的“曹妃甸至北京客运动车组列车今日正式开通”、“促环渤海加速崛起 河北自贸试验区曹妃甸片区挂牌”等的文章总阅读量突破５万＋；“大V”刊发的“皮糙壳厚的皮皮虾，谁说吃你不容易”文章，总阅读量突破4万+；在抖音等平台拍摄、推广的短视频点击量突破500万次。</w:t>
      </w:r>
    </w:p>
    <w:p>
      <w:pPr>
        <w:spacing w:line="560" w:lineRule="exact"/>
        <w:ind w:firstLine="640" w:firstLineChars="200"/>
        <w:rPr>
          <w:rFonts w:hint="eastAsia" w:ascii="方正黑体简体" w:eastAsia="方正黑体简体"/>
          <w:sz w:val="32"/>
          <w:szCs w:val="32"/>
        </w:rPr>
      </w:pPr>
      <w:r>
        <w:rPr>
          <w:rFonts w:hint="eastAsia" w:ascii="方正黑体简体" w:eastAsia="方正黑体简体"/>
          <w:sz w:val="32"/>
          <w:szCs w:val="32"/>
        </w:rPr>
        <w:t>六、开展主题教育</w:t>
      </w:r>
    </w:p>
    <w:p>
      <w:pPr>
        <w:spacing w:line="560" w:lineRule="exact"/>
        <w:ind w:firstLine="640" w:firstLineChars="200"/>
        <w:rPr>
          <w:rFonts w:hint="eastAsia" w:ascii="方正仿宋简体" w:eastAsia="方正仿宋简体"/>
          <w:sz w:val="32"/>
          <w:szCs w:val="32"/>
        </w:rPr>
      </w:pPr>
      <w:r>
        <w:rPr>
          <w:rFonts w:hint="eastAsia" w:ascii="方正仿宋简体" w:hAnsi="方正仿宋简体" w:eastAsia="方正仿宋简体" w:cs="方正仿宋简体"/>
          <w:bCs/>
          <w:sz w:val="32"/>
          <w:szCs w:val="32"/>
        </w:rPr>
        <w:t>对照区委印发《关于在全区开展“不忘初心、牢记使命”主题教育的实施方案》，制定《中共唐市曹妃甸区委网信办关于开展“不忘初心、牢记使命”主题教育的实施方案》，细化时间安排表，分步制定各专项方案，推进主题教育各项活动按期完成、取得实效，9月15日组织召开主题教育活动部署会，下发实施方案</w:t>
      </w:r>
      <w:r>
        <w:rPr>
          <w:rFonts w:hint="eastAsia" w:ascii="方正仿宋简体" w:hAnsi="方正仿宋简体" w:eastAsia="方正仿宋简体" w:cs="方正仿宋简体"/>
          <w:sz w:val="32"/>
          <w:szCs w:val="32"/>
        </w:rPr>
        <w:t>，9月16日-10月17日，区委网信办进行“不忘初心、牢记使命”学习部署会议，制定调研计划；已完成主题教育集中学习，全体党员开展集中学习10次，4名党员做出整改承诺；组织集体观看政论专题片《不忘初心 继续前进》、电影《李保国》《人民的好儿女》等4部主题教育片；开展专题研讨4次，总结交流1次；开展党员进社区“双报到”、主题党日等活动；为身边群众办理好事8件，为身边贫困户办实事好事1件；</w:t>
      </w:r>
      <w:r>
        <w:rPr>
          <w:rFonts w:hint="eastAsia" w:ascii="方正仿宋简体" w:eastAsia="方正仿宋简体"/>
          <w:sz w:val="32"/>
          <w:szCs w:val="32"/>
        </w:rPr>
        <w:t>制定调查研究工作方案和征求意见工作方案，下发征求意见函；组织领导干部讲专题党课1次；领导干部</w:t>
      </w:r>
      <w:r>
        <w:rPr>
          <w:rFonts w:hAnsi="方正仿宋简体" w:eastAsia="方正仿宋简体"/>
          <w:sz w:val="32"/>
          <w:szCs w:val="32"/>
        </w:rPr>
        <w:t>深入</w:t>
      </w:r>
      <w:r>
        <w:rPr>
          <w:rFonts w:hint="eastAsia" w:hAnsi="方正仿宋简体" w:eastAsia="方正仿宋简体"/>
          <w:sz w:val="32"/>
          <w:szCs w:val="32"/>
        </w:rPr>
        <w:t>行业相关单位、四海公寓社区进行现场走访，组织区委网信办成员单位、全区重点自媒体等互联网企业</w:t>
      </w:r>
      <w:r>
        <w:rPr>
          <w:rFonts w:eastAsia="方正仿宋简体"/>
          <w:sz w:val="32"/>
          <w:szCs w:val="32"/>
        </w:rPr>
        <w:t>召开座谈会，</w:t>
      </w:r>
      <w:r>
        <w:rPr>
          <w:rFonts w:hint="eastAsia" w:hAnsi="方正仿宋简体" w:eastAsia="方正仿宋简体"/>
          <w:sz w:val="32"/>
          <w:szCs w:val="32"/>
        </w:rPr>
        <w:t>交流情况，听取</w:t>
      </w:r>
      <w:r>
        <w:rPr>
          <w:rFonts w:hAnsi="方正仿宋简体" w:eastAsia="方正仿宋简体"/>
          <w:sz w:val="32"/>
          <w:szCs w:val="32"/>
        </w:rPr>
        <w:t>意见建议。召开调研成果交流会，</w:t>
      </w:r>
      <w:r>
        <w:rPr>
          <w:rFonts w:hint="eastAsia" w:ascii="方正仿宋简体" w:eastAsia="方正仿宋简体"/>
          <w:sz w:val="32"/>
          <w:szCs w:val="32"/>
        </w:rPr>
        <w:t>完成调研报告；常态化开展理论自学，组织开展好读原著、学原文、悟原理。组织召开对照党章找差距专题会议，认真检视问题，制定整改措施，共上报领导班子个人问题清单12条、领导干部个人问题清单10条、领导班子整改落实清单12条、领导干部整改落实清单10条，通过主题教育，让网信办全体党员进一步提高了党性认识和政治觉悟，进一步强化了作风要求和责任意识。</w:t>
      </w:r>
    </w:p>
    <w:p>
      <w:pPr>
        <w:numPr>
          <w:ilvl w:val="0"/>
          <w:numId w:val="0"/>
        </w:numPr>
        <w:snapToGrid w:val="0"/>
        <w:spacing w:line="520" w:lineRule="exact"/>
        <w:rPr>
          <w:rFonts w:hint="eastAsia" w:ascii="仿宋_GB2312" w:hAnsi="仿宋" w:eastAsia="仿宋_GB2312" w:cs="仿宋_GB2312"/>
          <w:sz w:val="32"/>
          <w:szCs w:val="32"/>
        </w:rPr>
      </w:pPr>
    </w:p>
    <w:p>
      <w:pPr>
        <w:numPr>
          <w:ilvl w:val="0"/>
          <w:numId w:val="0"/>
        </w:numPr>
        <w:snapToGrid w:val="0"/>
        <w:spacing w:line="520" w:lineRule="exact"/>
        <w:rPr>
          <w:rFonts w:hint="eastAsia" w:ascii="仿宋_GB2312" w:hAnsi="仿宋" w:eastAsia="仿宋_GB2312" w:cs="仿宋_GB2312"/>
          <w:sz w:val="32"/>
          <w:szCs w:val="32"/>
        </w:rPr>
      </w:pP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人员情况：</w:t>
      </w:r>
    </w:p>
    <w:p>
      <w:pPr>
        <w:snapToGrid w:val="0"/>
        <w:spacing w:line="520" w:lineRule="exact"/>
        <w:ind w:firstLine="640" w:firstLineChars="200"/>
        <w:rPr>
          <w:rFonts w:hint="eastAsia" w:ascii="黑体" w:hAnsi="Calibri" w:eastAsia="黑体" w:cs="黑体"/>
          <w:b w:val="0"/>
          <w:bCs w:val="0"/>
          <w:kern w:val="0"/>
          <w:sz w:val="32"/>
          <w:szCs w:val="32"/>
          <w:lang w:val="en-US" w:eastAsia="zh-CN" w:bidi="ar-SA"/>
        </w:rPr>
      </w:pPr>
      <w:r>
        <w:rPr>
          <w:rFonts w:hint="eastAsia" w:eastAsia="方正仿宋简体" w:cs="方正仿宋简体"/>
          <w:sz w:val="32"/>
          <w:szCs w:val="32"/>
          <w:lang w:eastAsia="zh-CN"/>
        </w:rPr>
        <w:t>网信办</w:t>
      </w:r>
      <w:r>
        <w:rPr>
          <w:rFonts w:hint="eastAsia" w:eastAsia="方正仿宋简体" w:cs="方正仿宋简体"/>
          <w:sz w:val="32"/>
          <w:szCs w:val="32"/>
        </w:rPr>
        <w:t>有行政编制</w:t>
      </w:r>
      <w:r>
        <w:rPr>
          <w:rFonts w:hint="eastAsia" w:eastAsia="方正仿宋简体"/>
          <w:sz w:val="32"/>
          <w:szCs w:val="32"/>
          <w:lang w:val="en-US" w:eastAsia="zh-CN"/>
        </w:rPr>
        <w:t>3</w:t>
      </w:r>
      <w:r>
        <w:rPr>
          <w:rFonts w:hint="eastAsia" w:eastAsia="方正仿宋简体" w:cs="方正仿宋简体"/>
          <w:sz w:val="32"/>
          <w:szCs w:val="32"/>
        </w:rPr>
        <w:t>个，实有</w:t>
      </w:r>
      <w:r>
        <w:rPr>
          <w:rFonts w:hint="eastAsia" w:eastAsia="方正仿宋简体"/>
          <w:sz w:val="32"/>
          <w:szCs w:val="32"/>
          <w:lang w:val="en-US" w:eastAsia="zh-CN"/>
        </w:rPr>
        <w:t>7</w:t>
      </w:r>
      <w:r>
        <w:rPr>
          <w:rFonts w:hint="eastAsia" w:eastAsia="方正仿宋简体" w:cs="方正仿宋简体"/>
          <w:sz w:val="32"/>
          <w:szCs w:val="32"/>
        </w:rPr>
        <w:t>人。</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网信办</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2</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3</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w:t>
            </w:r>
          </w:p>
        </w:tc>
        <w:tc>
          <w:tcPr>
            <w:tcW w:w="3485" w:type="dxa"/>
            <w:tcBorders>
              <w:bottom w:val="single" w:color="auto" w:sz="4" w:space="0"/>
            </w:tcBorders>
            <w:vAlign w:val="top"/>
          </w:tcPr>
          <w:p>
            <w:pPr>
              <w:spacing w:after="0" w:line="560" w:lineRule="exact"/>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w:t>
            </w:r>
          </w:p>
        </w:tc>
        <w:tc>
          <w:tcPr>
            <w:tcW w:w="244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focussize="0,0" r:id="rId27"/>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收入总计（含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237.03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收入增加237.03万元，增长100%，</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2019年度支出总计230.45万元，</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支出增加230.45万元，增长100%，</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237.03</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237.03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230.45</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35.50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15.40</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194.95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84.6</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其中本年收入237.03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237.03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230.45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，比</w:t>
      </w:r>
      <w:r>
        <w:rPr>
          <w:rFonts w:hint="eastAsia" w:ascii="仿宋_GB2312" w:hAnsi="Times New Roman" w:eastAsia="仿宋_GB2312" w:cs="DengXian-Regular"/>
          <w:sz w:val="32"/>
          <w:szCs w:val="32"/>
          <w:lang w:val="en-US" w:eastAsia="zh-CN"/>
        </w:rPr>
        <w:t>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230.45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237.03万元，比年初预算增加237.03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2019年新增单位，2019年没有预算</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230.45万元，比年初预算增加230.45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2019年新增单位，2019年没有预算</w:t>
      </w:r>
      <w:r>
        <w:rPr>
          <w:rFonts w:hint="eastAsia" w:ascii="仿宋_GB2312" w:hAnsi="Times New Roman" w:eastAsia="仿宋_GB2312" w:cs="DengXian-Regular"/>
          <w:sz w:val="32"/>
          <w:szCs w:val="32"/>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numPr>
          <w:ilvl w:val="0"/>
          <w:numId w:val="0"/>
        </w:numPr>
        <w:adjustRightInd w:val="0"/>
        <w:snapToGrid w:val="0"/>
        <w:spacing w:after="0" w:line="580" w:lineRule="exact"/>
        <w:rPr>
          <w:rFonts w:hint="eastAsia" w:ascii="楷体_GB2312" w:hAnsi="Times New Roman" w:eastAsia="楷体_GB2312" w:cs="DengXian-Bold"/>
          <w:b/>
          <w:bCs/>
          <w:sz w:val="32"/>
          <w:szCs w:val="32"/>
          <w:lang w:val="en-US" w:eastAsia="zh-CN"/>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 年度财政拨款支出</w:t>
      </w:r>
      <w:r>
        <w:rPr>
          <w:rFonts w:hint="eastAsia" w:ascii="仿宋_GB2312" w:eastAsia="仿宋_GB2312" w:cs="DengXian-Regular"/>
          <w:sz w:val="32"/>
          <w:szCs w:val="32"/>
          <w:lang w:val="en-US" w:eastAsia="zh-CN"/>
        </w:rPr>
        <w:t>230.45</w:t>
      </w:r>
      <w:r>
        <w:rPr>
          <w:rFonts w:hint="eastAsia" w:ascii="仿宋_GB2312" w:eastAsia="仿宋_GB2312" w:cs="DengXian-Regular"/>
          <w:sz w:val="32"/>
          <w:szCs w:val="32"/>
        </w:rPr>
        <w:t>万元，主要用于以下方面一般公共服务支</w:t>
      </w:r>
      <w:r>
        <w:rPr>
          <w:rFonts w:hint="eastAsia" w:ascii="仿宋_GB2312" w:eastAsia="仿宋_GB2312" w:cs="DengXian-Regular"/>
          <w:sz w:val="32"/>
          <w:szCs w:val="32"/>
          <w:lang w:eastAsia="zh-CN"/>
        </w:rPr>
        <w:t>出</w:t>
      </w:r>
      <w:r>
        <w:rPr>
          <w:rFonts w:hint="eastAsia" w:ascii="仿宋_GB2312" w:eastAsia="仿宋_GB2312" w:cs="DengXian-Regular"/>
          <w:sz w:val="32"/>
          <w:szCs w:val="32"/>
          <w:lang w:val="en-US" w:eastAsia="zh-CN"/>
        </w:rPr>
        <w:t>221.87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95.28</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3.14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1.36</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2.39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w:t>
      </w:r>
      <w:r>
        <w:rPr>
          <w:rFonts w:hint="eastAsia" w:ascii="仿宋_GB2312" w:eastAsia="仿宋_GB2312" w:cs="DengXian-Regular"/>
          <w:sz w:val="32"/>
          <w:szCs w:val="32"/>
          <w:lang w:eastAsia="zh-CN"/>
        </w:rPr>
        <w:t>医疗卫生与计划生育支出</w:t>
      </w:r>
      <w:r>
        <w:rPr>
          <w:rFonts w:hint="eastAsia" w:ascii="仿宋_GB2312" w:eastAsia="仿宋_GB2312" w:cs="DengXian-Regular"/>
          <w:sz w:val="32"/>
          <w:szCs w:val="32"/>
          <w:lang w:val="en-US" w:eastAsia="zh-CN"/>
        </w:rPr>
        <w:t>3.05万元，占1.32%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年度财政拨款基本支出35.50万元，其中：人员经费 33.58万元，主要包括基本工资8.54万元、津贴补贴16.26万元、机关事业单位基本养老保险缴费3.14万元、职工基本医疗保险缴费1.40万元、公务员医疗补助缴费1.61万元、住房公积金2.39万元、其他社会保障缴费0.26万元；公用经费 1.92万元，主要包括电费0.96万元、其他交通费用0.96万元。</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b w:val="0"/>
          <w:bCs w:val="0"/>
          <w:sz w:val="32"/>
          <w:szCs w:val="32"/>
        </w:rPr>
        <w:t>较预算增加（减少）</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万元，增长（降低）</w:t>
      </w:r>
      <w:r>
        <w:rPr>
          <w:rFonts w:hint="eastAsia" w:ascii="仿宋_GB2312" w:hAnsi="Times New Roman" w:eastAsia="仿宋_GB2312" w:cs="DengXian-Regular"/>
          <w:b w:val="0"/>
          <w:bCs w:val="0"/>
          <w:sz w:val="32"/>
          <w:szCs w:val="32"/>
          <w:lang w:val="en-US" w:eastAsia="zh-CN"/>
        </w:rPr>
        <w:t>0</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b w:val="0"/>
          <w:bCs w:val="0"/>
          <w:sz w:val="32"/>
          <w:szCs w:val="32"/>
          <w:lang w:val="en-US" w:eastAsia="zh-CN"/>
        </w:rPr>
        <w:t>未发生三公经费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辆。公车运行维护费支出较预算增加（减少）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一是集中开展全区政务网站、政务新媒体以及自媒体的涉网安全检查和督导活动，形成共同防范网络风险、维护网络安全的良好氛围，防范化解不良信息传播风险点。首次开展属地网站和自媒体基础信息摸底调研工作，对595个属地网站的数据信息逐一进行核实，发现存在各类问题的网站430个，正常访问165个。二是</w:t>
      </w:r>
      <w:r>
        <w:rPr>
          <w:rFonts w:hint="eastAsia" w:eastAsia="方正仿宋简体"/>
          <w:sz w:val="32"/>
          <w:szCs w:val="32"/>
        </w:rPr>
        <w:t>开展公共区域LED屏幕整治专项行动，对</w:t>
      </w:r>
      <w:r>
        <w:rPr>
          <w:rFonts w:eastAsia="方正仿宋简体"/>
          <w:sz w:val="32"/>
          <w:szCs w:val="32"/>
        </w:rPr>
        <w:t>辖区各</w:t>
      </w:r>
      <w:r>
        <w:rPr>
          <w:rFonts w:hint="eastAsia" w:eastAsia="方正仿宋简体"/>
          <w:sz w:val="32"/>
          <w:szCs w:val="32"/>
        </w:rPr>
        <w:t>主要路段、</w:t>
      </w:r>
      <w:r>
        <w:rPr>
          <w:rFonts w:eastAsia="方正仿宋简体"/>
          <w:sz w:val="32"/>
          <w:szCs w:val="32"/>
        </w:rPr>
        <w:t>车站、医院、宾馆、商场</w:t>
      </w:r>
      <w:r>
        <w:rPr>
          <w:rFonts w:hint="eastAsia" w:eastAsia="方正仿宋简体"/>
          <w:sz w:val="32"/>
          <w:szCs w:val="32"/>
        </w:rPr>
        <w:t>、学校、广场</w:t>
      </w:r>
      <w:r>
        <w:rPr>
          <w:rFonts w:eastAsia="方正仿宋简体"/>
          <w:sz w:val="32"/>
          <w:szCs w:val="32"/>
        </w:rPr>
        <w:t>等公共场所</w:t>
      </w:r>
      <w:r>
        <w:rPr>
          <w:rFonts w:hint="eastAsia" w:eastAsia="方正仿宋简体"/>
          <w:sz w:val="32"/>
          <w:szCs w:val="32"/>
        </w:rPr>
        <w:t>进行重点排查，</w:t>
      </w:r>
      <w:r>
        <w:rPr>
          <w:rFonts w:eastAsia="方正仿宋简体"/>
          <w:sz w:val="32"/>
          <w:szCs w:val="32"/>
        </w:rPr>
        <w:t>全面掌握</w:t>
      </w:r>
      <w:r>
        <w:rPr>
          <w:rFonts w:hint="eastAsia" w:eastAsia="方正仿宋简体"/>
          <w:sz w:val="32"/>
          <w:szCs w:val="32"/>
        </w:rPr>
        <w:t>776块</w:t>
      </w:r>
      <w:r>
        <w:rPr>
          <w:rFonts w:eastAsia="方正仿宋简体"/>
          <w:sz w:val="32"/>
          <w:szCs w:val="32"/>
        </w:rPr>
        <w:t>LED电子显示屏情况，建立安全管理工作台账，</w:t>
      </w:r>
      <w:r>
        <w:rPr>
          <w:rFonts w:hint="eastAsia" w:eastAsia="方正仿宋简体"/>
          <w:sz w:val="32"/>
          <w:szCs w:val="32"/>
        </w:rPr>
        <w:t>确保排查工作无隐患。三是全面开展网络安全风险隐患自查评估工作，组织辖区内网站及企事业单位办公电脑进行安全风险隐患自查整改，督导各单位对查找到的漏洞进行修复。对全区场镇、园区管委会、企事业单位、重点行业部门等进行常态化网络安全检查，对查出的问题逐一登记整改。四是召开庆祝新中国成立70周年网络安全保障工作部署暨培训会，坚决防范化解网络安全重大风险，遏制网络安全重大事故发生。五是推进系列专项行动，加强重点领域防护，开展网络安全责任制督导、网络安全风险隐患整治、互联网网站安全整治、关键信息基础设施安全隐患排查、打击网络违法犯罪和网络黑产、公共区域LED屏幕整治、网络安全知识宣传教育专项行动。六是组织开展2019年网络安全宣传周，在全省各区县首次开展网络安全应急演练活动。</w:t>
      </w:r>
    </w:p>
    <w:p>
      <w:pPr>
        <w:spacing w:line="560" w:lineRule="exact"/>
        <w:ind w:firstLine="640" w:firstLineChars="200"/>
        <w:rPr>
          <w:rFonts w:hint="eastAsia" w:ascii="方正仿宋简体" w:hAnsi="仿宋" w:eastAsia="方正仿宋简体"/>
          <w:sz w:val="32"/>
          <w:szCs w:val="32"/>
        </w:rPr>
      </w:pPr>
      <w:r>
        <w:rPr>
          <w:rFonts w:hint="eastAsia" w:ascii="方正仿宋简体" w:hAnsi="仿宋" w:eastAsia="方正仿宋简体"/>
          <w:sz w:val="32"/>
          <w:szCs w:val="32"/>
        </w:rPr>
        <w:t>全力做好涉曹网络舆情监控、研判、上报、处置工作，将其作为网信工作的头等大事，作为考量自身工作合格与否的第一标准。无论是工作时间还是节假日，严格执行双人24小时值班制度，软件监控和人工监控相结合，不断细化《网络舆情应对工作流程》、《网络舆情危机应对工作方案》，持续完善《网上突发事件应急处置预案》，探索应急处置的模板化。</w:t>
      </w:r>
      <w:r>
        <w:rPr>
          <w:rFonts w:hint="eastAsia" w:ascii="方正仿宋简体" w:eastAsia="方正仿宋简体"/>
          <w:sz w:val="32"/>
          <w:szCs w:val="32"/>
        </w:rPr>
        <w:t>针对石化产业、金融债务、问题项目、生态环境、安全生产、民生保障等敏感领域，提前做好关键词设置，</w:t>
      </w:r>
      <w:r>
        <w:rPr>
          <w:rFonts w:hint="eastAsia" w:ascii="方正仿宋简体" w:hAnsi="仿宋" w:eastAsia="方正仿宋简体"/>
          <w:sz w:val="32"/>
          <w:szCs w:val="32"/>
        </w:rPr>
        <w:t>今年以来，</w:t>
      </w:r>
      <w:r>
        <w:rPr>
          <w:rFonts w:eastAsia="方正仿宋简体"/>
          <w:sz w:val="32"/>
          <w:szCs w:val="32"/>
        </w:rPr>
        <w:t>共上报涉唐负面舆情</w:t>
      </w:r>
      <w:r>
        <w:rPr>
          <w:rFonts w:hint="eastAsia" w:eastAsia="方正仿宋简体"/>
          <w:sz w:val="32"/>
          <w:szCs w:val="32"/>
        </w:rPr>
        <w:t>8697</w:t>
      </w:r>
      <w:r>
        <w:rPr>
          <w:rFonts w:eastAsia="方正仿宋简体"/>
          <w:sz w:val="32"/>
          <w:szCs w:val="32"/>
        </w:rPr>
        <w:t>条，其中涉曹舆情</w:t>
      </w:r>
      <w:r>
        <w:rPr>
          <w:rFonts w:hint="eastAsia" w:eastAsia="方正仿宋简体"/>
          <w:sz w:val="32"/>
          <w:szCs w:val="32"/>
        </w:rPr>
        <w:t>493</w:t>
      </w:r>
      <w:r>
        <w:rPr>
          <w:rFonts w:eastAsia="方正仿宋简体"/>
          <w:sz w:val="32"/>
          <w:szCs w:val="32"/>
        </w:rPr>
        <w:t>余条</w:t>
      </w:r>
      <w:r>
        <w:rPr>
          <w:rFonts w:hint="eastAsia" w:eastAsia="方正仿宋简体"/>
          <w:sz w:val="32"/>
          <w:szCs w:val="32"/>
        </w:rPr>
        <w:t>，将舆情风险及时通报相关单位预警。目前，共上报《网络舆情专报》</w:t>
      </w:r>
      <w:r>
        <w:rPr>
          <w:rFonts w:hint="eastAsia" w:ascii="方正仿宋简体" w:hAnsi="仿宋" w:eastAsia="方正仿宋简体"/>
          <w:sz w:val="32"/>
          <w:szCs w:val="32"/>
        </w:rPr>
        <w:t>53期、《每日网上舆情呈报》56期，其中9期得到区委主要领导批示，下达《网络舆情预警通知书》16期。省委巡视期间，上报《网上舆情专报》43期。在处置过程中，通过积极联系相关网络平台、争取上级网信部门支持、及时准确发布情况通报、组织协调媒体正面发声、指导网评队伍正确引导等手段，及时妥善处置了龙成煤公司火灾事故、食用海虹中毒等舆情20余次，均未形成</w:t>
      </w:r>
      <w:r>
        <w:rPr>
          <w:rFonts w:hint="eastAsia" w:ascii="方正仿宋简体" w:eastAsia="方正仿宋简体"/>
          <w:sz w:val="32"/>
          <w:szCs w:val="32"/>
        </w:rPr>
        <w:t>大面积</w:t>
      </w:r>
      <w:r>
        <w:rPr>
          <w:rFonts w:hint="eastAsia" w:ascii="方正仿宋简体" w:hAnsi="仿宋" w:eastAsia="方正仿宋简体"/>
          <w:sz w:val="32"/>
          <w:szCs w:val="32"/>
        </w:rPr>
        <w:t>负面炒作。截至目前，作为省直报点共报送网络舆情信息</w:t>
      </w:r>
      <w:r>
        <w:rPr>
          <w:rFonts w:ascii="方正仿宋简体" w:hAnsi="仿宋" w:eastAsia="方正仿宋简体"/>
          <w:sz w:val="32"/>
          <w:szCs w:val="32"/>
        </w:rPr>
        <w:t>3</w:t>
      </w:r>
      <w:r>
        <w:rPr>
          <w:rFonts w:hint="eastAsia" w:ascii="方正仿宋简体" w:hAnsi="仿宋" w:eastAsia="方正仿宋简体"/>
          <w:sz w:val="32"/>
          <w:szCs w:val="32"/>
        </w:rPr>
        <w:t>500多条，综合得分全市第1名。</w:t>
      </w:r>
    </w:p>
    <w:p>
      <w:pPr>
        <w:spacing w:line="560" w:lineRule="exact"/>
        <w:ind w:firstLine="640" w:firstLineChars="200"/>
        <w:rPr>
          <w:rFonts w:hint="eastAsia" w:ascii="方正仿宋简体" w:hAnsi="仿宋" w:eastAsia="方正仿宋简体"/>
          <w:sz w:val="32"/>
          <w:szCs w:val="32"/>
          <w:lang w:val="en-US" w:eastAsia="zh-CN"/>
        </w:rPr>
      </w:pPr>
      <w:r>
        <w:rPr>
          <w:rFonts w:hint="eastAsia" w:ascii="方正仿宋简体" w:hAnsi="仿宋" w:eastAsia="方正仿宋简体"/>
          <w:sz w:val="32"/>
          <w:szCs w:val="32"/>
          <w:lang w:val="en-US" w:eastAsia="zh-CN"/>
        </w:rPr>
        <w:t>2019年度网信办是新增单位，在人员少，任务重的条件下绩效评价结果为优秀！</w:t>
      </w:r>
      <w:bookmarkStart w:id="0" w:name="_GoBack"/>
      <w:bookmarkEnd w:id="0"/>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230.45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比年初预算增加230.45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机构改革</w:t>
      </w:r>
      <w:r>
        <w:rPr>
          <w:rFonts w:hint="eastAsia" w:ascii="仿宋_GB2312" w:hAnsi="Times New Roman" w:eastAsia="仿宋_GB2312" w:cs="DengXian-Regular"/>
          <w:sz w:val="32"/>
          <w:szCs w:val="32"/>
          <w:lang w:val="en-US" w:eastAsia="zh-CN"/>
        </w:rPr>
        <w:t>2019年新增单位，2019年没有预算</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5.17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5.17</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比上年增加（减少）0辆，主要是单位没有公务用车。</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Times New Roman" w:eastAsia="仿宋_GB2312" w:cs="DengXian-Regular"/>
          <w:sz w:val="32"/>
          <w:szCs w:val="32"/>
          <w:lang w:val="en-US" w:eastAsia="zh-CN"/>
        </w:rPr>
        <w:t>单位没有公务用车</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比上年增加（减少）0套，主要是</w:t>
      </w:r>
      <w:r>
        <w:rPr>
          <w:rFonts w:hint="eastAsia" w:ascii="仿宋_GB2312" w:hAnsi="Times New Roman" w:eastAsia="仿宋_GB2312" w:cs="DengXian-Regular"/>
          <w:sz w:val="32"/>
          <w:szCs w:val="32"/>
          <w:lang w:eastAsia="zh-CN"/>
        </w:rPr>
        <w:t>机构改革新增单位</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tabs>
          <w:tab w:val="left" w:pos="815"/>
          <w:tab w:val="center" w:pos="4482"/>
        </w:tabs>
        <w:jc w:val="left"/>
        <w:rPr>
          <w:rFonts w:hint="default" w:ascii="黑体" w:hAnsi="黑体" w:eastAsia="黑体" w:cs="黑体"/>
          <w:sz w:val="56"/>
          <w:szCs w:val="72"/>
          <w:lang w:val="en-US" w:eastAsia="zh-CN"/>
        </w:rPr>
      </w:pPr>
      <w:r>
        <w:rPr>
          <w:rFonts w:hint="eastAsia" w:ascii="黑体" w:hAnsi="黑体" w:eastAsia="黑体" w:cs="黑体"/>
          <w:sz w:val="56"/>
          <w:szCs w:val="72"/>
          <w:lang w:val="en-US" w:eastAsia="zh-CN"/>
        </w:rPr>
        <w:tab/>
      </w:r>
      <w:r>
        <w:rPr>
          <w:rFonts w:hint="eastAsia" w:ascii="黑体" w:hAnsi="黑体" w:eastAsia="黑体" w:cs="黑体"/>
          <w:sz w:val="32"/>
          <w:szCs w:val="32"/>
          <w:lang w:val="en-US" w:eastAsia="zh-CN"/>
        </w:rPr>
        <w:t>无</w:t>
      </w:r>
      <w:r>
        <w:rPr>
          <w:rFonts w:hint="eastAsia" w:ascii="黑体" w:hAnsi="黑体" w:eastAsia="黑体" w:cs="黑体"/>
          <w:sz w:val="56"/>
          <w:szCs w:val="72"/>
          <w:lang w:val="en-US" w:eastAsia="zh-CN"/>
        </w:rPr>
        <w:tab/>
      </w: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focussize="0,0" r:id="rId27"/>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spacing w:after="160" w:line="480" w:lineRule="auto"/>
        <w:rPr>
          <w:rFonts w:ascii="仿宋_GB2312" w:hAnsi="宋体" w:eastAsia="仿宋_GB2312" w:cs="MS-UIGothic,Bold"/>
          <w:bCs/>
          <w:sz w:val="32"/>
          <w:szCs w:val="32"/>
        </w:rPr>
      </w:pPr>
      <w:r>
        <w:rPr>
          <w:rFonts w:hint="eastAsia" w:ascii="仿宋_GB2312" w:hAnsi="宋体" w:eastAsia="仿宋_GB2312" w:cs="ArialUnicodeMS"/>
          <w:sz w:val="32"/>
          <w:szCs w:val="32"/>
          <w:highlight w:val="yellow"/>
        </w:rPr>
        <w:t>(各部门应根据本部门实际情况,对公开的本部门决算信息中相关专业性较强的名词进行必要解释和说明，包含但不限于以下名词解释。)</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focussize="0,0" r:id="rId27"/>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tbl>
      <w:tblPr>
        <w:tblStyle w:val="6"/>
        <w:tblW w:w="28381" w:type="dxa"/>
        <w:tblInd w:w="0" w:type="dxa"/>
        <w:shd w:val="clear" w:color="auto" w:fill="auto"/>
        <w:tblLayout w:type="autofit"/>
        <w:tblCellMar>
          <w:top w:w="0" w:type="dxa"/>
          <w:left w:w="0" w:type="dxa"/>
          <w:bottom w:w="0" w:type="dxa"/>
          <w:right w:w="0" w:type="dxa"/>
        </w:tblCellMar>
      </w:tblPr>
      <w:tblGrid>
        <w:gridCol w:w="6970"/>
        <w:gridCol w:w="568"/>
        <w:gridCol w:w="1795"/>
        <w:gridCol w:w="1795"/>
        <w:gridCol w:w="1795"/>
        <w:gridCol w:w="3590"/>
        <w:gridCol w:w="568"/>
        <w:gridCol w:w="1795"/>
        <w:gridCol w:w="1795"/>
        <w:gridCol w:w="1795"/>
        <w:gridCol w:w="3261"/>
        <w:gridCol w:w="568"/>
        <w:gridCol w:w="1795"/>
        <w:gridCol w:w="1795"/>
        <w:gridCol w:w="1795"/>
      </w:tblGrid>
      <w:tr>
        <w:tblPrEx>
          <w:shd w:val="clear" w:color="auto" w:fill="auto"/>
          <w:tblCellMar>
            <w:top w:w="0" w:type="dxa"/>
            <w:left w:w="0" w:type="dxa"/>
            <w:bottom w:w="0" w:type="dxa"/>
            <w:right w:w="0" w:type="dxa"/>
          </w:tblCellMar>
        </w:tblPrEx>
        <w:trPr>
          <w:trHeight w:val="540" w:hRule="atLeast"/>
        </w:trPr>
        <w:tc>
          <w:tcPr>
            <w:tcW w:w="360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收入支出决算总表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财决01表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10"/>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项目(按支出性质和经济分类)</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2,218,695.78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日常公用经费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其中：基本建设类项目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三、上缴上级支出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五、对附属单位补助支出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二、商品和服务支出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1,916,967.60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四、债务利息及费用支出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五、资本性支出（基本建设）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六、资本性支出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51,700.00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七、对企业补助（基本建设）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八、对企业补助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九、对社会保障基金补助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gridSpan w:val="6"/>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r>
    </w:tbl>
    <w:p>
      <w:pPr>
        <w:tabs>
          <w:tab w:val="left" w:pos="886"/>
        </w:tabs>
        <w:bidi w:val="0"/>
        <w:jc w:val="left"/>
        <w:rPr>
          <w:rFonts w:hint="default"/>
          <w:lang w:val="en-US" w:eastAsia="zh-CN"/>
        </w:rPr>
      </w:pPr>
    </w:p>
    <w:p>
      <w:pPr>
        <w:tabs>
          <w:tab w:val="left" w:pos="886"/>
        </w:tabs>
        <w:bidi w:val="0"/>
        <w:jc w:val="left"/>
        <w:rPr>
          <w:rFonts w:hint="default"/>
          <w:lang w:val="en-US" w:eastAsia="zh-CN"/>
        </w:rPr>
      </w:pPr>
    </w:p>
    <w:p>
      <w:pPr>
        <w:bidi w:val="0"/>
        <w:jc w:val="left"/>
        <w:rPr>
          <w:rFonts w:hint="default"/>
          <w:lang w:val="en-US" w:eastAsia="zh-CN"/>
        </w:rPr>
      </w:pPr>
    </w:p>
    <w:tbl>
      <w:tblPr>
        <w:tblStyle w:val="6"/>
        <w:tblW w:w="19320" w:type="dxa"/>
        <w:tblInd w:w="0" w:type="dxa"/>
        <w:shd w:val="clear" w:color="auto" w:fill="auto"/>
        <w:tblLayout w:type="autofit"/>
        <w:tblCellMar>
          <w:top w:w="0" w:type="dxa"/>
          <w:left w:w="0" w:type="dxa"/>
          <w:bottom w:w="0" w:type="dxa"/>
          <w:right w:w="0" w:type="dxa"/>
        </w:tblCellMar>
      </w:tblPr>
      <w:tblGrid>
        <w:gridCol w:w="6990"/>
        <w:gridCol w:w="330"/>
        <w:gridCol w:w="330"/>
        <w:gridCol w:w="3930"/>
        <w:gridCol w:w="1800"/>
        <w:gridCol w:w="1800"/>
        <w:gridCol w:w="1800"/>
        <w:gridCol w:w="1800"/>
        <w:gridCol w:w="1800"/>
        <w:gridCol w:w="1800"/>
        <w:gridCol w:w="1800"/>
        <w:gridCol w:w="1800"/>
      </w:tblGrid>
      <w:tr>
        <w:tblPrEx>
          <w:shd w:val="clear" w:color="auto" w:fill="auto"/>
          <w:tblCellMar>
            <w:top w:w="0" w:type="dxa"/>
            <w:left w:w="0" w:type="dxa"/>
            <w:bottom w:w="0" w:type="dxa"/>
            <w:right w:w="0" w:type="dxa"/>
          </w:tblCellMar>
        </w:tblPrEx>
        <w:trPr>
          <w:trHeight w:val="540" w:hRule="atLeast"/>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财决03表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360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800"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其中：教育收费</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2,228,797.60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2,228,797.60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网信事务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2,228,724.60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2,228,724.60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其他网信事务支出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49,954.00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49,954.00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6"/>
        <w:tblW w:w="15720" w:type="dxa"/>
        <w:tblInd w:w="0" w:type="dxa"/>
        <w:shd w:val="clear" w:color="auto" w:fill="auto"/>
        <w:tblLayout w:type="autofit"/>
        <w:tblCellMar>
          <w:top w:w="0" w:type="dxa"/>
          <w:left w:w="0" w:type="dxa"/>
          <w:bottom w:w="0" w:type="dxa"/>
          <w:right w:w="0" w:type="dxa"/>
        </w:tblCellMar>
      </w:tblPr>
      <w:tblGrid>
        <w:gridCol w:w="6990"/>
        <w:gridCol w:w="330"/>
        <w:gridCol w:w="330"/>
        <w:gridCol w:w="3930"/>
        <w:gridCol w:w="1800"/>
        <w:gridCol w:w="1800"/>
        <w:gridCol w:w="1800"/>
        <w:gridCol w:w="1800"/>
        <w:gridCol w:w="1800"/>
        <w:gridCol w:w="1800"/>
      </w:tblGrid>
      <w:tr>
        <w:tblPrEx>
          <w:shd w:val="clear" w:color="auto" w:fill="auto"/>
          <w:tblCellMar>
            <w:top w:w="0" w:type="dxa"/>
            <w:left w:w="0" w:type="dxa"/>
            <w:bottom w:w="0" w:type="dxa"/>
            <w:right w:w="0" w:type="dxa"/>
          </w:tblCellMar>
        </w:tblPrEx>
        <w:trPr>
          <w:trHeight w:val="540" w:hRule="atLeast"/>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支出决算表</w:t>
            </w: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财决04表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2,218,695.78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269,188.18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网信事务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2,218,622.78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其他网信事务支出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default"/>
          <w:lang w:val="en-US" w:eastAsia="zh-CN"/>
        </w:rPr>
      </w:pPr>
      <w:r>
        <w:rPr>
          <w:rFonts w:hint="default"/>
          <w:lang w:val="en-US" w:eastAsia="zh-CN"/>
        </w:rPr>
        <w:br w:type="page"/>
      </w:r>
    </w:p>
    <w:tbl>
      <w:tblPr>
        <w:tblStyle w:val="6"/>
        <w:tblW w:w="21600" w:type="dxa"/>
        <w:tblInd w:w="0" w:type="dxa"/>
        <w:shd w:val="clear" w:color="auto" w:fill="auto"/>
        <w:tblLayout w:type="autofit"/>
        <w:tblCellMar>
          <w:top w:w="0" w:type="dxa"/>
          <w:left w:w="0" w:type="dxa"/>
          <w:bottom w:w="0" w:type="dxa"/>
          <w:right w:w="0" w:type="dxa"/>
        </w:tblCellMar>
      </w:tblPr>
      <w:tblGrid>
        <w:gridCol w:w="4338"/>
        <w:gridCol w:w="364"/>
        <w:gridCol w:w="1051"/>
        <w:gridCol w:w="1051"/>
        <w:gridCol w:w="1051"/>
        <w:gridCol w:w="2073"/>
        <w:gridCol w:w="364"/>
        <w:gridCol w:w="1051"/>
        <w:gridCol w:w="1051"/>
        <w:gridCol w:w="1051"/>
        <w:gridCol w:w="1051"/>
        <w:gridCol w:w="1051"/>
        <w:gridCol w:w="1051"/>
        <w:gridCol w:w="1051"/>
        <w:gridCol w:w="1051"/>
        <w:gridCol w:w="1051"/>
        <w:gridCol w:w="2035"/>
        <w:gridCol w:w="429"/>
        <w:gridCol w:w="1051"/>
        <w:gridCol w:w="1051"/>
        <w:gridCol w:w="1051"/>
        <w:gridCol w:w="1052"/>
        <w:gridCol w:w="1052"/>
        <w:gridCol w:w="1052"/>
        <w:gridCol w:w="1052"/>
        <w:gridCol w:w="1052"/>
        <w:gridCol w:w="1052"/>
      </w:tblGrid>
      <w:tr>
        <w:tblPrEx>
          <w:shd w:val="clear" w:color="auto" w:fill="auto"/>
          <w:tblCellMar>
            <w:top w:w="0" w:type="dxa"/>
            <w:left w:w="0" w:type="dxa"/>
            <w:bottom w:w="0" w:type="dxa"/>
            <w:right w:w="0" w:type="dxa"/>
          </w:tblCellMar>
        </w:tblPrEx>
        <w:trPr>
          <w:trHeight w:val="540" w:hRule="atLeast"/>
        </w:trPr>
        <w:tc>
          <w:tcPr>
            <w:tcW w:w="327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财政拨款收入支出决算总表</w:t>
            </w: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财决01-1表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0" w:type="auto"/>
            <w:gridSpan w:val="11"/>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c>
          <w:tcPr>
            <w:tcW w:w="0" w:type="auto"/>
            <w:gridSpan w:val="11"/>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09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5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32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项目(按支出性质和经济分类)</w:t>
            </w:r>
          </w:p>
        </w:tc>
        <w:tc>
          <w:tcPr>
            <w:tcW w:w="6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年初预算数</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调整预算数</w:t>
            </w:r>
          </w:p>
        </w:tc>
        <w:tc>
          <w:tcPr>
            <w:tcW w:w="0" w:type="auto"/>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9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32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2,284,495.46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2,218,695.78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2,218,695.78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401,602.00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日常公用经费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其中：基本建设类项目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一、工资福利支出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二、商品和服务支出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1,916,967.60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1,916,967.60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三、对个人和家庭的补助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四、债务利息及费用支出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五、资本性支出（基本建设）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六、资本性支出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51,700.00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七、对企业补助（基本建设）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八、对企业补助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九、对社会保障基金补助</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default"/>
          <w:lang w:val="en-US" w:eastAsia="zh-CN"/>
        </w:rPr>
      </w:pPr>
      <w:r>
        <w:rPr>
          <w:rFonts w:hint="default"/>
          <w:lang w:val="en-US" w:eastAsia="zh-CN"/>
        </w:rPr>
        <w:br w:type="page"/>
      </w:r>
    </w:p>
    <w:tbl>
      <w:tblPr>
        <w:tblStyle w:val="6"/>
        <w:tblW w:w="31261" w:type="dxa"/>
        <w:tblInd w:w="0" w:type="dxa"/>
        <w:shd w:val="clear" w:color="auto" w:fill="auto"/>
        <w:tblLayout w:type="autofit"/>
        <w:tblCellMar>
          <w:top w:w="0" w:type="dxa"/>
          <w:left w:w="0" w:type="dxa"/>
          <w:bottom w:w="0" w:type="dxa"/>
          <w:right w:w="0" w:type="dxa"/>
        </w:tblCellMar>
      </w:tblPr>
      <w:tblGrid>
        <w:gridCol w:w="5731"/>
        <w:gridCol w:w="275"/>
        <w:gridCol w:w="275"/>
        <w:gridCol w:w="3093"/>
        <w:gridCol w:w="1381"/>
        <w:gridCol w:w="1381"/>
        <w:gridCol w:w="1382"/>
        <w:gridCol w:w="1382"/>
        <w:gridCol w:w="1480"/>
        <w:gridCol w:w="1480"/>
        <w:gridCol w:w="1382"/>
        <w:gridCol w:w="1382"/>
        <w:gridCol w:w="1382"/>
        <w:gridCol w:w="1382"/>
        <w:gridCol w:w="1382"/>
        <w:gridCol w:w="1382"/>
        <w:gridCol w:w="1382"/>
        <w:gridCol w:w="1382"/>
        <w:gridCol w:w="1382"/>
        <w:gridCol w:w="1382"/>
      </w:tblGrid>
      <w:tr>
        <w:tblPrEx>
          <w:shd w:val="clear" w:color="auto" w:fill="auto"/>
          <w:tblCellMar>
            <w:top w:w="0" w:type="dxa"/>
            <w:left w:w="0" w:type="dxa"/>
            <w:bottom w:w="0" w:type="dxa"/>
            <w:right w:w="0" w:type="dxa"/>
          </w:tblCellMar>
        </w:tblPrEx>
        <w:trPr>
          <w:trHeight w:val="540" w:hRule="atLeast"/>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一般公共预算财政拨款收入支出决算表</w:t>
            </w: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财决07表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8" w:hRule="atLeast"/>
        </w:trPr>
        <w:tc>
          <w:tcPr>
            <w:tcW w:w="414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28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8400"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8400"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1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04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504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CellMar>
            <w:top w:w="0" w:type="dxa"/>
            <w:left w:w="0" w:type="dxa"/>
            <w:bottom w:w="0" w:type="dxa"/>
            <w:right w:w="0"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日常公用经费</w:t>
            </w: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1680" w:type="dxa"/>
            <w:vMerge w:val="restart"/>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CellMar>
            <w:top w:w="0" w:type="dxa"/>
            <w:left w:w="0" w:type="dxa"/>
            <w:bottom w:w="0" w:type="dxa"/>
            <w:right w:w="0" w:type="dxa"/>
          </w:tblCellMar>
        </w:tblPrEx>
        <w:trPr>
          <w:trHeight w:val="615"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1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r>
      <w:tr>
        <w:tblPrEx>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2,370,269.60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420,762.00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2,304,469.92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65,799.68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2,228,797.60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279,290.00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2,218,695.78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269,188.18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250,028.18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网信事务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2,228,724.60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2,218,622.78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249,955.18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249,955.18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其他网信事务支出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1,949,507.60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39,029.32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39,029.32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39,029.32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39,029.32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49,954.00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49,954.00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18,578.32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36,788.00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19,337.00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34,279.00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10,373.20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default"/>
          <w:lang w:val="en-US" w:eastAsia="zh-CN"/>
        </w:rPr>
      </w:pPr>
      <w:r>
        <w:rPr>
          <w:rFonts w:hint="default"/>
          <w:lang w:val="en-US" w:eastAsia="zh-CN"/>
        </w:rPr>
        <w:br w:type="page"/>
      </w:r>
    </w:p>
    <w:tbl>
      <w:tblPr>
        <w:tblStyle w:val="6"/>
        <w:tblW w:w="-11928" w:type="dxa"/>
        <w:tblInd w:w="0" w:type="dxa"/>
        <w:shd w:val="clear" w:color="auto" w:fill="auto"/>
        <w:tblLayout w:type="autofit"/>
        <w:tblCellMar>
          <w:top w:w="0" w:type="dxa"/>
          <w:left w:w="0" w:type="dxa"/>
          <w:bottom w:w="0" w:type="dxa"/>
          <w:right w:w="0" w:type="dxa"/>
        </w:tblCellMar>
      </w:tblPr>
      <w:tblGrid>
        <w:gridCol w:w="487"/>
        <w:gridCol w:w="49"/>
        <w:gridCol w:w="49"/>
        <w:gridCol w:w="286"/>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8"/>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39"/>
        <w:gridCol w:w="189"/>
      </w:tblGrid>
      <w:tr>
        <w:tblPrEx>
          <w:shd w:val="clear" w:color="auto" w:fill="auto"/>
          <w:tblCellMar>
            <w:top w:w="0" w:type="dxa"/>
            <w:left w:w="0" w:type="dxa"/>
            <w:bottom w:w="0" w:type="dxa"/>
            <w:right w:w="0" w:type="dxa"/>
          </w:tblCellMar>
        </w:tblPrEx>
        <w:trPr>
          <w:trHeight w:val="540" w:hRule="atLeast"/>
        </w:trPr>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一般公共预算财政拨款基本支出决算明细表</w:t>
            </w: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财决08-1表</w:t>
            </w: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4920"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14"/>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gridSpan w:val="28"/>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gridSpan w:val="1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资本性支出（基本建设）</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对企业补助（基本建设）</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对社会保障基金补助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r>
      <w:tr>
        <w:tblPrEx>
          <w:shd w:val="clear" w:color="auto" w:fill="auto"/>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39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伙食补助费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被装购置费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专用燃料费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税金及附加费用</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退职（役）费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救济费</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医疗费补助</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助学金</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个人农业生产补贴</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国内债务付息</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国外债务付息</w:t>
            </w:r>
          </w:p>
        </w:tc>
        <w:tc>
          <w:tcPr>
            <w:tcW w:w="16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国内债务发行费用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国外债务发行费用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其他基本建设支出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房屋建筑物购建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大型修缮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物资储备</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土地补偿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安置补助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地上附着物和青苗补偿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拆迁补偿</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其他交通工具购置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无形资产购置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其他资本性支出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资本金注入</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政府投资基金股权投资</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费用补贴</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利息补贴</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对社会保险基金补助</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补充全国社会保障基金</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赠与</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国家赔偿费用支出</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对民间非营利组织和群众性自治组织补贴</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r>
      <w:tr>
        <w:tblPrEx>
          <w:shd w:val="clear" w:color="auto" w:fill="auto"/>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39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6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r>
      <w:tr>
        <w:tblPrEx>
          <w:shd w:val="clear" w:color="auto" w:fill="auto"/>
          <w:tblCellMar>
            <w:top w:w="0" w:type="dxa"/>
            <w:left w:w="0" w:type="dxa"/>
            <w:bottom w:w="0" w:type="dxa"/>
            <w:right w:w="0" w:type="dxa"/>
          </w:tblCellMar>
        </w:tblPrEx>
        <w:trPr>
          <w:trHeight w:val="308" w:hRule="atLeast"/>
        </w:trPr>
        <w:tc>
          <w:tcPr>
            <w:tcW w:w="3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354,962.32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335,802.32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85,365.52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162,635.00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269,188.18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250,028.18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85,365.52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162,635.00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网信事务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249,955.18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85,365.52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162,635.00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269,115.18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249,955.18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85,365.52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162,635.00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1,954.66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31,375.68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30,492.66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14,506.38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13,988.02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15,986.28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23,905.80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default"/>
          <w:lang w:val="en-US" w:eastAsia="zh-CN"/>
        </w:rPr>
      </w:pPr>
      <w:r>
        <w:rPr>
          <w:rFonts w:hint="default"/>
          <w:lang w:val="en-US" w:eastAsia="zh-CN"/>
        </w:rPr>
        <w:br w:type="page"/>
      </w:r>
    </w:p>
    <w:tbl>
      <w:tblPr>
        <w:tblStyle w:val="6"/>
        <w:tblW w:w="17490" w:type="dxa"/>
        <w:tblInd w:w="0" w:type="dxa"/>
        <w:shd w:val="clear" w:color="auto" w:fill="auto"/>
        <w:tblLayout w:type="autofit"/>
        <w:tblCellMar>
          <w:top w:w="0" w:type="dxa"/>
          <w:left w:w="0" w:type="dxa"/>
          <w:bottom w:w="0" w:type="dxa"/>
          <w:right w:w="0" w:type="dxa"/>
        </w:tblCellMar>
      </w:tblPr>
      <w:tblGrid>
        <w:gridCol w:w="5830"/>
        <w:gridCol w:w="840"/>
        <w:gridCol w:w="1800"/>
        <w:gridCol w:w="1800"/>
        <w:gridCol w:w="5910"/>
        <w:gridCol w:w="840"/>
        <w:gridCol w:w="1800"/>
      </w:tblGrid>
      <w:tr>
        <w:tblPrEx>
          <w:shd w:val="clear" w:color="auto" w:fill="auto"/>
          <w:tblCellMar>
            <w:top w:w="0" w:type="dxa"/>
            <w:left w:w="0" w:type="dxa"/>
            <w:bottom w:w="0" w:type="dxa"/>
            <w:right w:w="0" w:type="dxa"/>
          </w:tblCellMar>
        </w:tblPrEx>
        <w:trPr>
          <w:trHeight w:val="540" w:hRule="atLeast"/>
        </w:trPr>
        <w:tc>
          <w:tcPr>
            <w:tcW w:w="450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机构运行信息表</w:t>
            </w:r>
          </w:p>
        </w:tc>
        <w:tc>
          <w:tcPr>
            <w:tcW w:w="59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财决附03表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编制单位：中共唐山市曹妃甸区委网络安全和信息化委员会办公室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c>
          <w:tcPr>
            <w:tcW w:w="0" w:type="auto"/>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19,160.00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（一）公务用车（辆）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（二）单价50万元（含）以上的通用设备（台、套…）</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（三）单价100万元（含）以上的专用设备（台、套…）</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七、由养老保险基金发放养老金的离退休人员（人）</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本表无数据</w:t>
      </w: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本表无数据</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9941483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9941483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D670A"/>
    <w:multiLevelType w:val="singleLevel"/>
    <w:tmpl w:val="B52D670A"/>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4F69E015"/>
    <w:multiLevelType w:val="singleLevel"/>
    <w:tmpl w:val="4F69E01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9B1196"/>
    <w:rsid w:val="173D68F0"/>
    <w:rsid w:val="31C2036A"/>
    <w:rsid w:val="320D02A5"/>
    <w:rsid w:val="337F08A4"/>
    <w:rsid w:val="348E566F"/>
    <w:rsid w:val="34AE3763"/>
    <w:rsid w:val="3A226944"/>
    <w:rsid w:val="3AEE6A48"/>
    <w:rsid w:val="3C1620AA"/>
    <w:rsid w:val="3D8F080F"/>
    <w:rsid w:val="424F7F05"/>
    <w:rsid w:val="443A6718"/>
    <w:rsid w:val="44CE1FA4"/>
    <w:rsid w:val="487F73ED"/>
    <w:rsid w:val="49976500"/>
    <w:rsid w:val="4A347EAE"/>
    <w:rsid w:val="519F0975"/>
    <w:rsid w:val="52600405"/>
    <w:rsid w:val="529B4319"/>
    <w:rsid w:val="57773DD6"/>
    <w:rsid w:val="578B79AB"/>
    <w:rsid w:val="5CCD3FD5"/>
    <w:rsid w:val="61FA5F9D"/>
    <w:rsid w:val="64CD6910"/>
    <w:rsid w:val="6789158D"/>
    <w:rsid w:val="67D81BA4"/>
    <w:rsid w:val="6AAF1C96"/>
    <w:rsid w:val="6D2F6F35"/>
    <w:rsid w:val="70214E12"/>
    <w:rsid w:val="75681757"/>
    <w:rsid w:val="75A346A8"/>
    <w:rsid w:val="78610870"/>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3.bmp"/><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2</TotalTime>
  <ScaleCrop>false</ScaleCrop>
  <LinksUpToDate>false</LinksUpToDate>
  <CharactersWithSpaces>9394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2021-05-16T07:02:56Z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