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仿宋" w:hAnsi="仿宋" w:eastAsia="仿宋" w:cs="仿宋"/>
          <w:b/>
          <w:sz w:val="40"/>
          <w:szCs w:val="40"/>
        </w:rPr>
      </w:pPr>
      <w:bookmarkStart w:id="2" w:name="_GoBack"/>
      <w:bookmarkEnd w:id="2"/>
      <w:r>
        <w:rPr>
          <w:rFonts w:hint="eastAsia" w:ascii="仿宋" w:hAnsi="仿宋" w:eastAsia="仿宋" w:cs="仿宋"/>
          <w:b/>
          <w:sz w:val="40"/>
          <w:szCs w:val="40"/>
        </w:rPr>
        <w:t>唐山市曹妃甸区卫生健康局</w:t>
      </w:r>
    </w:p>
    <w:p>
      <w:pPr>
        <w:ind w:firstLine="640"/>
        <w:jc w:val="center"/>
        <w:rPr>
          <w:rFonts w:ascii="仿宋" w:hAnsi="仿宋" w:eastAsia="仿宋" w:cs="仿宋"/>
          <w:b/>
          <w:sz w:val="40"/>
          <w:szCs w:val="40"/>
        </w:rPr>
      </w:pPr>
      <w:r>
        <w:rPr>
          <w:rFonts w:hint="eastAsia" w:ascii="仿宋" w:hAnsi="仿宋" w:eastAsia="仿宋" w:cs="仿宋"/>
          <w:b/>
          <w:sz w:val="40"/>
          <w:szCs w:val="40"/>
        </w:rPr>
        <w:t>2020年部门预算信息公开说明</w:t>
      </w:r>
    </w:p>
    <w:p>
      <w:pPr>
        <w:ind w:firstLine="640" w:firstLineChars="200"/>
        <w:rPr>
          <w:rFonts w:ascii="Times New Roman" w:hAnsi="Times New Roman" w:eastAsia="方正仿宋_GBK" w:cs="Times New Roman"/>
          <w:sz w:val="32"/>
          <w:szCs w:val="32"/>
        </w:rPr>
      </w:pPr>
      <w:r>
        <w:rPr>
          <w:rFonts w:hint="eastAsia" w:ascii="仿宋" w:hAnsi="仿宋" w:eastAsia="仿宋" w:cs="仿宋"/>
          <w:color w:val="000000" w:themeColor="text1"/>
          <w:sz w:val="32"/>
          <w:szCs w:val="32"/>
        </w:rPr>
        <w:t>按照《预算法》、《地方预决算公开操作规程》和《河北省省级预算公开办法》规定，现将2020年部门预算公开如下：</w:t>
      </w:r>
    </w:p>
    <w:p>
      <w:pPr>
        <w:ind w:firstLine="640"/>
        <w:rPr>
          <w:rFonts w:ascii="仿宋" w:hAnsi="仿宋" w:eastAsia="仿宋" w:cs="仿宋"/>
          <w:b/>
          <w:sz w:val="32"/>
          <w:szCs w:val="32"/>
        </w:rPr>
      </w:pPr>
      <w:r>
        <w:rPr>
          <w:rFonts w:hint="eastAsia" w:ascii="仿宋" w:hAnsi="仿宋" w:eastAsia="仿宋" w:cs="仿宋"/>
          <w:b/>
          <w:sz w:val="32"/>
          <w:szCs w:val="32"/>
        </w:rPr>
        <w:t>一、部门职责及机构设置情况</w:t>
      </w:r>
    </w:p>
    <w:p>
      <w:pPr>
        <w:rPr>
          <w:rFonts w:ascii="仿宋" w:hAnsi="仿宋" w:eastAsia="仿宋" w:cs="仿宋"/>
          <w:sz w:val="32"/>
          <w:szCs w:val="32"/>
        </w:rPr>
      </w:pPr>
      <w:r>
        <w:rPr>
          <w:rFonts w:hint="eastAsia" w:ascii="仿宋" w:hAnsi="仿宋" w:eastAsia="仿宋" w:cs="仿宋"/>
          <w:b/>
          <w:sz w:val="32"/>
          <w:szCs w:val="32"/>
        </w:rPr>
        <w:t xml:space="preserve">    (一)、部门职责</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唐山市曹妃甸区卫生健康局贯彻落实党中央、省、市、区委关于卫生健康工作的方针政策和决策部署，坚持和加强党对卫生健康工作的集中统一领导。主要职责是：</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贯彻落实上级国民健康政策、卫生健康事业发展地方规范性文件、卫生健康规划和政策措施，依法制定地方有关标准和技术规范并组织实施。统筹规划卫生健康资源配置，指导区域卫生健康规划编制和实施。起草并组织实施推进卫生健康基本公共服务均等化、普惠化、便捷化和公共资源向基层延伸等政策措施。</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协调推进全区深化医药卫生体制改革，研究提出全区深化医药卫生体制改革政策、措施的建议。组织深化公立医院综合改革，推进管办分离，健全现代医院管理制度，起草并组织实施推动卫生健康公共服务提供主体多元化、提供方式多样化的政策措施，提出医疗服务和药品价格政策的建议。</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起草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4、组织起草并协调落实应对人口老龄化政策措施，负责推进老年健康服务体系建设和医养结合工作。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组织实施国家基本药物政策和国家基本药物制度，开展药品使用监测、临床综合评价和短缺药品预警，提出全区基本药物价格政策的建议，贯彻落实上级药品地方性规范文件。组织开展食品安全风险监测和食品安全地方标准的跟踪评价工作。</w:t>
      </w:r>
    </w:p>
    <w:p>
      <w:pPr>
        <w:ind w:firstLine="707" w:firstLineChars="221"/>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6、负责职责范围内的职业卫生、放射卫生、环境卫生、学校卫生、公共场所卫生、饮用水卫生等公共卫生的监督管理，负责传染病防治监督，健全卫生健康综合监督体系。牵头《烟草控制框架公约》履约工作。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7、起草医疗机构、医疗服务行业管理办法并监督实施，</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建立医疗服务评价和监督管理体系。起草并组织实施全区医疗服务规范、标准和卫生健康专业技术人员执业规则、服务规范。</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8、负责计划生育管理和服务工作，开展人口监测预警，研究提出人口与家庭发展相关政策建议，完善全区计划生育政策。</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9、指导全区卫生健康工作，指导基层医疗卫生、妇幼健康服务体系和全科医生队伍建设。推进卫生健康科技创新发展。</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贯彻落实上级中医药事业发展规划、政策和规范性文件。参与中医药人才发展、重大中医药项目的规划和组织实施。承担中医医疗、预防、保健、康复及临床用药等监督管理职责。组织实施各类中医、中西医结合医疗机构管理规范和技术标准，指导监督其执业行为。参与组织实施中医药专业技术人员资格准入、继续教育和相关人员培训工作。指导中医药科研能力建设，组织开展对中医古籍的整理研究和中医药文化的继承发展，提出保护中医非物质文化遗产的建议，推动中医药防病治病知识普及。</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11、负责区保健对象的医疗保健及服务工作，负责区直部门有关干部医疗管理工作，负责重要会议与重大活动的医疗卫生保障工作。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12、指导区计划生育协会的业务工作。</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13、完成区委、区政府交办的其他任务。</w:t>
      </w:r>
    </w:p>
    <w:p>
      <w:pPr>
        <w:autoSpaceDE w:val="0"/>
        <w:autoSpaceDN w:val="0"/>
        <w:adjustRightInd w:val="0"/>
        <w:jc w:val="left"/>
        <w:rPr>
          <w:rFonts w:ascii="方正仿宋_GBK" w:hAnsi="Times New Roman" w:eastAsia="方正仿宋_GBK" w:cs="Times New Roman"/>
          <w:b/>
          <w:sz w:val="32"/>
          <w:szCs w:val="32"/>
        </w:rPr>
      </w:pPr>
      <w:r>
        <w:rPr>
          <w:rFonts w:hint="eastAsia" w:ascii="仿宋" w:hAnsi="仿宋" w:eastAsia="仿宋" w:cs="仿宋"/>
          <w:b/>
          <w:sz w:val="32"/>
          <w:szCs w:val="32"/>
        </w:rPr>
        <w:t>（二）、机构设置：</w:t>
      </w:r>
    </w:p>
    <w:p>
      <w:pPr>
        <w:ind w:firstLine="156" w:firstLineChars="49"/>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区卫生健康局设下列内设机构：</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1、办公室（机关纪委、督查室、工会）</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机关和下属单位的党建工作、思想政治、工青妇、精神文明建设、党务宣传、舆情监测工作。负责机关和直属单位的党风廉政建设和纪检监察工作；负责机关离退休干部工作，指导直属单位离退休干部工作。负责局机关日常运转，承担保密、信访、政务公开、后勤服务、机关安全保卫等工作，负责工会工作和平安单位创建工作。负责卫生健康系统对外宣传、新闻和信息发布工作；负责局重点工作的督导检查。</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2、人事劳资科</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承担机关和下属单位的人事管理、机构编制和队伍建设等工作。负责卫生健康专业技术人员资格管理。负责牵头负责对医疗机构的绩效考核工作。负责全系统工资管理、社会保险的核定工作。</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3、财务审计科（财务核算中心）</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建立健全财务管理制度、内部控制制度及相关规定；合理编制单位预算，严格</w:t>
      </w:r>
      <w:r>
        <w:fldChar w:fldCharType="begin"/>
      </w:r>
      <w:r>
        <w:instrText xml:space="preserve"> HYPERLINK "https://baike.so.com/doc/7073169-7296079.html" \t "_blank" </w:instrText>
      </w:r>
      <w:r>
        <w:fldChar w:fldCharType="separate"/>
      </w:r>
      <w:r>
        <w:rPr>
          <w:rFonts w:hint="eastAsia" w:ascii="仿宋" w:hAnsi="仿宋" w:eastAsia="仿宋" w:cs="仿宋"/>
          <w:color w:val="000000" w:themeColor="text1"/>
          <w:sz w:val="32"/>
          <w:szCs w:val="32"/>
        </w:rPr>
        <w:t>预算执行</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，完整、准确编制</w:t>
      </w:r>
      <w:r>
        <w:fldChar w:fldCharType="begin"/>
      </w:r>
      <w:r>
        <w:instrText xml:space="preserve"> HYPERLINK "https://baike.so.com/doc/7828760-8102855.html" \t "_blank" </w:instrText>
      </w:r>
      <w:r>
        <w:fldChar w:fldCharType="separate"/>
      </w:r>
      <w:r>
        <w:rPr>
          <w:rFonts w:hint="eastAsia" w:ascii="仿宋" w:hAnsi="仿宋" w:eastAsia="仿宋" w:cs="仿宋"/>
          <w:color w:val="000000" w:themeColor="text1"/>
          <w:sz w:val="32"/>
          <w:szCs w:val="32"/>
        </w:rPr>
        <w:t>单位决算</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及预算、决算公开工作；依法组织收入，努力节约支出，提高资金使用效益; 加强资产管理，合理配置和有效利用资产，防止资产流失; 加强单位财务管理和监督，提高资金使用效益；负责局内人员的各项保险及住房公积金的缴纳工作。</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4、规划发展与信息化科（应急科、突发公共卫生事件应急指挥中心）  </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承担统筹规划与协调优化全区卫生健康资源配置，参与卫生健康服务体系建设、负责</w:t>
      </w:r>
      <w:r>
        <w:rPr>
          <w:rFonts w:hint="default" w:ascii="仿宋" w:hAnsi="仿宋" w:eastAsia="仿宋" w:cs="仿宋"/>
          <w:color w:val="000000" w:themeColor="text1"/>
          <w:sz w:val="32"/>
          <w:szCs w:val="32"/>
          <w:lang w:val="en"/>
        </w:rPr>
        <w:t>京津冀</w:t>
      </w:r>
      <w:r>
        <w:rPr>
          <w:rFonts w:hint="eastAsia" w:ascii="仿宋" w:hAnsi="仿宋" w:eastAsia="仿宋" w:cs="仿宋"/>
          <w:color w:val="000000" w:themeColor="text1"/>
          <w:sz w:val="32"/>
          <w:szCs w:val="32"/>
        </w:rPr>
        <w:t>医疗卫生协同发展工作。承担卫生健康信息化建设工作，承担卫生健康统计工作，参与区人口基础信息库建设。承担卫生应急和紧急医学救援工作，组织编制专项预案，承担预案演练的组织实施和指导监督工作。指导卫生应急体系和能力建设。依法发布突发公共卫生事件应急处置信息。</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5、疾病预防控制与食品安全监测科</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重大疾病防治规划、国家免疫规划、严重危害人民健康公共卫生问题的干预措施并组织实施，完善疾病预防控制体系，负责传染病疫情信息上报工作。承担防治区艾滋病工作委员会的具体工作。会同区有关部门制定食品安全风险监测方案，组织开展食品安全风险监测和食品安全地方标准的跟踪评价工作。</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6、医政医管和药物政策科(中医管理科、体改办、科教科)</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推进落实上级制定的医疗机构及医务人员、医疗技术应用、医疗质量和安全、医疗服务、临床用血规范管理工作,承担推进护理、康复事业发展工作，开展药品使用监测、临床综合评价和短缺药品预警，麻醉药品使用指导工作;提出全区中医药事业发展建议、落实上级制定的各项政策，起草有关地方性规范文件。参与中医药人才发展、重大中医药项目的规划和组织实施。组织实施各类中医、中西医结合医疗机构管理规范和技术标准,指导其执业行为。指导中医药科研能力建设,推动中医药防病治病知识普及。承担深化医药卫生体制改革具体工作，研究提出深化医药卫生体制改革政策、措施的建议，承担组织推进公立医院综合改革工作。落实公立医院绩效评价和考核制度并组织实施；拟订卫生健康科技发展规划及相应政策并组织实施。指导实验室生物安全工作。组织开展住院医师、专科医师规范化培训等毕业后医学教育和继续教育工作，指导全科医生队伍建设，协同指导医学院校教育工作。组织指导卫生健康工作领域的交流与合作；指导医疗废物管理工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7、妇幼健康科</w:t>
      </w:r>
    </w:p>
    <w:p>
      <w:pPr>
        <w:snapToGrid w:val="0"/>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妇幼卫生健康政策、标准和规范，推进妇幼健康服务体系建设，指导妇幼卫生、出生缺陷防治、婴幼儿早期发展、人类辅助生殖技术管理和生育技术服务工作。负责全区送药员的业务培训；制定药具使用计划并做好新药的调入和推广；督促、检查、指导全区药具仓储、发放工作，检查药具使用效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8、基层卫生健康科 （社区卫生服务管理办公室、医疗康养高地办公室）</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基层卫生健康政策、标准和规划并组织实施，指导基层卫生健康服务体系建设和乡村医生队伍建设，推进家庭医生签约服务和基层卫生综合改革，负责基本公共卫生服务项目的综合管理，组织推进社区卫生服务工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9、人口监测与家庭发展科（法制监督科）</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组织起草政府规章草案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人口监测预警工作并提出人口与家庭发展相关政策建议并组织实施；建立和完善落实计划生育奖、特扶制度和计生利益导向制度；负责基层计生组织建设管理；制定基层计生工作年度考核计划；负责单位和个人计生情况审核；负责全区人口性别比综合治理；负责全区生育登记及回访服务工作监督。</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10、老龄康养服务中心（重点项目办） </w:t>
      </w:r>
    </w:p>
    <w:p>
      <w:pPr>
        <w:snapToGrid w:val="0"/>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协调落实应对老龄化的政策措施</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组织实施医养结合的政策、标准和规范</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建立和完善老年健康服务体系</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承担区老龄工作委员会的具体工作</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负责全系统重点项目的组织和实施，承办局领导交办的其他事项。</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11、健康曹妃甸区指导中心（区爱国卫生运动委员会办公室、扶贫办）</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起草健康曹妃甸建设发展规划和工作计划，并组织实施；负责健康曹妃甸建设综合协调工作；起草健康曹妃甸建设任务监测评估办法，并组织考核评估。组织开展卫生健康宣传、健康教育、健康促进活动。承担健康扶贫工作。起草全区爱国卫生运动有关政策、标准、规范并组织实施。承担《烟草控制框架公约》牵头履约工作。承担区爱国卫生运动委员会交办的具体工作。</w:t>
      </w:r>
    </w:p>
    <w:p>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12、唐山市曹妃甸区红十字会</w:t>
      </w:r>
    </w:p>
    <w:p>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制定红十字会工作计划和组织发展规划；开展救灾准备工作，在自然灾害和突发事件中，对伤病人员和其他受害者进行救助；普及卫生救护和防病知识，进行初级卫生救护培训，组织群众参加现场救助；参加国际人道主义救援工作，负责国际友人、华侨、港澳台胞民间友好往来；负责《献血法》的宣传，协助制定全区公民无偿献血计划</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开展募捐工作及特困群众医疗救助；完成区级人民政府委托的其它事宜。</w:t>
      </w:r>
    </w:p>
    <w:p>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13、计划生育协会</w:t>
      </w:r>
    </w:p>
    <w:p>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协助政府贯彻落实国家、省、市、区有关计划生育与家庭发展的法律、法规和政策，引导群众负责任、有计划地生育；承担宣传教育、生殖健康咨询服务、优生优育指导、计划生育家庭帮扶、权益维护和流动人口服务等工作；引导群众广泛开展计划生育自我管理、自我服务、自我教育、自我监督，促进乡风文明；关怀帮扶失独家庭、困难家庭等计划生育家庭，妥善解决他们的生活照料、精神慰藉等问题；指导全区各级计划生育协会的组织建设和业务工作；在区委、区政府领导下开展计划生育和家庭发展的交流与合作和对外宣传工作；承办区委、区政府和上级计划生育协会交办的其他事项。</w:t>
      </w:r>
    </w:p>
    <w:p>
      <w:pPr>
        <w:numPr>
          <w:ilvl w:val="0"/>
          <w:numId w:val="1"/>
        </w:num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执法大队</w:t>
      </w:r>
    </w:p>
    <w:p>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拟订职业卫生、放射卫生相关政策、标准并组织实施。开展重点职业病监测、专项调查、职业健康风险评估和职业人群健康管理工作。协调开展职业病防治工作。</w:t>
      </w:r>
    </w:p>
    <w:p>
      <w:pPr>
        <w:ind w:firstLine="640"/>
        <w:rPr>
          <w:rFonts w:ascii="黑体" w:hAnsi="黑体" w:eastAsia="黑体" w:cs="Times New Roman"/>
          <w:b/>
          <w:sz w:val="32"/>
          <w:szCs w:val="32"/>
        </w:rPr>
      </w:pPr>
      <w:r>
        <w:rPr>
          <w:rFonts w:hint="eastAsia" w:ascii="仿宋" w:hAnsi="仿宋" w:eastAsia="仿宋" w:cs="仿宋"/>
          <w:b/>
          <w:sz w:val="32"/>
          <w:szCs w:val="32"/>
        </w:rPr>
        <w:t>二、部门预算安排的总体情况</w:t>
      </w:r>
    </w:p>
    <w:p>
      <w:pPr>
        <w:ind w:firstLine="640"/>
        <w:rPr>
          <w:rFonts w:ascii="Times New Roman" w:hAnsi="Times New Roman" w:eastAsia="方正仿宋_GBK" w:cs="Times New Roman"/>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按照预算管理有关规定，目前我省部门预算的编制实行综合预算制度，即全部收入和支出都反映在预算中。河北省及所属事业单位的收支包含在部门预算中</w:t>
      </w:r>
      <w:r>
        <w:rPr>
          <w:rFonts w:ascii="Times New Roman" w:hAnsi="Times New Roman" w:eastAsia="方正仿宋_GBK" w:cs="Times New Roman"/>
          <w:sz w:val="32"/>
          <w:szCs w:val="32"/>
        </w:rPr>
        <w:t>。</w:t>
      </w:r>
    </w:p>
    <w:p>
      <w:pPr>
        <w:ind w:firstLine="642" w:firstLineChars="200"/>
        <w:rPr>
          <w:rFonts w:ascii="仿宋" w:hAnsi="仿宋" w:eastAsia="仿宋" w:cs="仿宋"/>
          <w:sz w:val="32"/>
          <w:szCs w:val="32"/>
        </w:rPr>
      </w:pPr>
      <w:r>
        <w:rPr>
          <w:rFonts w:hint="eastAsia" w:ascii="仿宋" w:hAnsi="仿宋" w:eastAsia="仿宋" w:cs="仿宋"/>
          <w:b/>
          <w:bCs/>
          <w:sz w:val="32"/>
          <w:szCs w:val="32"/>
        </w:rPr>
        <w:t>1、收入说明</w:t>
      </w:r>
    </w:p>
    <w:p>
      <w:pPr>
        <w:ind w:firstLine="640" w:firstLineChars="200"/>
        <w:rPr>
          <w:rFonts w:ascii="仿宋" w:hAnsi="仿宋" w:eastAsia="仿宋" w:cs="仿宋"/>
          <w:sz w:val="32"/>
          <w:szCs w:val="32"/>
        </w:rPr>
      </w:pPr>
      <w:r>
        <w:rPr>
          <w:rFonts w:hint="eastAsia" w:ascii="仿宋" w:hAnsi="仿宋" w:eastAsia="仿宋" w:cs="仿宋"/>
          <w:sz w:val="32"/>
          <w:szCs w:val="32"/>
        </w:rPr>
        <w:t>反应本部门当年全部收入，2020年预算收入19863.33万元，其中：一般预算19863.33万元。</w:t>
      </w:r>
    </w:p>
    <w:p>
      <w:pPr>
        <w:numPr>
          <w:ilvl w:val="0"/>
          <w:numId w:val="2"/>
        </w:numPr>
        <w:ind w:firstLine="640"/>
        <w:rPr>
          <w:rFonts w:ascii="Times New Roman" w:hAnsi="Times New Roman" w:eastAsia="方正仿宋_GBK" w:cs="Times New Roman"/>
          <w:b/>
          <w:bCs/>
          <w:sz w:val="32"/>
          <w:szCs w:val="32"/>
        </w:rPr>
      </w:pPr>
      <w:r>
        <w:rPr>
          <w:rFonts w:hint="eastAsia" w:ascii="仿宋" w:hAnsi="仿宋" w:eastAsia="仿宋" w:cs="仿宋"/>
          <w:b/>
          <w:bCs/>
          <w:sz w:val="32"/>
          <w:szCs w:val="32"/>
        </w:rPr>
        <w:t>支出说明</w:t>
      </w:r>
    </w:p>
    <w:p>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卫生健康局2020年度部门预算中支出预算的总体情况。2020年部门支出预算为19863.33万元，其中基本支出1577.55万元，包括人员经费1428.56万元和日常公用经费148.99万元；项目支出18285.78万元，全部为本级支出。</w:t>
      </w:r>
    </w:p>
    <w:p>
      <w:pPr>
        <w:numPr>
          <w:ilvl w:val="0"/>
          <w:numId w:val="2"/>
        </w:numPr>
        <w:ind w:firstLine="64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比上年增减情况</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rPr>
        <w:t>2020年部门预算较2019年增加17717.27万元，其中：基本支出增加270.27万元，主要是人员调出调入；</w:t>
      </w:r>
      <w:r>
        <w:rPr>
          <w:rFonts w:hint="eastAsia" w:ascii="仿宋" w:hAnsi="仿宋" w:eastAsia="仿宋" w:cs="仿宋"/>
          <w:sz w:val="32"/>
          <w:szCs w:val="32"/>
        </w:rPr>
        <w:t>项目支出增加181447万元，增加原因主要是项目数量增加</w:t>
      </w:r>
      <w:r>
        <w:rPr>
          <w:rFonts w:hint="eastAsia" w:ascii="仿宋" w:hAnsi="仿宋" w:eastAsia="仿宋" w:cs="仿宋"/>
          <w:kern w:val="0"/>
          <w:sz w:val="32"/>
          <w:szCs w:val="32"/>
          <w:lang w:val="zh-CN"/>
        </w:rPr>
        <w:t>。</w:t>
      </w:r>
    </w:p>
    <w:p>
      <w:pPr>
        <w:ind w:firstLine="640"/>
        <w:rPr>
          <w:rFonts w:ascii="仿宋" w:hAnsi="仿宋" w:eastAsia="仿宋" w:cs="仿宋"/>
          <w:b/>
          <w:sz w:val="32"/>
          <w:szCs w:val="32"/>
        </w:rPr>
      </w:pPr>
      <w:r>
        <w:rPr>
          <w:rFonts w:hint="eastAsia" w:ascii="仿宋" w:hAnsi="仿宋" w:eastAsia="仿宋" w:cs="仿宋"/>
          <w:b/>
          <w:sz w:val="32"/>
          <w:szCs w:val="32"/>
        </w:rPr>
        <w:t>三、机关运行经费安排情况</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148.99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2020年，财政拨款“三公”经费预算安排</w:t>
      </w:r>
      <w:r>
        <w:rPr>
          <w:rFonts w:hint="eastAsia" w:ascii="仿宋" w:hAnsi="仿宋" w:eastAsia="仿宋" w:cs="仿宋"/>
          <w:sz w:val="32"/>
          <w:szCs w:val="32"/>
          <w:lang w:val="en-US" w:eastAsia="zh-CN"/>
        </w:rPr>
        <w:t>100.95</w:t>
      </w:r>
      <w:r>
        <w:rPr>
          <w:rFonts w:hint="eastAsia" w:ascii="仿宋" w:hAnsi="仿宋" w:eastAsia="仿宋" w:cs="仿宋"/>
          <w:sz w:val="32"/>
          <w:szCs w:val="32"/>
        </w:rPr>
        <w:t>万元，其中：因公出国（境）费0万元，没有增减变化；公务用车购置及运维费100万元（其中：公务用车运行维护费55万元；公务用车购置费45万元)，公务用车购置费相比2019年增加45万元；</w:t>
      </w:r>
      <w:r>
        <w:rPr>
          <w:rFonts w:hint="eastAsia" w:ascii="仿宋" w:hAnsi="仿宋" w:eastAsia="仿宋" w:cs="仿宋"/>
          <w:sz w:val="32"/>
          <w:szCs w:val="32"/>
          <w:lang w:eastAsia="zh-CN"/>
        </w:rPr>
        <w:t>原因是</w:t>
      </w:r>
      <w:r>
        <w:rPr>
          <w:rFonts w:hint="eastAsia" w:ascii="仿宋" w:hAnsi="仿宋" w:eastAsia="仿宋" w:cs="仿宋"/>
          <w:sz w:val="32"/>
          <w:szCs w:val="32"/>
          <w:lang w:val="en-US" w:eastAsia="zh-CN"/>
        </w:rPr>
        <w:t>2020年因新冠肺炎疫情爆发，应急救护车紧缺，主要用于应急救护车的采购；</w:t>
      </w:r>
      <w:r>
        <w:rPr>
          <w:rFonts w:hint="eastAsia" w:ascii="仿宋" w:hAnsi="仿宋" w:eastAsia="仿宋" w:cs="仿宋"/>
          <w:sz w:val="32"/>
          <w:szCs w:val="32"/>
        </w:rPr>
        <w:t>公务用车运行维护费相比2019年增加</w:t>
      </w:r>
      <w:r>
        <w:rPr>
          <w:rFonts w:hint="eastAsia" w:ascii="仿宋" w:hAnsi="仿宋" w:eastAsia="仿宋" w:cs="仿宋"/>
          <w:sz w:val="32"/>
          <w:szCs w:val="32"/>
          <w:lang w:val="en-US" w:eastAsia="zh-CN"/>
        </w:rPr>
        <w:t>20</w:t>
      </w:r>
      <w:r>
        <w:rPr>
          <w:rFonts w:hint="eastAsia" w:ascii="仿宋" w:hAnsi="仿宋" w:eastAsia="仿宋" w:cs="仿宋"/>
          <w:sz w:val="32"/>
          <w:szCs w:val="32"/>
        </w:rPr>
        <w:t>万元；原因是公务用车的数量增加；公务接待费0.95万元，比去年减少0.05万元，原因2020年继续按照精简节约的原则，压缩招待费支出。</w:t>
      </w:r>
    </w:p>
    <w:p>
      <w:pPr>
        <w:ind w:firstLine="799" w:firstLineChars="249"/>
        <w:rPr>
          <w:rFonts w:ascii="仿宋" w:hAnsi="仿宋" w:eastAsia="仿宋" w:cs="仿宋"/>
          <w:b/>
          <w:sz w:val="32"/>
          <w:szCs w:val="32"/>
        </w:rPr>
      </w:pPr>
      <w:r>
        <w:rPr>
          <w:rFonts w:hint="eastAsia" w:ascii="仿宋" w:hAnsi="仿宋" w:eastAsia="仿宋" w:cs="仿宋"/>
          <w:b/>
          <w:sz w:val="32"/>
          <w:szCs w:val="32"/>
        </w:rPr>
        <w:t>五、绩效预算信息</w:t>
      </w:r>
    </w:p>
    <w:p>
      <w:pPr>
        <w:ind w:firstLine="803" w:firstLineChars="250"/>
        <w:jc w:val="left"/>
        <w:rPr>
          <w:rFonts w:ascii="Times New Roman" w:hAnsi="Times New Roman" w:eastAsia="方正仿宋_GBK" w:cs="Times New Roman"/>
          <w:b/>
          <w:sz w:val="32"/>
          <w:szCs w:val="32"/>
        </w:rPr>
      </w:pPr>
      <w:bookmarkStart w:id="0" w:name="_Toc471398463"/>
      <w:r>
        <w:rPr>
          <w:rFonts w:hint="eastAsia" w:ascii="仿宋" w:hAnsi="仿宋" w:eastAsia="仿宋" w:cs="仿宋"/>
          <w:b/>
          <w:sz w:val="32"/>
          <w:szCs w:val="32"/>
        </w:rPr>
        <w:t>(一)、总体绩效目标</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强化项目资金监管，保障资金使用安全</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为加强和规范财务管理，保障资金安全，依据《中华人民共和国会计法》、《中华人民共和国预算法》等有关法律法规，财审科结合我局实际，严格按照年初制定的《唐山市曹妃甸区卫生健康局财务管理办法》， 保证资金安全支付。</w:t>
      </w:r>
    </w:p>
    <w:p>
      <w:pPr>
        <w:autoSpaceDE w:val="0"/>
        <w:autoSpaceDN w:val="0"/>
        <w:adjustRightInd w:val="0"/>
        <w:ind w:left="198" w:firstLine="640" w:firstLineChars="200"/>
        <w:jc w:val="left"/>
        <w:rPr>
          <w:rFonts w:ascii="仿宋" w:hAnsi="仿宋" w:eastAsia="仿宋" w:cs="仿宋"/>
          <w:sz w:val="32"/>
          <w:szCs w:val="32"/>
        </w:rPr>
      </w:pPr>
    </w:p>
    <w:tbl>
      <w:tblPr>
        <w:tblStyle w:val="4"/>
        <w:tblW w:w="13459" w:type="dxa"/>
        <w:tblInd w:w="0" w:type="dxa"/>
        <w:shd w:val="clear" w:color="auto" w:fill="auto"/>
        <w:tblLayout w:type="fixed"/>
        <w:tblCellMar>
          <w:top w:w="0" w:type="dxa"/>
          <w:left w:w="0" w:type="dxa"/>
          <w:bottom w:w="0" w:type="dxa"/>
          <w:right w:w="0" w:type="dxa"/>
        </w:tblCellMar>
      </w:tblPr>
      <w:tblGrid>
        <w:gridCol w:w="480"/>
        <w:gridCol w:w="514"/>
        <w:gridCol w:w="280"/>
        <w:gridCol w:w="596"/>
        <w:gridCol w:w="732"/>
        <w:gridCol w:w="1505"/>
        <w:gridCol w:w="1170"/>
        <w:gridCol w:w="1580"/>
        <w:gridCol w:w="1409"/>
        <w:gridCol w:w="3242"/>
        <w:gridCol w:w="582"/>
        <w:gridCol w:w="319"/>
        <w:gridCol w:w="435"/>
        <w:gridCol w:w="615"/>
      </w:tblGrid>
      <w:tr>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w:t>
            </w: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职责编码</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职责名称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职责描述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职责目标</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活动编码</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活动名称</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活动描述</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w:t>
            </w: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唐山市曹妃甸区卫生健康局</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公共卫生是保障人民大众身心健康的公共事业，包括提供基本公共卫生服务，疾病预防控制，对突发公共卫生事件的应急处置，促进妇女儿童健康，食品安全风险监管等各项工作。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推进基本公共卫生服务均等化；控制各类重大疾病的发生与传播；有效应对我县突发公共卫生事件；保障妇女儿童身心健康；提高食品安全风险预警能力，为保障食品安全提供技术支撑。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按照国家基本公共卫生服务项目《规范》，组织全县基层医疗卫生机构开展实施基本公共卫生服务项目。</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疾病预防控制</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组织落实重大疾病防治规划、国家免疫规划及严重危害人民健康公共卫生问题的干预措施，防止和控制疾病发生和疫情蔓延，组织开展全县爱国卫生工作。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突发公共卫生事件应急处置</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负责全县卫生应急体系和能力建设，突发公共卫生事件的预防准备、监测预警、处置救援、总结评估等工作。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妇幼健康服务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落实上级妇幼健康服务项目，开展母婴保健、辅助生殖技术管理、妇女儿童常见病和多发病防治、出生缺陷综合防治、出生医学证明等母婴保健法律证件管理等各项工作。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开展食品安全风险监测和食源性疾病监测，贯彻宣传食品安全标准并跟踪评价，加强食品安全标准和风险监测评估能力建设，提供全县食品安全监管技术支持。</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以医疗技术为基本服务手段，通过各级各类医疗机构，向广大人民群众提供的医疗、预防、保健及康复等服务。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提高医疗机构的疾病救治能力，强化公立医院和基层医疗卫生机构综合改革，满足各类人民群众的医疗服务需求。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针对不同类型的疾病提供预防、检查、诊断、治疗和康复等各类医疗服务，健全我县医疗机构和医疗服务全行业管理制度，开展医疗惠民工程等各类医疗服务工作。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通过建立和实施新型农村合作医疗、疾病应急救助以及公费医疗等制度，保障各类人群享有所需医疗服务权益。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公立医院和基层医疗卫生机构综合改革</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坚持计划生育基本国策，提供各类计划生育技术服务，建立计划生育利益导向机制，开展出生人口性别比治理以及流动人口计划生育管理等各项工作。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保持适度的低生育水平，有效保障计划生育家庭生活水平，提高妇女生殖健康水平，降低出生缺陷的发生，有效遏制出生人口性别比偏高问题。</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计划生育家庭发展与利益导向机制建设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通过实施国家奖扶、特扶等制度，创建幸福家庭等工作，全面提高计划生育家庭的发展能力。</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计划生育指导与管理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做好出生人口性别比治理工作，加强流动人口计划生育管理，提升基层基础计划生育队伍服务水平。</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计划生育群众工作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协助政府开展计划生育群众自治、亲情关爱及幸福工程等工作，动员广大群众自觉参与和实行各项计划生育政策。</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中医药人才培养、中医药信息化建设、中医药文化推广等各项工作，满足各类人民群众享受民族医药服务的需求。</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加强中医药能力建设，提高中医药人员服务水平，有效发挥中医药在医疗保健领域的特色优势。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中医药人才队伍和科研能力建设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培养具有扎实中医药理论功底和较强辩证施治能力的中医临床技术人员，面向基层医疗机构推广中医药适宜技术。</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中医药推广及文化宣传</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构建中医药核心价值体系，开展中医药文化传播与知识普及。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中医药服务能力建设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培育和建设具有明显中医特色的重点专科，加强中医医疗机构信息化建设。</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卫生计生政务</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拟定卫生计生改革与发展目标、规划，组织指导相关工作开展，承担政务公开和业务宣传工作，加强卫生计生能力建设。</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保障卫生计生事业稳定发展。</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卫生计生人才队伍及科研能力建设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开展卫生计生人才培训，组织继续医学教育和适宜技术推广等工作。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卫生计生综合监督</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监督卫生计生相关法律法规落实情况，督办重大卫生计生违法案件，指导和规范卫生计生人员执法行为，坚持计划生育目标管理责任制。</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卫生计生综合业务管理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开展卫生计生规划、资源配置、统计、法制、政策研究、宣传教育、舆情监测等工作。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卫生计生综合事务管理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开展卫生计生信息化、基础设施、装备管理与配置等各项工作。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计生专干小组长</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通过对本村（居）或育龄小组日常工作管理，全面做好计生政策宣传、生殖健康教育、免费婚育服务、反馈人口生育信息，落实“包保责任制”等。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夯实基层生育工作基础。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计生专干、小组长综合事物管理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对本村（居）或育龄小组日常工作管理，全面做好计生政策宣传、生殖健康教育、免费婚育服务、反馈人口生育信息，落实“包保责任制”等。</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乡医绩效补助</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负责为辖区居民提供基本医疗、基本公共卫生服务工作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夯实基层医疗工作基础。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乡医绩效补助综合管理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负责为辖区居民提供基本医疗、基本公共卫生服务工作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4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坚持计划生育基本国策，提供各类计划生育技术服务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保持适度的低生育水平，有效保障计划生育家庭生活水平，提高妇女生殖健康水平，降低出生缺陷的发生.加强药具工作标准化、规范化体系建设，保证供应，提高优质服务水平</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计划生育技术服务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落实免费计划生育基本技术服务项目：农村已婚育龄妇女生殖健康检查免费服务,农村育龄妇女才检查提档升级项目ＴＣＴ两癌筛查：为计划怀孕的夫妻免费提供健康教育，病史询问、体格检查、临床实验室检查等19项孕前优生检查服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计划生育药具服务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加强药具发放网络建设，进一步做好流动人口药具服务管理工作，做好供应发放，满足群众避孕节育需求；加强业务培训，提高队伍整体素质，加大药具宣传力度，提高育龄群众药具政策知识知晓率。</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城乡环境综合整治</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通过环境整治，营造良好的城乡环境.</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加强城乡精神文明建设，改善群众的生活和创业环境。</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旱厕改造工程</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抓好农村无害化卫生厕所建设和管理；教育和引导农民正确使用卫生厕所。</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除四害</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实施以环境治理为主的综合预防控制策略，清除病媒生物孳生地，防止登革热、流行性出血热等病媒生物传播疾病的发生流行</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城乡环境综合整治</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积极开展城乡环境综合整治，改善居民居住环境。</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健康教育宣传</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通过开展活动，提高群众卫生理念及健康意识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有效提高群众卫生知识知晓率、健康行为形成率</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控烟禁烟</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积极开展控烟宣传教育，提高公众对烟草危害的正确认识</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健康教育宣传活动</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组织开展大型健康教育宣传“七进”活动</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0</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autoSpaceDE w:val="0"/>
        <w:autoSpaceDN w:val="0"/>
        <w:adjustRightInd w:val="0"/>
        <w:ind w:left="198" w:firstLine="640" w:firstLineChars="200"/>
        <w:jc w:val="left"/>
        <w:rPr>
          <w:rFonts w:ascii="仿宋" w:hAnsi="仿宋" w:eastAsia="仿宋" w:cs="仿宋"/>
          <w:sz w:val="32"/>
          <w:szCs w:val="32"/>
        </w:rPr>
      </w:pPr>
    </w:p>
    <w:p>
      <w:pPr>
        <w:ind w:firstLine="803" w:firstLineChars="250"/>
        <w:jc w:val="left"/>
        <w:rPr>
          <w:rFonts w:ascii="仿宋" w:hAnsi="仿宋" w:eastAsia="仿宋" w:cs="仿宋"/>
          <w:b/>
          <w:sz w:val="32"/>
          <w:szCs w:val="32"/>
        </w:rPr>
      </w:pPr>
      <w:bookmarkStart w:id="1" w:name="_Toc65589304"/>
      <w:r>
        <w:rPr>
          <w:rFonts w:hint="eastAsia" w:ascii="仿宋" w:hAnsi="仿宋" w:eastAsia="仿宋" w:cs="仿宋"/>
          <w:b/>
          <w:sz w:val="32"/>
          <w:szCs w:val="32"/>
        </w:rPr>
        <w:t>（二）、分项绩效目标</w:t>
      </w:r>
      <w:bookmarkEnd w:id="1"/>
      <w:r>
        <w:rPr>
          <w:rFonts w:ascii="仿宋" w:hAnsi="仿宋" w:eastAsia="仿宋" w:cs="仿宋"/>
          <w:b/>
          <w:sz w:val="32"/>
          <w:szCs w:val="32"/>
        </w:rPr>
        <w:fldChar w:fldCharType="begin"/>
      </w:r>
      <w:r>
        <w:rPr>
          <w:rFonts w:hint="eastAsia" w:ascii="仿宋" w:hAnsi="仿宋" w:eastAsia="仿宋" w:cs="仿宋"/>
          <w:b/>
          <w:sz w:val="32"/>
          <w:szCs w:val="32"/>
        </w:rPr>
        <w:instrText xml:space="preserve">TC 分项绩效目标 \f A \l 1</w:instrText>
      </w:r>
      <w:r>
        <w:rPr>
          <w:rFonts w:ascii="仿宋" w:hAnsi="仿宋" w:eastAsia="仿宋" w:cs="仿宋"/>
          <w:b/>
          <w:sz w:val="32"/>
          <w:szCs w:val="32"/>
        </w:rPr>
        <w:fldChar w:fldCharType="end"/>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日常费用报销。按照规定每月正常发放的工资、缴纳的社会保险费、住房公积金、个人所得税，由局人事劳资科、局财务审计科人员初审，局财务审计科长审核，财务分管局领导签字后报销；正常办公支出的电话费、邮寄费、零星办公费用（1万（含）以下费用）和公务车运行维护费中的加油费、保险费、过桥费，经手人在报销凭证上签字，经局办公室主任初审、财务科长审核，业务主管领导、财务分管领导批准报销。</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办公出差实行审批制度，严格按照唐山市曹妃甸区财政局关于印发《唐山市曹妃甸区机关差旅费管理暂行办法》的通知（唐曹财发[2016]91号）规定执行。职工出差填写公务出差审批单，报销时需提供差旅费报销单及相关文件。城市间交通费、住宿费报销以行政级别为准，由单位提供交通工具的，不报销市内交通费。对未经批准，超标准、超范围开支的费用不予报销。</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3、会议费、培训费、招待费的开支管理。会议费、培训费开支实行审批卡制度，严格按照唐山市曹妃甸区财政局 关于印发《唐山市曹妃甸区区直机关培训费管理办法（试行）》的通知（唐曹财发[2014]48号）和唐山市曹妃甸区财政局关于印发《唐山市曹妃甸区机关会议费管理办法（试行）》的通知（唐曹财发[2014]49号）文件执行。招待费开支实行审批卡制度，公务接待由局办公室统一安排，统一结算，相关科室配合，由负责接待的科室按要求填写审批卡（有接待公函的）或公务接待方案（无接待公函的），经办公室分管领导审批后交局办公室安排接待。局办公室凭审批卡或公务接待方案、公务接待清单、结算票据等办理报销手续。</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4、印刷和宣传品费的开支。事先由业务科室向局办公室报方案，主管领导签字，由局办公室统一协调安排使用，严格按照年初预算项目执行，附件包括印刷/宣传品合同、印刷/宣传品清单、科室入库领用发放清单、照片或印刷品复印件。</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5、专项业务、非日常性开支。严格按照区财政下发的各类规定执行。支出涉及大额资金使用的，由局领导班子集体研究后审批。</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6、严格借款管理。个人因私禁止借用公款。因公借款由经办人填写借款单，一事一借，借款单经科室负责人初审，局财务审计科科长审核，财务分管领导批准。借款要在事情办结后立即返还或报账，上次借款不还，不允许再借款，借款三个月不还按占用公款处理，局财务审计科将从借款人的收入中扣回所借款项，不允许跨年度借款。</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7、工会经费开支。工会经费开支，局办公室与局财务审计科协商，按照财务制度拿出方案，编制预算签报，报业务分管领导，财务分管领导审批后，由局办公室统一办理，报销凭证由经手人签字，局办公室主任签字，局财务审计科长审核，财务分管领导批准报销。</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8、办公设备、交通工具、专用设备等购置。办公设备和交通工具购置由局办公室负责按批复的预算填报支出计划表、政府采购计划表，专用设备由各业务科室填报支出计划表、政府采购计划表。采购验收完毕及时向局财务审计科提交验收手续，由局财务审计科负责资金支付事宜。</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9、专项项目资金支出管理</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区本级部门预算支出管理。部门预算资金（指定项目）支出安排，要视各项目轻重，量入为出，资金安排严格执行年度预算，各业务科室提出具体安排计划，编制预算签报，支出涉及大额资金使用的，由局长办公会集体研究后审批。涉及政府采购项目的，待履行政府采购手续后，局财务审计科按项目支出计划履行拨款程序。</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省市以上财政安排的专项资金支出管理。由业务科室根据年度预算安排或上级资金下达文件要求，提出具体安排计划，报业务分管领导、局长同意后，由局财务审计科负责资金管理，相关业务科室负责项目管理，保障资金支付安全。</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⑶</w:t>
      </w:r>
      <w:r>
        <w:rPr>
          <w:rFonts w:ascii="仿宋" w:hAnsi="仿宋" w:eastAsia="仿宋" w:cs="仿宋"/>
          <w:sz w:val="32"/>
          <w:szCs w:val="32"/>
        </w:rPr>
        <w:t>专项资金下拨到基层后，业务科室要定期到基层并对开展业务工作进行监管，严禁工作不扎实，有死角死面，严禁专款大额闲置退回。</w:t>
      </w:r>
    </w:p>
    <w:p>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10、政府采购和项目验收管理</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列入政府采购招标的项目由相关业务科室办理政府采购手续。局办公室、局财务审计科配合做好相关工作。按照唐山市曹妃甸区财政局关于转发《河北省财政厅关于调整河北省政府采购集中采购目录和限额标准的通知》的通知（唐曹财发【2017】2号）文件要求，符合政府采购范围的项目，必须履行政府采购手续。无政府采购手续，不得签订项目实施合同，不得支付项目资金。</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项目验收。经批准的政府采购项目，由业务分管领导代表法人受托签订合同。项目竣工后，由业务科室负责组织验收，经业务分管领导批准后，以局名义出具《验收书》。</w:t>
      </w:r>
    </w:p>
    <w:bookmarkEnd w:id="0"/>
    <w:p>
      <w:pPr>
        <w:ind w:firstLine="640"/>
        <w:rPr>
          <w:rFonts w:ascii="仿宋" w:hAnsi="仿宋" w:eastAsia="仿宋" w:cs="仿宋"/>
          <w:b/>
          <w:sz w:val="32"/>
          <w:szCs w:val="32"/>
        </w:rPr>
      </w:pPr>
      <w:r>
        <w:rPr>
          <w:rFonts w:hint="eastAsia" w:ascii="仿宋" w:hAnsi="仿宋" w:eastAsia="仿宋" w:cs="仿宋"/>
          <w:b/>
          <w:sz w:val="32"/>
          <w:szCs w:val="32"/>
        </w:rPr>
        <w:t xml:space="preserve"> 六、 政府</w:t>
      </w:r>
      <w:r>
        <w:rPr>
          <w:rFonts w:ascii="仿宋" w:hAnsi="仿宋" w:eastAsia="仿宋" w:cs="仿宋"/>
          <w:b/>
          <w:sz w:val="32"/>
          <w:szCs w:val="32"/>
        </w:rPr>
        <w:t>采购预算情况</w:t>
      </w:r>
    </w:p>
    <w:p>
      <w:pPr>
        <w:ind w:firstLine="640"/>
        <w:rPr>
          <w:rFonts w:hint="eastAsia" w:ascii="仿宋" w:hAnsi="仿宋" w:eastAsia="仿宋" w:cs="仿宋"/>
          <w:sz w:val="32"/>
          <w:szCs w:val="32"/>
        </w:rPr>
      </w:pPr>
      <w:r>
        <w:rPr>
          <w:rFonts w:hint="eastAsia" w:ascii="仿宋" w:hAnsi="仿宋" w:eastAsia="仿宋" w:cs="仿宋"/>
          <w:sz w:val="32"/>
          <w:szCs w:val="32"/>
        </w:rPr>
        <w:t>2020年</w:t>
      </w:r>
      <w:r>
        <w:rPr>
          <w:rFonts w:ascii="仿宋" w:hAnsi="仿宋" w:eastAsia="仿宋" w:cs="仿宋"/>
          <w:sz w:val="32"/>
          <w:szCs w:val="32"/>
        </w:rPr>
        <w:t>，安排政府采购预算</w:t>
      </w:r>
      <w:r>
        <w:rPr>
          <w:rFonts w:hint="eastAsia" w:ascii="仿宋" w:hAnsi="仿宋" w:eastAsia="仿宋" w:cs="仿宋"/>
          <w:sz w:val="32"/>
          <w:szCs w:val="32"/>
        </w:rPr>
        <w:t>0万元</w:t>
      </w:r>
      <w:r>
        <w:rPr>
          <w:rFonts w:ascii="仿宋" w:hAnsi="仿宋" w:eastAsia="仿宋" w:cs="仿宋"/>
          <w:sz w:val="32"/>
          <w:szCs w:val="32"/>
        </w:rPr>
        <w:t>。</w:t>
      </w:r>
      <w:r>
        <w:rPr>
          <w:rFonts w:hint="eastAsia" w:ascii="仿宋" w:hAnsi="仿宋" w:eastAsia="仿宋" w:cs="仿宋"/>
          <w:sz w:val="32"/>
          <w:szCs w:val="32"/>
        </w:rPr>
        <w:t>具体内容</w:t>
      </w:r>
      <w:r>
        <w:rPr>
          <w:rFonts w:ascii="仿宋" w:hAnsi="仿宋" w:eastAsia="仿宋" w:cs="仿宋"/>
          <w:sz w:val="32"/>
          <w:szCs w:val="32"/>
        </w:rPr>
        <w:t>见下表</w:t>
      </w:r>
    </w:p>
    <w:tbl>
      <w:tblPr>
        <w:tblStyle w:val="4"/>
        <w:tblW w:w="114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8"/>
        <w:gridCol w:w="865"/>
        <w:gridCol w:w="765"/>
        <w:gridCol w:w="775"/>
        <w:gridCol w:w="597"/>
        <w:gridCol w:w="598"/>
        <w:gridCol w:w="677"/>
        <w:gridCol w:w="757"/>
        <w:gridCol w:w="757"/>
        <w:gridCol w:w="757"/>
        <w:gridCol w:w="757"/>
        <w:gridCol w:w="759"/>
        <w:gridCol w:w="764"/>
        <w:gridCol w:w="727"/>
        <w:gridCol w:w="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tblHeader/>
          <w:jc w:val="center"/>
        </w:trPr>
        <w:tc>
          <w:tcPr>
            <w:tcW w:w="6205"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cs="Times New Roman"/>
                <w:sz w:val="24"/>
                <w:szCs w:val="24"/>
              </w:rPr>
            </w:pPr>
            <w:r>
              <w:rPr>
                <w:rFonts w:ascii="方正小标宋_GBK" w:eastAsia="方正小标宋_GBK" w:cs="方正小标宋_GBK"/>
                <w:sz w:val="24"/>
                <w:szCs w:val="24"/>
              </w:rPr>
              <w:t>361002</w:t>
            </w:r>
            <w:r>
              <w:rPr>
                <w:rFonts w:hint="eastAsia" w:ascii="方正小标宋_GBK" w:eastAsia="方正小标宋_GBK" w:cs="方正小标宋_GBK"/>
                <w:sz w:val="24"/>
                <w:szCs w:val="24"/>
              </w:rPr>
              <w:t>唐山市</w:t>
            </w:r>
            <w:r>
              <w:rPr>
                <w:rFonts w:ascii="方正小标宋_GBK" w:eastAsia="方正小标宋_GBK" w:cs="方正小标宋_GBK"/>
                <w:sz w:val="24"/>
                <w:szCs w:val="24"/>
              </w:rPr>
              <w:t>曹妃甸区卫生健康局</w:t>
            </w:r>
          </w:p>
        </w:tc>
        <w:tc>
          <w:tcPr>
            <w:tcW w:w="5285" w:type="dxa"/>
            <w:gridSpan w:val="8"/>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tblHeader/>
          <w:jc w:val="center"/>
        </w:trPr>
        <w:tc>
          <w:tcPr>
            <w:tcW w:w="2793"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76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77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59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数量单位</w:t>
            </w:r>
          </w:p>
        </w:tc>
        <w:tc>
          <w:tcPr>
            <w:tcW w:w="59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67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5285" w:type="dxa"/>
            <w:gridSpan w:val="8"/>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269" w:hRule="atLeast"/>
          <w:tblHeader/>
          <w:jc w:val="center"/>
        </w:trPr>
        <w:tc>
          <w:tcPr>
            <w:tcW w:w="1928"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865"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765" w:type="dxa"/>
            <w:vMerge w:val="continue"/>
            <w:vAlign w:val="center"/>
          </w:tcPr>
          <w:p>
            <w:pPr>
              <w:spacing w:line="300" w:lineRule="exact"/>
              <w:jc w:val="left"/>
              <w:outlineLvl w:val="0"/>
              <w:rPr>
                <w:rFonts w:cs="Times New Roman"/>
              </w:rPr>
            </w:pPr>
          </w:p>
        </w:tc>
        <w:tc>
          <w:tcPr>
            <w:tcW w:w="775" w:type="dxa"/>
            <w:vMerge w:val="continue"/>
            <w:vAlign w:val="center"/>
          </w:tcPr>
          <w:p>
            <w:pPr>
              <w:spacing w:line="300" w:lineRule="exact"/>
              <w:jc w:val="left"/>
              <w:outlineLvl w:val="0"/>
              <w:rPr>
                <w:rFonts w:cs="Times New Roman"/>
              </w:rPr>
            </w:pPr>
          </w:p>
        </w:tc>
        <w:tc>
          <w:tcPr>
            <w:tcW w:w="597" w:type="dxa"/>
            <w:vMerge w:val="continue"/>
            <w:vAlign w:val="center"/>
          </w:tcPr>
          <w:p>
            <w:pPr>
              <w:spacing w:line="300" w:lineRule="exact"/>
              <w:jc w:val="left"/>
              <w:outlineLvl w:val="0"/>
              <w:rPr>
                <w:rFonts w:cs="Times New Roman"/>
              </w:rPr>
            </w:pPr>
          </w:p>
        </w:tc>
        <w:tc>
          <w:tcPr>
            <w:tcW w:w="598"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75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总计</w:t>
            </w:r>
          </w:p>
        </w:tc>
        <w:tc>
          <w:tcPr>
            <w:tcW w:w="3794" w:type="dxa"/>
            <w:gridSpan w:val="5"/>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当年部门预算安排资金</w:t>
            </w:r>
          </w:p>
        </w:tc>
        <w:tc>
          <w:tcPr>
            <w:tcW w:w="72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823" w:hRule="atLeast"/>
          <w:tblHeader/>
          <w:jc w:val="center"/>
        </w:trPr>
        <w:tc>
          <w:tcPr>
            <w:tcW w:w="1928" w:type="dxa"/>
            <w:vMerge w:val="continue"/>
            <w:vAlign w:val="center"/>
          </w:tcPr>
          <w:p>
            <w:pPr>
              <w:spacing w:line="300" w:lineRule="exact"/>
              <w:jc w:val="left"/>
              <w:outlineLvl w:val="0"/>
              <w:rPr>
                <w:rFonts w:cs="Times New Roman"/>
              </w:rPr>
            </w:pPr>
          </w:p>
        </w:tc>
        <w:tc>
          <w:tcPr>
            <w:tcW w:w="865" w:type="dxa"/>
            <w:vMerge w:val="continue"/>
            <w:vAlign w:val="center"/>
          </w:tcPr>
          <w:p>
            <w:pPr>
              <w:spacing w:line="300" w:lineRule="exact"/>
              <w:jc w:val="left"/>
              <w:outlineLvl w:val="0"/>
              <w:rPr>
                <w:rFonts w:cs="Times New Roman"/>
              </w:rPr>
            </w:pPr>
          </w:p>
        </w:tc>
        <w:tc>
          <w:tcPr>
            <w:tcW w:w="765" w:type="dxa"/>
            <w:vMerge w:val="continue"/>
            <w:vAlign w:val="center"/>
          </w:tcPr>
          <w:p>
            <w:pPr>
              <w:spacing w:line="300" w:lineRule="exact"/>
              <w:jc w:val="left"/>
              <w:outlineLvl w:val="0"/>
              <w:rPr>
                <w:rFonts w:cs="Times New Roman"/>
              </w:rPr>
            </w:pPr>
          </w:p>
        </w:tc>
        <w:tc>
          <w:tcPr>
            <w:tcW w:w="775" w:type="dxa"/>
            <w:vMerge w:val="continue"/>
            <w:vAlign w:val="center"/>
          </w:tcPr>
          <w:p>
            <w:pPr>
              <w:spacing w:line="300" w:lineRule="exact"/>
              <w:jc w:val="left"/>
              <w:outlineLvl w:val="0"/>
              <w:rPr>
                <w:rFonts w:cs="Times New Roman"/>
              </w:rPr>
            </w:pPr>
          </w:p>
        </w:tc>
        <w:tc>
          <w:tcPr>
            <w:tcW w:w="597" w:type="dxa"/>
            <w:vMerge w:val="continue"/>
            <w:vAlign w:val="center"/>
          </w:tcPr>
          <w:p>
            <w:pPr>
              <w:spacing w:line="300" w:lineRule="exact"/>
              <w:jc w:val="left"/>
              <w:outlineLvl w:val="0"/>
              <w:rPr>
                <w:rFonts w:cs="Times New Roman"/>
              </w:rPr>
            </w:pPr>
          </w:p>
        </w:tc>
        <w:tc>
          <w:tcPr>
            <w:tcW w:w="598" w:type="dxa"/>
            <w:vMerge w:val="continue"/>
            <w:vAlign w:val="center"/>
          </w:tcPr>
          <w:p>
            <w:pPr>
              <w:spacing w:line="300" w:lineRule="exact"/>
              <w:jc w:val="left"/>
              <w:outlineLvl w:val="0"/>
              <w:rPr>
                <w:rFonts w:cs="Times New Roman"/>
              </w:rPr>
            </w:pPr>
          </w:p>
        </w:tc>
        <w:tc>
          <w:tcPr>
            <w:tcW w:w="677" w:type="dxa"/>
            <w:vMerge w:val="continue"/>
            <w:vAlign w:val="center"/>
          </w:tcPr>
          <w:p>
            <w:pPr>
              <w:spacing w:line="300" w:lineRule="exact"/>
              <w:jc w:val="left"/>
              <w:outlineLvl w:val="0"/>
              <w:rPr>
                <w:rFonts w:cs="Times New Roman"/>
              </w:rPr>
            </w:pPr>
          </w:p>
        </w:tc>
        <w:tc>
          <w:tcPr>
            <w:tcW w:w="757" w:type="dxa"/>
            <w:vMerge w:val="continue"/>
            <w:vAlign w:val="center"/>
          </w:tcPr>
          <w:p>
            <w:pPr>
              <w:spacing w:line="300" w:lineRule="exact"/>
              <w:jc w:val="left"/>
              <w:outlineLvl w:val="0"/>
              <w:rPr>
                <w:rFonts w:cs="Times New Roman"/>
              </w:rPr>
            </w:pPr>
          </w:p>
        </w:tc>
        <w:tc>
          <w:tcPr>
            <w:tcW w:w="75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75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757"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75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76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其他来源收入</w:t>
            </w:r>
          </w:p>
        </w:tc>
        <w:tc>
          <w:tcPr>
            <w:tcW w:w="727" w:type="dxa"/>
            <w:vMerge w:val="continue"/>
            <w:vAlign w:val="center"/>
          </w:tcPr>
          <w:p>
            <w:pPr>
              <w:spacing w:line="300" w:lineRule="exact"/>
              <w:jc w:val="left"/>
              <w:outlineLvl w:val="0"/>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269" w:hRule="atLeast"/>
          <w:jc w:val="center"/>
        </w:trPr>
        <w:tc>
          <w:tcPr>
            <w:tcW w:w="1928"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　计</w:t>
            </w:r>
          </w:p>
        </w:tc>
        <w:tc>
          <w:tcPr>
            <w:tcW w:w="865" w:type="dxa"/>
            <w:vAlign w:val="center"/>
          </w:tcPr>
          <w:p>
            <w:pPr>
              <w:spacing w:line="300" w:lineRule="exact"/>
              <w:jc w:val="right"/>
              <w:rPr>
                <w:rFonts w:ascii="方正书宋_GBK" w:eastAsia="方正书宋_GBK" w:cs="Times New Roman"/>
                <w:b/>
                <w:bCs/>
              </w:rPr>
            </w:pPr>
          </w:p>
        </w:tc>
        <w:tc>
          <w:tcPr>
            <w:tcW w:w="765" w:type="dxa"/>
            <w:vAlign w:val="center"/>
          </w:tcPr>
          <w:p>
            <w:pPr>
              <w:spacing w:line="300" w:lineRule="exact"/>
              <w:jc w:val="left"/>
              <w:rPr>
                <w:rFonts w:ascii="方正书宋_GBK" w:eastAsia="方正书宋_GBK" w:cs="Times New Roman"/>
                <w:b/>
                <w:bCs/>
              </w:rPr>
            </w:pPr>
          </w:p>
        </w:tc>
        <w:tc>
          <w:tcPr>
            <w:tcW w:w="775" w:type="dxa"/>
            <w:vAlign w:val="center"/>
          </w:tcPr>
          <w:p>
            <w:pPr>
              <w:spacing w:line="300" w:lineRule="exact"/>
              <w:jc w:val="left"/>
              <w:rPr>
                <w:rFonts w:ascii="方正书宋_GBK" w:eastAsia="方正书宋_GBK" w:cs="Times New Roman"/>
                <w:b/>
                <w:bCs/>
              </w:rPr>
            </w:pPr>
          </w:p>
        </w:tc>
        <w:tc>
          <w:tcPr>
            <w:tcW w:w="597" w:type="dxa"/>
            <w:vAlign w:val="center"/>
          </w:tcPr>
          <w:p>
            <w:pPr>
              <w:spacing w:line="300" w:lineRule="exact"/>
              <w:jc w:val="left"/>
              <w:rPr>
                <w:rFonts w:ascii="方正书宋_GBK" w:eastAsia="方正书宋_GBK" w:cs="Times New Roman"/>
                <w:b/>
                <w:bCs/>
              </w:rPr>
            </w:pPr>
          </w:p>
        </w:tc>
        <w:tc>
          <w:tcPr>
            <w:tcW w:w="598" w:type="dxa"/>
            <w:vAlign w:val="center"/>
          </w:tcPr>
          <w:p>
            <w:pPr>
              <w:spacing w:line="300" w:lineRule="exact"/>
              <w:jc w:val="right"/>
              <w:rPr>
                <w:rFonts w:ascii="方正书宋_GBK" w:eastAsia="方正书宋_GBK" w:cs="Times New Roman"/>
                <w:b/>
                <w:bCs/>
              </w:rPr>
            </w:pPr>
          </w:p>
        </w:tc>
        <w:tc>
          <w:tcPr>
            <w:tcW w:w="677" w:type="dxa"/>
            <w:vAlign w:val="center"/>
          </w:tcPr>
          <w:p>
            <w:pPr>
              <w:spacing w:line="300" w:lineRule="exact"/>
              <w:jc w:val="right"/>
              <w:rPr>
                <w:rFonts w:ascii="方正书宋_GBK" w:eastAsia="方正书宋_GBK" w:cs="Times New Roman"/>
                <w:b/>
                <w:bCs/>
              </w:rPr>
            </w:pPr>
          </w:p>
        </w:tc>
        <w:tc>
          <w:tcPr>
            <w:tcW w:w="75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w:t>
            </w:r>
          </w:p>
        </w:tc>
        <w:tc>
          <w:tcPr>
            <w:tcW w:w="757" w:type="dxa"/>
            <w:vAlign w:val="center"/>
          </w:tcPr>
          <w:p>
            <w:pPr>
              <w:spacing w:line="300" w:lineRule="exact"/>
              <w:jc w:val="right"/>
              <w:rPr>
                <w:rFonts w:ascii="方正书宋_GBK" w:eastAsia="方正书宋_GBK" w:cs="方正书宋_GBK"/>
                <w:b/>
                <w:bCs/>
              </w:rPr>
            </w:pPr>
          </w:p>
        </w:tc>
        <w:tc>
          <w:tcPr>
            <w:tcW w:w="757" w:type="dxa"/>
            <w:vAlign w:val="center"/>
          </w:tcPr>
          <w:p>
            <w:pPr>
              <w:spacing w:line="300" w:lineRule="exact"/>
              <w:jc w:val="right"/>
              <w:rPr>
                <w:rFonts w:ascii="方正书宋_GBK" w:eastAsia="方正书宋_GBK" w:cs="方正书宋_GBK"/>
                <w:b/>
                <w:bCs/>
              </w:rPr>
            </w:pPr>
          </w:p>
        </w:tc>
        <w:tc>
          <w:tcPr>
            <w:tcW w:w="757" w:type="dxa"/>
            <w:vAlign w:val="center"/>
          </w:tcPr>
          <w:p>
            <w:pPr>
              <w:spacing w:line="300" w:lineRule="exact"/>
              <w:jc w:val="right"/>
              <w:rPr>
                <w:rFonts w:ascii="方正书宋_GBK" w:eastAsia="方正书宋_GBK" w:cs="方正书宋_GBK"/>
                <w:b/>
                <w:bCs/>
              </w:rPr>
            </w:pPr>
          </w:p>
        </w:tc>
        <w:tc>
          <w:tcPr>
            <w:tcW w:w="759" w:type="dxa"/>
            <w:vAlign w:val="center"/>
          </w:tcPr>
          <w:p>
            <w:pPr>
              <w:spacing w:line="300" w:lineRule="exact"/>
              <w:jc w:val="right"/>
              <w:rPr>
                <w:rFonts w:ascii="方正书宋_GBK" w:eastAsia="方正书宋_GBK" w:cs="方正书宋_GBK"/>
                <w:b/>
                <w:bCs/>
              </w:rPr>
            </w:pPr>
          </w:p>
        </w:tc>
        <w:tc>
          <w:tcPr>
            <w:tcW w:w="764" w:type="dxa"/>
            <w:vAlign w:val="center"/>
          </w:tcPr>
          <w:p>
            <w:pPr>
              <w:spacing w:line="300" w:lineRule="exact"/>
              <w:jc w:val="right"/>
              <w:rPr>
                <w:rFonts w:ascii="方正书宋_GBK" w:eastAsia="方正书宋_GBK" w:cs="方正书宋_GBK"/>
                <w:b/>
                <w:bCs/>
              </w:rPr>
            </w:pPr>
          </w:p>
        </w:tc>
        <w:tc>
          <w:tcPr>
            <w:tcW w:w="727" w:type="dxa"/>
            <w:vAlign w:val="center"/>
          </w:tcPr>
          <w:p>
            <w:pPr>
              <w:spacing w:line="300" w:lineRule="exact"/>
              <w:jc w:val="right"/>
              <w:rPr>
                <w:rFonts w:ascii="方正书宋_GBK" w:eastAsia="方正书宋_GBK" w:cs="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269" w:hRule="atLeast"/>
          <w:jc w:val="center"/>
        </w:trPr>
        <w:tc>
          <w:tcPr>
            <w:tcW w:w="1928" w:type="dxa"/>
            <w:vAlign w:val="center"/>
          </w:tcPr>
          <w:p>
            <w:pPr>
              <w:spacing w:line="300" w:lineRule="exact"/>
              <w:rPr>
                <w:rFonts w:ascii="方正书宋_GBK" w:eastAsia="方正书宋_GBK" w:cs="Times New Roman"/>
                <w:b/>
                <w:bCs/>
              </w:rPr>
            </w:pPr>
          </w:p>
        </w:tc>
        <w:tc>
          <w:tcPr>
            <w:tcW w:w="865" w:type="dxa"/>
            <w:vAlign w:val="center"/>
          </w:tcPr>
          <w:p>
            <w:pPr>
              <w:spacing w:line="300" w:lineRule="exact"/>
              <w:jc w:val="right"/>
              <w:rPr>
                <w:rFonts w:ascii="方正书宋_GBK" w:eastAsia="方正书宋_GBK" w:cs="Times New Roman"/>
                <w:b/>
                <w:bCs/>
              </w:rPr>
            </w:pPr>
          </w:p>
        </w:tc>
        <w:tc>
          <w:tcPr>
            <w:tcW w:w="765" w:type="dxa"/>
            <w:vAlign w:val="center"/>
          </w:tcPr>
          <w:p>
            <w:pPr>
              <w:spacing w:line="300" w:lineRule="exact"/>
              <w:jc w:val="left"/>
              <w:rPr>
                <w:rFonts w:ascii="方正书宋_GBK" w:eastAsia="方正书宋_GBK" w:cs="Times New Roman"/>
                <w:b/>
                <w:bCs/>
              </w:rPr>
            </w:pPr>
          </w:p>
        </w:tc>
        <w:tc>
          <w:tcPr>
            <w:tcW w:w="2647" w:type="dxa"/>
            <w:gridSpan w:val="4"/>
            <w:vMerge w:val="restart"/>
            <w:vAlign w:val="center"/>
          </w:tcPr>
          <w:p>
            <w:pPr>
              <w:spacing w:line="300" w:lineRule="exact"/>
              <w:jc w:val="right"/>
              <w:rPr>
                <w:rFonts w:hint="eastAsia" w:ascii="方正书宋_GBK" w:eastAsia="方正书宋_GBK" w:cs="Times New Roman"/>
                <w:b/>
                <w:bCs/>
              </w:rPr>
            </w:pPr>
            <w:r>
              <w:rPr>
                <w:rFonts w:hint="eastAsia" w:ascii="方正书宋_GBK" w:eastAsia="方正书宋_GBK" w:cs="Times New Roman"/>
                <w:b/>
                <w:bCs/>
              </w:rPr>
              <w:t>此表</w:t>
            </w:r>
            <w:r>
              <w:rPr>
                <w:rFonts w:ascii="方正书宋_GBK" w:eastAsia="方正书宋_GBK" w:cs="Times New Roman"/>
                <w:b/>
                <w:bCs/>
              </w:rPr>
              <w:t>无数据，空表列示</w:t>
            </w:r>
          </w:p>
        </w:tc>
        <w:tc>
          <w:tcPr>
            <w:tcW w:w="757" w:type="dxa"/>
            <w:vAlign w:val="center"/>
          </w:tcPr>
          <w:p>
            <w:pPr>
              <w:spacing w:line="300" w:lineRule="exact"/>
              <w:jc w:val="right"/>
              <w:rPr>
                <w:rFonts w:ascii="方正书宋_GBK" w:eastAsia="方正书宋_GBK" w:cs="Times New Roman"/>
                <w:b/>
                <w:bCs/>
              </w:rPr>
            </w:pPr>
          </w:p>
        </w:tc>
        <w:tc>
          <w:tcPr>
            <w:tcW w:w="757" w:type="dxa"/>
            <w:vAlign w:val="center"/>
          </w:tcPr>
          <w:p>
            <w:pPr>
              <w:spacing w:line="300" w:lineRule="exact"/>
              <w:jc w:val="right"/>
              <w:rPr>
                <w:rFonts w:ascii="方正书宋_GBK" w:eastAsia="方正书宋_GBK" w:cs="Times New Roman"/>
                <w:b/>
                <w:bCs/>
              </w:rPr>
            </w:pPr>
          </w:p>
        </w:tc>
        <w:tc>
          <w:tcPr>
            <w:tcW w:w="757" w:type="dxa"/>
            <w:vAlign w:val="center"/>
          </w:tcPr>
          <w:p>
            <w:pPr>
              <w:spacing w:line="300" w:lineRule="exact"/>
              <w:jc w:val="right"/>
              <w:rPr>
                <w:rFonts w:ascii="方正书宋_GBK" w:eastAsia="方正书宋_GBK" w:cs="Times New Roman"/>
                <w:b/>
                <w:bCs/>
              </w:rPr>
            </w:pPr>
          </w:p>
        </w:tc>
        <w:tc>
          <w:tcPr>
            <w:tcW w:w="757" w:type="dxa"/>
            <w:vAlign w:val="center"/>
          </w:tcPr>
          <w:p>
            <w:pPr>
              <w:spacing w:line="300" w:lineRule="exact"/>
              <w:jc w:val="right"/>
              <w:rPr>
                <w:rFonts w:ascii="方正书宋_GBK" w:eastAsia="方正书宋_GBK" w:cs="Times New Roman"/>
                <w:b/>
                <w:bCs/>
              </w:rPr>
            </w:pPr>
          </w:p>
        </w:tc>
        <w:tc>
          <w:tcPr>
            <w:tcW w:w="759" w:type="dxa"/>
            <w:vAlign w:val="center"/>
          </w:tcPr>
          <w:p>
            <w:pPr>
              <w:spacing w:line="300" w:lineRule="exact"/>
              <w:jc w:val="right"/>
              <w:rPr>
                <w:rFonts w:ascii="方正书宋_GBK" w:eastAsia="方正书宋_GBK" w:cs="Times New Roman"/>
                <w:b/>
                <w:bCs/>
              </w:rPr>
            </w:pPr>
          </w:p>
        </w:tc>
        <w:tc>
          <w:tcPr>
            <w:tcW w:w="764" w:type="dxa"/>
            <w:vAlign w:val="center"/>
          </w:tcPr>
          <w:p>
            <w:pPr>
              <w:spacing w:line="300" w:lineRule="exact"/>
              <w:jc w:val="right"/>
              <w:rPr>
                <w:rFonts w:ascii="方正书宋_GBK" w:eastAsia="方正书宋_GBK" w:cs="Times New Roman"/>
                <w:b/>
                <w:bCs/>
              </w:rPr>
            </w:pPr>
          </w:p>
        </w:tc>
        <w:tc>
          <w:tcPr>
            <w:tcW w:w="727"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269" w:hRule="atLeast"/>
          <w:jc w:val="center"/>
        </w:trPr>
        <w:tc>
          <w:tcPr>
            <w:tcW w:w="1928" w:type="dxa"/>
            <w:vAlign w:val="center"/>
          </w:tcPr>
          <w:p>
            <w:pPr>
              <w:spacing w:line="300" w:lineRule="exact"/>
              <w:jc w:val="left"/>
              <w:rPr>
                <w:rFonts w:ascii="方正书宋_GBK" w:eastAsia="方正书宋_GBK" w:cs="Times New Roman"/>
              </w:rPr>
            </w:pPr>
          </w:p>
        </w:tc>
        <w:tc>
          <w:tcPr>
            <w:tcW w:w="865" w:type="dxa"/>
            <w:vAlign w:val="center"/>
          </w:tcPr>
          <w:p>
            <w:pPr>
              <w:spacing w:line="300" w:lineRule="exact"/>
              <w:jc w:val="right"/>
              <w:rPr>
                <w:rFonts w:ascii="方正书宋_GBK" w:eastAsia="方正书宋_GBK" w:cs="Times New Roman"/>
              </w:rPr>
            </w:pPr>
          </w:p>
        </w:tc>
        <w:tc>
          <w:tcPr>
            <w:tcW w:w="765" w:type="dxa"/>
            <w:vAlign w:val="center"/>
          </w:tcPr>
          <w:p>
            <w:pPr>
              <w:spacing w:line="300" w:lineRule="exact"/>
              <w:jc w:val="left"/>
              <w:rPr>
                <w:rFonts w:ascii="方正书宋_GBK" w:eastAsia="方正书宋_GBK" w:cs="Times New Roman"/>
              </w:rPr>
            </w:pPr>
          </w:p>
        </w:tc>
        <w:tc>
          <w:tcPr>
            <w:tcW w:w="2647" w:type="dxa"/>
            <w:gridSpan w:val="4"/>
            <w:vMerge w:val="continue"/>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9" w:type="dxa"/>
            <w:vAlign w:val="center"/>
          </w:tcPr>
          <w:p>
            <w:pPr>
              <w:spacing w:line="300" w:lineRule="exact"/>
              <w:jc w:val="right"/>
              <w:rPr>
                <w:rFonts w:ascii="方正书宋_GBK" w:eastAsia="方正书宋_GBK" w:cs="Times New Roman"/>
              </w:rPr>
            </w:pPr>
          </w:p>
        </w:tc>
        <w:tc>
          <w:tcPr>
            <w:tcW w:w="764" w:type="dxa"/>
            <w:vAlign w:val="center"/>
          </w:tcPr>
          <w:p>
            <w:pPr>
              <w:spacing w:line="300" w:lineRule="exact"/>
              <w:jc w:val="right"/>
              <w:rPr>
                <w:rFonts w:ascii="方正书宋_GBK" w:eastAsia="方正书宋_GBK" w:cs="Times New Roman"/>
              </w:rPr>
            </w:pPr>
          </w:p>
        </w:tc>
        <w:tc>
          <w:tcPr>
            <w:tcW w:w="727"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269" w:hRule="atLeast"/>
          <w:jc w:val="center"/>
        </w:trPr>
        <w:tc>
          <w:tcPr>
            <w:tcW w:w="1928" w:type="dxa"/>
            <w:vAlign w:val="center"/>
          </w:tcPr>
          <w:p>
            <w:pPr>
              <w:spacing w:line="300" w:lineRule="exact"/>
              <w:jc w:val="left"/>
              <w:rPr>
                <w:rFonts w:ascii="方正书宋_GBK" w:eastAsia="方正书宋_GBK" w:cs="Times New Roman"/>
              </w:rPr>
            </w:pPr>
          </w:p>
        </w:tc>
        <w:tc>
          <w:tcPr>
            <w:tcW w:w="865" w:type="dxa"/>
            <w:vAlign w:val="center"/>
          </w:tcPr>
          <w:p>
            <w:pPr>
              <w:spacing w:line="300" w:lineRule="exact"/>
              <w:jc w:val="right"/>
              <w:rPr>
                <w:rFonts w:ascii="方正书宋_GBK" w:eastAsia="方正书宋_GBK" w:cs="Times New Roman"/>
              </w:rPr>
            </w:pPr>
          </w:p>
        </w:tc>
        <w:tc>
          <w:tcPr>
            <w:tcW w:w="765" w:type="dxa"/>
            <w:vAlign w:val="center"/>
          </w:tcPr>
          <w:p>
            <w:pPr>
              <w:spacing w:line="300" w:lineRule="exact"/>
              <w:jc w:val="left"/>
              <w:rPr>
                <w:rFonts w:ascii="方正书宋_GBK" w:eastAsia="方正书宋_GBK" w:cs="Times New Roman"/>
              </w:rPr>
            </w:pPr>
          </w:p>
        </w:tc>
        <w:tc>
          <w:tcPr>
            <w:tcW w:w="775" w:type="dxa"/>
            <w:vAlign w:val="center"/>
          </w:tcPr>
          <w:p>
            <w:pPr>
              <w:spacing w:line="300" w:lineRule="exact"/>
              <w:jc w:val="left"/>
              <w:rPr>
                <w:rFonts w:ascii="方正书宋_GBK" w:eastAsia="方正书宋_GBK" w:cs="Times New Roman"/>
              </w:rPr>
            </w:pPr>
          </w:p>
        </w:tc>
        <w:tc>
          <w:tcPr>
            <w:tcW w:w="597" w:type="dxa"/>
            <w:vAlign w:val="center"/>
          </w:tcPr>
          <w:p>
            <w:pPr>
              <w:spacing w:line="300" w:lineRule="exact"/>
              <w:jc w:val="left"/>
              <w:rPr>
                <w:rFonts w:ascii="方正书宋_GBK" w:eastAsia="方正书宋_GBK" w:cs="Times New Roman"/>
              </w:rPr>
            </w:pPr>
          </w:p>
        </w:tc>
        <w:tc>
          <w:tcPr>
            <w:tcW w:w="598" w:type="dxa"/>
            <w:vAlign w:val="center"/>
          </w:tcPr>
          <w:p>
            <w:pPr>
              <w:spacing w:line="300" w:lineRule="exact"/>
              <w:jc w:val="right"/>
              <w:rPr>
                <w:rFonts w:ascii="方正书宋_GBK" w:eastAsia="方正书宋_GBK" w:cs="Times New Roman"/>
              </w:rPr>
            </w:pPr>
          </w:p>
        </w:tc>
        <w:tc>
          <w:tcPr>
            <w:tcW w:w="67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9" w:type="dxa"/>
            <w:vAlign w:val="center"/>
          </w:tcPr>
          <w:p>
            <w:pPr>
              <w:spacing w:line="300" w:lineRule="exact"/>
              <w:jc w:val="right"/>
              <w:rPr>
                <w:rFonts w:ascii="方正书宋_GBK" w:eastAsia="方正书宋_GBK" w:cs="Times New Roman"/>
              </w:rPr>
            </w:pPr>
          </w:p>
        </w:tc>
        <w:tc>
          <w:tcPr>
            <w:tcW w:w="764" w:type="dxa"/>
            <w:vAlign w:val="center"/>
          </w:tcPr>
          <w:p>
            <w:pPr>
              <w:spacing w:line="300" w:lineRule="exact"/>
              <w:jc w:val="right"/>
              <w:rPr>
                <w:rFonts w:ascii="方正书宋_GBK" w:eastAsia="方正书宋_GBK" w:cs="Times New Roman"/>
              </w:rPr>
            </w:pPr>
          </w:p>
        </w:tc>
        <w:tc>
          <w:tcPr>
            <w:tcW w:w="727"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269" w:hRule="atLeast"/>
          <w:jc w:val="center"/>
        </w:trPr>
        <w:tc>
          <w:tcPr>
            <w:tcW w:w="1928" w:type="dxa"/>
            <w:vAlign w:val="center"/>
          </w:tcPr>
          <w:p>
            <w:pPr>
              <w:spacing w:line="300" w:lineRule="exact"/>
              <w:jc w:val="left"/>
              <w:rPr>
                <w:rFonts w:ascii="方正书宋_GBK" w:eastAsia="方正书宋_GBK" w:cs="Times New Roman"/>
              </w:rPr>
            </w:pPr>
          </w:p>
        </w:tc>
        <w:tc>
          <w:tcPr>
            <w:tcW w:w="865" w:type="dxa"/>
            <w:vAlign w:val="center"/>
          </w:tcPr>
          <w:p>
            <w:pPr>
              <w:spacing w:line="300" w:lineRule="exact"/>
              <w:jc w:val="right"/>
              <w:rPr>
                <w:rFonts w:ascii="方正书宋_GBK" w:eastAsia="方正书宋_GBK" w:cs="Times New Roman"/>
              </w:rPr>
            </w:pPr>
          </w:p>
        </w:tc>
        <w:tc>
          <w:tcPr>
            <w:tcW w:w="765" w:type="dxa"/>
            <w:vAlign w:val="center"/>
          </w:tcPr>
          <w:p>
            <w:pPr>
              <w:spacing w:line="300" w:lineRule="exact"/>
              <w:jc w:val="left"/>
              <w:rPr>
                <w:rFonts w:ascii="方正书宋_GBK" w:eastAsia="方正书宋_GBK" w:cs="Times New Roman"/>
              </w:rPr>
            </w:pPr>
          </w:p>
        </w:tc>
        <w:tc>
          <w:tcPr>
            <w:tcW w:w="775" w:type="dxa"/>
            <w:vAlign w:val="center"/>
          </w:tcPr>
          <w:p>
            <w:pPr>
              <w:spacing w:line="300" w:lineRule="exact"/>
              <w:jc w:val="left"/>
              <w:rPr>
                <w:rFonts w:ascii="方正书宋_GBK" w:eastAsia="方正书宋_GBK" w:cs="Times New Roman"/>
              </w:rPr>
            </w:pPr>
          </w:p>
        </w:tc>
        <w:tc>
          <w:tcPr>
            <w:tcW w:w="597" w:type="dxa"/>
            <w:vAlign w:val="center"/>
          </w:tcPr>
          <w:p>
            <w:pPr>
              <w:spacing w:line="300" w:lineRule="exact"/>
              <w:jc w:val="left"/>
              <w:rPr>
                <w:rFonts w:ascii="方正书宋_GBK" w:eastAsia="方正书宋_GBK" w:cs="Times New Roman"/>
              </w:rPr>
            </w:pPr>
          </w:p>
        </w:tc>
        <w:tc>
          <w:tcPr>
            <w:tcW w:w="598" w:type="dxa"/>
            <w:vAlign w:val="center"/>
          </w:tcPr>
          <w:p>
            <w:pPr>
              <w:spacing w:line="300" w:lineRule="exact"/>
              <w:jc w:val="right"/>
              <w:rPr>
                <w:rFonts w:ascii="方正书宋_GBK" w:eastAsia="方正书宋_GBK" w:cs="Times New Roman"/>
              </w:rPr>
            </w:pPr>
          </w:p>
        </w:tc>
        <w:tc>
          <w:tcPr>
            <w:tcW w:w="67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7" w:type="dxa"/>
            <w:vAlign w:val="center"/>
          </w:tcPr>
          <w:p>
            <w:pPr>
              <w:spacing w:line="300" w:lineRule="exact"/>
              <w:jc w:val="right"/>
              <w:rPr>
                <w:rFonts w:ascii="方正书宋_GBK" w:eastAsia="方正书宋_GBK" w:cs="Times New Roman"/>
              </w:rPr>
            </w:pPr>
          </w:p>
        </w:tc>
        <w:tc>
          <w:tcPr>
            <w:tcW w:w="759" w:type="dxa"/>
            <w:vAlign w:val="center"/>
          </w:tcPr>
          <w:p>
            <w:pPr>
              <w:spacing w:line="300" w:lineRule="exact"/>
              <w:jc w:val="right"/>
              <w:rPr>
                <w:rFonts w:ascii="方正书宋_GBK" w:eastAsia="方正书宋_GBK" w:cs="Times New Roman"/>
              </w:rPr>
            </w:pPr>
          </w:p>
        </w:tc>
        <w:tc>
          <w:tcPr>
            <w:tcW w:w="764" w:type="dxa"/>
            <w:vAlign w:val="center"/>
          </w:tcPr>
          <w:p>
            <w:pPr>
              <w:spacing w:line="300" w:lineRule="exact"/>
              <w:jc w:val="right"/>
              <w:rPr>
                <w:rFonts w:ascii="方正书宋_GBK" w:eastAsia="方正书宋_GBK" w:cs="Times New Roman"/>
              </w:rPr>
            </w:pPr>
          </w:p>
        </w:tc>
        <w:tc>
          <w:tcPr>
            <w:tcW w:w="727" w:type="dxa"/>
            <w:vAlign w:val="center"/>
          </w:tcPr>
          <w:p>
            <w:pPr>
              <w:spacing w:line="300" w:lineRule="exact"/>
              <w:jc w:val="right"/>
              <w:rPr>
                <w:rFonts w:ascii="方正书宋_GBK" w:eastAsia="方正书宋_GBK" w:cs="Times New Roman"/>
              </w:rPr>
            </w:pPr>
          </w:p>
        </w:tc>
      </w:tr>
    </w:tbl>
    <w:p>
      <w:pPr>
        <w:numPr>
          <w:ilvl w:val="0"/>
          <w:numId w:val="0"/>
        </w:numPr>
        <w:ind w:firstLine="321" w:firstLineChars="100"/>
        <w:rPr>
          <w:rFonts w:ascii="仿宋" w:hAnsi="仿宋" w:eastAsia="仿宋" w:cs="仿宋"/>
          <w:b/>
          <w:sz w:val="32"/>
          <w:szCs w:val="32"/>
        </w:rPr>
      </w:pPr>
    </w:p>
    <w:p>
      <w:pPr>
        <w:numPr>
          <w:ilvl w:val="0"/>
          <w:numId w:val="0"/>
        </w:numPr>
        <w:ind w:firstLine="1285" w:firstLineChars="400"/>
        <w:rPr>
          <w:rFonts w:hint="eastAsia" w:ascii="仿宋" w:hAnsi="仿宋" w:eastAsia="仿宋" w:cs="仿宋"/>
          <w:b/>
          <w:sz w:val="32"/>
          <w:szCs w:val="32"/>
        </w:rPr>
      </w:pPr>
      <w:r>
        <w:rPr>
          <w:rFonts w:hint="eastAsia" w:ascii="仿宋" w:hAnsi="仿宋" w:eastAsia="仿宋" w:cs="仿宋"/>
          <w:b/>
          <w:sz w:val="32"/>
          <w:szCs w:val="32"/>
          <w:lang w:eastAsia="zh-CN"/>
        </w:rPr>
        <w:t>七、</w:t>
      </w:r>
      <w:r>
        <w:rPr>
          <w:rFonts w:ascii="仿宋" w:hAnsi="仿宋" w:eastAsia="仿宋" w:cs="仿宋"/>
          <w:b/>
          <w:sz w:val="32"/>
          <w:szCs w:val="32"/>
        </w:rPr>
        <w:t>国有资产信息</w:t>
      </w:r>
      <w:r>
        <w:rPr>
          <w:rFonts w:hint="eastAsia" w:ascii="仿宋" w:hAnsi="仿宋" w:eastAsia="仿宋" w:cs="仿宋"/>
          <w:b/>
          <w:sz w:val="32"/>
          <w:szCs w:val="32"/>
        </w:rPr>
        <w:t>情况</w:t>
      </w:r>
    </w:p>
    <w:p>
      <w:pPr>
        <w:ind w:left="638" w:leftChars="304" w:firstLine="0" w:firstLineChars="0"/>
        <w:rPr>
          <w:rFonts w:hint="eastAsia" w:ascii="仿宋" w:hAnsi="仿宋" w:eastAsia="仿宋" w:cs="仿宋"/>
          <w:color w:val="000000" w:themeColor="text1"/>
          <w:kern w:val="0"/>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color w:val="0000FF"/>
          <w:sz w:val="32"/>
          <w:szCs w:val="32"/>
          <w:lang w:val="en-US" w:eastAsia="zh-CN"/>
        </w:rPr>
        <w:t xml:space="preserve"> </w:t>
      </w:r>
      <w:r>
        <w:rPr>
          <w:rFonts w:hint="eastAsia" w:ascii="仿宋_GB2312" w:hAnsi="黑体" w:eastAsia="仿宋_GB2312" w:cs="Times New Roman"/>
          <w:color w:val="000000" w:themeColor="text1"/>
          <w:sz w:val="32"/>
          <w:szCs w:val="32"/>
        </w:rPr>
        <w:t>上年末固定资产金额为</w:t>
      </w:r>
      <w:r>
        <w:rPr>
          <w:rFonts w:hint="eastAsia" w:ascii="仿宋_GB2312" w:hAnsi="黑体" w:eastAsia="仿宋_GB2312" w:cs="Times New Roman"/>
          <w:color w:val="000000" w:themeColor="text1"/>
          <w:sz w:val="32"/>
          <w:szCs w:val="32"/>
          <w:lang w:val="en-US" w:eastAsia="zh-CN"/>
        </w:rPr>
        <w:t>270.94</w:t>
      </w:r>
      <w:r>
        <w:rPr>
          <w:rFonts w:hint="eastAsia" w:ascii="仿宋_GB2312" w:hAnsi="黑体" w:eastAsia="仿宋_GB2312" w:cs="Times New Roman"/>
          <w:color w:val="000000" w:themeColor="text1"/>
          <w:sz w:val="32"/>
          <w:szCs w:val="32"/>
        </w:rPr>
        <w:t>万元（详见下表）</w:t>
      </w:r>
      <w:r>
        <w:rPr>
          <w:rFonts w:hint="eastAsia" w:ascii="仿宋_GB2312" w:hAnsi="黑体" w:eastAsia="仿宋_GB2312" w:cs="Times New Roman"/>
          <w:color w:val="000000" w:themeColor="text1"/>
          <w:sz w:val="32"/>
          <w:szCs w:val="32"/>
          <w:lang w:eastAsia="zh-CN"/>
        </w:rPr>
        <w:t>，</w:t>
      </w:r>
      <w:r>
        <w:rPr>
          <w:rFonts w:hint="eastAsia" w:ascii="仿宋_GB2312" w:hAnsi="黑体" w:eastAsia="仿宋_GB2312" w:cs="仿宋_GB2312"/>
          <w:color w:val="000000" w:themeColor="text1"/>
          <w:sz w:val="32"/>
          <w:szCs w:val="32"/>
        </w:rPr>
        <w:t>本年度拟购置固定资产</w:t>
      </w:r>
      <w:r>
        <w:rPr>
          <w:rFonts w:hint="eastAsia" w:ascii="仿宋_GB2312" w:hAnsi="黑体" w:eastAsia="仿宋_GB2312" w:cs="仿宋_GB2312"/>
          <w:color w:val="000000" w:themeColor="text1"/>
          <w:sz w:val="32"/>
          <w:szCs w:val="32"/>
          <w:lang w:eastAsia="zh-CN"/>
        </w:rPr>
        <w:t>过氧化氢空气消毒机一台，价值</w:t>
      </w:r>
      <w:r>
        <w:rPr>
          <w:rFonts w:hint="eastAsia" w:ascii="仿宋_GB2312" w:hAnsi="黑体" w:eastAsia="仿宋_GB2312" w:cs="仿宋_GB2312"/>
          <w:color w:val="000000" w:themeColor="text1"/>
          <w:sz w:val="32"/>
          <w:szCs w:val="32"/>
          <w:lang w:val="en-US" w:eastAsia="zh-CN"/>
        </w:rPr>
        <w:t>26.20万元，房屋建筑物135.10平方米（合并单位调拨），价值86.49万元，其余</w:t>
      </w:r>
      <w:r>
        <w:rPr>
          <w:rFonts w:hint="eastAsia" w:ascii="仿宋_GB2312" w:hAnsi="黑体" w:eastAsia="仿宋_GB2312" w:cs="仿宋_GB2312"/>
          <w:color w:val="000000" w:themeColor="text1"/>
          <w:sz w:val="32"/>
          <w:szCs w:val="32"/>
        </w:rPr>
        <w:t>均是</w:t>
      </w:r>
      <w:r>
        <w:rPr>
          <w:rFonts w:ascii="仿宋_GB2312" w:hAnsi="黑体" w:eastAsia="仿宋_GB2312" w:cs="仿宋_GB2312"/>
          <w:color w:val="000000" w:themeColor="text1"/>
          <w:sz w:val="32"/>
          <w:szCs w:val="32"/>
        </w:rPr>
        <w:t>20</w:t>
      </w:r>
      <w:r>
        <w:rPr>
          <w:rFonts w:hint="eastAsia" w:ascii="仿宋_GB2312" w:hAnsi="黑体" w:eastAsia="仿宋_GB2312" w:cs="仿宋_GB2312"/>
          <w:color w:val="000000" w:themeColor="text1"/>
          <w:sz w:val="32"/>
          <w:szCs w:val="32"/>
        </w:rPr>
        <w:t>万元以下的设备</w:t>
      </w:r>
      <w:r>
        <w:rPr>
          <w:rFonts w:hint="eastAsia" w:ascii="仿宋" w:hAnsi="仿宋" w:eastAsia="仿宋" w:cs="仿宋"/>
          <w:color w:val="000000" w:themeColor="text1"/>
          <w:kern w:val="0"/>
          <w:sz w:val="32"/>
          <w:szCs w:val="32"/>
          <w:lang w:val="en-US" w:eastAsia="zh-CN"/>
        </w:rPr>
        <w:t>。</w:t>
      </w:r>
    </w:p>
    <w:tbl>
      <w:tblPr>
        <w:tblStyle w:val="4"/>
        <w:tblpPr w:leftFromText="180" w:rightFromText="180" w:vertAnchor="text" w:horzAnchor="page" w:tblpX="1891" w:tblpY="597"/>
        <w:tblOverlap w:val="never"/>
        <w:tblW w:w="13482" w:type="dxa"/>
        <w:tblInd w:w="0" w:type="dxa"/>
        <w:tblLayout w:type="fixed"/>
        <w:tblCellMar>
          <w:top w:w="0" w:type="dxa"/>
          <w:left w:w="108" w:type="dxa"/>
          <w:bottom w:w="0" w:type="dxa"/>
          <w:right w:w="108" w:type="dxa"/>
        </w:tblCellMar>
      </w:tblPr>
      <w:tblGrid>
        <w:gridCol w:w="2338"/>
        <w:gridCol w:w="2910"/>
        <w:gridCol w:w="8234"/>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32"/>
                <w:szCs w:val="32"/>
              </w:rPr>
              <w:t>唐山市曹妃甸区</w:t>
            </w:r>
            <w:r>
              <w:rPr>
                <w:rFonts w:hint="eastAsia" w:ascii="宋体" w:hAnsi="宋体" w:cs="宋体"/>
                <w:b/>
                <w:bCs/>
                <w:kern w:val="0"/>
                <w:sz w:val="32"/>
                <w:szCs w:val="32"/>
                <w:lang w:val="en-US" w:eastAsia="zh-CN"/>
              </w:rPr>
              <w:t>卫生健康局</w:t>
            </w: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曹妃甸区卫生健康局</w:t>
            </w:r>
          </w:p>
        </w:tc>
        <w:tc>
          <w:tcPr>
            <w:tcW w:w="8234"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firstLine="1320" w:firstLineChars="600"/>
              <w:jc w:val="left"/>
              <w:rPr>
                <w:rFonts w:hint="default" w:ascii="宋体" w:hAns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2019</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项   目</w:t>
            </w:r>
          </w:p>
        </w:tc>
        <w:tc>
          <w:tcPr>
            <w:tcW w:w="29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资产总额</w:t>
            </w:r>
          </w:p>
        </w:tc>
        <w:tc>
          <w:tcPr>
            <w:tcW w:w="29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270.94</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1、房屋（平方米）</w:t>
            </w:r>
          </w:p>
        </w:tc>
        <w:tc>
          <w:tcPr>
            <w:tcW w:w="291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 xml:space="preserve">0 </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xml:space="preserve">  其中：办公用房（平方米）</w:t>
            </w:r>
          </w:p>
        </w:tc>
        <w:tc>
          <w:tcPr>
            <w:tcW w:w="291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2、车辆（台、辆）</w:t>
            </w:r>
          </w:p>
        </w:tc>
        <w:tc>
          <w:tcPr>
            <w:tcW w:w="29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2</w:t>
            </w:r>
          </w:p>
        </w:tc>
        <w:tc>
          <w:tcPr>
            <w:tcW w:w="82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38.85</w:t>
            </w:r>
          </w:p>
        </w:tc>
      </w:tr>
      <w:tr>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3、单价在20万元以上设备</w:t>
            </w:r>
          </w:p>
        </w:tc>
        <w:tc>
          <w:tcPr>
            <w:tcW w:w="29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70</w:t>
            </w:r>
          </w:p>
        </w:tc>
      </w:tr>
      <w:tr>
        <w:tblPrEx>
          <w:tblCellMar>
            <w:top w:w="0" w:type="dxa"/>
            <w:left w:w="108" w:type="dxa"/>
            <w:bottom w:w="0" w:type="dxa"/>
            <w:right w:w="108" w:type="dxa"/>
          </w:tblCellMar>
        </w:tblPrEx>
        <w:trPr>
          <w:trHeight w:val="843" w:hRule="atLeast"/>
        </w:trPr>
        <w:tc>
          <w:tcPr>
            <w:tcW w:w="233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4、其他固定资产</w:t>
            </w:r>
          </w:p>
        </w:tc>
        <w:tc>
          <w:tcPr>
            <w:tcW w:w="29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22"/>
                <w:lang w:val="en-US" w:eastAsia="zh-CN"/>
              </w:rPr>
            </w:pPr>
            <w:r>
              <w:rPr>
                <w:rFonts w:hint="eastAsia" w:ascii="宋体" w:hAnsi="宋体" w:cs="宋体"/>
                <w:kern w:val="0"/>
                <w:sz w:val="22"/>
                <w:lang w:val="en-US" w:eastAsia="zh-CN"/>
              </w:rPr>
              <w:t>162.09</w:t>
            </w:r>
          </w:p>
        </w:tc>
      </w:tr>
    </w:tbl>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638" w:leftChars="304" w:firstLine="0" w:firstLineChars="0"/>
        <w:rPr>
          <w:rFonts w:hint="eastAsia" w:ascii="仿宋" w:hAnsi="仿宋" w:eastAsia="仿宋" w:cs="仿宋"/>
          <w:color w:val="0000FF"/>
          <w:kern w:val="0"/>
          <w:sz w:val="32"/>
          <w:szCs w:val="32"/>
          <w:lang w:val="en-US" w:eastAsia="zh-CN"/>
        </w:rPr>
      </w:pPr>
    </w:p>
    <w:p>
      <w:pPr>
        <w:ind w:left="319" w:leftChars="152" w:firstLine="642"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p>
    <w:p>
      <w:pPr>
        <w:ind w:left="319" w:leftChars="152" w:firstLine="642" w:firstLineChars="200"/>
        <w:rPr>
          <w:rFonts w:ascii="仿宋" w:hAnsi="仿宋" w:eastAsia="仿宋" w:cs="仿宋"/>
          <w:b/>
          <w:sz w:val="32"/>
          <w:szCs w:val="32"/>
        </w:rPr>
      </w:pPr>
      <w:r>
        <w:rPr>
          <w:rFonts w:hint="eastAsia" w:ascii="仿宋" w:hAnsi="仿宋" w:eastAsia="仿宋" w:cs="仿宋"/>
          <w:b/>
          <w:sz w:val="32"/>
          <w:szCs w:val="32"/>
          <w:lang w:val="en-US" w:eastAsia="zh-CN"/>
        </w:rPr>
        <w:t>八</w:t>
      </w:r>
      <w:r>
        <w:rPr>
          <w:rFonts w:ascii="仿宋" w:hAnsi="仿宋" w:eastAsia="仿宋" w:cs="仿宋"/>
          <w:b/>
          <w:sz w:val="32"/>
          <w:szCs w:val="32"/>
        </w:rPr>
        <w:t>、</w:t>
      </w:r>
      <w:r>
        <w:rPr>
          <w:rFonts w:hint="eastAsia" w:ascii="仿宋" w:hAnsi="仿宋" w:eastAsia="仿宋" w:cs="仿宋"/>
          <w:b/>
          <w:sz w:val="32"/>
          <w:szCs w:val="32"/>
        </w:rPr>
        <w:t>名词解释</w:t>
      </w:r>
    </w:p>
    <w:p>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1、一般预算收入：区级财政当年拨付的资金。</w:t>
      </w:r>
    </w:p>
    <w:p>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2、基本支出：为保障机构正常运转，完成日常工作任务，而发生的人员支出和公用支出。</w:t>
      </w:r>
    </w:p>
    <w:p>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3、项目支出：是指在基本支出之外，为完成特定行政任务和事业发展目标，而发生的支出。</w:t>
      </w:r>
    </w:p>
    <w:p>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4、机关运行费：是指为保证行政单位（包括参照公务员管理的事业单位）运行，用于购买货物和服务的各项资金。 主要包括：办公费、印刷费，水费、电费、邮电费、福利费、日常维修费、办公取暖费、办公物业服务费、公务车运行维护费等。</w:t>
      </w:r>
    </w:p>
    <w:p>
      <w:pPr>
        <w:ind w:firstLine="889" w:firstLineChars="277"/>
        <w:rPr>
          <w:rFonts w:ascii="仿宋" w:hAnsi="仿宋" w:eastAsia="仿宋" w:cs="仿宋"/>
          <w:b/>
          <w:sz w:val="32"/>
          <w:szCs w:val="32"/>
        </w:rPr>
      </w:pPr>
      <w:r>
        <w:rPr>
          <w:rFonts w:hint="eastAsia" w:ascii="仿宋" w:hAnsi="仿宋" w:eastAsia="仿宋" w:cs="仿宋"/>
          <w:b/>
          <w:sz w:val="32"/>
          <w:szCs w:val="32"/>
        </w:rPr>
        <w:t>九、其他需要说明的事项</w:t>
      </w:r>
    </w:p>
    <w:p>
      <w:pPr>
        <w:autoSpaceDE w:val="0"/>
        <w:autoSpaceDN w:val="0"/>
        <w:adjustRightInd w:val="0"/>
        <w:ind w:left="420" w:leftChars="200" w:firstLine="640" w:firstLineChars="200"/>
        <w:jc w:val="left"/>
        <w:rPr>
          <w:rFonts w:ascii="仿宋" w:hAnsi="仿宋" w:eastAsia="仿宋" w:cs="仿宋"/>
          <w:sz w:val="32"/>
          <w:szCs w:val="32"/>
        </w:rPr>
      </w:pPr>
      <w:r>
        <w:rPr>
          <w:rFonts w:hint="eastAsia" w:ascii="仿宋" w:hAnsi="仿宋" w:eastAsia="仿宋" w:cs="仿宋"/>
          <w:sz w:val="32"/>
          <w:szCs w:val="32"/>
        </w:rPr>
        <w:t>无</w:t>
      </w:r>
    </w:p>
    <w:p/>
    <w:sectPr>
      <w:footerReference r:id="rId3" w:type="default"/>
      <w:pgSz w:w="16838" w:h="11906" w:orient="landscape"/>
      <w:pgMar w:top="1701" w:right="1174" w:bottom="1701" w:left="72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第 </w:t>
    </w:r>
    <w:r>
      <w:fldChar w:fldCharType="begin"/>
    </w:r>
    <w:r>
      <w:instrText xml:space="preserve"> Page \* MERGEFORMAT </w:instrText>
    </w:r>
    <w:r>
      <w:fldChar w:fldCharType="separate"/>
    </w:r>
    <w:r>
      <w:t>15</w:t>
    </w:r>
    <w: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520E0B37"/>
    <w:multiLevelType w:val="singleLevel"/>
    <w:tmpl w:val="520E0B37"/>
    <w:lvl w:ilvl="0" w:tentative="0">
      <w:start w:val="1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88"/>
    <w:rsid w:val="0012572F"/>
    <w:rsid w:val="00130C72"/>
    <w:rsid w:val="001729FD"/>
    <w:rsid w:val="00175E07"/>
    <w:rsid w:val="00233A1D"/>
    <w:rsid w:val="0026081A"/>
    <w:rsid w:val="003B1631"/>
    <w:rsid w:val="004E23C3"/>
    <w:rsid w:val="005F0E6A"/>
    <w:rsid w:val="006056B8"/>
    <w:rsid w:val="00676EC0"/>
    <w:rsid w:val="006B2F26"/>
    <w:rsid w:val="006D1754"/>
    <w:rsid w:val="006F3B31"/>
    <w:rsid w:val="00751023"/>
    <w:rsid w:val="00911229"/>
    <w:rsid w:val="0093263E"/>
    <w:rsid w:val="00991EF8"/>
    <w:rsid w:val="00A91792"/>
    <w:rsid w:val="00AA075E"/>
    <w:rsid w:val="00AA602D"/>
    <w:rsid w:val="00C728F1"/>
    <w:rsid w:val="00DB63C1"/>
    <w:rsid w:val="00DD6C76"/>
    <w:rsid w:val="00F60E58"/>
    <w:rsid w:val="00FB2C1F"/>
    <w:rsid w:val="00FC6888"/>
    <w:rsid w:val="00FF29AD"/>
    <w:rsid w:val="03E65DC2"/>
    <w:rsid w:val="06290C30"/>
    <w:rsid w:val="105637A7"/>
    <w:rsid w:val="14C03499"/>
    <w:rsid w:val="18404FEB"/>
    <w:rsid w:val="191E1861"/>
    <w:rsid w:val="1A430969"/>
    <w:rsid w:val="1BFD1CD1"/>
    <w:rsid w:val="1CEE75BE"/>
    <w:rsid w:val="1E121A61"/>
    <w:rsid w:val="1EC1195D"/>
    <w:rsid w:val="1FC81510"/>
    <w:rsid w:val="20D63B49"/>
    <w:rsid w:val="221E6CE6"/>
    <w:rsid w:val="226E1C19"/>
    <w:rsid w:val="22C434B5"/>
    <w:rsid w:val="23946C4C"/>
    <w:rsid w:val="263874B7"/>
    <w:rsid w:val="325573E7"/>
    <w:rsid w:val="36283B45"/>
    <w:rsid w:val="382E7947"/>
    <w:rsid w:val="38602406"/>
    <w:rsid w:val="3B7F6F63"/>
    <w:rsid w:val="3FB95B31"/>
    <w:rsid w:val="3FF73FFE"/>
    <w:rsid w:val="40546FBA"/>
    <w:rsid w:val="40B55871"/>
    <w:rsid w:val="42A11900"/>
    <w:rsid w:val="42D24D1F"/>
    <w:rsid w:val="48673363"/>
    <w:rsid w:val="551F3538"/>
    <w:rsid w:val="56756489"/>
    <w:rsid w:val="58CC5674"/>
    <w:rsid w:val="59920CCD"/>
    <w:rsid w:val="5E362991"/>
    <w:rsid w:val="5F8B52A8"/>
    <w:rsid w:val="65AE4052"/>
    <w:rsid w:val="665A51B4"/>
    <w:rsid w:val="668F531B"/>
    <w:rsid w:val="683D533A"/>
    <w:rsid w:val="696E45EF"/>
    <w:rsid w:val="69F075C2"/>
    <w:rsid w:val="6AC32A43"/>
    <w:rsid w:val="6B470D96"/>
    <w:rsid w:val="6C725E7C"/>
    <w:rsid w:val="6DC72650"/>
    <w:rsid w:val="72456B99"/>
    <w:rsid w:val="7274126E"/>
    <w:rsid w:val="753A421C"/>
    <w:rsid w:val="765610E8"/>
    <w:rsid w:val="79EF3B51"/>
    <w:rsid w:val="7C55694A"/>
    <w:rsid w:val="F9FF8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普通(网站)1"/>
    <w:basedOn w:val="1"/>
    <w:qFormat/>
    <w:uiPriority w:val="99"/>
    <w:pPr>
      <w:jc w:val="left"/>
    </w:pPr>
    <w:rPr>
      <w:kern w:val="0"/>
      <w:sz w:val="24"/>
      <w:szCs w:val="2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1156</Words>
  <Characters>6592</Characters>
  <Lines>54</Lines>
  <Paragraphs>15</Paragraphs>
  <TotalTime>9</TotalTime>
  <ScaleCrop>false</ScaleCrop>
  <LinksUpToDate>false</LinksUpToDate>
  <CharactersWithSpaces>7733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2021-03-03T16:02:00Z</dcterms:created>
  <dc:creator>USER-</dc:creator>
  <cp:lastModifiedBy>user</cp:lastModifiedBy>
  <cp:lastPrinted>2021-07-19T17:51:00Z</cp:lastPrinted>
  <dcterms:modified xsi:type="dcterms:W3CDTF">2025-02-25T15:04:53Z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