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唐山市曹妃甸区应急管理局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唐山市曹妃甸区应急管理局编制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1.“防汛抗旱一张图”购买服务项目绩效目标表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t xml:space="preserve">2.安全监管监察第三方专项绩效目标表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t xml:space="preserve">3.安全生产目标考核奖绩效目标表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t xml:space="preserve">4.曹妃甸区工矿商贸领域作业场所视频监控全覆盖项目绩效目标表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t xml:space="preserve">5.关于提前下达2025年自然灾害救助专项资金（32.8596万元）绩效目标表</w:t>
        </w:r>
        <w:r>
          <w:tab/>
        </w:r>
        <w:r>
          <w:fldChar w:fldCharType="begin"/>
        </w:r>
        <w:r>
          <w:instrText xml:space="preserve">PAGEREF _Toc_4_4_0000000008 \h</w:instrText>
        </w:r>
        <w:r>
          <w:fldChar w:fldCharType="separate"/>
        </w:r>
        <w:r>
          <w:t xml:space="preserve">10</w:t>
        </w:r>
        <w:r>
          <w:fldChar w:fldCharType="end"/>
        </w:r>
      </w:hyperlink>
    </w:p>
    <w:p>
      <w:pPr>
        <w:pStyle w:val="TOC1"/>
        <w:tabs>
          <w:tab w:val="right" w:leader="dot" w:pos="9282"/>
        </w:tabs>
      </w:pPr>
      <w:hyperlink w:anchor="_Toc_4_4_0000000009" w:history="1">
        <w:r>
          <w:t xml:space="preserve">6.关于下达增发2023年国债自然灾害应急能力提升工程（应急领域基层防灾工程）省级补助资金预算( 20万)绩效目标表</w:t>
        </w:r>
        <w:r>
          <w:tab/>
        </w:r>
        <w:r>
          <w:fldChar w:fldCharType="begin"/>
        </w:r>
        <w:r>
          <w:instrText xml:space="preserve">PAGEREF _Toc_4_4_0000000009 \h</w:instrText>
        </w:r>
        <w:r>
          <w:fldChar w:fldCharType="separate"/>
        </w:r>
        <w:r>
          <w:t xml:space="preserve">11</w:t>
        </w:r>
        <w:r>
          <w:fldChar w:fldCharType="end"/>
        </w:r>
      </w:hyperlink>
    </w:p>
    <w:p>
      <w:pPr>
        <w:pStyle w:val="TOC1"/>
        <w:tabs>
          <w:tab w:val="right" w:leader="dot" w:pos="9282"/>
        </w:tabs>
      </w:pPr>
      <w:hyperlink w:anchor="_Toc_4_4_0000000010" w:history="1">
        <w:r>
          <w:t xml:space="preserve">7.关于下达增发2023年国债自然灾害应急能力提升工程（应急领域基层防灾工程项目）补助资金预算( 240万)绩效目标表</w:t>
        </w:r>
        <w:r>
          <w:tab/>
        </w:r>
        <w:r>
          <w:fldChar w:fldCharType="begin"/>
        </w:r>
        <w:r>
          <w:instrText xml:space="preserve">PAGEREF _Toc_4_4_0000000010 \h</w:instrText>
        </w:r>
        <w:r>
          <w:fldChar w:fldCharType="separate"/>
        </w:r>
        <w:r>
          <w:t xml:space="preserve">12</w:t>
        </w:r>
        <w:r>
          <w:fldChar w:fldCharType="end"/>
        </w:r>
      </w:hyperlink>
    </w:p>
    <w:p>
      <w:pPr>
        <w:pStyle w:val="TOC1"/>
        <w:tabs>
          <w:tab w:val="right" w:leader="dot" w:pos="9282"/>
        </w:tabs>
      </w:pPr>
      <w:hyperlink w:anchor="_Toc_4_4_0000000011" w:history="1">
        <w:r>
          <w:t xml:space="preserve">8.关于下达增发2023年国债自然灾害应急能力提升工程（应急领域基层防灾工程项目）补助资金预算(4.6776万元)绩效目标表</w:t>
        </w:r>
        <w:r>
          <w:tab/>
        </w:r>
        <w:r>
          <w:fldChar w:fldCharType="begin"/>
        </w:r>
        <w:r>
          <w:instrText xml:space="preserve">PAGEREF _Toc_4_4_0000000011 \h</w:instrText>
        </w:r>
        <w:r>
          <w:fldChar w:fldCharType="separate"/>
        </w:r>
        <w:r>
          <w:t xml:space="preserve">13</w:t>
        </w:r>
        <w:r>
          <w:fldChar w:fldCharType="end"/>
        </w:r>
      </w:hyperlink>
    </w:p>
    <w:p>
      <w:pPr>
        <w:pStyle w:val="TOC1"/>
        <w:tabs>
          <w:tab w:val="right" w:leader="dot" w:pos="9282"/>
        </w:tabs>
      </w:pPr>
      <w:hyperlink w:anchor="_Toc_4_4_0000000012" w:history="1">
        <w:r>
          <w:t xml:space="preserve">9.农场消防站专项绩效目标表</w:t>
        </w:r>
        <w:r>
          <w:tab/>
        </w:r>
        <w:r>
          <w:fldChar w:fldCharType="begin"/>
        </w:r>
        <w:r>
          <w:instrText xml:space="preserve">PAGEREF _Toc_4_4_0000000012 \h</w:instrText>
        </w:r>
        <w:r>
          <w:fldChar w:fldCharType="separate"/>
        </w:r>
        <w:r>
          <w:t xml:space="preserve">14</w:t>
        </w:r>
        <w:r>
          <w:fldChar w:fldCharType="end"/>
        </w:r>
      </w:hyperlink>
    </w:p>
    <w:p>
      <w:pPr>
        <w:pStyle w:val="TOC1"/>
        <w:tabs>
          <w:tab w:val="right" w:leader="dot" w:pos="9282"/>
        </w:tabs>
      </w:pPr>
      <w:hyperlink w:anchor="_Toc_4_4_0000000013" w:history="1">
        <w:r>
          <w:t xml:space="preserve">10.区级应急预案修订费用绩效目标表</w:t>
        </w:r>
        <w:r>
          <w:tab/>
        </w:r>
        <w:r>
          <w:fldChar w:fldCharType="begin"/>
        </w:r>
        <w:r>
          <w:instrText xml:space="preserve">PAGEREF _Toc_4_4_0000000013 \h</w:instrText>
        </w:r>
        <w:r>
          <w:fldChar w:fldCharType="separate"/>
        </w:r>
        <w:r>
          <w:t xml:space="preserve">15</w:t>
        </w:r>
        <w:r>
          <w:fldChar w:fldCharType="end"/>
        </w:r>
      </w:hyperlink>
    </w:p>
    <w:p>
      <w:pPr>
        <w:pStyle w:val="TOC1"/>
        <w:tabs>
          <w:tab w:val="right" w:leader="dot" w:pos="9282"/>
        </w:tabs>
      </w:pPr>
      <w:hyperlink w:anchor="_Toc_4_4_0000000014" w:history="1">
        <w:r>
          <w:t xml:space="preserve">11.全区消防救援能力现代化建设（2025年民生实事工程）（2780万元）绩效目标表</w:t>
        </w:r>
        <w:r>
          <w:tab/>
        </w:r>
        <w:r>
          <w:fldChar w:fldCharType="begin"/>
        </w:r>
        <w:r>
          <w:instrText xml:space="preserve">PAGEREF _Toc_4_4_0000000014 \h</w:instrText>
        </w:r>
        <w:r>
          <w:fldChar w:fldCharType="separate"/>
        </w:r>
        <w:r>
          <w:t xml:space="preserve">16</w:t>
        </w:r>
        <w:r>
          <w:fldChar w:fldCharType="end"/>
        </w:r>
      </w:hyperlink>
    </w:p>
    <w:p>
      <w:pPr>
        <w:pStyle w:val="TOC1"/>
        <w:tabs>
          <w:tab w:val="right" w:leader="dot" w:pos="9282"/>
        </w:tabs>
      </w:pPr>
      <w:hyperlink w:anchor="_Toc_4_4_0000000015" w:history="1">
        <w:r>
          <w:t xml:space="preserve">12.全区消防救援能力现代化建设（2025年民生实事工程）（340万元）绩效目标表</w:t>
        </w:r>
        <w:r>
          <w:tab/>
        </w:r>
        <w:r>
          <w:fldChar w:fldCharType="begin"/>
        </w:r>
        <w:r>
          <w:instrText xml:space="preserve">PAGEREF _Toc_4_4_0000000015 \h</w:instrText>
        </w:r>
        <w:r>
          <w:fldChar w:fldCharType="separate"/>
        </w:r>
        <w:r>
          <w:t xml:space="preserve">17</w:t>
        </w:r>
        <w:r>
          <w:fldChar w:fldCharType="end"/>
        </w:r>
      </w:hyperlink>
    </w:p>
    <w:p>
      <w:pPr>
        <w:pStyle w:val="TOC1"/>
        <w:tabs>
          <w:tab w:val="right" w:leader="dot" w:pos="9282"/>
        </w:tabs>
      </w:pPr>
      <w:hyperlink w:anchor="_Toc_4_4_0000000016" w:history="1">
        <w:r>
          <w:t xml:space="preserve">13.下达增发2023年国债自然灾害应急能力提升工程（应急领域）补助资金预算绩效目标表</w:t>
        </w:r>
        <w:r>
          <w:tab/>
        </w:r>
        <w:r>
          <w:fldChar w:fldCharType="begin"/>
        </w:r>
        <w:r>
          <w:instrText xml:space="preserve">PAGEREF _Toc_4_4_0000000016 \h</w:instrText>
        </w:r>
        <w:r>
          <w:fldChar w:fldCharType="separate"/>
        </w:r>
        <w:r>
          <w:t xml:space="preserve">18</w:t>
        </w:r>
        <w:r>
          <w:fldChar w:fldCharType="end"/>
        </w:r>
      </w:hyperlink>
    </w:p>
    <w:p>
      <w:pPr>
        <w:pStyle w:val="TOC1"/>
        <w:tabs>
          <w:tab w:val="right" w:leader="dot" w:pos="9282"/>
        </w:tabs>
      </w:pPr>
      <w:hyperlink w:anchor="_Toc_4_4_0000000017" w:history="1">
        <w:r>
          <w:t xml:space="preserve">14.下达增发2023年国债自然灾害应急能力提升工程（应急领域）补助资金预算（0.098万元）绩效目标表</w:t>
        </w:r>
        <w:r>
          <w:tab/>
        </w:r>
        <w:r>
          <w:fldChar w:fldCharType="begin"/>
        </w:r>
        <w:r>
          <w:instrText xml:space="preserve">PAGEREF _Toc_4_4_0000000017 \h</w:instrText>
        </w:r>
        <w:r>
          <w:fldChar w:fldCharType="separate"/>
        </w:r>
        <w:r>
          <w:t xml:space="preserve">19</w:t>
        </w:r>
        <w:r>
          <w:fldChar w:fldCharType="end"/>
        </w:r>
      </w:hyperlink>
    </w:p>
    <w:p>
      <w:pPr>
        <w:pStyle w:val="TOC1"/>
        <w:tabs>
          <w:tab w:val="right" w:leader="dot" w:pos="9282"/>
        </w:tabs>
      </w:pPr>
      <w:hyperlink w:anchor="_Toc_4_4_0000000018" w:history="1">
        <w:r>
          <w:t xml:space="preserve">15.下达增发2023年国债自然灾害应急能力提升工程（应急领域）省级补助资金预算（0.43万元）绩效目标表</w:t>
        </w:r>
        <w:r>
          <w:tab/>
        </w:r>
        <w:r>
          <w:fldChar w:fldCharType="begin"/>
        </w:r>
        <w:r>
          <w:instrText xml:space="preserve">PAGEREF _Toc_4_4_0000000018 \h</w:instrText>
        </w:r>
        <w:r>
          <w:fldChar w:fldCharType="separate"/>
        </w:r>
        <w:r>
          <w:t xml:space="preserve">20</w:t>
        </w:r>
        <w:r>
          <w:fldChar w:fldCharType="end"/>
        </w:r>
      </w:hyperlink>
    </w:p>
    <w:p>
      <w:pPr>
        <w:pStyle w:val="TOC1"/>
        <w:tabs>
          <w:tab w:val="right" w:leader="dot" w:pos="9282"/>
        </w:tabs>
      </w:pPr>
      <w:hyperlink w:anchor="_Toc_4_4_0000000019" w:history="1">
        <w:r>
          <w:t xml:space="preserve">16.应急管理专项绩效目标表</w:t>
        </w:r>
        <w:r>
          <w:tab/>
        </w:r>
        <w:r>
          <w:fldChar w:fldCharType="begin"/>
        </w:r>
        <w:r>
          <w:instrText xml:space="preserve">PAGEREF _Toc_4_4_0000000019 \h</w:instrText>
        </w:r>
        <w:r>
          <w:fldChar w:fldCharType="separate"/>
        </w:r>
        <w:r>
          <w:t xml:space="preserve">21</w:t>
        </w:r>
        <w:r>
          <w:fldChar w:fldCharType="end"/>
        </w:r>
      </w:hyperlink>
    </w:p>
    <w:p>
      <w:pPr>
        <w:pStyle w:val="TOC1"/>
        <w:tabs>
          <w:tab w:val="right" w:leader="dot" w:pos="9282"/>
        </w:tabs>
      </w:pPr>
      <w:hyperlink w:anchor="_Toc_4_4_0000000020" w:history="1">
        <w:r>
          <w:t xml:space="preserve">17.专家查隐患全覆盖绩效目标表</w:t>
        </w:r>
        <w:r>
          <w:tab/>
        </w:r>
        <w:r>
          <w:fldChar w:fldCharType="begin"/>
        </w:r>
        <w:r>
          <w:instrText xml:space="preserve">PAGEREF _Toc_4_4_0000000020 \h</w:instrText>
        </w:r>
        <w:r>
          <w:fldChar w:fldCharType="separate"/>
        </w:r>
        <w:r>
          <w:t xml:space="preserve">22</w:t>
        </w:r>
        <w:r>
          <w:fldChar w:fldCharType="end"/>
        </w:r>
      </w:hyperlink>
    </w:p>
    <w:p>
      <w:pPr>
        <w:sectPr>
          <w:footerReference w:type="even" r:id="rId1"/>
          <w:footerReference w:type="default" r:id="rId2"/>
          <w:type w:val="nextPage"/>
          <w:pgSz w:w="11900" w:h="16840" w:orient="portrait"/>
          <w:pgMar w:top="1984" w:right="1304" w:bottom="1134" w:left="130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(一）负责全区应急管理工作，指导各开发区 (园区） 、各场镇 (街道） 、各部门应对安全生产类、自然灾害类等突发事件 和综合防灾减灾工作。负责全区安全生产综合监督管理和相关工矿(含煤矿，下同）商贸行业安全生产监督管理工作。</w:t>
      </w:r>
    </w:p>
    <w:p>
      <w:pPr>
        <w:pStyle w:val="插入文本样式-插入总体目标文件"/>
      </w:pPr>
      <w:r>
        <w:t xml:space="preserve">(二）贯彻落实上级地方性应急管理、防震减灾、安全生产等政策规定，组织编制区应急体系建设、综合防灾减灾和安全生产规划，指导、监督相关规程和标准实施。</w:t>
      </w:r>
    </w:p>
    <w:p>
      <w:pPr>
        <w:pStyle w:val="插入文本样式-插入总体目标文件"/>
      </w:pPr>
      <w:r>
        <w:t xml:space="preserve">(三）指导应急预案体系建设，建立完善事故灾难和自然灾害等级应对制度，组织编制区总体应急预案和安全生产类、自然灾害类专项预案，综合协调应急预案衔接工作，组织开展预案演练，推动应急避难设施建设。</w:t>
      </w:r>
    </w:p>
    <w:p>
      <w:pPr>
        <w:pStyle w:val="插入文本样式-插入总体目标文件"/>
      </w:pPr>
      <w:r>
        <w:t xml:space="preserve">(四）牵头建立统一的全区应急管理信息系统，负责信息传输渠道的规划和布局，建立监测预警和灾情报告制度，健全自然灾害信息资源获取和共享机制，依法统一发布灾情。</w:t>
      </w:r>
    </w:p>
    <w:p>
      <w:pPr>
        <w:pStyle w:val="插入文本样式-插入总体目标文件"/>
      </w:pPr>
      <w:r>
        <w:t xml:space="preserve">(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插入文本样式-插入总体目标文件"/>
      </w:pPr>
      <w:r>
        <w:t xml:space="preserve">(六）统一协调指挥各类应急专业队伍，建立应急协调联动机制，推进指挥平台对接，衔接解放军和武警部队参与应急救援工作。</w:t>
      </w:r>
    </w:p>
    <w:p>
      <w:pPr>
        <w:pStyle w:val="插入文本样式-插入总体目标文件"/>
      </w:pPr>
      <w:r>
        <w:t xml:space="preserve">(七）统筹应急救援力量建设，负责消防、森林和草原火灾扑救、抗洪抢险、地质灾害救援、生产安全事故救援等专业应急救援力量建设，管理区综合性应急救援队伍，指导各部门及社会应急救援力量建设。</w:t>
      </w:r>
    </w:p>
    <w:p>
      <w:pPr>
        <w:pStyle w:val="插入文本样式-插入总体目标文件"/>
      </w:pPr>
      <w:r>
        <w:t xml:space="preserve">(八）组织指导全区防震减灾工作，负责地震监测预测预警、震害防御和地震现场应急救援工作，参与震后救援和震后重建等工作。</w:t>
      </w:r>
    </w:p>
    <w:p>
      <w:pPr>
        <w:pStyle w:val="插入文本样式-插入总体目标文件"/>
      </w:pPr>
      <w:r>
        <w:t xml:space="preserve">(九）组织协调消防工作，指导各部门消防监督、火灾预防、 火灾扑救等工作。</w:t>
      </w:r>
    </w:p>
    <w:p>
      <w:pPr>
        <w:pStyle w:val="插入文本样式-插入总体目标文件"/>
      </w:pPr>
      <w:r>
        <w:t xml:space="preserve">(十）指导协调森林和草原火灾、水旱灾害、地质灾害等防治工作，负责地震灾害防御工作，负责自然灾害综合监测预警工作，指导开展自然灾害综合风险评估工作。</w:t>
      </w:r>
    </w:p>
    <w:p>
      <w:pPr>
        <w:pStyle w:val="插入文本样式-插入总体目标文件"/>
      </w:pPr>
      <w:r>
        <w:t xml:space="preserve">(十一）组织协调灾害救助工作，组织指导灾情核查、损失评估、救灾捐赠工作，管理、分配区救灾款物并监督使用。</w:t>
      </w:r>
    </w:p>
    <w:p>
      <w:pPr>
        <w:pStyle w:val="插入文本样式-插入总体目标文件"/>
      </w:pPr>
      <w:r>
        <w:t xml:space="preserve">(十二）依法行使区安全生产综合监督管理职权，指导协调、监督检查区有关部门和各开发区(园区） 、各场镇(街道）安全生产工作，组织开展安全生产巡查、考核工作。</w:t>
      </w:r>
    </w:p>
    <w:p>
      <w:pPr>
        <w:pStyle w:val="插入文本样式-插入总体目标文件"/>
      </w:pPr>
      <w:r>
        <w:t xml:space="preserve">(十三） 按照分级、属地原则，依法监督检查工矿商贸生产 经营单位贯彻执行安全生产法律法规情况，及其安全生产条件和有关设备 (特种设备除外）、材料、劳动防护用品的安全生产管理工作。 负责监督管理区属及以上工矿商贸企业的安全生产工作。负责危险化学品企业安全监督管理综合工作和烟花爆竹安全生产监督管理工作。</w:t>
      </w:r>
    </w:p>
    <w:p>
      <w:pPr>
        <w:pStyle w:val="插入文本样式-插入总体目标文件"/>
      </w:pPr>
      <w:r>
        <w:t xml:space="preserve">(十四）依法组织指导生产安全事故调查处理，监督事故查处和责任追究落实情况。组织开展自然灾害类突发事件的调查评估工作。</w:t>
      </w:r>
    </w:p>
    <w:p>
      <w:pPr>
        <w:pStyle w:val="插入文本样式-插入总体目标文件"/>
      </w:pPr>
      <w:r>
        <w:t xml:space="preserve">(十五）制定应急物资储备和应急救援装备规划并组织实施，会同区相关部门建立健全应急物资、救援装备信息平台和调拨制度，在救灾时统一调度。</w:t>
      </w:r>
    </w:p>
    <w:p>
      <w:pPr>
        <w:pStyle w:val="插入文本样式-插入总体目标文件"/>
      </w:pPr>
      <w:r>
        <w:t xml:space="preserve">(十六）负责应急管理、防震减灾、安全生产宣传教育和培训工作，组织指导应急管理、防灾减灾、安全生产的科学技术推广应用和信息化建设工作。</w:t>
      </w:r>
    </w:p>
    <w:p>
      <w:pPr>
        <w:pStyle w:val="插入文本样式-插入总体目标文件"/>
      </w:pPr>
      <w:r>
        <w:t xml:space="preserve">(十七）负责组织指导协调和监督全区安全生产行政执法工作。负责全区地震行政执法工作。管理直属执法机构对分管区域内的企业开展安全生产执法工作。</w:t>
      </w:r>
    </w:p>
    <w:p>
      <w:pPr>
        <w:pStyle w:val="插入文本样式-插入总体目标文件"/>
      </w:pPr>
      <w:r>
        <w:t xml:space="preserve">(十八）组织开展应急管理方面的国际交流和合作。</w:t>
      </w:r>
    </w:p>
    <w:p>
      <w:pPr>
        <w:pStyle w:val="插入文本样式-插入总体目标文件"/>
      </w:pPr>
      <w:r>
        <w:t xml:space="preserve">(十九）完成区委、 区政府交办的其他任务。</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1.安全监管监察聘请第三方专项经费</w:t>
      </w:r>
    </w:p>
    <w:p>
      <w:pPr>
        <w:pStyle w:val="插入文本样式-插入职责分类绩效目标文件"/>
      </w:pPr>
      <w:r>
        <w:t xml:space="preserve">绩效目标：安全监管监察聘请第三方用于全区安全生产检查专项经费；</w:t>
      </w:r>
    </w:p>
    <w:p>
      <w:pPr>
        <w:pStyle w:val="插入文本样式-插入职责分类绩效目标文件"/>
      </w:pPr>
      <w:r>
        <w:t xml:space="preserve">绩效指标：对全区安全生产企业进行检查，聘请第三方，实现全区检查全覆盖；</w:t>
      </w:r>
    </w:p>
    <w:p>
      <w:pPr>
        <w:pStyle w:val="插入文本样式-插入职责分类绩效目标文件"/>
      </w:pPr>
      <w:r>
        <w:t xml:space="preserve">2.农场消防站专项经费</w:t>
      </w:r>
    </w:p>
    <w:p>
      <w:pPr>
        <w:pStyle w:val="插入文本样式-插入职责分类绩效目标文件"/>
      </w:pPr>
      <w:r>
        <w:t xml:space="preserve">绩效目标： 全区农场消防站全年运行经费；</w:t>
      </w:r>
    </w:p>
    <w:p>
      <w:pPr>
        <w:pStyle w:val="插入文本样式-插入职责分类绩效目标文件"/>
      </w:pPr>
      <w:r>
        <w:t xml:space="preserve">绩效指标： 我区农场消防站维持正常运转，保障农场消防安全；</w:t>
      </w:r>
    </w:p>
    <w:p>
      <w:pPr>
        <w:pStyle w:val="插入文本样式-插入职责分类绩效目标文件"/>
      </w:pPr>
      <w:r>
        <w:t xml:space="preserve">3.应急管理专项</w:t>
      </w:r>
    </w:p>
    <w:p>
      <w:pPr>
        <w:pStyle w:val="插入文本样式-插入职责分类绩效目标文件"/>
      </w:pPr>
      <w:r>
        <w:t xml:space="preserve">绩效目标： 用于全区应急管理专项资金；        绩效指标：用于保障全区应急管理工作正常运转，提高应急管理能力，实现全区应急管理高效全覆盖运转。</w:t>
      </w:r>
    </w:p>
    <w:p>
      <w:pPr>
        <w:pStyle w:val="插入文本样式-插入职责分类绩效目标文件"/>
      </w:pPr>
      <w:r>
        <w:t xml:space="preserve">4.专家查隐患全覆盖2023年项目款</w:t>
      </w:r>
    </w:p>
    <w:p>
      <w:pPr>
        <w:pStyle w:val="插入文本样式-插入职责分类绩效目标文件"/>
      </w:pPr>
      <w:r>
        <w:t xml:space="preserve">绩效目标：按照唐山市安全生产委员会办公室关于迅速贯彻落实《唐山市安全生产专家常态化排查隐患工作机制的意见（试行）》的通知要求，对全区在建筑施工、交通运输、燃气、特种设备使用、公众聚集场所等领域开展专家查隐患全覆盖工作。</w:t>
      </w:r>
    </w:p>
    <w:p>
      <w:pPr>
        <w:pStyle w:val="插入文本样式-插入职责分类绩效目标文件"/>
      </w:pPr>
      <w:r>
        <w:t xml:space="preserve">绩效指标：对全区在建筑施工、交通运输、燃气、特种设备使用、公众聚集场所等领域聘请第三方专家，全面有序地开展隐患排查工作。</w:t>
      </w:r>
    </w:p>
    <w:p>
      <w:pPr>
        <w:pStyle w:val="插入文本样式-插入职责分类绩效目标文件"/>
      </w:pPr>
      <w:r>
        <w:t xml:space="preserve">5.专家查隐患全覆盖</w:t>
      </w:r>
    </w:p>
    <w:p>
      <w:pPr>
        <w:pStyle w:val="插入文本样式-插入职责分类绩效目标文件"/>
      </w:pPr>
      <w:r>
        <w:t xml:space="preserve">绩效目标：按照唐山市安全生产委员会办公室关于迅速贯彻落实《唐山市安全生产专家常态化排查隐患工作机制的意见（试行）》的通知要求，对全区在建筑施工、交通运输、燃气、特种设备使用、公众聚集场所等领域开展专家查隐患全覆盖工作。</w:t>
      </w:r>
    </w:p>
    <w:p>
      <w:pPr>
        <w:pStyle w:val="插入文本样式-插入职责分类绩效目标文件"/>
      </w:pPr>
      <w:r>
        <w:t xml:space="preserve">绩效指标：对全区在建筑施工、交通运输、燃气、特种设备使用、公众聚集场所等领域聘请第三方专家，全面有序地开展隐患排查工作。</w:t>
      </w:r>
    </w:p>
    <w:p>
      <w:pPr>
        <w:pStyle w:val="插入文本样式-插入职责分类绩效目标文件"/>
      </w:pPr>
      <w:r>
        <w:t xml:space="preserve">6.曹妃甸区地震台站建设</w:t>
      </w:r>
    </w:p>
    <w:p>
      <w:pPr>
        <w:pStyle w:val="插入文本样式-插入职责分类绩效目标文件"/>
      </w:pPr>
      <w:r>
        <w:t xml:space="preserve">绩效目标：为提高全区地震监测预报水平和对破坏性地震灾害的快速反应能力，为全区国民经济和社会发展提供有力的防灾支撑。</w:t>
      </w:r>
    </w:p>
    <w:p>
      <w:pPr>
        <w:pStyle w:val="插入文本样式-插入职责分类绩效目标文件"/>
      </w:pPr>
      <w:r>
        <w:t xml:space="preserve">绩效指标：按照唐山市政府关于做好防震减灾相关工作的要求，经区政府研究同意，我区将建设高标准综合地震台站，提高全区地震监测预报水平和对破坏性地震灾害的快速反应能力，为全区国民经济和社会发展提供有力的防灾支撑。</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我单位高度重视部门预算绩效管理工作，积极开展部门绩效预算管理工作，进一步提高了财政资金使用效益和效率，实现财政资金的规范性、安全性和有效性。主要体现在一是建立健全工作机制。为了顺利推进预算绩效管理工作顺利实施，我局建立了相应的工作机制，分工协作，共同完成好绩效目标；二是积极开展部门绩效预算评价工作。结合当年预算绩效管理目标任务，从预算编制源头抓起，落实编制项目绩效目标，进一步强化预算单位绩效意识和支出责任，持续推进预算绩效管理。</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1.“防汛抗旱一张图”购买服务项目绩效目标表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13020925P000726100013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“防汛抗旱一张图”购买服务项目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保障正常进行“防汛抗旱一张图”购买服务项目正常进行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1.目标内容1“防汛抗旱一张图”购买服务项目正常进行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财政拨款投入率</w:t>
            </w:r>
          </w:p>
        </w:tc>
        <w:tc>
          <w:tcPr>
            <w:tcW w:w="2891" w:type="dxa"/>
            <w:vAlign w:val="center"/>
          </w:tcPr>
          <w:p>
            <w:pPr>
              <w:pStyle w:val="单元格样式2"/>
            </w:pPr>
            <w:r>
              <w:t xml:space="preserve">财政拨款投入率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工作完成的时效</w:t>
            </w:r>
          </w:p>
          <w:p>
            <w:pPr>
              <w:pStyle w:val="单元格样式2"/>
            </w:pPr>
          </w:p>
          <w:p>
            <w:pPr>
              <w:pStyle w:val="单元格样式2"/>
            </w:pPr>
          </w:p>
        </w:tc>
        <w:tc>
          <w:tcPr>
            <w:tcW w:w="2891" w:type="dxa"/>
            <w:vAlign w:val="center"/>
          </w:tcPr>
          <w:p>
            <w:pPr>
              <w:pStyle w:val="单元格样式2"/>
            </w:pPr>
            <w:r>
              <w:t xml:space="preserve">工作完成的时效</w:t>
            </w:r>
          </w:p>
          <w:p>
            <w:pPr>
              <w:pStyle w:val="单元格样式2"/>
            </w:pPr>
          </w:p>
          <w:p>
            <w:pPr>
              <w:pStyle w:val="单元格样式2"/>
            </w:pPr>
          </w:p>
        </w:tc>
        <w:tc>
          <w:tcPr>
            <w:tcW w:w="1276" w:type="dxa"/>
            <w:vAlign w:val="center"/>
          </w:tcPr>
          <w:p>
            <w:pPr>
              <w:pStyle w:val="单元格样式2"/>
            </w:pPr>
            <w:r>
              <w:t xml:space="preserve">≤1年</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≤85万元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vAlign w:val="center"/>
          </w:tcPr>
          <w:p>
            <w:pPr>
              <w:pStyle w:val="单元格样式2"/>
            </w:pPr>
            <w:r>
              <w:t xml:space="preserve">提供优质服务</w:t>
            </w:r>
          </w:p>
        </w:tc>
        <w:tc>
          <w:tcPr>
            <w:tcW w:w="1276" w:type="dxa"/>
            <w:vAlign w:val="center"/>
          </w:tcPr>
          <w:p>
            <w:pPr>
              <w:pStyle w:val="单元格样式2"/>
            </w:pPr>
            <w:r>
              <w:t xml:space="preserve">≥75%</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2.安全监管监察第三方专项绩效目标表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13020925P000720100011</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安全监管监察第三方专项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用于保障安全监管监察第三方专项工作的正常运转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1.目标内容1保障安全监管监察第三方专项工作的正常运转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年度投资完成率</w:t>
            </w:r>
          </w:p>
        </w:tc>
        <w:tc>
          <w:tcPr>
            <w:tcW w:w="2891" w:type="dxa"/>
            <w:vAlign w:val="center"/>
          </w:tcPr>
          <w:p>
            <w:pPr>
              <w:pStyle w:val="单元格样式2"/>
            </w:pPr>
            <w:r>
              <w:t xml:space="preserve">年度投资完成率</w:t>
            </w:r>
          </w:p>
        </w:tc>
        <w:tc>
          <w:tcPr>
            <w:tcW w:w="1276" w:type="dxa"/>
            <w:vAlign w:val="center"/>
          </w:tcPr>
          <w:p>
            <w:pPr>
              <w:pStyle w:val="单元格样式2"/>
            </w:pPr>
            <w:r>
              <w:t xml:space="preserve">≥88%</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综合事务管理工作完成率</w:t>
            </w:r>
          </w:p>
        </w:tc>
        <w:tc>
          <w:tcPr>
            <w:tcW w:w="2891" w:type="dxa"/>
            <w:vAlign w:val="center"/>
          </w:tcPr>
          <w:p>
            <w:pPr>
              <w:pStyle w:val="单元格样式2"/>
            </w:pPr>
            <w:r>
              <w:t xml:space="preserve">综合事务管理工作完成率</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合同签订情况</w:t>
            </w:r>
          </w:p>
        </w:tc>
        <w:tc>
          <w:tcPr>
            <w:tcW w:w="2891" w:type="dxa"/>
            <w:vAlign w:val="center"/>
          </w:tcPr>
          <w:p>
            <w:pPr>
              <w:pStyle w:val="单元格样式2"/>
            </w:pPr>
            <w:r>
              <w:t xml:space="preserve">合同签订情况</w:t>
            </w: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预算控制</w:t>
            </w:r>
          </w:p>
        </w:tc>
        <w:tc>
          <w:tcPr>
            <w:tcW w:w="2891" w:type="dxa"/>
            <w:vAlign w:val="center"/>
          </w:tcPr>
          <w:p>
            <w:pPr>
              <w:pStyle w:val="单元格样式2"/>
            </w:pPr>
            <w:r>
              <w:t xml:space="preserve">预算控制</w:t>
            </w:r>
          </w:p>
        </w:tc>
        <w:tc>
          <w:tcPr>
            <w:tcW w:w="1276" w:type="dxa"/>
            <w:vAlign w:val="center"/>
          </w:tcPr>
          <w:p>
            <w:pPr>
              <w:pStyle w:val="单元格样式2"/>
            </w:pPr>
            <w:r>
              <w:t xml:space="preserve">≤340万元</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业务保障能力</w:t>
            </w:r>
          </w:p>
        </w:tc>
        <w:tc>
          <w:tcPr>
            <w:tcW w:w="2891" w:type="dxa"/>
            <w:vAlign w:val="center"/>
          </w:tcPr>
          <w:p>
            <w:pPr>
              <w:pStyle w:val="单元格样式2"/>
            </w:pPr>
            <w:r>
              <w:t xml:space="preserve">业务保障能力</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3.安全生产目标考核奖绩效目标表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13020924P000568100021</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安全生产目标考核奖</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安全生产目标考核奖金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1.安全生产目标考核奖金</w:t>
            </w:r>
          </w:p>
          <w:p>
            <w:pPr>
              <w:pStyle w:val="单元格样式2"/>
            </w:pPr>
            <w:r>
              <w:t xml:space="preserve">2.安全生产目标考核奖金</w:t>
            </w:r>
          </w:p>
          <w:p>
            <w:pPr>
              <w:pStyle w:val="单元格样式2"/>
            </w:pPr>
            <w:r>
              <w:t xml:space="preserve">3.安全生产目标考核奖金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≥95%</w:t>
            </w:r>
          </w:p>
        </w:tc>
        <w:tc>
          <w:tcPr>
            <w:tcW w:w="1843" w:type="dxa"/>
            <w:vAlign w:val="center"/>
          </w:tcPr>
          <w:p>
            <w:pPr>
              <w:pStyle w:val="单元格样式2"/>
            </w:pPr>
            <w:r>
              <w:t xml:space="preserve">上级提前下达资金安排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≥95%</w:t>
            </w:r>
          </w:p>
        </w:tc>
        <w:tc>
          <w:tcPr>
            <w:tcW w:w="1843" w:type="dxa"/>
            <w:vAlign w:val="center"/>
          </w:tcPr>
          <w:p>
            <w:pPr>
              <w:pStyle w:val="单元格样式2"/>
            </w:pPr>
            <w:r>
              <w:t xml:space="preserve">上级提前下达资金安排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工作完成时限</w:t>
            </w:r>
          </w:p>
        </w:tc>
        <w:tc>
          <w:tcPr>
            <w:tcW w:w="2891" w:type="dxa"/>
            <w:vAlign w:val="center"/>
          </w:tcPr>
          <w:p>
            <w:pPr>
              <w:pStyle w:val="单元格样式2"/>
            </w:pPr>
            <w:r>
              <w:t xml:space="preserve">工作完成时限</w:t>
            </w:r>
          </w:p>
        </w:tc>
        <w:tc>
          <w:tcPr>
            <w:tcW w:w="1276" w:type="dxa"/>
            <w:vAlign w:val="center"/>
          </w:tcPr>
          <w:p>
            <w:pPr>
              <w:pStyle w:val="单元格样式2"/>
            </w:pPr>
            <w:r>
              <w:t xml:space="preserve">≥95%</w:t>
            </w:r>
          </w:p>
        </w:tc>
        <w:tc>
          <w:tcPr>
            <w:tcW w:w="1843" w:type="dxa"/>
            <w:vAlign w:val="center"/>
          </w:tcPr>
          <w:p>
            <w:pPr>
              <w:pStyle w:val="单元格样式2"/>
            </w:pPr>
            <w:r>
              <w:t xml:space="preserve">上级提前下达资金安排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≥95%</w:t>
            </w:r>
          </w:p>
        </w:tc>
        <w:tc>
          <w:tcPr>
            <w:tcW w:w="1843" w:type="dxa"/>
            <w:vAlign w:val="center"/>
          </w:tcPr>
          <w:p>
            <w:pPr>
              <w:pStyle w:val="单元格样式2"/>
            </w:pPr>
            <w:r>
              <w:t xml:space="preserve">上级提前下达资金安排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上级提前下达资金安排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4.曹妃甸区工矿商贸领域作业场所视频监控全覆盖项目绩效目标表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13020925P00072410001P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曹妃甸区工矿商贸领域作业场所视频监控全覆盖项目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1012.00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1012.00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用于保障曹妃甸区工矿商贸领域作业场所视频监控全覆盖项目正常进行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1.目标内容1曹妃甸区工矿商贸领域作业场所视频监控全覆盖项目正常进行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≥90%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工作完成时限</w:t>
            </w:r>
          </w:p>
        </w:tc>
        <w:tc>
          <w:tcPr>
            <w:tcW w:w="2891" w:type="dxa"/>
            <w:vAlign w:val="center"/>
          </w:tcPr>
          <w:p>
            <w:pPr>
              <w:pStyle w:val="单元格样式2"/>
            </w:pPr>
            <w:r>
              <w:t xml:space="preserve">工作完成时限</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≤1012万元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≥70%</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5.关于提前下达2025年自然灾害救助专项资金（32.8596万元）绩效目标表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13020925P00076510001A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关于提前下达2025年自然灾害救助专项资金（32.8596万元）</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32.86</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32.86</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用于参加政策性农村住房灾害保险补助支出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1.目标内容1用于参加政策性农村住房灾害保险补助支出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≥100%</w:t>
            </w:r>
          </w:p>
        </w:tc>
        <w:tc>
          <w:tcPr>
            <w:tcW w:w="1843" w:type="dxa"/>
            <w:vAlign w:val="center"/>
          </w:tcPr>
          <w:p>
            <w:pPr>
              <w:pStyle w:val="单元格样式2"/>
            </w:pPr>
            <w:r>
              <w:t xml:space="preserve">唐财建【2024】136号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≥100%</w:t>
            </w:r>
          </w:p>
        </w:tc>
        <w:tc>
          <w:tcPr>
            <w:tcW w:w="1843" w:type="dxa"/>
            <w:vAlign w:val="center"/>
          </w:tcPr>
          <w:p>
            <w:pPr>
              <w:pStyle w:val="单元格样式2"/>
            </w:pPr>
            <w:r>
              <w:t xml:space="preserve">唐财建【2024】136号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≥95%</w:t>
            </w:r>
          </w:p>
        </w:tc>
        <w:tc>
          <w:tcPr>
            <w:tcW w:w="1843" w:type="dxa"/>
            <w:vAlign w:val="center"/>
          </w:tcPr>
          <w:p>
            <w:pPr>
              <w:pStyle w:val="单元格样式2"/>
            </w:pPr>
            <w:r>
              <w:t xml:space="preserve">唐财建【2024】136号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完成工作需要的资金</w:t>
            </w:r>
          </w:p>
        </w:tc>
        <w:tc>
          <w:tcPr>
            <w:tcW w:w="2891" w:type="dxa"/>
            <w:vAlign w:val="center"/>
          </w:tcPr>
          <w:p>
            <w:pPr>
              <w:pStyle w:val="单元格样式2"/>
            </w:pPr>
            <w:r>
              <w:t xml:space="preserve">完成工作需要的资金</w:t>
            </w:r>
          </w:p>
        </w:tc>
        <w:tc>
          <w:tcPr>
            <w:tcW w:w="1276" w:type="dxa"/>
            <w:vAlign w:val="center"/>
          </w:tcPr>
          <w:p>
            <w:pPr>
              <w:pStyle w:val="单元格样式2"/>
            </w:pPr>
            <w:r>
              <w:t xml:space="preserve">≤32.86万元</w:t>
            </w:r>
          </w:p>
        </w:tc>
        <w:tc>
          <w:tcPr>
            <w:tcW w:w="1843" w:type="dxa"/>
            <w:vAlign w:val="center"/>
          </w:tcPr>
          <w:p>
            <w:pPr>
              <w:pStyle w:val="单元格样式2"/>
            </w:pPr>
            <w:r>
              <w:t xml:space="preserve">唐财建【2024】136号</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投诉下降率</w:t>
            </w:r>
          </w:p>
        </w:tc>
        <w:tc>
          <w:tcPr>
            <w:tcW w:w="2891" w:type="dxa"/>
            <w:vAlign w:val="center"/>
          </w:tcPr>
          <w:p>
            <w:pPr>
              <w:pStyle w:val="单元格样式2"/>
            </w:pPr>
            <w:r>
              <w:t xml:space="preserve">投诉下降率</w:t>
            </w:r>
          </w:p>
        </w:tc>
        <w:tc>
          <w:tcPr>
            <w:tcW w:w="1276" w:type="dxa"/>
            <w:vAlign w:val="center"/>
          </w:tcPr>
          <w:p>
            <w:pPr>
              <w:pStyle w:val="单元格样式2"/>
            </w:pPr>
            <w:r>
              <w:t xml:space="preserve">≥5%</w:t>
            </w:r>
          </w:p>
        </w:tc>
        <w:tc>
          <w:tcPr>
            <w:tcW w:w="1843" w:type="dxa"/>
            <w:vAlign w:val="center"/>
          </w:tcPr>
          <w:p>
            <w:pPr>
              <w:pStyle w:val="单元格样式2"/>
            </w:pPr>
            <w:r>
              <w:t xml:space="preserve">唐财建【2024】136号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受助对象满意度</w:t>
            </w:r>
          </w:p>
        </w:tc>
        <w:tc>
          <w:tcPr>
            <w:tcW w:w="2891" w:type="dxa"/>
            <w:vAlign w:val="center"/>
          </w:tcPr>
          <w:p>
            <w:pPr>
              <w:pStyle w:val="单元格样式2"/>
            </w:pPr>
            <w:r>
              <w:t xml:space="preserve">受助对象满意度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唐财建【2024】136号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6.关于下达增发2023年国债自然灾害应急能力提升工程（应急领域基层防灾工程）省级补助资金预算( 20万)绩效目标表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13020924P00024810001P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关于下达增发2023年国债自然灾害应急能力提升工程（应急领域基层防灾工程）省级补助资金预算( 20万)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关于下达增发2023年国债自然灾害应急能力提升工程（应急领域基层防灾工程）省级补助资金预算( 20万)</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1.关于下达增发2023年国债自然灾害应急能力提升工程（应急领域基层防灾工程）省级补助资金预算( 20万)</w:t>
            </w:r>
          </w:p>
          <w:p>
            <w:pPr>
              <w:pStyle w:val="单元格样式2"/>
            </w:pPr>
            <w:r>
              <w:t xml:space="preserve">2.关于下达增发2023年国债自然灾害应急能力提升工程（应急领域基层防灾工程）省级补助资金预算( 20万)</w:t>
            </w:r>
          </w:p>
          <w:p>
            <w:pPr>
              <w:pStyle w:val="单元格样式2"/>
            </w:pPr>
            <w:r>
              <w:t xml:space="preserve">3.关于下达增发2023年国债自然灾害应急能力提升工程（应急领域基层防灾工程）省级补助资金预算( 20万)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应急物资储备达标</w:t>
            </w:r>
          </w:p>
        </w:tc>
        <w:tc>
          <w:tcPr>
            <w:tcW w:w="2891" w:type="dxa"/>
            <w:vAlign w:val="center"/>
          </w:tcPr>
          <w:p>
            <w:pPr>
              <w:pStyle w:val="单元格样式2"/>
            </w:pPr>
            <w:r>
              <w:t xml:space="preserve">应急物资储备达标</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关于下达增发2023年国债自然灾害应急能力提升工程（应急领域基层防灾工程）省级补助资金预算( 20万)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关于下达增发2023年国债自然灾害应急能力提升工程（应急领域基层防灾工程）省级补助资金预算( 20万)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关于下达增发2023年国债自然灾害应急能力提升工程（应急领域基层防灾工程）省级补助资金预算( 20万)</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群众投诉下降率（%）</w:t>
            </w:r>
          </w:p>
        </w:tc>
        <w:tc>
          <w:tcPr>
            <w:tcW w:w="2891" w:type="dxa"/>
            <w:vAlign w:val="center"/>
          </w:tcPr>
          <w:p>
            <w:pPr>
              <w:pStyle w:val="单元格样式2"/>
            </w:pPr>
            <w:r>
              <w:t xml:space="preserve">群众投诉下降率（%）</w:t>
            </w:r>
          </w:p>
        </w:tc>
        <w:tc>
          <w:tcPr>
            <w:tcW w:w="1276" w:type="dxa"/>
            <w:vAlign w:val="center"/>
          </w:tcPr>
          <w:p>
            <w:pPr>
              <w:pStyle w:val="单元格样式2"/>
            </w:pPr>
            <w:r>
              <w:t xml:space="preserve">≥5%</w:t>
            </w:r>
          </w:p>
        </w:tc>
        <w:tc>
          <w:tcPr>
            <w:tcW w:w="1843" w:type="dxa"/>
            <w:vAlign w:val="center"/>
          </w:tcPr>
          <w:p>
            <w:pPr>
              <w:pStyle w:val="单元格样式2"/>
            </w:pPr>
            <w:r>
              <w:t xml:space="preserve">关于下达增发2023年国债自然灾害应急能力提升工程（应急领域基层防灾工程）省级补助资金预算( 20万)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关于下达增发2023年国债自然灾害应急能力提升工程（应急领域基层防灾工程）省级补助资金预算( 20万)</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7.关于下达增发2023年国债自然灾害应急能力提升工程（应急领域基层防灾工程项目）补助资金预算( 240万)绩效目标表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13020924P00024910001D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关于下达增发2023年国债自然灾害应急能力提升工程（应急领域基层防灾工程项目）补助资金预算( 240万)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29.12</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29.12</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关于下达增发2023年国债自然灾害应急能力提升工程（应急领域基层防灾工程项目）补助资金预算( 240万)</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1.关于下达增发2023年国债自然灾害应急能力提升工程（应急领域基层防灾工程项目）补助资金预算( 240万)</w:t>
            </w:r>
          </w:p>
          <w:p>
            <w:pPr>
              <w:pStyle w:val="单元格样式2"/>
            </w:pPr>
            <w:r>
              <w:t xml:space="preserve">2.关于下达增发2023年国债自然灾害应急能力提升工程（应急领域基层防灾工程项目）补助资金预算( 240万)</w:t>
            </w:r>
          </w:p>
          <w:p>
            <w:pPr>
              <w:pStyle w:val="单元格样式2"/>
            </w:pPr>
            <w:r>
              <w:t xml:space="preserve">3.关于下达增发2023年国债自然灾害应急能力提升工程（应急领域基层防灾工程项目）补助资金预算( 240万)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应急物资储备达标</w:t>
            </w:r>
          </w:p>
        </w:tc>
        <w:tc>
          <w:tcPr>
            <w:tcW w:w="2891" w:type="dxa"/>
            <w:vAlign w:val="center"/>
          </w:tcPr>
          <w:p>
            <w:pPr>
              <w:pStyle w:val="单元格样式2"/>
            </w:pPr>
            <w:r>
              <w:t xml:space="preserve">应急物资储备达标</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关于下达增发2023年国债自然灾害应急能力提升工程（应急领域基层防灾工程项目）补助资金预算( 240万)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关于下达增发2023年国债自然灾害应急能力提升工程（应急领域基层防灾工程项目）补助资金预算( 240万)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关于下达增发2023年国债自然灾害应急能力提升工程（应急领域基层防灾工程项目）补助资金预算( 240万)</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群众投诉下降率（%）</w:t>
            </w:r>
          </w:p>
        </w:tc>
        <w:tc>
          <w:tcPr>
            <w:tcW w:w="2891" w:type="dxa"/>
            <w:vAlign w:val="center"/>
          </w:tcPr>
          <w:p>
            <w:pPr>
              <w:pStyle w:val="单元格样式2"/>
            </w:pPr>
            <w:r>
              <w:t xml:space="preserve">群众投诉下降率（%）</w:t>
            </w:r>
          </w:p>
        </w:tc>
        <w:tc>
          <w:tcPr>
            <w:tcW w:w="1276" w:type="dxa"/>
            <w:vAlign w:val="center"/>
          </w:tcPr>
          <w:p>
            <w:pPr>
              <w:pStyle w:val="单元格样式2"/>
            </w:pPr>
            <w:r>
              <w:t xml:space="preserve">≥5%</w:t>
            </w:r>
          </w:p>
        </w:tc>
        <w:tc>
          <w:tcPr>
            <w:tcW w:w="1843" w:type="dxa"/>
            <w:vAlign w:val="center"/>
          </w:tcPr>
          <w:p>
            <w:pPr>
              <w:pStyle w:val="单元格样式2"/>
            </w:pPr>
            <w:r>
              <w:t xml:space="preserve">关于下达增发2023年国债自然灾害应急能力提升工程（应急领域基层防灾工程项目）补助资金预算( 240万)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≥95%</w:t>
            </w:r>
          </w:p>
        </w:tc>
        <w:tc>
          <w:tcPr>
            <w:tcW w:w="1843" w:type="dxa"/>
            <w:vAlign w:val="center"/>
          </w:tcPr>
          <w:p>
            <w:pPr>
              <w:pStyle w:val="单元格样式2"/>
            </w:pPr>
            <w:r>
              <w:t xml:space="preserve">关于下达增发2023年国债自然灾害应急能力提升工程（应急领域基层防灾工程项目）补助资金预算( 240万)</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8.关于下达增发2023年国债自然灾害应急能力提升工程（应急领域基层防灾工程项目）补助资金预算(4.6776万元)绩效目标表</w:t>
      </w:r>
      <w:bookmarkEnd w:id="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13020925P00082910001U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关于下达增发2023年国债自然灾害应急能力提升工程（应急领域基层防灾工程项目）补助资金预算(4.6776万元)</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下达增发2023年国债自然灾害应急能力提升工程（应急领域基层防灾工程项目）补助资金预算(4.6776万元)</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1.下达增发2023年国债自然灾害应急能力提升工程（应急领域基层防灾工程项目）补助资金预算(4.6776万元)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应急物资储备达标</w:t>
            </w:r>
          </w:p>
        </w:tc>
        <w:tc>
          <w:tcPr>
            <w:tcW w:w="2891" w:type="dxa"/>
            <w:vAlign w:val="center"/>
          </w:tcPr>
          <w:p>
            <w:pPr>
              <w:pStyle w:val="单元格样式2"/>
            </w:pPr>
            <w:r>
              <w:t xml:space="preserve">应急物资储备达标</w:t>
            </w:r>
          </w:p>
        </w:tc>
        <w:tc>
          <w:tcPr>
            <w:tcW w:w="1276" w:type="dxa"/>
            <w:vAlign w:val="center"/>
          </w:tcPr>
          <w:p>
            <w:pPr>
              <w:pStyle w:val="单元格样式2"/>
            </w:pPr>
            <w:r>
              <w:t xml:space="preserve">≥80%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≥85%</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≥75%</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项目总成本</w:t>
            </w:r>
          </w:p>
        </w:tc>
        <w:tc>
          <w:tcPr>
            <w:tcW w:w="1276" w:type="dxa"/>
            <w:vAlign w:val="center"/>
          </w:tcPr>
          <w:p>
            <w:pPr>
              <w:pStyle w:val="单元格样式2"/>
            </w:pPr>
            <w:r>
              <w:t xml:space="preserve">≤4.67万元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≥80%</w:t>
            </w:r>
          </w:p>
        </w:tc>
        <w:tc>
          <w:tcPr>
            <w:tcW w:w="1843" w:type="dxa"/>
            <w:vAlign w:val="center"/>
          </w:tcPr>
          <w:p>
            <w:pPr>
              <w:pStyle w:val="单元格样式2"/>
            </w:pPr>
            <w:r>
              <w:t xml:space="preserve">年初工作计划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≥85%</w:t>
            </w:r>
          </w:p>
        </w:tc>
        <w:tc>
          <w:tcPr>
            <w:tcW w:w="1843" w:type="dxa"/>
            <w:vAlign w:val="center"/>
          </w:tcPr>
          <w:p>
            <w:pPr>
              <w:pStyle w:val="单元格样式2"/>
            </w:pPr>
            <w:r>
              <w:t xml:space="preserve">年初工作计划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9.农场消防站专项绩效目标表</w:t>
      </w:r>
      <w:bookmarkEnd w:id="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13020925P00072810001E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农场消防站专项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405.27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405.27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农场消防站专项用于农场消防站工作正常运转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1.目标内容1农场消防站工作正常运转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工作完成时限</w:t>
            </w:r>
          </w:p>
        </w:tc>
        <w:tc>
          <w:tcPr>
            <w:tcW w:w="2891" w:type="dxa"/>
            <w:vAlign w:val="center"/>
          </w:tcPr>
          <w:p>
            <w:pPr>
              <w:pStyle w:val="单元格样式2"/>
            </w:pPr>
            <w:r>
              <w:t xml:space="preserve">工作完成时限</w:t>
            </w:r>
          </w:p>
        </w:tc>
        <w:tc>
          <w:tcPr>
            <w:tcW w:w="1276" w:type="dxa"/>
            <w:vAlign w:val="center"/>
          </w:tcPr>
          <w:p>
            <w:pPr>
              <w:pStyle w:val="单元格样式2"/>
            </w:pPr>
            <w:r>
              <w:t xml:space="preserve">≤1年</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≤405.27万元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≥75%</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10.区级应急预案修订费用绩效目标表</w:t>
      </w:r>
      <w:bookmarkEnd w:id="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13020925P00072710001Q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区级应急预案修订费用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用于修订区级应急预案</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1.目标内容1保障区级应急预案成功修订</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资金保障率</w:t>
            </w:r>
          </w:p>
        </w:tc>
        <w:tc>
          <w:tcPr>
            <w:tcW w:w="2891" w:type="dxa"/>
            <w:vAlign w:val="center"/>
          </w:tcPr>
          <w:p>
            <w:pPr>
              <w:pStyle w:val="单元格样式2"/>
            </w:pPr>
            <w:r>
              <w:t xml:space="preserve">资金保障率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≥75%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vAlign w:val="center"/>
          </w:tcPr>
          <w:p>
            <w:pPr>
              <w:pStyle w:val="单元格样式2"/>
            </w:pPr>
            <w:r>
              <w:t xml:space="preserve">任务完成及时率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项目总成本</w:t>
            </w:r>
          </w:p>
        </w:tc>
        <w:tc>
          <w:tcPr>
            <w:tcW w:w="2891" w:type="dxa"/>
            <w:vAlign w:val="center"/>
          </w:tcPr>
          <w:p>
            <w:pPr>
              <w:pStyle w:val="单元格样式2"/>
            </w:pPr>
            <w:r>
              <w:t xml:space="preserve">项目总预算控制额</w:t>
            </w:r>
          </w:p>
        </w:tc>
        <w:tc>
          <w:tcPr>
            <w:tcW w:w="1276" w:type="dxa"/>
            <w:vAlign w:val="center"/>
          </w:tcPr>
          <w:p>
            <w:pPr>
              <w:pStyle w:val="单元格样式2"/>
            </w:pPr>
            <w:r>
              <w:t xml:space="preserve">≤70万元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11.全区消防救援能力现代化建设（2025年民生实事工程）（2780万元）绩效目标表</w:t>
      </w:r>
      <w:bookmarkEnd w:id="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13020925P000828100016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全区消防救援能力现代化建设（2025年民生实事工程）（2780万元）</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提升全区消防救援能力现代化建设能力</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1.全区消防救援能力现代化建设（2025年民生实事工程）（2780万元）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工作完成时限</w:t>
            </w:r>
          </w:p>
        </w:tc>
        <w:tc>
          <w:tcPr>
            <w:tcW w:w="2891" w:type="dxa"/>
            <w:vAlign w:val="center"/>
          </w:tcPr>
          <w:p>
            <w:pPr>
              <w:pStyle w:val="单元格样式2"/>
            </w:pPr>
            <w:r>
              <w:t xml:space="preserve">工作完成时限</w:t>
            </w:r>
          </w:p>
        </w:tc>
        <w:tc>
          <w:tcPr>
            <w:tcW w:w="1276" w:type="dxa"/>
            <w:vAlign w:val="center"/>
          </w:tcPr>
          <w:p>
            <w:pPr>
              <w:pStyle w:val="单元格样式2"/>
            </w:pPr>
            <w:r>
              <w:t xml:space="preserve">≤1年</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≤2780万元</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12.全区消防救援能力现代化建设（2025年民生实事工程）（340万元）绩效目标表</w:t>
      </w:r>
      <w:bookmarkEnd w:id="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13020925P00082710001G</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全区消防救援能力现代化建设（2025年民生实事工程）（340万元）</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提升全区消防救援能力现代化建设能力</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1.提升全区消防救援能力现代化建设能力</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工作完成时限</w:t>
            </w:r>
          </w:p>
        </w:tc>
        <w:tc>
          <w:tcPr>
            <w:tcW w:w="2891" w:type="dxa"/>
            <w:vAlign w:val="center"/>
          </w:tcPr>
          <w:p>
            <w:pPr>
              <w:pStyle w:val="单元格样式2"/>
            </w:pPr>
            <w:r>
              <w:t xml:space="preserve">工作完成时限</w:t>
            </w:r>
          </w:p>
        </w:tc>
        <w:tc>
          <w:tcPr>
            <w:tcW w:w="1276" w:type="dxa"/>
            <w:vAlign w:val="center"/>
          </w:tcPr>
          <w:p>
            <w:pPr>
              <w:pStyle w:val="单元格样式2"/>
            </w:pPr>
            <w:r>
              <w:t xml:space="preserve">≤1年</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≤340万元</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13.下达增发2023年国债自然灾害应急能力提升工程（应急领域）补助资金预算绩效目标表</w:t>
      </w:r>
      <w:bookmarkEnd w:id="1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13020924P00024510002A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下达增发2023年国债自然灾害应急能力提升工程（应急领域）补助资金预算</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0.57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0.57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下达增发2023年国债自然灾害应急能力提升工程（应急领域）补助资金预算</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1.下达增发2023年国债自然灾害应急能力提升工程（应急领域）补助资金预算</w:t>
            </w:r>
          </w:p>
          <w:p>
            <w:pPr>
              <w:pStyle w:val="单元格样式2"/>
            </w:pPr>
            <w:r>
              <w:t xml:space="preserve">2.下达增发2023年国债自然灾害应急能力提升工程（应急领域）补助资金预算</w:t>
            </w:r>
          </w:p>
          <w:p>
            <w:pPr>
              <w:pStyle w:val="单元格样式2"/>
            </w:pPr>
            <w:r>
              <w:t xml:space="preserve">3.下达增发2023年国债自然灾害应急能力提升工程（应急领域）补助资金预算</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自然灾害应急能力达标</w:t>
            </w:r>
          </w:p>
        </w:tc>
        <w:tc>
          <w:tcPr>
            <w:tcW w:w="2891" w:type="dxa"/>
            <w:vAlign w:val="center"/>
          </w:tcPr>
          <w:p>
            <w:pPr>
              <w:pStyle w:val="单元格样式2"/>
            </w:pPr>
            <w:r>
              <w:t xml:space="preserve">自然灾害应急能力达标</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下达增发2023年国债自然灾害应急能力提升工程（应急领域）补助资金预算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下达增发2023年国债自然灾害应急能力提升工程（应急领域）补助资金预算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下达增发2023年国债自然灾害应急能力提升工程（应急领域）补助资金预算</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群众投诉下降率（%）</w:t>
            </w:r>
          </w:p>
        </w:tc>
        <w:tc>
          <w:tcPr>
            <w:tcW w:w="2891" w:type="dxa"/>
            <w:vAlign w:val="center"/>
          </w:tcPr>
          <w:p>
            <w:pPr>
              <w:pStyle w:val="单元格样式2"/>
            </w:pPr>
            <w:r>
              <w:t xml:space="preserve">群众投诉下降率（%）</w:t>
            </w:r>
          </w:p>
        </w:tc>
        <w:tc>
          <w:tcPr>
            <w:tcW w:w="1276" w:type="dxa"/>
            <w:vAlign w:val="center"/>
          </w:tcPr>
          <w:p>
            <w:pPr>
              <w:pStyle w:val="单元格样式2"/>
            </w:pPr>
            <w:r>
              <w:t xml:space="preserve">≥5%</w:t>
            </w:r>
          </w:p>
        </w:tc>
        <w:tc>
          <w:tcPr>
            <w:tcW w:w="1843" w:type="dxa"/>
            <w:vAlign w:val="center"/>
          </w:tcPr>
          <w:p>
            <w:pPr>
              <w:pStyle w:val="单元格样式2"/>
            </w:pPr>
            <w:r>
              <w:t xml:space="preserve">下达增发2023年国债自然灾害应急能力提升工程（应急领域）补助资金预算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群众满意度</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下达增发2023年国债自然灾害应急能力提升工程（应急领域）补助资金预算</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14.下达增发2023年国债自然灾害应急能力提升工程（应急领域）补助资金预算（0.098万元）绩效目标表</w:t>
      </w:r>
      <w:bookmarkEnd w:id="1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13020925P000830100010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下达增发2023年国债自然灾害应急能力提升工程（应急领域）补助资金预算（0.098万元）</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0.10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0.10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下达增发2023年国债自然灾害应急能力提升工程（应急领域）补助资金预算（0.098万元）</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1.下达增发2023年国债自然灾害应急能力提升工程（应急领域）补助资金预算（0.098万元）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应急物资储备达标</w:t>
            </w:r>
          </w:p>
        </w:tc>
        <w:tc>
          <w:tcPr>
            <w:tcW w:w="2891" w:type="dxa"/>
            <w:vAlign w:val="center"/>
          </w:tcPr>
          <w:p>
            <w:pPr>
              <w:pStyle w:val="单元格样式2"/>
            </w:pPr>
            <w:r>
              <w:t xml:space="preserve">应急物资储备达标</w:t>
            </w:r>
          </w:p>
        </w:tc>
        <w:tc>
          <w:tcPr>
            <w:tcW w:w="1276" w:type="dxa"/>
            <w:vAlign w:val="center"/>
          </w:tcPr>
          <w:p>
            <w:pPr>
              <w:pStyle w:val="单元格样式2"/>
            </w:pPr>
            <w:r>
              <w:t xml:space="preserve">≥80%</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≥85%</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≥75%</w:t>
            </w:r>
          </w:p>
        </w:tc>
        <w:tc>
          <w:tcPr>
            <w:tcW w:w="1843" w:type="dxa"/>
            <w:vAlign w:val="center"/>
          </w:tcPr>
          <w:p>
            <w:pPr>
              <w:pStyle w:val="单元格样式2"/>
            </w:pPr>
            <w:r>
              <w:t xml:space="preserve">年初工作计划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vAlign w:val="center"/>
          </w:tcPr>
          <w:p>
            <w:pPr>
              <w:pStyle w:val="单元格样式2"/>
            </w:pPr>
            <w:r>
              <w:t xml:space="preserve">项目成本</w:t>
            </w:r>
          </w:p>
        </w:tc>
        <w:tc>
          <w:tcPr>
            <w:tcW w:w="1276" w:type="dxa"/>
            <w:vAlign w:val="center"/>
          </w:tcPr>
          <w:p>
            <w:pPr>
              <w:pStyle w:val="单元格样式2"/>
            </w:pPr>
            <w:r>
              <w:t xml:space="preserve">≤0.09万元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≥80%</w:t>
            </w:r>
          </w:p>
        </w:tc>
        <w:tc>
          <w:tcPr>
            <w:tcW w:w="1843" w:type="dxa"/>
            <w:vAlign w:val="center"/>
          </w:tcPr>
          <w:p>
            <w:pPr>
              <w:pStyle w:val="单元格样式2"/>
            </w:pPr>
            <w:r>
              <w:t xml:space="preserve">年初工作计划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≥85%</w:t>
            </w:r>
          </w:p>
        </w:tc>
        <w:tc>
          <w:tcPr>
            <w:tcW w:w="1843" w:type="dxa"/>
            <w:vAlign w:val="center"/>
          </w:tcPr>
          <w:p>
            <w:pPr>
              <w:pStyle w:val="单元格样式2"/>
            </w:pPr>
            <w:r>
              <w:t xml:space="preserve">年初工作计划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15.下达增发2023年国债自然灾害应急能力提升工程（应急领域）省级补助资金预算（0.43万元）绩效目标表</w:t>
      </w:r>
      <w:bookmarkEnd w:id="1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13020924P00030410001U</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下达增发2023年国债自然灾害应急能力提升工程（应急领域）省级补助资金预算（0.43万元）</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0.04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0.04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下达增发2023年国债自然灾害应急能力提升工程（应急领域)省级补助资金预算（0.43万元）</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1.下达增发2023年国债自然灾害应急能力提升工程（应急领域)省级补助资金预算（0.43万元）</w:t>
            </w:r>
          </w:p>
          <w:p>
            <w:pPr>
              <w:pStyle w:val="单元格样式2"/>
            </w:pPr>
            <w:r>
              <w:t xml:space="preserve">2.下达增发2023年国债自然灾害应急能力提升工程（应急领域)省级补助资金预算（0.43万元）</w:t>
            </w:r>
          </w:p>
          <w:p>
            <w:pPr>
              <w:pStyle w:val="单元格样式2"/>
            </w:pPr>
            <w:r>
              <w:t xml:space="preserve">3.下达增发2023年国债自然灾害应急能力提升工程（应急领域)省级补助资金预算（0.43万元）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应急物资储备达标</w:t>
            </w:r>
          </w:p>
        </w:tc>
        <w:tc>
          <w:tcPr>
            <w:tcW w:w="2891" w:type="dxa"/>
            <w:vAlign w:val="center"/>
          </w:tcPr>
          <w:p>
            <w:pPr>
              <w:pStyle w:val="单元格样式2"/>
            </w:pPr>
            <w:r>
              <w:t xml:space="preserve">应急物资储备达标</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下达增发2023年国债自然灾害应急能力提升工程（应急领域)省级补助资金预算（0.43万元）</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下达增发2023年国债自然灾害应急能力提升工程（应急领域)省级补助资金预算（0.43万元）</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保障工作时效性</w:t>
            </w:r>
          </w:p>
        </w:tc>
        <w:tc>
          <w:tcPr>
            <w:tcW w:w="2891" w:type="dxa"/>
            <w:vAlign w:val="center"/>
          </w:tcPr>
          <w:p>
            <w:pPr>
              <w:pStyle w:val="单元格样式2"/>
            </w:pPr>
            <w:r>
              <w:t xml:space="preserve">保障工作时效性</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下达增发2023年国债自然灾害应急能力提升工程（应急领域)省级补助资金预算（0.43万元）</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群众投诉下降率（%）</w:t>
            </w:r>
          </w:p>
        </w:tc>
        <w:tc>
          <w:tcPr>
            <w:tcW w:w="2891" w:type="dxa"/>
            <w:vAlign w:val="center"/>
          </w:tcPr>
          <w:p>
            <w:pPr>
              <w:pStyle w:val="单元格样式2"/>
            </w:pPr>
            <w:r>
              <w:t xml:space="preserve">群众投诉下降率（%）</w:t>
            </w:r>
          </w:p>
        </w:tc>
        <w:tc>
          <w:tcPr>
            <w:tcW w:w="1276" w:type="dxa"/>
            <w:vAlign w:val="center"/>
          </w:tcPr>
          <w:p>
            <w:pPr>
              <w:pStyle w:val="单元格样式2"/>
            </w:pPr>
            <w:r>
              <w:t xml:space="preserve">≤5%</w:t>
            </w:r>
          </w:p>
        </w:tc>
        <w:tc>
          <w:tcPr>
            <w:tcW w:w="1843" w:type="dxa"/>
            <w:vAlign w:val="center"/>
          </w:tcPr>
          <w:p>
            <w:pPr>
              <w:pStyle w:val="单元格样式2"/>
            </w:pPr>
            <w:r>
              <w:t xml:space="preserve">下达增发2023年国债自然灾害应急能力提升工程（应急领域)省级补助资金预算（0.43万元）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下达增发2023年国债自然灾害应急能力提升工程（应急领域)省级补助资金预算（0.43万元）</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16.应急管理专项绩效目标表</w:t>
      </w:r>
      <w:bookmarkEnd w:id="1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13020925P000729100014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应急管理专项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应急管理专项用于保障应急工作正常运转</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1.目标内容1保障应急工作正常运转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资金支付率</w:t>
            </w:r>
          </w:p>
        </w:tc>
        <w:tc>
          <w:tcPr>
            <w:tcW w:w="2891" w:type="dxa"/>
            <w:vAlign w:val="center"/>
          </w:tcPr>
          <w:p>
            <w:pPr>
              <w:pStyle w:val="单元格样式2"/>
            </w:pPr>
            <w:r>
              <w:t xml:space="preserve">资金支付率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财政拨款保障率</w:t>
            </w:r>
          </w:p>
        </w:tc>
        <w:tc>
          <w:tcPr>
            <w:tcW w:w="2891" w:type="dxa"/>
            <w:vAlign w:val="center"/>
          </w:tcPr>
          <w:p>
            <w:pPr>
              <w:pStyle w:val="单元格样式2"/>
            </w:pPr>
            <w:r>
              <w:t xml:space="preserve">财政拨款保障率</w:t>
            </w:r>
          </w:p>
        </w:tc>
        <w:tc>
          <w:tcPr>
            <w:tcW w:w="1276" w:type="dxa"/>
            <w:vAlign w:val="center"/>
          </w:tcPr>
          <w:p>
            <w:pPr>
              <w:pStyle w:val="单元格样式2"/>
            </w:pPr>
            <w:r>
              <w:t xml:space="preserve">≥95%</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完成工作任务及时性</w:t>
            </w:r>
          </w:p>
        </w:tc>
        <w:tc>
          <w:tcPr>
            <w:tcW w:w="2891" w:type="dxa"/>
            <w:vAlign w:val="center"/>
          </w:tcPr>
          <w:p>
            <w:pPr>
              <w:pStyle w:val="单元格样式2"/>
            </w:pPr>
            <w:r>
              <w:t xml:space="preserve">完成工作任务及时性</w:t>
            </w:r>
          </w:p>
        </w:tc>
        <w:tc>
          <w:tcPr>
            <w:tcW w:w="1276" w:type="dxa"/>
            <w:vAlign w:val="center"/>
          </w:tcPr>
          <w:p>
            <w:pPr>
              <w:pStyle w:val="单元格样式2"/>
            </w:pPr>
            <w:r>
              <w:t xml:space="preserve">≥70%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≤320万元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vAlign w:val="center"/>
          </w:tcPr>
          <w:p>
            <w:pPr>
              <w:pStyle w:val="单元格样式2"/>
            </w:pPr>
            <w:r>
              <w:t xml:space="preserve">社会影响力</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17.专家查隐患全覆盖绩效目标表</w:t>
      </w:r>
      <w:bookmarkEnd w:id="1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426001唐山市曹妃甸区应急管理局本级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13020925P00072510001D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专家查隐患全覆盖</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用于保障专家查隐患全覆盖项目正常进行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1.目标内容1专家查隐患全覆盖项目正常进行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专款专用率</w:t>
            </w:r>
          </w:p>
        </w:tc>
        <w:tc>
          <w:tcPr>
            <w:tcW w:w="2891" w:type="dxa"/>
            <w:vAlign w:val="center"/>
          </w:tcPr>
          <w:p>
            <w:pPr>
              <w:pStyle w:val="单元格样式2"/>
            </w:pPr>
            <w:r>
              <w:t xml:space="preserve">专款专用率</w:t>
            </w:r>
          </w:p>
        </w:tc>
        <w:tc>
          <w:tcPr>
            <w:tcW w:w="1276" w:type="dxa"/>
            <w:vAlign w:val="center"/>
          </w:tcPr>
          <w:p>
            <w:pPr>
              <w:pStyle w:val="单元格样式2"/>
            </w:pPr>
            <w:r>
              <w:t xml:space="preserve">≥80%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tc>
        <w:tc>
          <w:tcPr>
            <w:tcW w:w="2891" w:type="dxa"/>
            <w:vAlign w:val="center"/>
          </w:tcPr>
          <w:p>
            <w:pPr>
              <w:pStyle w:val="单元格样式2"/>
            </w:pPr>
            <w:r>
              <w:t xml:space="preserve">资金到位率</w:t>
            </w:r>
          </w:p>
        </w:tc>
        <w:tc>
          <w:tcPr>
            <w:tcW w:w="1276" w:type="dxa"/>
            <w:vAlign w:val="center"/>
          </w:tcPr>
          <w:p>
            <w:pPr>
              <w:pStyle w:val="单元格样式2"/>
            </w:pPr>
            <w:r>
              <w:t xml:space="preserve">≥90%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vAlign w:val="center"/>
          </w:tcPr>
          <w:p>
            <w:pPr>
              <w:pStyle w:val="单元格样式2"/>
            </w:pPr>
            <w:r>
              <w:t xml:space="preserve">任务完成及时率</w:t>
            </w:r>
          </w:p>
        </w:tc>
        <w:tc>
          <w:tcPr>
            <w:tcW w:w="1276" w:type="dxa"/>
            <w:vAlign w:val="center"/>
          </w:tcPr>
          <w:p>
            <w:pPr>
              <w:pStyle w:val="单元格样式2"/>
            </w:pPr>
            <w:r>
              <w:t xml:space="preserve">≥70%</w:t>
            </w:r>
          </w:p>
        </w:tc>
        <w:tc>
          <w:tcPr>
            <w:tcW w:w="1843" w:type="dxa"/>
            <w:vAlign w:val="center"/>
          </w:tcPr>
          <w:p>
            <w:pPr>
              <w:pStyle w:val="单元格样式2"/>
            </w:pPr>
            <w:r>
              <w:t xml:space="preserve">年度工作计划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≤420万元</w:t>
            </w:r>
          </w:p>
        </w:tc>
        <w:tc>
          <w:tcPr>
            <w:tcW w:w="1843" w:type="dxa"/>
            <w:vAlign w:val="center"/>
          </w:tcPr>
          <w:p>
            <w:pPr>
              <w:pStyle w:val="单元格样式2"/>
            </w:pPr>
            <w:r>
              <w:t xml:space="preserve">年初预算安排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保障机关单位正常运转</w:t>
            </w:r>
          </w:p>
        </w:tc>
        <w:tc>
          <w:tcPr>
            <w:tcW w:w="2891" w:type="dxa"/>
            <w:vAlign w:val="center"/>
          </w:tcPr>
          <w:p>
            <w:pPr>
              <w:pStyle w:val="单元格样式2"/>
            </w:pPr>
            <w:r>
              <w:t xml:space="preserve">保障机关单位正常运转</w:t>
            </w:r>
          </w:p>
        </w:tc>
        <w:tc>
          <w:tcPr>
            <w:tcW w:w="1276" w:type="dxa"/>
            <w:vAlign w:val="center"/>
          </w:tcPr>
          <w:p>
            <w:pPr>
              <w:pStyle w:val="单元格样式2"/>
            </w:pPr>
            <w:r>
              <w:t xml:space="preserve">≥85%</w:t>
            </w:r>
          </w:p>
        </w:tc>
        <w:tc>
          <w:tcPr>
            <w:tcW w:w="1843" w:type="dxa"/>
            <w:vAlign w:val="center"/>
          </w:tcPr>
          <w:p>
            <w:pPr>
              <w:pStyle w:val="单元格样式2"/>
            </w:pPr>
            <w:r>
              <w:t xml:space="preserve">年度工作计划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满意调查度</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2025-02-24T10:51:52Z</dcterms:created>
  <dcterms:modified xsi:type="dcterms:W3CDTF">2025-02-24T10:51:52Z</dcterms:modified>
</cp:coreProperties>
</file>