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643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3360;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438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438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drawing>
          <wp:inline distT="0" distB="0" distL="114300" distR="114300">
            <wp:extent cx="5866765" cy="7823200"/>
            <wp:effectExtent l="0" t="0" r="635" b="6350"/>
            <wp:docPr id="16" name="图片 16" descr="e9ce5a8eeb6da8cd557b9dc2b37f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9ce5a8eeb6da8cd557b9dc2b37f834"/>
                    <pic:cNvPicPr>
                      <a:picLocks noChangeAspect="1"/>
                    </pic:cNvPicPr>
                  </pic:nvPicPr>
                  <pic:blipFill>
                    <a:blip r:embed="rId16"/>
                    <a:stretch>
                      <a:fillRect/>
                    </a:stretch>
                  </pic:blipFill>
                  <pic:spPr>
                    <a:xfrm>
                      <a:off x="0" y="0"/>
                      <a:ext cx="5866765" cy="7823200"/>
                    </a:xfrm>
                    <a:prstGeom prst="rect">
                      <a:avLst/>
                    </a:prstGeom>
                  </pic:spPr>
                </pic:pic>
              </a:graphicData>
            </a:graphic>
          </wp:inline>
        </w:drawing>
      </w:r>
      <w:r>
        <w:rPr>
          <w:rFonts w:hint="eastAsia" w:ascii="黑体" w:hAnsi="Times New Roman" w:eastAsia="黑体" w:cs="Times New Roman"/>
          <w:sz w:val="48"/>
          <w:szCs w:val="48"/>
          <w:lang w:eastAsia="zh-CN"/>
        </w:rPr>
        <w:tab/>
      </w:r>
    </w:p>
    <w:p>
      <w:pPr>
        <w:pageBreakBefore w:val="0"/>
        <w:widowControl/>
        <w:kinsoku/>
        <w:wordWrap/>
        <w:overflowPunct/>
        <w:topLinePunct w:val="0"/>
        <w:autoSpaceDE/>
        <w:autoSpaceDN/>
        <w:bidi w:val="0"/>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rPr>
          <w:rFonts w:hint="eastAsia" w:ascii="黑体" w:hAnsi="Times New Roman" w:eastAsia="黑体" w:cs="Times New Roman"/>
          <w:sz w:val="48"/>
          <w:szCs w:val="48"/>
        </w:rPr>
      </w:pP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17"/>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560" w:firstLineChars="200"/>
        <w:jc w:val="left"/>
        <w:rPr>
          <w:rFonts w:ascii="宋体-方正超大字符集" w:hAnsi="宋体-方正超大字符集" w:eastAsia="宋体-方正超大字符集" w:cs="宋体-方正超大字符集"/>
          <w:bCs/>
          <w:sz w:val="28"/>
          <w:szCs w:val="28"/>
        </w:rPr>
      </w:pPr>
      <w:r>
        <w:rPr>
          <w:rFonts w:hint="eastAsia" w:ascii="宋体-方正超大字符集" w:hAnsi="宋体-方正超大字符集" w:eastAsia="宋体-方正超大字符集" w:cs="宋体-方正超大字符集"/>
          <w:bCs/>
          <w:sz w:val="28"/>
          <w:szCs w:val="28"/>
        </w:rPr>
        <w:t>贯彻国家、省、市关于建设、城市管理、房地产管理的方针、政策和法律、法规，拟定全区城市基础设施建设、工程建设、村镇建设、建筑业、房地产开发、城市管理、房地产管理等有关政策、实施细则草案并进行行业管理。制定工程建设市场方面的各项规划措施，负责全区工程建设管理工作以及重大项目建设的监督管理工作。负责制定市政、环卫、园林绿化、环境美化、供水、供暖、燃气、污水处理等发展规划和年度计划，并组织实施。组织起草曹妃甸区住房制度改革的实施草案及相关配套政策，拟定住房建设和发展的中长期规划；负责全区</w:t>
      </w:r>
      <w:r>
        <w:rPr>
          <w:rFonts w:ascii="宋体-方正超大字符集" w:hAnsi="宋体-方正超大字符集" w:eastAsia="宋体-方正超大字符集" w:cs="宋体-方正超大字符集"/>
          <w:bCs/>
          <w:sz w:val="28"/>
          <w:szCs w:val="28"/>
        </w:rPr>
        <w:t xml:space="preserve"> </w:t>
      </w:r>
      <w:r>
        <w:rPr>
          <w:rFonts w:hint="eastAsia" w:ascii="宋体-方正超大字符集" w:hAnsi="宋体-方正超大字符集" w:eastAsia="宋体-方正超大字符集" w:cs="宋体-方正超大字符集"/>
          <w:bCs/>
          <w:sz w:val="28"/>
          <w:szCs w:val="28"/>
        </w:rPr>
        <w:t>住房解危、解困，保障性住房建设工作的年度规划、协调、安置及管理。</w:t>
      </w:r>
    </w:p>
    <w:p>
      <w:pPr>
        <w:keepNext/>
        <w:keepLines/>
        <w:spacing w:line="580" w:lineRule="exact"/>
        <w:ind w:firstLine="640" w:firstLineChars="200"/>
        <w:jc w:val="left"/>
        <w:outlineLvl w:val="0"/>
        <w:rPr>
          <w:rFonts w:hint="eastAsia"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985" w:type="dxa"/>
          </w:tcPr>
          <w:p>
            <w:pPr>
              <w:spacing w:after="0"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after="0" w:line="560" w:lineRule="exact"/>
              <w:rPr>
                <w:rFonts w:hint="eastAsia" w:ascii="仿宋_GB2312" w:hAnsi="Calibri" w:eastAsia="仿宋_GB2312" w:cs="ArialUnicodeMS"/>
                <w:kern w:val="0"/>
                <w:sz w:val="28"/>
                <w:szCs w:val="28"/>
              </w:rPr>
            </w:pPr>
            <w:r>
              <w:rPr>
                <w:rFonts w:hint="eastAsia" w:ascii="仿宋_GB2312" w:hAnsi="Cambria" w:eastAsia="仿宋_GB2312" w:cs="ArialUnicodeMS"/>
                <w:kern w:val="0"/>
                <w:sz w:val="28"/>
                <w:szCs w:val="28"/>
              </w:rPr>
              <w:t>唐山市曹妃甸区住房和城乡建设局</w:t>
            </w:r>
            <w:r>
              <w:rPr>
                <w:rFonts w:ascii="仿宋_GB2312" w:hAnsi="Cambria" w:eastAsia="仿宋_GB2312" w:cs="ArialUnicodeMS"/>
                <w:kern w:val="0"/>
                <w:sz w:val="28"/>
                <w:szCs w:val="28"/>
              </w:rPr>
              <w:t xml:space="preserve"> (</w:t>
            </w:r>
            <w:r>
              <w:rPr>
                <w:rFonts w:hint="eastAsia" w:ascii="仿宋_GB2312" w:hAnsi="Cambria" w:eastAsia="仿宋_GB2312" w:cs="ArialUnicodeMS"/>
                <w:kern w:val="0"/>
                <w:sz w:val="28"/>
                <w:szCs w:val="28"/>
              </w:rPr>
              <w:t>本级</w:t>
            </w:r>
            <w:r>
              <w:rPr>
                <w:rFonts w:ascii="仿宋_GB2312" w:hAnsi="Cambria" w:eastAsia="仿宋_GB2312" w:cs="ArialUnicodeMS"/>
                <w:kern w:val="0"/>
                <w:sz w:val="28"/>
                <w:szCs w:val="28"/>
              </w:rPr>
              <w:t>)</w:t>
            </w:r>
          </w:p>
        </w:tc>
        <w:tc>
          <w:tcPr>
            <w:tcW w:w="2445" w:type="dxa"/>
          </w:tcPr>
          <w:p>
            <w:pPr>
              <w:spacing w:after="0" w:line="560" w:lineRule="exact"/>
              <w:jc w:val="center"/>
              <w:rPr>
                <w:rFonts w:hint="eastAsia" w:ascii="仿宋_GB2312" w:hAnsi="Calibri" w:eastAsia="仿宋_GB2312" w:cs="ArialUnicodeMS"/>
                <w:kern w:val="0"/>
                <w:sz w:val="28"/>
                <w:szCs w:val="28"/>
              </w:rPr>
            </w:pPr>
            <w:r>
              <w:rPr>
                <w:rFonts w:hint="eastAsia" w:ascii="仿宋_GB2312" w:hAnsi="Cambria" w:eastAsia="仿宋_GB2312" w:cs="ArialUnicodeMS"/>
                <w:kern w:val="0"/>
                <w:sz w:val="28"/>
                <w:szCs w:val="28"/>
              </w:rPr>
              <w:t>行政单位</w:t>
            </w:r>
          </w:p>
        </w:tc>
        <w:tc>
          <w:tcPr>
            <w:tcW w:w="2665" w:type="dxa"/>
          </w:tcPr>
          <w:p>
            <w:pPr>
              <w:spacing w:after="0" w:line="560" w:lineRule="exact"/>
              <w:jc w:val="center"/>
              <w:rPr>
                <w:rFonts w:hint="eastAsia" w:ascii="仿宋_GB2312" w:hAnsi="Calibri" w:eastAsia="仿宋_GB2312" w:cs="ArialUnicodeMS"/>
                <w:kern w:val="0"/>
                <w:sz w:val="28"/>
                <w:szCs w:val="28"/>
              </w:rPr>
            </w:pPr>
            <w:r>
              <w:rPr>
                <w:rFonts w:hint="eastAsia" w:ascii="仿宋_GB2312" w:hAnsi="Cambria"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libri" w:eastAsia="仿宋_GB2312" w:cs="ArialUnicodeMS"/>
                <w:kern w:val="0"/>
                <w:sz w:val="28"/>
                <w:szCs w:val="28"/>
              </w:rPr>
            </w:pPr>
          </w:p>
        </w:tc>
        <w:tc>
          <w:tcPr>
            <w:tcW w:w="3485" w:type="dxa"/>
          </w:tcPr>
          <w:p>
            <w:pPr>
              <w:spacing w:after="0" w:line="560" w:lineRule="exact"/>
              <w:rPr>
                <w:rFonts w:hint="eastAsia" w:ascii="仿宋_GB2312" w:hAnsi="Calibri" w:eastAsia="仿宋_GB2312" w:cs="ArialUnicodeMS"/>
                <w:kern w:val="0"/>
                <w:sz w:val="28"/>
                <w:szCs w:val="28"/>
              </w:rPr>
            </w:pPr>
          </w:p>
        </w:tc>
        <w:tc>
          <w:tcPr>
            <w:tcW w:w="2445" w:type="dxa"/>
          </w:tcPr>
          <w:p>
            <w:pPr>
              <w:spacing w:after="0" w:line="560" w:lineRule="exact"/>
              <w:jc w:val="center"/>
              <w:rPr>
                <w:rFonts w:hint="eastAsia" w:ascii="仿宋_GB2312" w:hAnsi="Calibri" w:eastAsia="仿宋_GB2312" w:cs="ArialUnicodeMS"/>
                <w:kern w:val="0"/>
                <w:sz w:val="28"/>
                <w:szCs w:val="28"/>
              </w:rPr>
            </w:pPr>
          </w:p>
        </w:tc>
        <w:tc>
          <w:tcPr>
            <w:tcW w:w="2665" w:type="dxa"/>
          </w:tcPr>
          <w:p>
            <w:pPr>
              <w:spacing w:after="0" w:line="560" w:lineRule="exact"/>
              <w:jc w:val="center"/>
              <w:rPr>
                <w:rFonts w:hint="eastAsia"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hAnsi="Calibri" w:eastAsia="仿宋_GB2312" w:cs="ArialUnicodeMS"/>
                <w:kern w:val="0"/>
                <w:sz w:val="28"/>
                <w:szCs w:val="28"/>
              </w:rPr>
            </w:pPr>
          </w:p>
        </w:tc>
        <w:tc>
          <w:tcPr>
            <w:tcW w:w="3485" w:type="dxa"/>
          </w:tcPr>
          <w:p>
            <w:pPr>
              <w:spacing w:after="0" w:line="560" w:lineRule="exact"/>
              <w:rPr>
                <w:rFonts w:hint="eastAsia" w:ascii="仿宋_GB2312" w:hAnsi="Calibri" w:eastAsia="仿宋_GB2312" w:cs="ArialUnicodeMS"/>
                <w:kern w:val="0"/>
                <w:sz w:val="28"/>
                <w:szCs w:val="28"/>
              </w:rPr>
            </w:pPr>
          </w:p>
        </w:tc>
        <w:tc>
          <w:tcPr>
            <w:tcW w:w="2445" w:type="dxa"/>
          </w:tcPr>
          <w:p>
            <w:pPr>
              <w:spacing w:after="0" w:line="560" w:lineRule="exact"/>
              <w:jc w:val="center"/>
              <w:rPr>
                <w:rFonts w:hint="eastAsia" w:ascii="仿宋_GB2312" w:hAnsi="Calibri" w:eastAsia="仿宋_GB2312" w:cs="ArialUnicodeMS"/>
                <w:kern w:val="0"/>
                <w:sz w:val="28"/>
                <w:szCs w:val="28"/>
              </w:rPr>
            </w:pPr>
          </w:p>
        </w:tc>
        <w:tc>
          <w:tcPr>
            <w:tcW w:w="2665" w:type="dxa"/>
          </w:tcPr>
          <w:p>
            <w:pPr>
              <w:spacing w:after="0" w:line="560" w:lineRule="exact"/>
              <w:jc w:val="center"/>
              <w:rPr>
                <w:rFonts w:hint="eastAsia"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after="0" w:line="560" w:lineRule="exact"/>
              <w:jc w:val="center"/>
              <w:rPr>
                <w:rFonts w:ascii="仿宋_GB2312" w:hAnsi="Calibri" w:eastAsia="仿宋_GB2312" w:cs="ArialUnicodeMS"/>
                <w:kern w:val="0"/>
                <w:sz w:val="28"/>
                <w:szCs w:val="28"/>
              </w:rPr>
            </w:pPr>
          </w:p>
        </w:tc>
        <w:tc>
          <w:tcPr>
            <w:tcW w:w="3485" w:type="dxa"/>
            <w:tcBorders>
              <w:bottom w:val="single" w:color="auto" w:sz="4" w:space="0"/>
            </w:tcBorders>
          </w:tcPr>
          <w:p>
            <w:pPr>
              <w:spacing w:after="0" w:line="560" w:lineRule="exact"/>
              <w:rPr>
                <w:rFonts w:hint="eastAsia" w:ascii="仿宋_GB2312" w:hAnsi="Calibri" w:eastAsia="仿宋_GB2312" w:cs="ArialUnicodeMS"/>
                <w:kern w:val="0"/>
                <w:sz w:val="28"/>
                <w:szCs w:val="28"/>
              </w:rPr>
            </w:pPr>
          </w:p>
        </w:tc>
        <w:tc>
          <w:tcPr>
            <w:tcW w:w="2445" w:type="dxa"/>
            <w:tcBorders>
              <w:bottom w:val="single" w:color="auto" w:sz="4" w:space="0"/>
            </w:tcBorders>
          </w:tcPr>
          <w:p>
            <w:pPr>
              <w:spacing w:after="0" w:line="560" w:lineRule="exact"/>
              <w:jc w:val="center"/>
              <w:rPr>
                <w:rFonts w:hint="eastAsia" w:ascii="仿宋_GB2312" w:hAnsi="Calibri" w:eastAsia="仿宋_GB2312" w:cs="ArialUnicodeMS"/>
                <w:kern w:val="0"/>
                <w:sz w:val="28"/>
                <w:szCs w:val="28"/>
              </w:rPr>
            </w:pPr>
          </w:p>
        </w:tc>
        <w:tc>
          <w:tcPr>
            <w:tcW w:w="2665" w:type="dxa"/>
            <w:tcBorders>
              <w:bottom w:val="single" w:color="auto" w:sz="4" w:space="0"/>
            </w:tcBorders>
          </w:tcPr>
          <w:p>
            <w:pPr>
              <w:spacing w:after="0" w:line="560" w:lineRule="exact"/>
              <w:jc w:val="center"/>
              <w:rPr>
                <w:rFonts w:hint="eastAsia"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736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36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81792"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179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17"/>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本部门2019年度收入总计（含结转和结余）</w:t>
      </w:r>
      <w:r>
        <w:rPr>
          <w:rFonts w:ascii="仿宋_GB2312" w:hAnsi="Times New Roman" w:eastAsia="仿宋_GB2312" w:cs="DengXian-Regular"/>
          <w:sz w:val="32"/>
          <w:szCs w:val="32"/>
        </w:rPr>
        <w:t>49466</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54</w:t>
      </w:r>
      <w:r>
        <w:rPr>
          <w:rFonts w:hint="eastAsia" w:ascii="仿宋_GB2312" w:hAnsi="Times New Roman" w:eastAsia="仿宋_GB2312" w:cs="DengXian-Regular"/>
          <w:sz w:val="32"/>
          <w:szCs w:val="32"/>
        </w:rPr>
        <w:t>万元，支出总计</w:t>
      </w:r>
      <w:r>
        <w:rPr>
          <w:rFonts w:ascii="仿宋_GB2312" w:hAnsi="Times New Roman" w:eastAsia="仿宋_GB2312" w:cs="DengXian-Regular"/>
          <w:sz w:val="32"/>
          <w:szCs w:val="32"/>
        </w:rPr>
        <w:t>38712</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26</w:t>
      </w:r>
      <w:r>
        <w:rPr>
          <w:rFonts w:hint="eastAsia" w:ascii="仿宋_GB2312" w:hAnsi="Times New Roman" w:eastAsia="仿宋_GB2312" w:cs="DengXian-Regular"/>
          <w:sz w:val="32"/>
          <w:szCs w:val="32"/>
        </w:rPr>
        <w:t>万元。与2018年度决算相比，收入减少52741.53万元，下降51.6%，主要原因是节约开支；支出减少56011.32万元，下降59.13%，主要原因是节约开支。</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ascii="仿宋_GB2312" w:hAnsi="Times New Roman" w:eastAsia="仿宋_GB2312" w:cs="DengXian-Regular"/>
          <w:sz w:val="32"/>
          <w:szCs w:val="32"/>
        </w:rPr>
        <w:t>41990</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89</w:t>
      </w:r>
      <w:r>
        <w:rPr>
          <w:rFonts w:hint="eastAsia" w:ascii="仿宋_GB2312" w:hAnsi="Times New Roman" w:eastAsia="仿宋_GB2312" w:cs="DengXian-Regular"/>
          <w:sz w:val="32"/>
          <w:szCs w:val="32"/>
        </w:rPr>
        <w:t>万元，其中：财政拨款收入</w:t>
      </w:r>
      <w:r>
        <w:rPr>
          <w:rFonts w:ascii="仿宋_GB2312" w:hAnsi="Times New Roman" w:eastAsia="仿宋_GB2312" w:cs="DengXian-Regular"/>
          <w:sz w:val="32"/>
          <w:szCs w:val="32"/>
        </w:rPr>
        <w:t>41990</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89</w:t>
      </w:r>
      <w:r>
        <w:rPr>
          <w:rFonts w:hint="eastAsia" w:ascii="仿宋_GB2312" w:hAnsi="Times New Roman" w:eastAsia="仿宋_GB2312" w:cs="DengXian-Regular"/>
          <w:sz w:val="32"/>
          <w:szCs w:val="32"/>
        </w:rPr>
        <w:t>万元，占100%。</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ascii="仿宋_GB2312" w:hAnsi="Times New Roman" w:eastAsia="仿宋_GB2312" w:cs="DengXian-Regular"/>
          <w:sz w:val="32"/>
          <w:szCs w:val="32"/>
        </w:rPr>
        <w:t>38712</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26</w:t>
      </w:r>
      <w:r>
        <w:rPr>
          <w:rFonts w:hint="eastAsia" w:ascii="仿宋_GB2312" w:hAnsi="Times New Roman" w:eastAsia="仿宋_GB2312" w:cs="DengXian-Regular"/>
          <w:sz w:val="32"/>
          <w:szCs w:val="32"/>
        </w:rPr>
        <w:t>万元，其中：基本支出</w:t>
      </w:r>
      <w:r>
        <w:rPr>
          <w:rFonts w:ascii="仿宋_GB2312" w:hAnsi="Times New Roman" w:eastAsia="仿宋_GB2312" w:cs="DengXian-Regular"/>
          <w:sz w:val="32"/>
          <w:szCs w:val="32"/>
        </w:rPr>
        <w:t>1997</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5万元，占5.16%；项目支出</w:t>
      </w:r>
      <w:r>
        <w:rPr>
          <w:rFonts w:ascii="仿宋_GB2312" w:hAnsi="Times New Roman" w:eastAsia="仿宋_GB2312" w:cs="DengXian-Regular"/>
          <w:sz w:val="32"/>
          <w:szCs w:val="32"/>
        </w:rPr>
        <w:t>36714</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81</w:t>
      </w:r>
      <w:r>
        <w:rPr>
          <w:rFonts w:hint="eastAsia" w:ascii="仿宋_GB2312" w:hAnsi="Times New Roman" w:eastAsia="仿宋_GB2312" w:cs="DengXian-Regular"/>
          <w:sz w:val="32"/>
          <w:szCs w:val="32"/>
        </w:rPr>
        <w:t>万元，占94.84%。如图所示：</w:t>
      </w:r>
    </w:p>
    <w:p>
      <w:pPr>
        <w:rPr>
          <w:rFonts w:hint="eastAsia"/>
        </w:rPr>
      </w:pPr>
      <w:r>
        <w:drawing>
          <wp:inline distT="0" distB="0" distL="0" distR="0">
            <wp:extent cx="5055870" cy="2785745"/>
            <wp:effectExtent l="4445" t="4445" r="6985" b="1016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ascii="仿宋_GB2312" w:hAnsi="Times New Roman" w:eastAsia="仿宋_GB2312" w:cs="DengXian-Regular"/>
          <w:sz w:val="32"/>
          <w:szCs w:val="32"/>
        </w:rPr>
        <w:t>41990</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89</w:t>
      </w:r>
      <w:r>
        <w:rPr>
          <w:rFonts w:hint="eastAsia" w:ascii="仿宋_GB2312" w:hAnsi="Times New Roman" w:eastAsia="仿宋_GB2312" w:cs="DengXian-Regular"/>
          <w:sz w:val="32"/>
          <w:szCs w:val="32"/>
        </w:rPr>
        <w:t>万元,比2018年度减少53101.5万元，降低55.84%，主要是节约开支；本年支出</w:t>
      </w:r>
      <w:r>
        <w:rPr>
          <w:rFonts w:ascii="仿宋_GB2312" w:hAnsi="Times New Roman" w:eastAsia="仿宋_GB2312" w:cs="DengXian-Regular"/>
          <w:sz w:val="32"/>
          <w:szCs w:val="32"/>
        </w:rPr>
        <w:t>38712</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26</w:t>
      </w:r>
      <w:r>
        <w:rPr>
          <w:rFonts w:hint="eastAsia" w:ascii="仿宋_GB2312" w:hAnsi="Times New Roman" w:eastAsia="仿宋_GB2312" w:cs="DengXian-Regular"/>
          <w:sz w:val="32"/>
          <w:szCs w:val="32"/>
        </w:rPr>
        <w:t>万元，减少56011.32万元，降低59.13%，主要是节约开支。具体情况如下：</w:t>
      </w:r>
    </w:p>
    <w:p>
      <w:pPr>
        <w:numPr>
          <w:ilvl w:val="0"/>
          <w:numId w:val="1"/>
        </w:num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ascii="仿宋_GB2312" w:hAnsi="Times New Roman" w:eastAsia="仿宋_GB2312" w:cs="DengXian-Regular"/>
          <w:sz w:val="32"/>
          <w:szCs w:val="32"/>
        </w:rPr>
        <w:t>31113</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万元，比上年增加6345.21万元；主要是预算安排；本年支出</w:t>
      </w:r>
      <w:r>
        <w:rPr>
          <w:rFonts w:ascii="仿宋_GB2312" w:hAnsi="Times New Roman" w:eastAsia="仿宋_GB2312" w:cs="DengXian-Regular"/>
          <w:sz w:val="32"/>
          <w:szCs w:val="32"/>
        </w:rPr>
        <w:t>28519</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56</w:t>
      </w:r>
      <w:r>
        <w:rPr>
          <w:rFonts w:hint="eastAsia" w:ascii="仿宋_GB2312" w:hAnsi="Times New Roman" w:eastAsia="仿宋_GB2312" w:cs="DengXian-Regular"/>
          <w:sz w:val="32"/>
          <w:szCs w:val="32"/>
        </w:rPr>
        <w:t>万元，比上年增加4799.76万元，增长20.24%，主要是预算安排。</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ascii="仿宋_GB2312" w:hAnsi="Times New Roman" w:eastAsia="仿宋_GB2312" w:cs="DengXian-Regular"/>
          <w:sz w:val="32"/>
          <w:szCs w:val="32"/>
        </w:rPr>
        <w:t>10877</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29</w:t>
      </w:r>
      <w:r>
        <w:rPr>
          <w:rFonts w:hint="eastAsia" w:ascii="仿宋_GB2312" w:hAnsi="Times New Roman" w:eastAsia="仿宋_GB2312" w:cs="DengXian-Regular"/>
          <w:sz w:val="32"/>
          <w:szCs w:val="32"/>
        </w:rPr>
        <w:t>万元，比上年减少59446.71万元，降低84.53%，主要原因是节约开支；本年支出</w:t>
      </w:r>
      <w:r>
        <w:rPr>
          <w:rFonts w:ascii="仿宋_GB2312" w:hAnsi="Times New Roman" w:eastAsia="仿宋_GB2312" w:cs="DengXian-Regular"/>
          <w:sz w:val="32"/>
          <w:szCs w:val="32"/>
        </w:rPr>
        <w:t>10192</w:t>
      </w:r>
      <w:r>
        <w:rPr>
          <w:rFonts w:hint="eastAsia" w:ascii="仿宋_GB2312" w:hAnsi="Times New Roman" w:eastAsia="仿宋_GB2312" w:cs="DengXian-Regular"/>
          <w:sz w:val="32"/>
          <w:szCs w:val="32"/>
        </w:rPr>
        <w:t>.7万元，比上年减少60811.08万元，降低85.64%，主要是节约开支。</w:t>
      </w:r>
    </w:p>
    <w:p>
      <w:pPr>
        <w:rPr>
          <w:rFonts w:hint="eastAsia"/>
        </w:rPr>
      </w:pPr>
      <w:r>
        <w:drawing>
          <wp:inline distT="0" distB="0" distL="0" distR="0">
            <wp:extent cx="4399915" cy="2700655"/>
            <wp:effectExtent l="4445" t="4445" r="15240" b="1905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rFonts w:hint="eastAsia"/>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w:t>
      </w:r>
      <w:r>
        <w:rPr>
          <w:rFonts w:ascii="仿宋_GB2312" w:hAnsi="Times New Roman" w:eastAsia="仿宋_GB2312" w:cs="DengXian-Regular"/>
          <w:sz w:val="32"/>
          <w:szCs w:val="32"/>
        </w:rPr>
        <w:t>41990</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89</w:t>
      </w:r>
      <w:r>
        <w:rPr>
          <w:rFonts w:hint="eastAsia" w:ascii="仿宋_GB2312" w:hAnsi="Times New Roman" w:eastAsia="仿宋_GB2312" w:cs="DengXian-Regular"/>
          <w:sz w:val="32"/>
          <w:szCs w:val="32"/>
        </w:rPr>
        <w:t>万元，完成年初预算的218.9%（如图4）,比年初预算增加22808.38万元，决算数大于预算数主要原因是追加预算；本年支出</w:t>
      </w:r>
      <w:r>
        <w:rPr>
          <w:rFonts w:ascii="仿宋_GB2312" w:hAnsi="Times New Roman" w:eastAsia="仿宋_GB2312" w:cs="DengXian-Regular"/>
          <w:sz w:val="32"/>
          <w:szCs w:val="32"/>
        </w:rPr>
        <w:t>38712</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26</w:t>
      </w:r>
      <w:r>
        <w:rPr>
          <w:rFonts w:hint="eastAsia" w:ascii="仿宋_GB2312" w:hAnsi="Times New Roman" w:eastAsia="仿宋_GB2312" w:cs="DengXian-Regular"/>
          <w:sz w:val="32"/>
          <w:szCs w:val="32"/>
        </w:rPr>
        <w:t>万元，完成年初预算的201.8%,比年初预算增加19529.75万元，决算数大于预算数主要原因是主要是追加预算。具体情况如下：</w:t>
      </w:r>
    </w:p>
    <w:p>
      <w:pPr>
        <w:numPr>
          <w:ilvl w:val="0"/>
          <w:numId w:val="2"/>
        </w:num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一般公共预算财政拨款本年收入完成年初预算190.9%，比年初预算增加14816.13万元，主要是追加预算；支出完成年初预算174.99%，比年初预算增加12222.09万元，主要是追加预算。</w:t>
      </w:r>
    </w:p>
    <w:p>
      <w:pPr>
        <w:numPr>
          <w:ilvl w:val="0"/>
          <w:numId w:val="2"/>
        </w:num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政府性基金预算财政拨款本年收入完成年初预算377%，比年初预算增加7992.25万元，主要是追加预算；支出完成年初预算353.29%，比年初预算增加7307.66万元，主要是追加预算。</w:t>
      </w:r>
    </w:p>
    <w:p>
      <w:pPr>
        <w:rPr>
          <w:rFonts w:hint="eastAsia"/>
        </w:rPr>
      </w:pPr>
    </w:p>
    <w:p>
      <w:pPr>
        <w:rPr>
          <w:rFonts w:hint="eastAsia"/>
        </w:rPr>
      </w:pPr>
    </w:p>
    <w:p>
      <w:pPr>
        <w:rPr>
          <w:rFonts w:hint="eastAsia"/>
        </w:rPr>
      </w:pPr>
      <w:r>
        <w:drawing>
          <wp:inline distT="0" distB="0" distL="0" distR="0">
            <wp:extent cx="5274310" cy="3076575"/>
            <wp:effectExtent l="5080" t="4445" r="16510" b="508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rFonts w:hint="eastAsia"/>
        </w:rPr>
      </w:pPr>
    </w:p>
    <w:p>
      <w:pPr>
        <w:rPr>
          <w:rFonts w:hint="eastAsia"/>
        </w:rPr>
      </w:pPr>
    </w:p>
    <w:p>
      <w:pPr>
        <w:numPr>
          <w:ilvl w:val="0"/>
          <w:numId w:val="3"/>
        </w:numPr>
        <w:adjustRightInd w:val="0"/>
        <w:snapToGrid w:val="0"/>
        <w:spacing w:line="580" w:lineRule="exact"/>
        <w:ind w:left="420" w:left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ascii="仿宋_GB2312" w:hAnsi="Times New Roman" w:eastAsia="仿宋_GB2312" w:cs="DengXian-Regular"/>
          <w:sz w:val="32"/>
          <w:szCs w:val="32"/>
        </w:rPr>
        <w:t>38712</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26</w:t>
      </w:r>
      <w:r>
        <w:rPr>
          <w:rFonts w:hint="eastAsia" w:ascii="仿宋_GB2312" w:hAnsi="Times New Roman" w:eastAsia="仿宋_GB2312" w:cs="DengXian-Regular"/>
          <w:sz w:val="32"/>
          <w:szCs w:val="32"/>
        </w:rPr>
        <w:t>万元，主要用于以下方面教育（类）支出</w:t>
      </w:r>
      <w:r>
        <w:rPr>
          <w:rFonts w:ascii="仿宋_GB2312" w:hAnsi="Times New Roman" w:eastAsia="仿宋_GB2312" w:cs="DengXian-Regular"/>
          <w:sz w:val="32"/>
          <w:szCs w:val="32"/>
        </w:rPr>
        <w:t>297</w:t>
      </w:r>
      <w:r>
        <w:rPr>
          <w:rFonts w:hint="eastAsia" w:ascii="仿宋_GB2312" w:hAnsi="Times New Roman" w:eastAsia="仿宋_GB2312" w:cs="DengXian-Regular"/>
          <w:sz w:val="32"/>
          <w:szCs w:val="32"/>
        </w:rPr>
        <w:t>万元，占0.77%；社会保障和就业（类）支出</w:t>
      </w:r>
      <w:r>
        <w:rPr>
          <w:rFonts w:ascii="仿宋_GB2312" w:hAnsi="Times New Roman" w:eastAsia="仿宋_GB2312" w:cs="DengXian-Regular"/>
          <w:sz w:val="32"/>
          <w:szCs w:val="32"/>
        </w:rPr>
        <w:t>165</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4万元，占0.43%；卫生健康支出</w:t>
      </w:r>
      <w:r>
        <w:rPr>
          <w:rFonts w:ascii="仿宋_GB2312" w:hAnsi="Times New Roman" w:eastAsia="仿宋_GB2312" w:cs="DengXian-Regular"/>
          <w:sz w:val="32"/>
          <w:szCs w:val="32"/>
        </w:rPr>
        <w:t>158</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占0.41%；节能环保支出</w:t>
      </w:r>
      <w:r>
        <w:rPr>
          <w:rFonts w:ascii="仿宋_GB2312" w:hAnsi="Times New Roman" w:eastAsia="仿宋_GB2312" w:cs="DengXian-Regular"/>
          <w:sz w:val="32"/>
          <w:szCs w:val="32"/>
        </w:rPr>
        <w:t>14568</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3万元，占37.63%；城乡社区支出</w:t>
      </w:r>
      <w:r>
        <w:rPr>
          <w:rFonts w:ascii="仿宋_GB2312" w:hAnsi="Times New Roman" w:eastAsia="仿宋_GB2312" w:cs="DengXian-Regular"/>
          <w:sz w:val="32"/>
          <w:szCs w:val="32"/>
        </w:rPr>
        <w:t>2140</w:t>
      </w:r>
      <w:r>
        <w:rPr>
          <w:rFonts w:hint="eastAsia" w:ascii="仿宋_GB2312" w:hAnsi="Times New Roman" w:eastAsia="仿宋_GB2312" w:cs="DengXian-Regular"/>
          <w:sz w:val="32"/>
          <w:szCs w:val="32"/>
        </w:rPr>
        <w:t>3万元，占55.29%；交通运输支出</w:t>
      </w:r>
      <w:r>
        <w:rPr>
          <w:rFonts w:ascii="仿宋_GB2312" w:hAnsi="Times New Roman" w:eastAsia="仿宋_GB2312" w:cs="DengXian-Regular"/>
          <w:sz w:val="32"/>
          <w:szCs w:val="32"/>
        </w:rPr>
        <w:t>994</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39</w:t>
      </w:r>
      <w:r>
        <w:rPr>
          <w:rFonts w:hint="eastAsia" w:ascii="仿宋_GB2312" w:hAnsi="Times New Roman" w:eastAsia="仿宋_GB2312" w:cs="DengXian-Regular"/>
          <w:sz w:val="32"/>
          <w:szCs w:val="32"/>
        </w:rPr>
        <w:t>万元，占2.57%；住房保障（类）支出</w:t>
      </w:r>
      <w:r>
        <w:rPr>
          <w:rFonts w:ascii="仿宋_GB2312" w:hAnsi="Times New Roman" w:eastAsia="仿宋_GB2312" w:cs="DengXian-Regular"/>
          <w:sz w:val="32"/>
          <w:szCs w:val="32"/>
        </w:rPr>
        <w:t>825</w:t>
      </w:r>
      <w:r>
        <w:rPr>
          <w:rFonts w:hint="eastAsia" w:ascii="仿宋_GB2312" w:hAnsi="Times New Roman" w:eastAsia="仿宋_GB2312" w:cs="DengXian-Regular"/>
          <w:sz w:val="32"/>
          <w:szCs w:val="32"/>
        </w:rPr>
        <w:t>.8万元，占2.13%;其他支出</w:t>
      </w:r>
      <w:r>
        <w:rPr>
          <w:rFonts w:ascii="仿宋_GB2312" w:hAnsi="Times New Roman" w:eastAsia="仿宋_GB2312" w:cs="DengXian-Regular"/>
          <w:sz w:val="32"/>
          <w:szCs w:val="32"/>
        </w:rPr>
        <w:t>300</w:t>
      </w:r>
      <w:r>
        <w:rPr>
          <w:rFonts w:hint="eastAsia" w:ascii="仿宋_GB2312" w:hAnsi="Times New Roman" w:eastAsia="仿宋_GB2312" w:cs="DengXian-Regular"/>
          <w:sz w:val="32"/>
          <w:szCs w:val="32"/>
        </w:rPr>
        <w:t>万元，占0.77% 。</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rPr>
          <w:rFonts w:hint="eastAsia"/>
        </w:rPr>
      </w:pPr>
      <w:r>
        <w:rPr>
          <w:rFonts w:ascii="仿宋_GB2312" w:hAnsi="Times New Roman" w:eastAsia="仿宋_GB2312" w:cs="DengXian-Regular"/>
          <w:sz w:val="32"/>
          <w:szCs w:val="32"/>
        </w:rPr>
        <w:drawing>
          <wp:inline distT="0" distB="0" distL="0" distR="0">
            <wp:extent cx="5274310" cy="3076575"/>
            <wp:effectExtent l="5080" t="4445" r="16510" b="5080"/>
            <wp:docPr id="2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hint="eastAsia"/>
        </w:rPr>
      </w:pPr>
    </w:p>
    <w:p>
      <w:pPr>
        <w:rPr>
          <w:rFonts w:hint="eastAsia"/>
        </w:rPr>
      </w:pPr>
    </w:p>
    <w:p>
      <w:pPr>
        <w:adjustRightInd w:val="0"/>
        <w:snapToGrid w:val="0"/>
        <w:spacing w:line="580" w:lineRule="exact"/>
        <w:ind w:left="420" w:left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年度财政拨款基本支出1997.45万元，其中：人员经费 1865.06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132.39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hint="eastAsia" w:ascii="黑体" w:hAnsi="Calibri" w:eastAsia="黑体"/>
          <w:sz w:val="32"/>
          <w:szCs w:val="32"/>
        </w:rPr>
      </w:pPr>
      <w:r>
        <w:rPr>
          <w:rFonts w:hint="eastAsia" w:ascii="黑体" w:hAnsi="Calibri" w:eastAsia="黑体"/>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本部门2019年度“三公”经费支出共计4.12万元，完成预算的16.55%,较预算减少20.78万元，降低83.45%，主要是节约开支；较2018年度减少5.374万元，降低56.45%，主要是节约开支。具体情况如下：</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本部门2019年度无本单位组织的出国（境）团组。与年初预算持平，与2018年决算支出持平。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（二）公务用车购置及运行维护费支出3.77万元。</w:t>
      </w:r>
      <w:r>
        <w:rPr>
          <w:rFonts w:hint="eastAsia" w:ascii="仿宋_GB2312" w:hAnsi="Times New Roman" w:eastAsia="仿宋_GB2312" w:cs="DengXian-Regular"/>
          <w:sz w:val="32"/>
          <w:szCs w:val="32"/>
        </w:rPr>
        <w:t>本部门2019年度公务用车购置及运行维护费较预算减少20.23万元，降低84.29%,主要是节约开支；较上年减少4.8万元，降低56%,主要是节约开支。</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本部门2019年度公务用车购置量0辆，发生“公务用车购置”经费支出0万元。与年初预算持平，与2018年决算支出持平。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本部门2019年度单位公务用车保有量4辆。公车运行维护费支出较预算减少20.23万元，降低84.29%,主要是节约开支；较上年减少4.8万元，降低56%，主要是节约开支。</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（三）公务接待费支出0.35万元。</w:t>
      </w:r>
      <w:r>
        <w:rPr>
          <w:rFonts w:hint="eastAsia" w:ascii="仿宋_GB2312" w:hAnsi="Times New Roman" w:eastAsia="仿宋_GB2312" w:cs="DengXian-Regular"/>
          <w:sz w:val="32"/>
          <w:szCs w:val="32"/>
        </w:rPr>
        <w:t>本部门2019年度公务接待共3批次、67人次。公务接待费支出较预算减少0.55万元，降低61.11%,主要是节约开支；较上年度减少0.54万元，降低60.67%,主要是节约开支。</w:t>
      </w:r>
    </w:p>
    <w:p>
      <w:pPr>
        <w:adjustRightInd w:val="0"/>
        <w:snapToGrid w:val="0"/>
        <w:spacing w:line="580" w:lineRule="exact"/>
        <w:ind w:firstLine="640" w:firstLineChars="200"/>
        <w:rPr>
          <w:rFonts w:hint="eastAsia"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spacing w:line="57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根据预算绩效管理要求，本部门组织对2019年度一般公共预算项目支出全面开展绩效自评;</w:t>
      </w:r>
    </w:p>
    <w:p>
      <w:pPr>
        <w:spacing w:line="57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一</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统一领导、分级实施。主管局领导主持召开专题会议，安排部署绩效自评工作，各处室按项目具体实施。</w:t>
      </w:r>
    </w:p>
    <w:p>
      <w:pPr>
        <w:shd w:val="solid" w:color="FFFFFF" w:fill="auto"/>
        <w:autoSpaceDN w:val="0"/>
        <w:spacing w:line="420" w:lineRule="atLeast"/>
        <w:jc w:val="left"/>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二</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绩效导向、目标控制。坚持事前要设定绩效目标，事中监控目标实现进程，事后进行绩效评价，提升了财政资金使用的产出、效果和持续影响力，做到“少花钱、多办事”和“花同样的钱，办更好的事”。</w:t>
      </w:r>
    </w:p>
    <w:p>
      <w:pPr>
        <w:shd w:val="solid" w:color="FFFFFF" w:fill="auto"/>
        <w:autoSpaceDN w:val="0"/>
        <w:spacing w:line="420" w:lineRule="atLeast"/>
        <w:ind w:firstLine="540"/>
        <w:jc w:val="left"/>
        <w:rPr>
          <w:rFonts w:ascii="仿宋_GB2312" w:hAnsi="Times New Roman" w:eastAsia="仿宋_GB2312" w:cs="DengXian-Regular"/>
          <w:sz w:val="32"/>
          <w:szCs w:val="32"/>
        </w:rPr>
      </w:pP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三</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稳步推进、务求实效。将预算绩效管理要求与本单位实际相结合，整体谋划，分步实施，稳步推进部门预算整体支出绩效管理，务求取得实实在在的效果。</w:t>
      </w:r>
    </w:p>
    <w:p>
      <w:pPr>
        <w:adjustRightInd w:val="0"/>
        <w:snapToGrid w:val="0"/>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）“一港双城”（城镇化）建设工作，任务按照市达要求稳步推进。按照曹妃甸区“深入落实</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一港双城</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战略”工作总要求，根据</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年工作安排，对领导小组办公室进行了优化，夯实了高层决策指挥、部门协调联动、港城办全面统筹的组织架构。</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）“双代煤”改造。一期任务气代煤截至目前，燃气壁挂炉已完成</w:t>
      </w:r>
      <w:r>
        <w:rPr>
          <w:rFonts w:ascii="仿宋_GB2312" w:hAnsi="Times New Roman" w:eastAsia="仿宋_GB2312" w:cs="DengXian-Regular"/>
          <w:sz w:val="32"/>
          <w:szCs w:val="32"/>
        </w:rPr>
        <w:t>16820</w:t>
      </w:r>
      <w:r>
        <w:rPr>
          <w:rFonts w:hint="eastAsia" w:ascii="仿宋_GB2312" w:hAnsi="Times New Roman" w:eastAsia="仿宋_GB2312" w:cs="DengXian-Regular"/>
          <w:sz w:val="32"/>
          <w:szCs w:val="32"/>
        </w:rPr>
        <w:t>户，完成率</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，燃气村内管线和村外主管线均已全部完成，完成率</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，已完成点火，具备取暖条件。电代煤任务数</w:t>
      </w:r>
      <w:r>
        <w:rPr>
          <w:rFonts w:ascii="仿宋_GB2312" w:hAnsi="Times New Roman" w:eastAsia="仿宋_GB2312" w:cs="DengXian-Regular"/>
          <w:sz w:val="32"/>
          <w:szCs w:val="32"/>
        </w:rPr>
        <w:t>6919</w:t>
      </w:r>
      <w:r>
        <w:rPr>
          <w:rFonts w:hint="eastAsia" w:ascii="仿宋_GB2312" w:hAnsi="Times New Roman" w:eastAsia="仿宋_GB2312" w:cs="DengXian-Regular"/>
          <w:sz w:val="32"/>
          <w:szCs w:val="32"/>
        </w:rPr>
        <w:t>户</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实际改造完成</w:t>
      </w:r>
      <w:r>
        <w:rPr>
          <w:rFonts w:ascii="仿宋_GB2312" w:hAnsi="Times New Roman" w:eastAsia="仿宋_GB2312" w:cs="DengXian-Regular"/>
          <w:sz w:val="32"/>
          <w:szCs w:val="32"/>
        </w:rPr>
        <w:t>7761</w:t>
      </w:r>
      <w:r>
        <w:rPr>
          <w:rFonts w:hint="eastAsia" w:ascii="仿宋_GB2312" w:hAnsi="Times New Roman" w:eastAsia="仿宋_GB2312" w:cs="DengXian-Regular"/>
          <w:sz w:val="32"/>
          <w:szCs w:val="32"/>
        </w:rPr>
        <w:t>户，接表通电和接线工作已全部完成，电代煤一期改造工作已完成。长输管线供暖改造情况：任务数</w:t>
      </w:r>
      <w:r>
        <w:rPr>
          <w:rFonts w:ascii="仿宋_GB2312" w:hAnsi="Times New Roman" w:eastAsia="仿宋_GB2312" w:cs="DengXian-Regular"/>
          <w:sz w:val="32"/>
          <w:szCs w:val="32"/>
        </w:rPr>
        <w:t>2100</w:t>
      </w:r>
      <w:r>
        <w:rPr>
          <w:rFonts w:hint="eastAsia" w:ascii="仿宋_GB2312" w:hAnsi="Times New Roman" w:eastAsia="仿宋_GB2312" w:cs="DengXian-Regular"/>
          <w:sz w:val="32"/>
          <w:szCs w:val="32"/>
        </w:rPr>
        <w:t>户，涉及四农场、五农场、唐海镇三个场镇，</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个村庄，实际完成覆盖</w:t>
      </w:r>
      <w:r>
        <w:rPr>
          <w:rFonts w:ascii="仿宋_GB2312" w:hAnsi="Times New Roman" w:eastAsia="仿宋_GB2312" w:cs="DengXian-Regular"/>
          <w:sz w:val="32"/>
          <w:szCs w:val="32"/>
        </w:rPr>
        <w:t>2673</w:t>
      </w:r>
      <w:r>
        <w:rPr>
          <w:rFonts w:hint="eastAsia" w:ascii="仿宋_GB2312" w:hAnsi="Times New Roman" w:eastAsia="仿宋_GB2312" w:cs="DengXian-Regular"/>
          <w:sz w:val="32"/>
          <w:szCs w:val="32"/>
        </w:rPr>
        <w:t>户。二期任务气代煤</w:t>
      </w:r>
      <w:r>
        <w:rPr>
          <w:rFonts w:hint="eastAsia" w:ascii="仿宋_GB2312" w:hAnsi="Times New Roman" w:eastAsia="仿宋_GB2312" w:cs="DengXian-Regular"/>
          <w:sz w:val="32"/>
          <w:szCs w:val="32"/>
          <w:lang w:val="en-US" w:eastAsia="zh-CN"/>
        </w:rPr>
        <w:t>截至</w:t>
      </w:r>
      <w:r>
        <w:rPr>
          <w:rFonts w:hint="eastAsia" w:ascii="仿宋_GB2312" w:hAnsi="Times New Roman" w:eastAsia="仿宋_GB2312" w:cs="DengXian-Regular"/>
          <w:sz w:val="32"/>
          <w:szCs w:val="32"/>
        </w:rPr>
        <w:t>目前采暖设备已基本安装完成，村内管网及入户管网已基本完成，村外管网完成</w:t>
      </w:r>
      <w:r>
        <w:rPr>
          <w:rFonts w:ascii="仿宋_GB2312" w:hAnsi="Times New Roman" w:eastAsia="仿宋_GB2312" w:cs="DengXian-Regular"/>
          <w:sz w:val="32"/>
          <w:szCs w:val="32"/>
        </w:rPr>
        <w:t>90%</w:t>
      </w:r>
      <w:r>
        <w:rPr>
          <w:rFonts w:hint="eastAsia" w:ascii="仿宋_GB2312" w:hAnsi="Times New Roman" w:eastAsia="仿宋_GB2312" w:cs="DengXian-Regular"/>
          <w:sz w:val="32"/>
          <w:szCs w:val="32"/>
        </w:rPr>
        <w:t>，正在抓紧实施。电代煤户内采暖设备已安装完成，户内线路改造已完成，户外线路将随着电力部门的外网改造同步实施。地热供暖改造情况：目前已完井</w:t>
      </w:r>
      <w:r>
        <w:rPr>
          <w:rFonts w:ascii="仿宋_GB2312" w:hAnsi="Times New Roman" w:eastAsia="仿宋_GB2312" w:cs="DengXian-Regular"/>
          <w:sz w:val="32"/>
          <w:szCs w:val="32"/>
        </w:rPr>
        <w:t>9</w:t>
      </w:r>
      <w:r>
        <w:rPr>
          <w:rFonts w:hint="eastAsia" w:ascii="仿宋_GB2312" w:hAnsi="Times New Roman" w:eastAsia="仿宋_GB2312" w:cs="DengXian-Regular"/>
          <w:sz w:val="32"/>
          <w:szCs w:val="32"/>
        </w:rPr>
        <w:t>口，热源已完成</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，村外主管网已完成</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，入户管网完成</w:t>
      </w:r>
      <w:r>
        <w:rPr>
          <w:rFonts w:ascii="仿宋_GB2312" w:hAnsi="Times New Roman" w:eastAsia="仿宋_GB2312" w:cs="DengXian-Regular"/>
          <w:sz w:val="32"/>
          <w:szCs w:val="32"/>
        </w:rPr>
        <w:t>70%</w:t>
      </w:r>
      <w:r>
        <w:rPr>
          <w:rFonts w:hint="eastAsia" w:ascii="仿宋_GB2312" w:hAnsi="Times New Roman" w:eastAsia="仿宋_GB2312" w:cs="DengXian-Regular"/>
          <w:sz w:val="32"/>
          <w:szCs w:val="32"/>
        </w:rPr>
        <w:t>。</w:t>
      </w:r>
    </w:p>
    <w:p>
      <w:pPr>
        <w:spacing w:line="57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）园林绿化工作。我区人均绿地面积</w:t>
      </w:r>
      <w:r>
        <w:rPr>
          <w:rFonts w:ascii="仿宋_GB2312" w:hAnsi="Times New Roman" w:eastAsia="仿宋_GB2312" w:cs="DengXian-Regular"/>
          <w:sz w:val="32"/>
          <w:szCs w:val="32"/>
        </w:rPr>
        <w:t>25.15</w:t>
      </w:r>
      <w:r>
        <w:rPr>
          <w:rFonts w:hint="eastAsia" w:ascii="仿宋_GB2312" w:hAnsi="Times New Roman" w:eastAsia="仿宋_GB2312" w:cs="DengXian-Regular"/>
          <w:sz w:val="32"/>
          <w:szCs w:val="32"/>
        </w:rPr>
        <w:t>平方米</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人，完成年初制定的人均绿地面积</w:t>
      </w:r>
      <w:r>
        <w:rPr>
          <w:rFonts w:ascii="仿宋_GB2312" w:hAnsi="Times New Roman" w:eastAsia="仿宋_GB2312" w:cs="DengXian-Regular"/>
          <w:sz w:val="32"/>
          <w:szCs w:val="32"/>
        </w:rPr>
        <w:t>25.05</w:t>
      </w:r>
      <w:r>
        <w:rPr>
          <w:rFonts w:hint="eastAsia" w:ascii="仿宋_GB2312" w:hAnsi="Times New Roman" w:eastAsia="仿宋_GB2312" w:cs="DengXian-Regular"/>
          <w:sz w:val="32"/>
          <w:szCs w:val="32"/>
        </w:rPr>
        <w:t>平方米</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人的责任要求。</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年我局圆满完成了曹妃甸区的各项绿化任务。其中新增绿地面积</w:t>
      </w:r>
      <w:r>
        <w:rPr>
          <w:rFonts w:ascii="仿宋_GB2312" w:hAnsi="Times New Roman" w:eastAsia="仿宋_GB2312" w:cs="DengXian-Regular"/>
          <w:sz w:val="32"/>
          <w:szCs w:val="32"/>
        </w:rPr>
        <w:t>39.73</w:t>
      </w:r>
      <w:r>
        <w:rPr>
          <w:rFonts w:hint="eastAsia" w:ascii="仿宋_GB2312" w:hAnsi="Times New Roman" w:eastAsia="仿宋_GB2312" w:cs="DengXian-Regular"/>
          <w:sz w:val="32"/>
          <w:szCs w:val="32"/>
        </w:rPr>
        <w:t>公顷，新建公园</w:t>
      </w:r>
      <w:r>
        <w:rPr>
          <w:rFonts w:ascii="仿宋_GB2312" w:hAnsi="Times New Roman" w:eastAsia="仿宋_GB2312" w:cs="DengXian-Regular"/>
          <w:sz w:val="32"/>
          <w:szCs w:val="32"/>
        </w:rPr>
        <w:t>6.75</w:t>
      </w:r>
      <w:r>
        <w:rPr>
          <w:rFonts w:hint="eastAsia" w:ascii="仿宋_GB2312" w:hAnsi="Times New Roman" w:eastAsia="仿宋_GB2312" w:cs="DengXian-Regular"/>
          <w:sz w:val="32"/>
          <w:szCs w:val="32"/>
        </w:rPr>
        <w:t>公顷，完成义务植树</w:t>
      </w:r>
      <w:r>
        <w:rPr>
          <w:rFonts w:ascii="仿宋_GB2312" w:hAnsi="Times New Roman" w:eastAsia="仿宋_GB2312" w:cs="DengXian-Regular"/>
          <w:sz w:val="32"/>
          <w:szCs w:val="32"/>
        </w:rPr>
        <w:t>10.35</w:t>
      </w:r>
      <w:r>
        <w:rPr>
          <w:rFonts w:hint="eastAsia" w:ascii="仿宋_GB2312" w:hAnsi="Times New Roman" w:eastAsia="仿宋_GB2312" w:cs="DengXian-Regular"/>
          <w:sz w:val="32"/>
          <w:szCs w:val="32"/>
        </w:rPr>
        <w:t>万株，完善绿廊绿道</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公里，创建省级园林式单位项目</w:t>
      </w:r>
      <w:r>
        <w:rPr>
          <w:rFonts w:ascii="仿宋_GB2312" w:hAnsi="Times New Roman" w:eastAsia="仿宋_GB2312" w:cs="DengXian-Regular"/>
          <w:sz w:val="32"/>
          <w:szCs w:val="32"/>
        </w:rPr>
        <w:t>1</w:t>
      </w:r>
      <w:r>
        <w:rPr>
          <w:rFonts w:hint="eastAsia" w:ascii="仿宋_GB2312" w:hAnsi="Times New Roman" w:eastAsia="仿宋_GB2312" w:cs="DengXian-Regular"/>
          <w:sz w:val="32"/>
          <w:szCs w:val="32"/>
        </w:rPr>
        <w:t>个（唐山工业职业技术学院）。曹妃甸区三绿指标为：绿化覆盖率</w:t>
      </w:r>
      <w:r>
        <w:rPr>
          <w:rFonts w:ascii="仿宋_GB2312" w:hAnsi="Times New Roman" w:eastAsia="仿宋_GB2312" w:cs="DengXian-Regular"/>
          <w:sz w:val="32"/>
          <w:szCs w:val="32"/>
        </w:rPr>
        <w:t>42.92%</w:t>
      </w:r>
      <w:r>
        <w:rPr>
          <w:rFonts w:hint="eastAsia" w:ascii="仿宋_GB2312" w:hAnsi="Times New Roman" w:eastAsia="仿宋_GB2312" w:cs="DengXian-Regular"/>
          <w:sz w:val="32"/>
          <w:szCs w:val="32"/>
        </w:rPr>
        <w:t>、绿地率</w:t>
      </w:r>
      <w:r>
        <w:rPr>
          <w:rFonts w:ascii="仿宋_GB2312" w:hAnsi="Times New Roman" w:eastAsia="仿宋_GB2312" w:cs="DengXian-Regular"/>
          <w:sz w:val="32"/>
          <w:szCs w:val="32"/>
        </w:rPr>
        <w:t>40.66%</w:t>
      </w:r>
      <w:r>
        <w:rPr>
          <w:rFonts w:hint="eastAsia" w:ascii="仿宋_GB2312" w:hAnsi="Times New Roman" w:eastAsia="仿宋_GB2312" w:cs="DengXian-Regular"/>
          <w:sz w:val="32"/>
          <w:szCs w:val="32"/>
        </w:rPr>
        <w:t>、人均公园绿地面积</w:t>
      </w:r>
      <w:r>
        <w:rPr>
          <w:rFonts w:ascii="仿宋_GB2312" w:hAnsi="Times New Roman" w:eastAsia="仿宋_GB2312" w:cs="DengXian-Regular"/>
          <w:sz w:val="32"/>
          <w:szCs w:val="32"/>
        </w:rPr>
        <w:t>25.15</w:t>
      </w:r>
      <w:r>
        <w:rPr>
          <w:rFonts w:hint="eastAsia" w:ascii="仿宋_GB2312" w:hAnsi="Times New Roman" w:eastAsia="仿宋_GB2312" w:cs="DengXian-Regular"/>
          <w:sz w:val="32"/>
          <w:szCs w:val="32"/>
        </w:rPr>
        <w:t>平方米。绿化覆盖面积</w:t>
      </w:r>
      <w:r>
        <w:rPr>
          <w:rFonts w:ascii="仿宋_GB2312" w:hAnsi="Times New Roman" w:eastAsia="仿宋_GB2312" w:cs="DengXian-Regular"/>
          <w:sz w:val="32"/>
          <w:szCs w:val="32"/>
        </w:rPr>
        <w:t>2285.99</w:t>
      </w:r>
      <w:r>
        <w:rPr>
          <w:rFonts w:hint="eastAsia" w:ascii="仿宋_GB2312" w:hAnsi="Times New Roman" w:eastAsia="仿宋_GB2312" w:cs="DengXian-Regular"/>
          <w:sz w:val="32"/>
          <w:szCs w:val="32"/>
        </w:rPr>
        <w:t>公顷、绿地总面积</w:t>
      </w:r>
      <w:r>
        <w:rPr>
          <w:rFonts w:ascii="仿宋_GB2312" w:hAnsi="Times New Roman" w:eastAsia="仿宋_GB2312" w:cs="DengXian-Regular"/>
          <w:sz w:val="32"/>
          <w:szCs w:val="32"/>
        </w:rPr>
        <w:t>2165.8</w:t>
      </w:r>
      <w:r>
        <w:rPr>
          <w:rFonts w:hint="eastAsia" w:ascii="仿宋_GB2312" w:hAnsi="Times New Roman" w:eastAsia="仿宋_GB2312" w:cs="DengXian-Regular"/>
          <w:sz w:val="32"/>
          <w:szCs w:val="32"/>
        </w:rPr>
        <w:t>公顷，公园绿地面积</w:t>
      </w:r>
      <w:r>
        <w:rPr>
          <w:rFonts w:ascii="仿宋_GB2312" w:hAnsi="Times New Roman" w:eastAsia="仿宋_GB2312" w:cs="DengXian-Regular"/>
          <w:sz w:val="32"/>
          <w:szCs w:val="32"/>
        </w:rPr>
        <w:t>329.41</w:t>
      </w:r>
      <w:r>
        <w:rPr>
          <w:rFonts w:hint="eastAsia" w:ascii="仿宋_GB2312" w:hAnsi="Times New Roman" w:eastAsia="仿宋_GB2312" w:cs="DengXian-Regular"/>
          <w:sz w:val="32"/>
          <w:szCs w:val="32"/>
        </w:rPr>
        <w:t>公顷。</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）垦区棚户区改造。</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年我区棚改项目市达任务指标共计</w:t>
      </w:r>
      <w:r>
        <w:rPr>
          <w:rFonts w:ascii="仿宋_GB2312" w:hAnsi="Times New Roman" w:eastAsia="仿宋_GB2312" w:cs="DengXian-Regular"/>
          <w:sz w:val="32"/>
          <w:szCs w:val="32"/>
        </w:rPr>
        <w:t>71</w:t>
      </w:r>
      <w:r>
        <w:rPr>
          <w:rFonts w:hint="eastAsia" w:ascii="仿宋_GB2312" w:hAnsi="Times New Roman" w:eastAsia="仿宋_GB2312" w:cs="DengXian-Regular"/>
          <w:sz w:val="32"/>
          <w:szCs w:val="32"/>
        </w:rPr>
        <w:t>户，已完工，进入分户验收阶段，提前完成</w:t>
      </w:r>
      <w:r>
        <w:rPr>
          <w:rFonts w:ascii="仿宋_GB2312" w:hAnsi="Times New Roman" w:eastAsia="仿宋_GB2312" w:cs="DengXian-Regular"/>
          <w:sz w:val="32"/>
          <w:szCs w:val="32"/>
        </w:rPr>
        <w:t>2020</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11</w:t>
      </w:r>
      <w:r>
        <w:rPr>
          <w:rFonts w:hint="eastAsia" w:ascii="仿宋_GB2312" w:hAnsi="Times New Roman" w:eastAsia="仿宋_GB2312" w:cs="DengXian-Regular"/>
          <w:sz w:val="32"/>
          <w:szCs w:val="32"/>
        </w:rPr>
        <w:t>月竣工的既定目标。建设地点位于三农场、九农场、十一农场范围内，改造方式为危房原址翻建和维修加固（无配套基础设施建设）该项工作由职工家庭自行组织施工，项目建设期</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年，目前基本建成，正在组织分户验收。</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）建设四个生活垃圾转运站。根据省市要求我区启动四座农村垃圾转运站建设，现正在推进相关工作。按照实际需求，八场建设一座</w:t>
      </w:r>
      <w:r>
        <w:rPr>
          <w:rFonts w:ascii="仿宋_GB2312" w:hAnsi="Times New Roman" w:eastAsia="仿宋_GB2312" w:cs="DengXian-Regular"/>
          <w:sz w:val="32"/>
          <w:szCs w:val="32"/>
        </w:rPr>
        <w:t xml:space="preserve"> 50t/d </w:t>
      </w:r>
      <w:r>
        <w:rPr>
          <w:rFonts w:hint="eastAsia" w:ascii="仿宋_GB2312" w:hAnsi="Times New Roman" w:eastAsia="仿宋_GB2312" w:cs="DengXian-Regular"/>
          <w:sz w:val="32"/>
          <w:szCs w:val="32"/>
        </w:rPr>
        <w:t>垃圾压缩中转站；十农场、十一农场合建一座</w:t>
      </w:r>
      <w:r>
        <w:rPr>
          <w:rFonts w:ascii="仿宋_GB2312" w:hAnsi="Times New Roman" w:eastAsia="仿宋_GB2312" w:cs="DengXian-Regular"/>
          <w:sz w:val="32"/>
          <w:szCs w:val="32"/>
        </w:rPr>
        <w:t xml:space="preserve"> 50t/d </w:t>
      </w:r>
      <w:r>
        <w:rPr>
          <w:rFonts w:hint="eastAsia" w:ascii="仿宋_GB2312" w:hAnsi="Times New Roman" w:eastAsia="仿宋_GB2312" w:cs="DengXian-Regular"/>
          <w:sz w:val="32"/>
          <w:szCs w:val="32"/>
        </w:rPr>
        <w:t>垃圾压缩中转站；九农场、柳赞镇合建一座</w:t>
      </w:r>
      <w:r>
        <w:rPr>
          <w:rFonts w:ascii="仿宋_GB2312" w:hAnsi="Times New Roman" w:eastAsia="仿宋_GB2312" w:cs="DengXian-Regular"/>
          <w:sz w:val="32"/>
          <w:szCs w:val="32"/>
        </w:rPr>
        <w:t xml:space="preserve"> 50t/d </w:t>
      </w:r>
      <w:r>
        <w:rPr>
          <w:rFonts w:hint="eastAsia" w:ascii="仿宋_GB2312" w:hAnsi="Times New Roman" w:eastAsia="仿宋_GB2312" w:cs="DengXian-Regular"/>
          <w:sz w:val="32"/>
          <w:szCs w:val="32"/>
        </w:rPr>
        <w:t>垃圾压缩中转站；六农场、唐海镇合建一座</w:t>
      </w:r>
      <w:r>
        <w:rPr>
          <w:rFonts w:ascii="仿宋_GB2312" w:hAnsi="Times New Roman" w:eastAsia="仿宋_GB2312" w:cs="DengXian-Regular"/>
          <w:sz w:val="32"/>
          <w:szCs w:val="32"/>
        </w:rPr>
        <w:t xml:space="preserve"> 30t/d </w:t>
      </w:r>
      <w:r>
        <w:rPr>
          <w:rFonts w:hint="eastAsia" w:ascii="仿宋_GB2312" w:hAnsi="Times New Roman" w:eastAsia="仿宋_GB2312" w:cs="DengXian-Regular"/>
          <w:sz w:val="32"/>
          <w:szCs w:val="32"/>
        </w:rPr>
        <w:t>垃圾压缩中转站。工程内容主要包括建筑工程、配套安装相应垃圾压缩设备及配套相应箱体、购置垃圾运输车辆及吸污车。目前完成了初步设计评审，设计单位正在按照评审机构要求进一步完善设计。全年度垃圾处理量为</w:t>
      </w:r>
      <w:r>
        <w:rPr>
          <w:rFonts w:ascii="仿宋_GB2312" w:hAnsi="Times New Roman" w:eastAsia="仿宋_GB2312" w:cs="DengXian-Regular"/>
          <w:sz w:val="32"/>
          <w:szCs w:val="32"/>
        </w:rPr>
        <w:t>8.96</w:t>
      </w:r>
      <w:r>
        <w:rPr>
          <w:rFonts w:hint="eastAsia" w:ascii="仿宋_GB2312" w:hAnsi="Times New Roman" w:eastAsia="仿宋_GB2312" w:cs="DengXian-Regular"/>
          <w:sz w:val="32"/>
          <w:szCs w:val="32"/>
        </w:rPr>
        <w:t>万吨，无害化处理率已达</w:t>
      </w:r>
      <w:r>
        <w:rPr>
          <w:rFonts w:ascii="仿宋_GB2312" w:hAnsi="Times New Roman" w:eastAsia="仿宋_GB2312" w:cs="DengXian-Regular"/>
          <w:sz w:val="32"/>
          <w:szCs w:val="32"/>
        </w:rPr>
        <w:t>100%</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）既有建筑节能改造。</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年完成</w:t>
      </w:r>
      <w:r>
        <w:rPr>
          <w:rFonts w:ascii="仿宋_GB2312" w:hAnsi="Times New Roman" w:eastAsia="仿宋_GB2312" w:cs="DengXian-Regular"/>
          <w:sz w:val="32"/>
          <w:szCs w:val="32"/>
        </w:rPr>
        <w:t>9</w:t>
      </w:r>
      <w:r>
        <w:rPr>
          <w:rFonts w:hint="eastAsia" w:ascii="仿宋_GB2312" w:hAnsi="Times New Roman" w:eastAsia="仿宋_GB2312" w:cs="DengXian-Regular"/>
          <w:sz w:val="32"/>
          <w:szCs w:val="32"/>
        </w:rPr>
        <w:t>万平米农村房屋既有建筑节能改造，超额完成了</w:t>
      </w:r>
      <w:r>
        <w:rPr>
          <w:rFonts w:ascii="仿宋_GB2312" w:hAnsi="Times New Roman" w:eastAsia="仿宋_GB2312" w:cs="DengXian-Regular"/>
          <w:sz w:val="32"/>
          <w:szCs w:val="32"/>
        </w:rPr>
        <w:t>6</w:t>
      </w:r>
      <w:r>
        <w:rPr>
          <w:rFonts w:hint="eastAsia" w:ascii="仿宋_GB2312" w:hAnsi="Times New Roman" w:eastAsia="仿宋_GB2312" w:cs="DengXian-Regular"/>
          <w:sz w:val="32"/>
          <w:szCs w:val="32"/>
        </w:rPr>
        <w:t>万平米改造任务。</w:t>
      </w:r>
    </w:p>
    <w:p>
      <w:pPr>
        <w:pStyle w:val="4"/>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7</w:t>
      </w:r>
      <w:r>
        <w:rPr>
          <w:rFonts w:hint="eastAsia" w:ascii="仿宋_GB2312" w:hAnsi="Times New Roman" w:eastAsia="仿宋_GB2312" w:cs="DengXian-Regular"/>
          <w:sz w:val="32"/>
          <w:szCs w:val="32"/>
        </w:rPr>
        <w:t>）加强城市公交运营监督管理工作，</w:t>
      </w:r>
      <w:r>
        <w:rPr>
          <w:rFonts w:ascii="仿宋_GB2312" w:hAnsi="Times New Roman" w:eastAsia="仿宋_GB2312" w:cs="DengXian-Regular"/>
          <w:sz w:val="32"/>
          <w:szCs w:val="32"/>
        </w:rPr>
        <w:t xml:space="preserve"> 2019</w:t>
      </w:r>
      <w:r>
        <w:rPr>
          <w:rFonts w:hint="eastAsia" w:ascii="仿宋_GB2312" w:hAnsi="Times New Roman" w:eastAsia="仿宋_GB2312" w:cs="DengXian-Regular"/>
          <w:sz w:val="32"/>
          <w:szCs w:val="32"/>
        </w:rPr>
        <w:t>年，区公交公司根据需要开通了九农场、柳赞</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城区公交线路，及火车站接驳线路，截至目前，区公交公司已开通</w:t>
      </w:r>
      <w:r>
        <w:rPr>
          <w:rFonts w:ascii="仿宋_GB2312" w:hAnsi="Times New Roman" w:eastAsia="仿宋_GB2312" w:cs="DengXian-Regular"/>
          <w:sz w:val="32"/>
          <w:szCs w:val="32"/>
        </w:rPr>
        <w:t>22</w:t>
      </w:r>
      <w:r>
        <w:rPr>
          <w:rFonts w:hint="eastAsia" w:ascii="仿宋_GB2312" w:hAnsi="Times New Roman" w:eastAsia="仿宋_GB2312" w:cs="DengXian-Regular"/>
          <w:sz w:val="32"/>
          <w:szCs w:val="32"/>
        </w:rPr>
        <w:t>条公交线路，其中</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条常规公交线路、</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条场镇公交线路、</w:t>
      </w: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条定制公交专线、</w:t>
      </w:r>
      <w:r>
        <w:rPr>
          <w:rFonts w:ascii="仿宋_GB2312" w:hAnsi="Times New Roman" w:eastAsia="仿宋_GB2312" w:cs="DengXian-Regular"/>
          <w:sz w:val="32"/>
          <w:szCs w:val="32"/>
        </w:rPr>
        <w:t>4</w:t>
      </w:r>
      <w:r>
        <w:rPr>
          <w:rFonts w:hint="eastAsia" w:ascii="仿宋_GB2312" w:hAnsi="Times New Roman" w:eastAsia="仿宋_GB2312" w:cs="DengXian-Regular"/>
          <w:sz w:val="32"/>
          <w:szCs w:val="32"/>
        </w:rPr>
        <w:t>条火车站专线，投入公交车</w:t>
      </w:r>
      <w:r>
        <w:rPr>
          <w:rFonts w:ascii="仿宋_GB2312" w:hAnsi="Times New Roman" w:eastAsia="仿宋_GB2312" w:cs="DengXian-Regular"/>
          <w:sz w:val="32"/>
          <w:szCs w:val="32"/>
        </w:rPr>
        <w:t>123</w:t>
      </w:r>
      <w:r>
        <w:rPr>
          <w:rFonts w:hint="eastAsia" w:ascii="仿宋_GB2312" w:hAnsi="Times New Roman" w:eastAsia="仿宋_GB2312" w:cs="DengXian-Regular"/>
          <w:sz w:val="32"/>
          <w:szCs w:val="32"/>
        </w:rPr>
        <w:t>辆，实现了四大板块间、机关和重点企事业单位及人口聚集区的连通和覆盖。</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年年初至今，累计派发公交车约</w:t>
      </w:r>
      <w:r>
        <w:rPr>
          <w:rFonts w:ascii="仿宋_GB2312" w:hAnsi="Times New Roman" w:eastAsia="仿宋_GB2312" w:cs="DengXian-Regular"/>
          <w:sz w:val="32"/>
          <w:szCs w:val="32"/>
        </w:rPr>
        <w:t>15.6</w:t>
      </w:r>
      <w:r>
        <w:rPr>
          <w:rFonts w:hint="eastAsia" w:ascii="仿宋_GB2312" w:hAnsi="Times New Roman" w:eastAsia="仿宋_GB2312" w:cs="DengXian-Regular"/>
          <w:sz w:val="32"/>
          <w:szCs w:val="32"/>
        </w:rPr>
        <w:t>万班次，运营总里程约</w:t>
      </w:r>
      <w:r>
        <w:rPr>
          <w:rFonts w:ascii="仿宋_GB2312" w:hAnsi="Times New Roman" w:eastAsia="仿宋_GB2312" w:cs="DengXian-Regular"/>
          <w:sz w:val="32"/>
          <w:szCs w:val="32"/>
        </w:rPr>
        <w:t>389.63</w:t>
      </w:r>
      <w:r>
        <w:rPr>
          <w:rFonts w:hint="eastAsia" w:ascii="仿宋_GB2312" w:hAnsi="Times New Roman" w:eastAsia="仿宋_GB2312" w:cs="DengXian-Regular"/>
          <w:sz w:val="32"/>
          <w:szCs w:val="32"/>
        </w:rPr>
        <w:t>万公里，客运总量约</w:t>
      </w:r>
      <w:r>
        <w:rPr>
          <w:rFonts w:ascii="仿宋_GB2312" w:hAnsi="Times New Roman" w:eastAsia="仿宋_GB2312" w:cs="DengXian-Regular"/>
          <w:sz w:val="32"/>
          <w:szCs w:val="32"/>
        </w:rPr>
        <w:t>212.58</w:t>
      </w:r>
      <w:r>
        <w:rPr>
          <w:rFonts w:hint="eastAsia" w:ascii="仿宋_GB2312" w:hAnsi="Times New Roman" w:eastAsia="仿宋_GB2312" w:cs="DengXian-Regular"/>
          <w:sz w:val="32"/>
          <w:szCs w:val="32"/>
        </w:rPr>
        <w:t>万人次（其中老年人免费及其他公益性免费乘车约</w:t>
      </w:r>
      <w:r>
        <w:rPr>
          <w:rFonts w:ascii="仿宋_GB2312" w:hAnsi="Times New Roman" w:eastAsia="仿宋_GB2312" w:cs="DengXian-Regular"/>
          <w:sz w:val="32"/>
          <w:szCs w:val="32"/>
        </w:rPr>
        <w:t>37.57</w:t>
      </w:r>
      <w:r>
        <w:rPr>
          <w:rFonts w:hint="eastAsia" w:ascii="仿宋_GB2312" w:hAnsi="Times New Roman" w:eastAsia="仿宋_GB2312" w:cs="DengXian-Regular"/>
          <w:sz w:val="32"/>
          <w:szCs w:val="32"/>
        </w:rPr>
        <w:t>万人次），基本满足了四个板块主要区域乘坐城市公交出行的需求。</w:t>
      </w:r>
    </w:p>
    <w:p>
      <w:pPr>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8</w:t>
      </w:r>
      <w:r>
        <w:rPr>
          <w:rFonts w:hint="eastAsia" w:ascii="仿宋_GB2312" w:hAnsi="Times New Roman" w:eastAsia="仿宋_GB2312" w:cs="DengXian-Regular"/>
          <w:sz w:val="32"/>
          <w:szCs w:val="32"/>
        </w:rPr>
        <w:t>）滨海里廉租住房后续简装工程。较好地完成了</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年初设定的工作任务，已完成项目的</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，资金拨付达到</w:t>
      </w:r>
      <w:r>
        <w:rPr>
          <w:rFonts w:ascii="仿宋_GB2312" w:hAnsi="Times New Roman" w:eastAsia="仿宋_GB2312" w:cs="DengXian-Regular"/>
          <w:sz w:val="32"/>
          <w:szCs w:val="32"/>
        </w:rPr>
        <w:t>100%</w:t>
      </w:r>
      <w:r>
        <w:rPr>
          <w:rFonts w:hint="eastAsia" w:ascii="仿宋_GB2312" w:hAnsi="Times New Roman" w:eastAsia="仿宋_GB2312" w:cs="DengXian-Regular"/>
          <w:sz w:val="32"/>
          <w:szCs w:val="32"/>
        </w:rPr>
        <w:t>。我区滨海里</w:t>
      </w:r>
      <w:r>
        <w:rPr>
          <w:rFonts w:ascii="仿宋_GB2312" w:hAnsi="Times New Roman" w:eastAsia="仿宋_GB2312" w:cs="DengXian-Regular"/>
          <w:sz w:val="32"/>
          <w:szCs w:val="32"/>
        </w:rPr>
        <w:t>225</w:t>
      </w:r>
      <w:r>
        <w:rPr>
          <w:rFonts w:hint="eastAsia" w:ascii="仿宋_GB2312" w:hAnsi="Times New Roman" w:eastAsia="仿宋_GB2312" w:cs="DengXian-Regular"/>
          <w:sz w:val="32"/>
          <w:szCs w:val="32"/>
        </w:rPr>
        <w:t>套廉租房后续室内简装工程共计</w:t>
      </w:r>
      <w:r>
        <w:rPr>
          <w:rFonts w:ascii="仿宋_GB2312" w:hAnsi="Times New Roman" w:eastAsia="仿宋_GB2312" w:cs="DengXian-Regular"/>
          <w:sz w:val="32"/>
          <w:szCs w:val="32"/>
        </w:rPr>
        <w:t>255</w:t>
      </w:r>
      <w:r>
        <w:rPr>
          <w:rFonts w:hint="eastAsia" w:ascii="仿宋_GB2312" w:hAnsi="Times New Roman" w:eastAsia="仿宋_GB2312" w:cs="DengXian-Regular"/>
          <w:sz w:val="32"/>
          <w:szCs w:val="32"/>
        </w:rPr>
        <w:t>套，</w:t>
      </w:r>
      <w:r>
        <w:rPr>
          <w:rFonts w:ascii="仿宋_GB2312" w:hAnsi="Times New Roman" w:eastAsia="仿宋_GB2312" w:cs="DengXian-Regular"/>
          <w:sz w:val="32"/>
          <w:szCs w:val="32"/>
        </w:rPr>
        <w:t xml:space="preserve"> 2019</w:t>
      </w:r>
      <w:r>
        <w:rPr>
          <w:rFonts w:hint="eastAsia" w:ascii="仿宋_GB2312" w:hAnsi="Times New Roman" w:eastAsia="仿宋_GB2312" w:cs="DengXian-Regular"/>
          <w:sz w:val="32"/>
          <w:szCs w:val="32"/>
        </w:rPr>
        <w:t>年财政预算安排共计</w:t>
      </w:r>
      <w:r>
        <w:rPr>
          <w:rFonts w:ascii="仿宋_GB2312" w:hAnsi="Times New Roman" w:eastAsia="仿宋_GB2312" w:cs="DengXian-Regular"/>
          <w:sz w:val="32"/>
          <w:szCs w:val="32"/>
        </w:rPr>
        <w:t>147.1</w:t>
      </w:r>
      <w:r>
        <w:rPr>
          <w:rFonts w:hint="eastAsia" w:ascii="仿宋_GB2312" w:hAnsi="Times New Roman" w:eastAsia="仿宋_GB2312" w:cs="DengXian-Regular"/>
          <w:sz w:val="32"/>
          <w:szCs w:val="32"/>
        </w:rPr>
        <w:t>万元。建设资金做到了专款专用，专户管理。截</w:t>
      </w:r>
      <w:r>
        <w:rPr>
          <w:rFonts w:hint="eastAsia" w:ascii="仿宋_GB2312" w:hAnsi="Times New Roman" w:eastAsia="仿宋_GB2312" w:cs="DengXian-Regular"/>
          <w:sz w:val="32"/>
          <w:szCs w:val="32"/>
          <w:lang w:val="en-US" w:eastAsia="zh-CN"/>
        </w:rPr>
        <w:t>至</w:t>
      </w:r>
      <w:bookmarkStart w:id="0" w:name="_GoBack"/>
      <w:bookmarkEnd w:id="0"/>
      <w:r>
        <w:rPr>
          <w:rFonts w:hint="eastAsia" w:ascii="仿宋_GB2312" w:hAnsi="Times New Roman" w:eastAsia="仿宋_GB2312" w:cs="DengXian-Regular"/>
          <w:sz w:val="32"/>
          <w:szCs w:val="32"/>
        </w:rPr>
        <w:t>目前，项目已交付使用，预算资金已全部拨付到位。</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ascii="仿宋_GB2312" w:hAnsi="Times New Roman" w:eastAsia="仿宋_GB2312" w:cs="DengXian-Regular"/>
          <w:sz w:val="32"/>
          <w:szCs w:val="32"/>
        </w:rPr>
        <w:t>132</w:t>
      </w:r>
      <w:r>
        <w:rPr>
          <w:rFonts w:hint="eastAsia" w:ascii="仿宋_GB2312" w:hAnsi="Times New Roman" w:eastAsia="仿宋_GB2312" w:cs="DengXian-Regular"/>
          <w:sz w:val="32"/>
          <w:szCs w:val="32"/>
        </w:rPr>
        <w:t>.</w:t>
      </w:r>
      <w:r>
        <w:rPr>
          <w:rFonts w:ascii="仿宋_GB2312" w:hAnsi="Times New Roman" w:eastAsia="仿宋_GB2312" w:cs="DengXian-Regular"/>
          <w:sz w:val="32"/>
          <w:szCs w:val="32"/>
        </w:rPr>
        <w:t>3</w:t>
      </w:r>
      <w:r>
        <w:rPr>
          <w:rFonts w:hint="eastAsia" w:ascii="仿宋_GB2312" w:hAnsi="Times New Roman" w:eastAsia="仿宋_GB2312" w:cs="DengXian-Regular"/>
          <w:sz w:val="32"/>
          <w:szCs w:val="32"/>
        </w:rPr>
        <w:t>9万元，比2018年度减少24.59万元，降低15.66%。主要原因是节约支出。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本部门2019年度政府采购支出总额4437.97万元，从采购类型来看，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30.6</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28.</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4379.17</w:t>
      </w:r>
      <w:r>
        <w:rPr>
          <w:rFonts w:ascii="仿宋_GB2312" w:hAnsi="仿宋_GB2312" w:eastAsia="仿宋_GB2312" w:cs="仿宋_GB2312"/>
          <w:color w:val="000000"/>
          <w:kern w:val="0"/>
          <w:sz w:val="32"/>
          <w:szCs w:val="32"/>
        </w:rPr>
        <w:t>万元。</w:t>
      </w:r>
      <w:r>
        <w:rPr>
          <w:rFonts w:ascii="仿宋_GB2312" w:hAnsi="仿宋_GB2312" w:eastAsia="仿宋_GB2312" w:cs="仿宋_GB2312"/>
          <w:color w:val="000000"/>
          <w:kern w:val="0"/>
          <w:sz w:val="32"/>
          <w:szCs w:val="32"/>
          <w:lang w:val="en-US" w:eastAsia="zh-CN" w:bidi="ar"/>
        </w:rPr>
        <w:t>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15辆，与上年持平。其中，副部（省）级及以上领导用车0辆，主要领导干部用车0辆，机要通信用车0辆，应急保障用车0辆，执法执勤用车4辆，特种专业技术用车0辆，离退休干部用车0辆，其他用车11辆，其他用车主要是工程车；</w:t>
      </w:r>
    </w:p>
    <w:p>
      <w:pPr>
        <w:adjustRightInd w:val="0"/>
        <w:snapToGrid w:val="0"/>
        <w:spacing w:line="580" w:lineRule="exact"/>
        <w:ind w:firstLine="640" w:firstLineChars="200"/>
        <w:rPr>
          <w:rFonts w:hint="eastAsia"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ind w:firstLine="640" w:firstLineChars="200"/>
        <w:jc w:val="both"/>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1. 本部门2019年度国有资本经营预算财政拨款无收支及结转结余情况，故国有资本经营预算财政拨款支出决算表以空表列示。</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r>
        <w:rPr>
          <w:rFonts w:hint="eastAsia" w:ascii="仿宋_GB2312" w:hAnsi="Times New Roman" w:eastAsia="仿宋_GB2312" w:cs="DengXian-Regular"/>
          <w:sz w:val="32"/>
          <w:szCs w:val="32"/>
          <w:lang w:eastAsia="zh-CN"/>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p>
    <w:p>
      <w:pPr>
        <w:jc w:val="center"/>
        <w:rPr>
          <w:rFonts w:hint="default" w:ascii="黑体" w:hAnsi="黑体" w:eastAsia="黑体" w:cs="黑体"/>
          <w:sz w:val="56"/>
          <w:szCs w:val="72"/>
          <w:lang w:val="en-US" w:eastAsia="zh-CN"/>
        </w:rPr>
      </w:pP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25168281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281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17"/>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9" w:type="first"/>
          <w:footerReference r:id="rId11" w:type="first"/>
          <w:headerReference r:id="rId8" w:type="default"/>
          <w:footerReference r:id="rId10" w:type="default"/>
          <w:pgSz w:w="11906" w:h="16838"/>
          <w:pgMar w:top="2041" w:right="1531" w:bottom="2041" w:left="1531" w:header="851" w:footer="992" w:gutter="0"/>
          <w:pgNumType w:fmt="numberInDash"/>
          <w:cols w:space="0" w:num="1"/>
          <w:titlePg/>
          <w:rtlGutter w:val="0"/>
          <w:docGrid w:type="lines" w:linePitch="312" w:charSpace="0"/>
        </w:sectPr>
      </w:pPr>
    </w:p>
    <w:p>
      <w:pPr>
        <w:ind w:firstLine="643" w:firstLineChars="200"/>
        <w:rPr>
          <w:rFonts w:hint="eastAsia" w:ascii="仿宋_GB2312" w:hAnsi="宋体" w:eastAsia="仿宋_GB2312" w:cs="Times New Roman"/>
          <w:b/>
          <w:bCs/>
          <w:color w:val="000000"/>
          <w:kern w:val="0"/>
          <w:sz w:val="32"/>
          <w:szCs w:val="32"/>
        </w:rPr>
      </w:pPr>
    </w:p>
    <w:p>
      <w:pPr>
        <w:ind w:firstLine="643" w:firstLineChars="200"/>
        <w:rPr>
          <w:rFonts w:hint="eastAsia" w:ascii="仿宋_GB2312" w:hAnsi="宋体" w:eastAsia="仿宋_GB2312" w:cs="Times New Roman"/>
          <w:b/>
          <w:bCs/>
          <w:color w:val="000000"/>
          <w:kern w:val="0"/>
          <w:sz w:val="32"/>
          <w:szCs w:val="32"/>
        </w:rPr>
      </w:pPr>
    </w:p>
    <w:p>
      <w:pPr>
        <w:ind w:firstLine="643" w:firstLineChars="200"/>
        <w:rPr>
          <w:rFonts w:hint="eastAsia" w:ascii="仿宋_GB2312" w:hAnsi="宋体" w:eastAsia="仿宋_GB2312" w:cs="Times New Roman"/>
          <w:b/>
          <w:bCs/>
          <w:color w:val="000000"/>
          <w:kern w:val="0"/>
          <w:sz w:val="32"/>
          <w:szCs w:val="32"/>
        </w:rPr>
      </w:pPr>
    </w:p>
    <w:p>
      <w:pPr>
        <w:ind w:firstLine="643" w:firstLineChars="200"/>
        <w:rPr>
          <w:rFonts w:hint="eastAsia" w:ascii="仿宋_GB2312" w:hAnsi="宋体" w:eastAsia="仿宋_GB2312" w:cs="Times New Roman"/>
          <w:b/>
          <w:bCs/>
          <w:color w:val="000000"/>
          <w:kern w:val="0"/>
          <w:sz w:val="32"/>
          <w:szCs w:val="32"/>
        </w:rPr>
      </w:pPr>
    </w:p>
    <w:p>
      <w:pPr>
        <w:ind w:firstLine="643" w:firstLineChars="200"/>
        <w:rPr>
          <w:rFonts w:hint="eastAsia" w:ascii="仿宋_GB2312" w:hAnsi="宋体" w:eastAsia="仿宋_GB2312" w:cs="Times New Roman"/>
          <w:b/>
          <w:bCs/>
          <w:color w:val="000000"/>
          <w:kern w:val="0"/>
          <w:sz w:val="32"/>
          <w:szCs w:val="32"/>
        </w:rPr>
      </w:pPr>
    </w:p>
    <w:p>
      <w:pPr>
        <w:ind w:firstLine="643" w:firstLineChars="200"/>
        <w:rPr>
          <w:rFonts w:hint="eastAsia" w:ascii="仿宋_GB2312" w:hAnsi="宋体" w:eastAsia="仿宋_GB2312" w:cs="Times New Roman"/>
          <w:b/>
          <w:bCs/>
          <w:color w:val="000000"/>
          <w:kern w:val="0"/>
          <w:sz w:val="32"/>
          <w:szCs w:val="32"/>
        </w:rPr>
      </w:pPr>
    </w:p>
    <w:p>
      <w:pPr>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1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o:title="5%" focussize="0,0" r:id="rId17"/>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jc w:val="center"/>
        <w:rPr>
          <w:rFonts w:hint="eastAsia"/>
          <w:sz w:val="32"/>
          <w:szCs w:val="32"/>
        </w:rPr>
      </w:pPr>
      <w:r>
        <w:rPr>
          <w:rFonts w:hint="eastAsia"/>
          <w:sz w:val="32"/>
          <w:szCs w:val="32"/>
        </w:rPr>
        <w:t>收入支出决算总表</w:t>
      </w:r>
    </w:p>
    <w:p>
      <w:pPr>
        <w:rPr>
          <w:rFonts w:hint="eastAsia"/>
          <w:szCs w:val="21"/>
        </w:rPr>
      </w:pPr>
      <w:r>
        <w:rPr>
          <w:rFonts w:hint="eastAsia"/>
          <w:szCs w:val="21"/>
        </w:rPr>
        <w:t>部门：唐山市曹妃甸区住房和城乡建设局                                                                             金额：单位万元</w:t>
      </w:r>
    </w:p>
    <w:tbl>
      <w:tblPr>
        <w:tblStyle w:val="7"/>
        <w:tblW w:w="14120" w:type="dxa"/>
        <w:jc w:val="center"/>
        <w:tblLayout w:type="autofit"/>
        <w:tblCellMar>
          <w:top w:w="0" w:type="dxa"/>
          <w:left w:w="108" w:type="dxa"/>
          <w:bottom w:w="0" w:type="dxa"/>
          <w:right w:w="108" w:type="dxa"/>
        </w:tblCellMar>
      </w:tblPr>
      <w:tblGrid>
        <w:gridCol w:w="4875"/>
        <w:gridCol w:w="690"/>
        <w:gridCol w:w="1495"/>
        <w:gridCol w:w="4875"/>
        <w:gridCol w:w="690"/>
        <w:gridCol w:w="1495"/>
      </w:tblGrid>
      <w:tr>
        <w:tblPrEx>
          <w:tblCellMar>
            <w:top w:w="0" w:type="dxa"/>
            <w:left w:w="108" w:type="dxa"/>
            <w:bottom w:w="0" w:type="dxa"/>
            <w:right w:w="108" w:type="dxa"/>
          </w:tblCellMar>
        </w:tblPrEx>
        <w:trPr>
          <w:trHeight w:val="308" w:hRule="atLeast"/>
          <w:jc w:val="center"/>
        </w:trPr>
        <w:tc>
          <w:tcPr>
            <w:tcW w:w="706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060"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4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4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49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6"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31,113.60</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10,877.29</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三、上级补助收入</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四、事业收入</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五、经营收入</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六、附属单位上缴收入</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七、其他收入</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165.14</w:t>
            </w:r>
          </w:p>
        </w:tc>
      </w:tr>
      <w:tr>
        <w:tblPrEx>
          <w:tblCellMar>
            <w:top w:w="0" w:type="dxa"/>
            <w:left w:w="108" w:type="dxa"/>
            <w:bottom w:w="0" w:type="dxa"/>
            <w:right w:w="108" w:type="dxa"/>
          </w:tblCellMar>
        </w:tblPrEx>
        <w:trPr>
          <w:trHeight w:val="306"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21,403.00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825.80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二十四、债务付息支出</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41,990.89</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38,712.26</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用事业基金弥补收支差额</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7,475.65</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10,754.28</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87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49,466.54</w:t>
            </w:r>
          </w:p>
        </w:tc>
        <w:tc>
          <w:tcPr>
            <w:tcW w:w="487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9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4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49,466.54</w:t>
            </w:r>
          </w:p>
        </w:tc>
      </w:tr>
    </w:tbl>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jc w:val="center"/>
        <w:rPr>
          <w:rFonts w:hint="eastAsia"/>
          <w:sz w:val="32"/>
          <w:szCs w:val="32"/>
        </w:rPr>
      </w:pPr>
      <w:r>
        <w:rPr>
          <w:rFonts w:hint="eastAsia"/>
          <w:sz w:val="32"/>
          <w:szCs w:val="32"/>
        </w:rPr>
        <w:t>收入决算表</w:t>
      </w:r>
    </w:p>
    <w:p>
      <w:pPr>
        <w:rPr>
          <w:rFonts w:hint="eastAsia"/>
          <w:szCs w:val="21"/>
        </w:rPr>
      </w:pPr>
      <w:r>
        <w:rPr>
          <w:rFonts w:hint="eastAsia"/>
          <w:szCs w:val="21"/>
        </w:rPr>
        <w:t>部门：唐山市曹妃甸区住房和城乡建设局                                                                             金额：单位万元</w:t>
      </w:r>
    </w:p>
    <w:tbl>
      <w:tblPr>
        <w:tblStyle w:val="7"/>
        <w:tblW w:w="13420" w:type="dxa"/>
        <w:jc w:val="center"/>
        <w:tblLayout w:type="autofit"/>
        <w:tblCellMar>
          <w:top w:w="0" w:type="dxa"/>
          <w:left w:w="108" w:type="dxa"/>
          <w:bottom w:w="0" w:type="dxa"/>
          <w:right w:w="108" w:type="dxa"/>
        </w:tblCellMar>
      </w:tblPr>
      <w:tblGrid>
        <w:gridCol w:w="986"/>
        <w:gridCol w:w="5532"/>
        <w:gridCol w:w="1479"/>
        <w:gridCol w:w="1479"/>
        <w:gridCol w:w="968"/>
        <w:gridCol w:w="817"/>
        <w:gridCol w:w="660"/>
        <w:gridCol w:w="747"/>
        <w:gridCol w:w="886"/>
      </w:tblGrid>
      <w:tr>
        <w:tblPrEx>
          <w:tblCellMar>
            <w:top w:w="0" w:type="dxa"/>
            <w:left w:w="108" w:type="dxa"/>
            <w:bottom w:w="0" w:type="dxa"/>
            <w:right w:w="108" w:type="dxa"/>
          </w:tblCellMar>
        </w:tblPrEx>
        <w:trPr>
          <w:trHeight w:val="308" w:hRule="atLeast"/>
          <w:jc w:val="center"/>
        </w:trPr>
        <w:tc>
          <w:tcPr>
            <w:tcW w:w="6461"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47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47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96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81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58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74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88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12" w:hRule="atLeast"/>
          <w:jc w:val="center"/>
        </w:trPr>
        <w:tc>
          <w:tcPr>
            <w:tcW w:w="929"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53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8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8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9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4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8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6461"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7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6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58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74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8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jc w:val="center"/>
        </w:trPr>
        <w:tc>
          <w:tcPr>
            <w:tcW w:w="6461"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41,990.89</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41,990.89</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220.30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220.30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6"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211.55</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211.55</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139.78</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139.78</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71.77</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71.77</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59.78</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59.78</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98.53</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98.53</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16,177.10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16,177.10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16,177.10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16,177.10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大气</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16,177.10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16,177.10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22,043.37</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22,043.37</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2,092.73</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2,092.73</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2,092.73</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2,092.73</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8,276.26</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8,276.26</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5,378.10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5,378.10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2,898.16</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2,898.16</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797.09</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797.09</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797.09</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797.09</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9,742.25</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9,742.25</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城市建设支出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5,051.08</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5,051.08</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其他国有土地使用权出让收入安排的支出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4,691.17</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4,691.17</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1,135.04</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1,135.04</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城市公共设施</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1,135.04</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1,135.04</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公共交通运营补助</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2,097.43</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2,097.43</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2,000.41</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2,000.41</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廉租住房</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661.54</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661.54</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棚户区改造</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212.00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212.00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2210107</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保障性住房租金补贴</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10.78</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10.78</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其他保障性安居工程支出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1,098.57</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1,098.57</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9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3420"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tabs>
          <w:tab w:val="left" w:pos="886"/>
        </w:tabs>
        <w:bidi w:val="0"/>
        <w:jc w:val="left"/>
        <w:rPr>
          <w:rFonts w:hint="default"/>
          <w:lang w:val="en-US" w:eastAsia="zh-CN"/>
        </w:rPr>
      </w:pPr>
    </w:p>
    <w:p>
      <w:pPr>
        <w:jc w:val="center"/>
        <w:rPr>
          <w:rFonts w:hint="eastAsia"/>
          <w:sz w:val="36"/>
          <w:szCs w:val="36"/>
        </w:rPr>
      </w:pPr>
      <w:r>
        <w:rPr>
          <w:rFonts w:hint="eastAsia"/>
          <w:sz w:val="36"/>
          <w:szCs w:val="36"/>
        </w:rPr>
        <w:t>支出决算表</w:t>
      </w:r>
    </w:p>
    <w:p>
      <w:pPr>
        <w:rPr>
          <w:rFonts w:hint="eastAsia"/>
          <w:szCs w:val="21"/>
        </w:rPr>
      </w:pPr>
      <w:r>
        <w:rPr>
          <w:rFonts w:hint="eastAsia"/>
          <w:szCs w:val="21"/>
        </w:rPr>
        <w:t>部门：唐山市曹妃甸区住房和城乡建设局                                                                             金额：单位万元</w:t>
      </w:r>
    </w:p>
    <w:tbl>
      <w:tblPr>
        <w:tblStyle w:val="7"/>
        <w:tblW w:w="12900" w:type="dxa"/>
        <w:jc w:val="center"/>
        <w:tblLayout w:type="autofit"/>
        <w:tblCellMar>
          <w:top w:w="0" w:type="dxa"/>
          <w:left w:w="108" w:type="dxa"/>
          <w:bottom w:w="0" w:type="dxa"/>
          <w:right w:w="108" w:type="dxa"/>
        </w:tblCellMar>
      </w:tblPr>
      <w:tblGrid>
        <w:gridCol w:w="986"/>
        <w:gridCol w:w="5532"/>
        <w:gridCol w:w="1301"/>
        <w:gridCol w:w="1426"/>
        <w:gridCol w:w="1473"/>
        <w:gridCol w:w="732"/>
        <w:gridCol w:w="709"/>
        <w:gridCol w:w="801"/>
      </w:tblGrid>
      <w:tr>
        <w:tblPrEx>
          <w:tblCellMar>
            <w:top w:w="0" w:type="dxa"/>
            <w:left w:w="108" w:type="dxa"/>
            <w:bottom w:w="0" w:type="dxa"/>
            <w:right w:w="108" w:type="dxa"/>
          </w:tblCellMar>
        </w:tblPrEx>
        <w:trPr>
          <w:trHeight w:val="308" w:hRule="atLeast"/>
          <w:jc w:val="center"/>
        </w:trPr>
        <w:tc>
          <w:tcPr>
            <w:tcW w:w="645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3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42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4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73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70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8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jc w:val="center"/>
        </w:trPr>
        <w:tc>
          <w:tcPr>
            <w:tcW w:w="92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53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3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92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92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8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6458"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30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2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47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7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70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0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jc w:val="center"/>
        </w:trPr>
        <w:tc>
          <w:tcPr>
            <w:tcW w:w="6458"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38,712.26</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1,997.45</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36,714.81</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165.14</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165.14</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156.39</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156.39</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139.78</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139.78</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6"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59.78</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59.78</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98.53</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98.53</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大气</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21,403.00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1,576.99</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19,826.01</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1,855.97</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1,576.99</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278.98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1,855.97</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1,576.99</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278.98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8,619.74</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8,619.74</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5,368.60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5,368.60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3,251.15</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3,251.15</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8,851.08</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8,851.08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城市建设支出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5,051.08</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5,051.08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6"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其他国有土地使用权出让收入安排的支出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1,341.62</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1,341.62</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城市公共设施</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941.62</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941.62</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其他城市基础设施配套费安排的支出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公共交通运营补助</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825.80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728.78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728.78</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728.78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廉租住房</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527.74</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527.74</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棚户区改造</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52.36</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52.36</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2210107</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保障性住房租金补贴</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10.78</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其他保障性安居工程支出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120.38</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120.38</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92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3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7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2900"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jc w:val="both"/>
        <w:rPr>
          <w:rFonts w:hint="eastAsia"/>
          <w:sz w:val="32"/>
          <w:szCs w:val="32"/>
        </w:rPr>
      </w:pPr>
    </w:p>
    <w:p>
      <w:pPr>
        <w:jc w:val="center"/>
        <w:rPr>
          <w:rFonts w:hint="eastAsia"/>
          <w:sz w:val="32"/>
          <w:szCs w:val="32"/>
        </w:rPr>
      </w:pPr>
      <w:r>
        <w:rPr>
          <w:rFonts w:hint="eastAsia"/>
          <w:sz w:val="32"/>
          <w:szCs w:val="32"/>
        </w:rPr>
        <w:t>财政拨款收入支出决算总表</w:t>
      </w:r>
    </w:p>
    <w:p>
      <w:pPr>
        <w:rPr>
          <w:rFonts w:hint="eastAsia"/>
          <w:szCs w:val="21"/>
        </w:rPr>
      </w:pPr>
      <w:r>
        <w:rPr>
          <w:rFonts w:hint="eastAsia"/>
          <w:szCs w:val="21"/>
        </w:rPr>
        <w:t>部门：唐山市曹妃甸区住房和城乡建设局                                                                             金额：单位万元</w:t>
      </w:r>
    </w:p>
    <w:tbl>
      <w:tblPr>
        <w:tblStyle w:val="7"/>
        <w:tblW w:w="12281" w:type="dxa"/>
        <w:jc w:val="center"/>
        <w:tblLayout w:type="autofit"/>
        <w:tblCellMar>
          <w:top w:w="0" w:type="dxa"/>
          <w:left w:w="108" w:type="dxa"/>
          <w:bottom w:w="0" w:type="dxa"/>
          <w:right w:w="108" w:type="dxa"/>
        </w:tblCellMar>
      </w:tblPr>
      <w:tblGrid>
        <w:gridCol w:w="3060"/>
        <w:gridCol w:w="436"/>
        <w:gridCol w:w="1240"/>
        <w:gridCol w:w="3782"/>
        <w:gridCol w:w="436"/>
        <w:gridCol w:w="1206"/>
        <w:gridCol w:w="1206"/>
        <w:gridCol w:w="1206"/>
      </w:tblGrid>
      <w:tr>
        <w:tblPrEx>
          <w:tblCellMar>
            <w:top w:w="0" w:type="dxa"/>
            <w:left w:w="108" w:type="dxa"/>
            <w:bottom w:w="0" w:type="dxa"/>
            <w:right w:w="108" w:type="dxa"/>
          </w:tblCellMar>
        </w:tblPrEx>
        <w:trPr>
          <w:trHeight w:val="308" w:hRule="atLeast"/>
          <w:jc w:val="center"/>
        </w:trPr>
        <w:tc>
          <w:tcPr>
            <w:tcW w:w="470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7581" w:type="dxa"/>
            <w:gridSpan w:val="5"/>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jc w:val="center"/>
        </w:trPr>
        <w:tc>
          <w:tcPr>
            <w:tcW w:w="306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4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78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38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10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0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1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r>
      <w:tr>
        <w:tblPrEx>
          <w:tblCellMar>
            <w:top w:w="0" w:type="dxa"/>
            <w:left w:w="108" w:type="dxa"/>
            <w:bottom w:w="0" w:type="dxa"/>
            <w:right w:w="108" w:type="dxa"/>
          </w:tblCellMar>
        </w:tblPrEx>
        <w:trPr>
          <w:trHeight w:val="615" w:hRule="atLeast"/>
          <w:jc w:val="center"/>
        </w:trPr>
        <w:tc>
          <w:tcPr>
            <w:tcW w:w="3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0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8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8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6"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4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10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0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31,113.60</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10,877.29</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165.14</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165.14</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21,403.00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11,210.30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10,192.70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十四、资源勘探信息等支出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825.80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825.80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二十一、灾害防治及应急管理支出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二十二、其他支出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二十四、债务付息支出</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41,990.89</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38,712.26</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28,519.56</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10,192.70</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7,475.65</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10,754.28</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9,669.69</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1,084.59</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7,075.65</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306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0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49,466.54</w:t>
            </w:r>
          </w:p>
        </w:tc>
        <w:tc>
          <w:tcPr>
            <w:tcW w:w="378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38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49,466.54</w:t>
            </w:r>
          </w:p>
        </w:tc>
        <w:tc>
          <w:tcPr>
            <w:tcW w:w="12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38,189.25</w:t>
            </w:r>
          </w:p>
        </w:tc>
        <w:tc>
          <w:tcPr>
            <w:tcW w:w="1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11,277.29</w:t>
            </w:r>
          </w:p>
        </w:tc>
      </w:tr>
    </w:tbl>
    <w:p>
      <w:pPr>
        <w:rPr>
          <w:rFonts w:hint="eastAsia"/>
          <w:szCs w:val="21"/>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sectPr>
          <w:headerReference r:id="rId13" w:type="default"/>
          <w:footerReference r:id="rId14" w:type="default"/>
          <w:pgSz w:w="16838" w:h="11906" w:orient="landscape"/>
          <w:pgMar w:top="1417" w:right="1701" w:bottom="1417" w:left="1281" w:header="851" w:footer="992" w:gutter="0"/>
          <w:pgNumType w:fmt="numberInDash"/>
          <w:cols w:space="0" w:num="1"/>
          <w:rtlGutter w:val="0"/>
          <w:docGrid w:type="lines" w:linePitch="312" w:charSpace="0"/>
        </w:sectPr>
      </w:pPr>
    </w:p>
    <w:p>
      <w:pPr>
        <w:jc w:val="center"/>
        <w:rPr>
          <w:rFonts w:hint="eastAsia"/>
          <w:szCs w:val="21"/>
        </w:rPr>
      </w:pPr>
      <w:r>
        <w:rPr>
          <w:rFonts w:hint="eastAsia"/>
          <w:sz w:val="32"/>
          <w:szCs w:val="32"/>
        </w:rPr>
        <w:t>一般公共预算财政拨款支出决算表</w:t>
      </w:r>
    </w:p>
    <w:p>
      <w:pPr>
        <w:rPr>
          <w:rFonts w:hint="eastAsia"/>
          <w:szCs w:val="21"/>
        </w:rPr>
      </w:pPr>
      <w:r>
        <w:rPr>
          <w:rFonts w:hint="eastAsia"/>
          <w:szCs w:val="21"/>
        </w:rPr>
        <w:t>部门：唐山市曹妃甸区住房和城乡建设局                         金额：单位万元</w:t>
      </w:r>
    </w:p>
    <w:tbl>
      <w:tblPr>
        <w:tblStyle w:val="7"/>
        <w:tblpPr w:leftFromText="180" w:rightFromText="180" w:vertAnchor="text" w:horzAnchor="page" w:tblpX="1560" w:tblpY="32"/>
        <w:tblOverlap w:val="never"/>
        <w:tblW w:w="9060" w:type="dxa"/>
        <w:tblInd w:w="0" w:type="dxa"/>
        <w:tblLayout w:type="autofit"/>
        <w:tblCellMar>
          <w:top w:w="0" w:type="dxa"/>
          <w:left w:w="108" w:type="dxa"/>
          <w:bottom w:w="0" w:type="dxa"/>
          <w:right w:w="108" w:type="dxa"/>
        </w:tblCellMar>
      </w:tblPr>
      <w:tblGrid>
        <w:gridCol w:w="986"/>
        <w:gridCol w:w="3772"/>
        <w:gridCol w:w="1533"/>
        <w:gridCol w:w="1416"/>
        <w:gridCol w:w="1353"/>
      </w:tblGrid>
      <w:tr>
        <w:tblPrEx>
          <w:tblCellMar>
            <w:top w:w="0" w:type="dxa"/>
            <w:left w:w="108" w:type="dxa"/>
            <w:bottom w:w="0" w:type="dxa"/>
            <w:right w:w="108" w:type="dxa"/>
          </w:tblCellMar>
        </w:tblPrEx>
        <w:trPr>
          <w:trHeight w:val="308" w:hRule="atLeast"/>
        </w:trPr>
        <w:tc>
          <w:tcPr>
            <w:tcW w:w="475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302"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98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77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3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1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35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7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77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3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5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758"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3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5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4758"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28,519.56</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1,997.45</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26,522.12</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2050299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其他普通教育支出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297.00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165.14</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165.14</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156.39</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156.39</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6"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139.78</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139.78</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158.30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59.78</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59.78</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98.53</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98.53</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大气</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14,568.63</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11,210.30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1,576.99</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9,633.31</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1,855.97</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1,576.99</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278.98</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1,855.97</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1,576.99</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278.98</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8,619.74</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8,619.74</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5,368.60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5,368.60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2120399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其他城乡社区公共设施支出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3,251.15</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3,251.15</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734.59</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其他交通运输支出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2149901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公共交通运营补助</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994.39</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825.80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728.78</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728.78</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728.78</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廉租住房</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527.74</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527.74</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2210103</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棚户区改造</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52.36</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52.36</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17.52</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2210107</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保障性住房租金补贴</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10.78</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10.78</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2210199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其他保障性安居工程支出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120.38</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120.38</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2299901</w:t>
            </w:r>
          </w:p>
        </w:tc>
        <w:tc>
          <w:tcPr>
            <w:tcW w:w="377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53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c>
          <w:tcPr>
            <w:tcW w:w="141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5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300.00</w:t>
            </w:r>
          </w:p>
        </w:tc>
      </w:tr>
    </w:tbl>
    <w:p>
      <w:pPr>
        <w:jc w:val="center"/>
        <w:rPr>
          <w:rFonts w:hint="eastAsia"/>
          <w:sz w:val="32"/>
          <w:szCs w:val="32"/>
        </w:rPr>
      </w:pPr>
      <w:r>
        <w:rPr>
          <w:rFonts w:hint="eastAsia"/>
          <w:szCs w:val="21"/>
        </w:rPr>
        <w:t xml:space="preserve">                                                                             </w:t>
      </w: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sectPr>
          <w:pgSz w:w="11906" w:h="16838"/>
          <w:pgMar w:top="1701" w:right="1417" w:bottom="1281" w:left="1417" w:header="851" w:footer="992" w:gutter="0"/>
          <w:pgNumType w:fmt="numberInDash"/>
          <w:cols w:space="0" w:num="1"/>
          <w:rtlGutter w:val="0"/>
          <w:docGrid w:type="lines" w:linePitch="312" w:charSpace="0"/>
        </w:sectPr>
      </w:pPr>
    </w:p>
    <w:p>
      <w:pPr>
        <w:jc w:val="center"/>
        <w:rPr>
          <w:rFonts w:hint="eastAsia"/>
          <w:sz w:val="32"/>
          <w:szCs w:val="32"/>
        </w:rPr>
      </w:pPr>
      <w:r>
        <w:rPr>
          <w:rFonts w:hint="eastAsia"/>
          <w:sz w:val="32"/>
          <w:szCs w:val="32"/>
        </w:rPr>
        <w:t>一般公共预算财政拨款基本支出决算表</w:t>
      </w:r>
    </w:p>
    <w:p>
      <w:pPr>
        <w:rPr>
          <w:rFonts w:hint="eastAsia"/>
          <w:szCs w:val="21"/>
        </w:rPr>
      </w:pPr>
      <w:r>
        <w:rPr>
          <w:rFonts w:hint="eastAsia"/>
          <w:szCs w:val="21"/>
        </w:rPr>
        <w:t>部门：唐山市曹妃甸区住房和城乡建设局                                                                     金额：单位万元</w:t>
      </w:r>
    </w:p>
    <w:tbl>
      <w:tblPr>
        <w:tblStyle w:val="7"/>
        <w:tblW w:w="14049" w:type="dxa"/>
        <w:jc w:val="center"/>
        <w:tblLayout w:type="autofit"/>
        <w:tblCellMar>
          <w:top w:w="0" w:type="dxa"/>
          <w:left w:w="108" w:type="dxa"/>
          <w:bottom w:w="0" w:type="dxa"/>
          <w:right w:w="108" w:type="dxa"/>
        </w:tblCellMar>
      </w:tblPr>
      <w:tblGrid>
        <w:gridCol w:w="730"/>
        <w:gridCol w:w="3128"/>
        <w:gridCol w:w="1038"/>
        <w:gridCol w:w="730"/>
        <w:gridCol w:w="2100"/>
        <w:gridCol w:w="833"/>
        <w:gridCol w:w="730"/>
        <w:gridCol w:w="3950"/>
        <w:gridCol w:w="833"/>
      </w:tblGrid>
      <w:tr>
        <w:tblPrEx>
          <w:tblCellMar>
            <w:top w:w="0" w:type="dxa"/>
            <w:left w:w="108" w:type="dxa"/>
            <w:bottom w:w="0" w:type="dxa"/>
            <w:right w:w="108" w:type="dxa"/>
          </w:tblCellMar>
        </w:tblPrEx>
        <w:trPr>
          <w:trHeight w:val="308" w:hRule="atLeast"/>
          <w:jc w:val="center"/>
        </w:trPr>
        <w:tc>
          <w:tcPr>
            <w:tcW w:w="482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223"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jc w:val="center"/>
        </w:trPr>
        <w:tc>
          <w:tcPr>
            <w:tcW w:w="58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33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1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64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223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6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62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421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4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jc w:val="center"/>
        </w:trPr>
        <w:tc>
          <w:tcPr>
            <w:tcW w:w="5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4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1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4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1,778.70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127.34</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417.81</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155.83</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386.53</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5.04</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384.23</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2.84</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5.04</w:t>
            </w:r>
          </w:p>
        </w:tc>
      </w:tr>
      <w:tr>
        <w:tblPrEx>
          <w:tblCellMar>
            <w:top w:w="0" w:type="dxa"/>
            <w:left w:w="108" w:type="dxa"/>
            <w:bottom w:w="0" w:type="dxa"/>
            <w:right w:w="108" w:type="dxa"/>
          </w:tblCellMar>
        </w:tblPrEx>
        <w:trPr>
          <w:trHeight w:val="306"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139.78</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21.75</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31.19</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57.77</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98.53</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10.75</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8.06</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97.02</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13.85</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86.36</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0.71</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4.51</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83.61</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0.35</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10.23</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0.13</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9.45</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3.77</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9.77</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467"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5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45"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23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0.75</w:t>
            </w:r>
          </w:p>
        </w:tc>
        <w:tc>
          <w:tcPr>
            <w:tcW w:w="626"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2"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3914"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91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1,865.06</w:t>
            </w:r>
          </w:p>
        </w:tc>
        <w:tc>
          <w:tcPr>
            <w:tcW w:w="8481"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7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132.39</w:t>
            </w:r>
          </w:p>
        </w:tc>
      </w:tr>
    </w:tbl>
    <w:p>
      <w:pPr>
        <w:jc w:val="center"/>
        <w:rPr>
          <w:rFonts w:hint="eastAsia"/>
          <w:sz w:val="32"/>
          <w:szCs w:val="32"/>
        </w:rPr>
      </w:pPr>
    </w:p>
    <w:p>
      <w:pPr>
        <w:tabs>
          <w:tab w:val="left" w:pos="886"/>
        </w:tabs>
        <w:bidi w:val="0"/>
        <w:jc w:val="left"/>
        <w:rPr>
          <w:rFonts w:hint="default"/>
          <w:lang w:val="en-US" w:eastAsia="zh-CN"/>
        </w:rPr>
        <w:sectPr>
          <w:pgSz w:w="16838" w:h="11906" w:orient="landscape"/>
          <w:pgMar w:top="1417" w:right="1701" w:bottom="1417" w:left="1281" w:header="851" w:footer="992" w:gutter="0"/>
          <w:pgNumType w:fmt="numberInDash"/>
          <w:cols w:space="0" w:num="1"/>
          <w:rtlGutter w:val="0"/>
          <w:docGrid w:type="lines" w:linePitch="312" w:charSpace="0"/>
        </w:sectPr>
      </w:pPr>
    </w:p>
    <w:p>
      <w:pPr>
        <w:tabs>
          <w:tab w:val="left" w:pos="886"/>
        </w:tabs>
        <w:bidi w:val="0"/>
        <w:jc w:val="left"/>
        <w:rPr>
          <w:rFonts w:hint="default"/>
          <w:lang w:val="en-US" w:eastAsia="zh-CN"/>
        </w:rPr>
      </w:pPr>
    </w:p>
    <w:p>
      <w:pPr>
        <w:jc w:val="center"/>
        <w:rPr>
          <w:rFonts w:hint="eastAsia"/>
          <w:sz w:val="32"/>
          <w:szCs w:val="32"/>
        </w:rPr>
      </w:pPr>
      <w:r>
        <w:rPr>
          <w:rFonts w:hint="eastAsia"/>
          <w:sz w:val="32"/>
          <w:szCs w:val="32"/>
        </w:rPr>
        <w:t>政府性基金预算财政拨款收入支出决算表</w:t>
      </w:r>
    </w:p>
    <w:p>
      <w:pPr>
        <w:jc w:val="center"/>
        <w:rPr>
          <w:rFonts w:hint="eastAsia"/>
          <w:sz w:val="32"/>
          <w:szCs w:val="32"/>
        </w:rPr>
      </w:pPr>
    </w:p>
    <w:p>
      <w:pPr>
        <w:rPr>
          <w:rFonts w:hint="eastAsia"/>
          <w:szCs w:val="21"/>
        </w:rPr>
      </w:pPr>
      <w:r>
        <w:rPr>
          <w:rFonts w:hint="eastAsia"/>
          <w:szCs w:val="21"/>
        </w:rPr>
        <w:t>部门：唐山市曹妃甸区住房和城乡建设局                                                                     金额：单位万元</w:t>
      </w:r>
    </w:p>
    <w:p>
      <w:pPr>
        <w:jc w:val="center"/>
        <w:rPr>
          <w:rFonts w:hint="eastAsia"/>
          <w:sz w:val="32"/>
          <w:szCs w:val="32"/>
        </w:rPr>
      </w:pPr>
    </w:p>
    <w:tbl>
      <w:tblPr>
        <w:tblStyle w:val="7"/>
        <w:tblW w:w="12500" w:type="dxa"/>
        <w:jc w:val="center"/>
        <w:tblLayout w:type="autofit"/>
        <w:tblCellMar>
          <w:top w:w="0" w:type="dxa"/>
          <w:left w:w="108" w:type="dxa"/>
          <w:bottom w:w="0" w:type="dxa"/>
          <w:right w:w="108" w:type="dxa"/>
        </w:tblCellMar>
      </w:tblPr>
      <w:tblGrid>
        <w:gridCol w:w="986"/>
        <w:gridCol w:w="5532"/>
        <w:gridCol w:w="902"/>
        <w:gridCol w:w="1214"/>
        <w:gridCol w:w="1214"/>
        <w:gridCol w:w="756"/>
        <w:gridCol w:w="1214"/>
        <w:gridCol w:w="1109"/>
      </w:tblGrid>
      <w:tr>
        <w:tblPrEx>
          <w:tblCellMar>
            <w:top w:w="0" w:type="dxa"/>
            <w:left w:w="108" w:type="dxa"/>
            <w:bottom w:w="0" w:type="dxa"/>
            <w:right w:w="108" w:type="dxa"/>
          </w:tblCellMar>
        </w:tblPrEx>
        <w:trPr>
          <w:trHeight w:val="308" w:hRule="atLeast"/>
          <w:jc w:val="center"/>
        </w:trPr>
        <w:tc>
          <w:tcPr>
            <w:tcW w:w="6348"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0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14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2999"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10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jc w:val="center"/>
        </w:trPr>
        <w:tc>
          <w:tcPr>
            <w:tcW w:w="81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53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0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4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75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0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1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8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0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4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8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0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4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75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6348"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90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4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3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75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0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jc w:val="center"/>
        </w:trPr>
        <w:tc>
          <w:tcPr>
            <w:tcW w:w="6348"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400.00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10,877.29</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10,192.70</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10,192.70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1,084.59</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10,877.29</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10,192.70</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10,192.70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1,084.59</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国有土地使用权出让收入及对应专项债务收入安排的支出</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9,742.25</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8,851.08</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8,851.08</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891.17</w:t>
            </w:r>
          </w:p>
        </w:tc>
      </w:tr>
      <w:tr>
        <w:tblPrEx>
          <w:tblCellMar>
            <w:top w:w="0" w:type="dxa"/>
            <w:left w:w="108" w:type="dxa"/>
            <w:bottom w:w="0" w:type="dxa"/>
            <w:right w:w="108" w:type="dxa"/>
          </w:tblCellMar>
        </w:tblPrEx>
        <w:trPr>
          <w:trHeight w:val="266"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城市建设支出</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5,051.08</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5,051.08</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5,051.08</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其他国有土地使用权出让收入安排的支出</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4,691.17</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3,800.00</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891.17</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1,135.04</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1,341.62</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1,341.62</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193.42</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2121301</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城市公共设施</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1,135.04</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941.62</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941.62</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193.42</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2121399</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其他城市基础设施配套费安排的支出</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400.00</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81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53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0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jc w:val="center"/>
        <w:rPr>
          <w:rFonts w:hint="eastAsia"/>
          <w:sz w:val="32"/>
          <w:szCs w:val="32"/>
        </w:rPr>
      </w:pPr>
      <w:r>
        <w:rPr>
          <w:rFonts w:hint="eastAsia"/>
          <w:sz w:val="32"/>
          <w:szCs w:val="32"/>
        </w:rPr>
        <w:t>国有资本经营预算财政拨款支出决算表</w:t>
      </w:r>
    </w:p>
    <w:p>
      <w:pPr>
        <w:rPr>
          <w:rFonts w:hint="eastAsia"/>
          <w:szCs w:val="21"/>
        </w:rPr>
      </w:pPr>
      <w:r>
        <w:rPr>
          <w:rFonts w:hint="eastAsia"/>
          <w:szCs w:val="21"/>
        </w:rPr>
        <w:t>部门：唐山市曹妃甸区住房和城乡建设局                                                                     金额：单位万元</w:t>
      </w:r>
    </w:p>
    <w:tbl>
      <w:tblPr>
        <w:tblStyle w:val="7"/>
        <w:tblW w:w="12490" w:type="dxa"/>
        <w:jc w:val="center"/>
        <w:tblLayout w:type="autofit"/>
        <w:tblCellMar>
          <w:top w:w="0" w:type="dxa"/>
          <w:left w:w="108" w:type="dxa"/>
          <w:bottom w:w="0" w:type="dxa"/>
          <w:right w:w="108" w:type="dxa"/>
        </w:tblCellMar>
      </w:tblPr>
      <w:tblGrid>
        <w:gridCol w:w="2143"/>
        <w:gridCol w:w="2037"/>
        <w:gridCol w:w="1223"/>
        <w:gridCol w:w="709"/>
        <w:gridCol w:w="2409"/>
        <w:gridCol w:w="3969"/>
      </w:tblGrid>
      <w:tr>
        <w:tblPrEx>
          <w:tblCellMar>
            <w:top w:w="0" w:type="dxa"/>
            <w:left w:w="108" w:type="dxa"/>
            <w:bottom w:w="0" w:type="dxa"/>
            <w:right w:w="108" w:type="dxa"/>
          </w:tblCellMar>
        </w:tblPrEx>
        <w:trPr>
          <w:trHeight w:val="308" w:hRule="atLeast"/>
          <w:jc w:val="center"/>
        </w:trPr>
        <w:tc>
          <w:tcPr>
            <w:tcW w:w="4180"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w:t>
            </w:r>
          </w:p>
        </w:tc>
        <w:tc>
          <w:tcPr>
            <w:tcW w:w="8310" w:type="dxa"/>
            <w:gridSpan w:val="4"/>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612" w:hRule="atLeast"/>
          <w:jc w:val="center"/>
        </w:trPr>
        <w:tc>
          <w:tcPr>
            <w:tcW w:w="2143"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3260"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4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96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rPr>
          <w:trHeight w:val="308" w:hRule="atLeast"/>
          <w:jc w:val="center"/>
        </w:trPr>
        <w:tc>
          <w:tcPr>
            <w:tcW w:w="5403"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7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40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96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jc w:val="center"/>
        </w:trPr>
        <w:tc>
          <w:tcPr>
            <w:tcW w:w="5403"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jc w:val="center"/>
        </w:trPr>
        <w:tc>
          <w:tcPr>
            <w:tcW w:w="21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1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rPr>
          <w:trHeight w:val="308" w:hRule="atLeast"/>
          <w:jc w:val="center"/>
        </w:trPr>
        <w:tc>
          <w:tcPr>
            <w:tcW w:w="21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1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1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14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rPr>
          <w:rFonts w:hint="eastAsia"/>
          <w:szCs w:val="21"/>
        </w:rPr>
      </w:pPr>
    </w:p>
    <w:p>
      <w:pPr>
        <w:rPr>
          <w:szCs w:val="21"/>
        </w:rPr>
      </w:pPr>
      <w:r>
        <w:rPr>
          <w:rFonts w:hint="eastAsia" w:ascii="楷体" w:hAnsi="楷体" w:eastAsia="楷体" w:cs="楷体"/>
          <w:sz w:val="32"/>
          <w:szCs w:val="32"/>
          <w:lang w:val="en-US" w:eastAsia="zh-CN"/>
        </w:rPr>
        <w:t>注：</w:t>
      </w:r>
      <w:r>
        <w:rPr>
          <w:rFonts w:hint="eastAsia" w:ascii="楷体" w:hAnsi="楷体" w:eastAsia="楷体" w:cs="楷体"/>
          <w:sz w:val="32"/>
          <w:szCs w:val="32"/>
        </w:rPr>
        <w:t>本部门本年度无相关收入（或支出、收支及结转结余等）情况，按要求空表列示。</w:t>
      </w:r>
    </w:p>
    <w:p>
      <w:pPr>
        <w:tabs>
          <w:tab w:val="left" w:pos="886"/>
        </w:tabs>
        <w:bidi w:val="0"/>
        <w:jc w:val="left"/>
        <w:rPr>
          <w:rFonts w:hint="default"/>
          <w:lang w:val="en-US" w:eastAsia="zh-CN"/>
        </w:rPr>
      </w:pPr>
    </w:p>
    <w:tbl>
      <w:tblPr>
        <w:tblStyle w:val="7"/>
        <w:tblW w:w="14800" w:type="dxa"/>
        <w:tblInd w:w="93" w:type="dxa"/>
        <w:shd w:val="clear" w:color="auto" w:fill="auto"/>
        <w:tblLayout w:type="autofit"/>
        <w:tblCellMar>
          <w:top w:w="0" w:type="dxa"/>
          <w:left w:w="108" w:type="dxa"/>
          <w:bottom w:w="0" w:type="dxa"/>
          <w:right w:w="108" w:type="dxa"/>
        </w:tblCellMar>
      </w:tblPr>
      <w:tblGrid>
        <w:gridCol w:w="1265"/>
        <w:gridCol w:w="1265"/>
        <w:gridCol w:w="1265"/>
        <w:gridCol w:w="1221"/>
        <w:gridCol w:w="1229"/>
        <w:gridCol w:w="1171"/>
        <w:gridCol w:w="1171"/>
        <w:gridCol w:w="1229"/>
        <w:gridCol w:w="1171"/>
        <w:gridCol w:w="1171"/>
        <w:gridCol w:w="1171"/>
        <w:gridCol w:w="1586"/>
      </w:tblGrid>
      <w:tr>
        <w:tblPrEx>
          <w:shd w:val="clear" w:color="auto" w:fill="auto"/>
          <w:tblCellMar>
            <w:top w:w="0" w:type="dxa"/>
            <w:left w:w="108" w:type="dxa"/>
            <w:bottom w:w="0" w:type="dxa"/>
            <w:right w:w="108" w:type="dxa"/>
          </w:tblCellMar>
        </w:tblPrEx>
        <w:trPr>
          <w:trHeight w:val="622" w:hRule="atLeast"/>
        </w:trPr>
        <w:tc>
          <w:tcPr>
            <w:tcW w:w="1480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311"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8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shd w:val="clear" w:color="auto" w:fill="auto"/>
          <w:tblCellMar>
            <w:top w:w="0" w:type="dxa"/>
            <w:left w:w="108" w:type="dxa"/>
            <w:bottom w:w="0" w:type="dxa"/>
            <w:right w:w="108" w:type="dxa"/>
          </w:tblCellMar>
        </w:tblPrEx>
        <w:trPr>
          <w:trHeight w:val="311"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部门：唐山市曹妃甸区住房和城乡建设管理局（本级）</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7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8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26" w:hRule="atLeast"/>
        </w:trPr>
        <w:tc>
          <w:tcPr>
            <w:tcW w:w="7301"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499"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326" w:hRule="atLeast"/>
        </w:trPr>
        <w:tc>
          <w:tcPr>
            <w:tcW w:w="123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5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3"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5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shd w:val="clear" w:color="auto" w:fill="auto"/>
          <w:tblCellMar>
            <w:top w:w="0" w:type="dxa"/>
            <w:left w:w="108" w:type="dxa"/>
            <w:bottom w:w="0" w:type="dxa"/>
            <w:right w:w="108" w:type="dxa"/>
          </w:tblCellMar>
        </w:tblPrEx>
        <w:trPr>
          <w:trHeight w:val="632" w:hRule="atLeast"/>
        </w:trPr>
        <w:tc>
          <w:tcPr>
            <w:tcW w:w="123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2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7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58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26" w:hRule="atLeast"/>
        </w:trPr>
        <w:tc>
          <w:tcPr>
            <w:tcW w:w="123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8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shd w:val="clear" w:color="auto" w:fill="auto"/>
          <w:tblCellMar>
            <w:top w:w="0" w:type="dxa"/>
            <w:left w:w="108" w:type="dxa"/>
            <w:bottom w:w="0" w:type="dxa"/>
            <w:right w:w="108" w:type="dxa"/>
          </w:tblCellMar>
        </w:tblPrEx>
        <w:trPr>
          <w:trHeight w:val="346"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58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r>
    </w:tbl>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tabs>
          <w:tab w:val="left" w:pos="886"/>
        </w:tabs>
        <w:bidi w:val="0"/>
        <w:jc w:val="left"/>
        <w:rPr>
          <w:rFonts w:hint="default"/>
          <w:lang w:val="en-US" w:eastAsia="zh-CN"/>
        </w:rPr>
        <w:sectPr>
          <w:pgSz w:w="16838" w:h="11906" w:orient="landscape"/>
          <w:pgMar w:top="1417" w:right="1701" w:bottom="1417" w:left="1281" w:header="851" w:footer="992" w:gutter="0"/>
          <w:pgNumType w:fmt="numberInDash"/>
          <w:cols w:space="0" w:num="1"/>
          <w:rtlGutter w:val="0"/>
          <w:docGrid w:type="lines" w:linePitch="312" w:charSpace="0"/>
        </w:sectPr>
      </w:pPr>
    </w:p>
    <w:p>
      <w:pPr>
        <w:tabs>
          <w:tab w:val="left" w:pos="886"/>
        </w:tabs>
        <w:bidi w:val="0"/>
        <w:jc w:val="left"/>
        <w:rPr>
          <w:rFonts w:hint="default"/>
          <w:lang w:val="en-US" w:eastAsia="zh-CN"/>
        </w:rPr>
      </w:pPr>
    </w:p>
    <w:p>
      <w:pPr>
        <w:tabs>
          <w:tab w:val="left" w:pos="886"/>
        </w:tabs>
        <w:bidi w:val="0"/>
        <w:jc w:val="left"/>
        <w:rPr>
          <w:rFonts w:hint="default"/>
          <w:lang w:val="en-US" w:eastAsia="zh-CN"/>
        </w:rPr>
      </w:pPr>
      <w:r>
        <w:rPr>
          <w:rFonts w:hint="default"/>
          <w:lang w:val="en-US" w:eastAsia="zh-CN"/>
        </w:rPr>
        <w:drawing>
          <wp:inline distT="0" distB="0" distL="114300" distR="114300">
            <wp:extent cx="6043930" cy="8059420"/>
            <wp:effectExtent l="0" t="0" r="13970" b="17780"/>
            <wp:docPr id="17" name="图片 17" descr="22efad533b3aa62966dfd5a39d9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2efad533b3aa62966dfd5a39d92690"/>
                    <pic:cNvPicPr>
                      <a:picLocks noChangeAspect="1"/>
                    </pic:cNvPicPr>
                  </pic:nvPicPr>
                  <pic:blipFill>
                    <a:blip r:embed="rId22"/>
                    <a:stretch>
                      <a:fillRect/>
                    </a:stretch>
                  </pic:blipFill>
                  <pic:spPr>
                    <a:xfrm>
                      <a:off x="0" y="0"/>
                      <a:ext cx="6043930" cy="8059420"/>
                    </a:xfrm>
                    <a:prstGeom prst="rect">
                      <a:avLst/>
                    </a:prstGeom>
                  </pic:spPr>
                </pic:pic>
              </a:graphicData>
            </a:graphic>
          </wp:inline>
        </w:drawing>
      </w:r>
    </w:p>
    <w:p>
      <w:pPr>
        <w:tabs>
          <w:tab w:val="left" w:pos="886"/>
        </w:tabs>
        <w:bidi w:val="0"/>
        <w:jc w:val="left"/>
        <w:rPr>
          <w:rFonts w:hint="default"/>
          <w:lang w:val="en-US" w:eastAsia="zh-CN"/>
        </w:rPr>
        <w:sectPr>
          <w:pgSz w:w="11906" w:h="16838"/>
          <w:pgMar w:top="1701" w:right="1417" w:bottom="1281" w:left="1417" w:header="851" w:footer="992" w:gutter="0"/>
          <w:pgNumType w:fmt="numberInDash"/>
          <w:cols w:space="0" w:num="1"/>
          <w:rtlGutter w:val="0"/>
          <w:docGrid w:type="lines" w:linePitch="312" w:charSpace="0"/>
        </w:sectPr>
      </w:pPr>
      <w:r>
        <w:rPr>
          <w:rFonts w:hint="default"/>
          <w:lang w:val="en-US" w:eastAsia="zh-CN"/>
        </w:rPr>
        <w:drawing>
          <wp:inline distT="0" distB="0" distL="114300" distR="114300">
            <wp:extent cx="5870575" cy="7828280"/>
            <wp:effectExtent l="0" t="0" r="15875" b="1270"/>
            <wp:docPr id="18" name="图片 18" descr="2e4a52b7ab41fc9a8e807c66838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e4a52b7ab41fc9a8e807c668388622"/>
                    <pic:cNvPicPr>
                      <a:picLocks noChangeAspect="1"/>
                    </pic:cNvPicPr>
                  </pic:nvPicPr>
                  <pic:blipFill>
                    <a:blip r:embed="rId23"/>
                    <a:stretch>
                      <a:fillRect/>
                    </a:stretch>
                  </pic:blipFill>
                  <pic:spPr>
                    <a:xfrm>
                      <a:off x="0" y="0"/>
                      <a:ext cx="5870575" cy="7828280"/>
                    </a:xfrm>
                    <a:prstGeom prst="rect">
                      <a:avLst/>
                    </a:prstGeom>
                  </pic:spPr>
                </pic:pic>
              </a:graphicData>
            </a:graphic>
          </wp:inline>
        </w:drawing>
      </w:r>
    </w:p>
    <w:p>
      <w:pPr>
        <w:tabs>
          <w:tab w:val="left" w:pos="886"/>
        </w:tabs>
        <w:bidi w:val="0"/>
        <w:jc w:val="left"/>
        <w:rPr>
          <w:rFonts w:hint="default"/>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-895350</wp:posOffset>
                </wp:positionH>
                <wp:positionV relativeFrom="paragraph">
                  <wp:posOffset>-1080135</wp:posOffset>
                </wp:positionV>
                <wp:extent cx="7557770" cy="11090275"/>
                <wp:effectExtent l="0" t="0" r="5080" b="15875"/>
                <wp:wrapNone/>
                <wp:docPr id="40" name="矩形 40"/>
                <wp:cNvGraphicFramePr/>
                <a:graphic xmlns:a="http://schemas.openxmlformats.org/drawingml/2006/main">
                  <a:graphicData uri="http://schemas.microsoft.com/office/word/2010/wordprocessingShape">
                    <wps:wsp>
                      <wps:cNvSpPr/>
                      <wps:spPr>
                        <a:xfrm>
                          <a:off x="937895" y="1169035"/>
                          <a:ext cx="7557770" cy="110902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05pt;height:873.25pt;width:595.1pt;z-index:251683840;v-text-anchor:middle;mso-width-relative:page;mso-height-relative:page;" fillcolor="#FFC000" filled="t" stroked="f" coordsize="21600,21600" o:gfxdata="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3AC5J3QAAAA8BAAAPAAAAAAAAAAEAIAAA&#10;ACIAAABkcnMvZG93bnJldi54bWxQSwECFAAUAAAACACHTuJAYJWcR3kCAADaBAAADgAAAAAAAAAB&#10;ACAAAAAsAQAAZHJzL2Uyb0RvYy54bWxQSwUGAAAAAAYABgBZAQAAFwYAAAAA&#10;">
                <v:fill on="t" focussize="0,0"/>
                <v:stroke on="f" weight="1pt" miterlimit="8" joinstyle="miter"/>
                <v:imagedata o:title=""/>
                <o:lock v:ext="edit" aspectratio="f"/>
              </v:rect>
            </w:pict>
          </mc:Fallback>
        </mc:AlternateContent>
      </w:r>
    </w:p>
    <w:p>
      <w:pPr>
        <w:tabs>
          <w:tab w:val="left" w:pos="886"/>
        </w:tabs>
        <w:bidi w:val="0"/>
        <w:jc w:val="left"/>
        <w:rPr>
          <w:rFonts w:hint="default"/>
          <w:lang w:val="en-US" w:eastAsia="zh-CN"/>
        </w:rPr>
      </w:pPr>
    </w:p>
    <w:p>
      <w:pPr>
        <w:bidi w:val="0"/>
        <w:jc w:val="both"/>
        <w:rPr>
          <w:rFonts w:hint="default"/>
          <w:lang w:val="en-US" w:eastAsia="zh-CN"/>
        </w:rPr>
      </w:pPr>
    </w:p>
    <w:sectPr>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宋体-方正超大字符集">
    <w:altName w:val="宋体"/>
    <w:panose1 w:val="00000000000000000000"/>
    <w:charset w:val="86"/>
    <w:family w:val="auto"/>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4624"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4624;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5648"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5648;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5"/>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667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667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7696"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7769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8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233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1312;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950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43.35pt;height:37.85pt;width:594.8pt;mso-position-horizontal-relative:page;mso-position-vertical-relative:page;z-index:25167155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79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79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0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78C1413D"/>
    <w:multiLevelType w:val="singleLevel"/>
    <w:tmpl w:val="78C1413D"/>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4ZGU1NTY1MzI0YWZlNjcyNzQ1M2Y5ZGU1ZTdmMTQ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5811464"/>
    <w:rsid w:val="0D413724"/>
    <w:rsid w:val="14BC3670"/>
    <w:rsid w:val="1B6C4BFE"/>
    <w:rsid w:val="1BB47B35"/>
    <w:rsid w:val="29C171FE"/>
    <w:rsid w:val="2ADE2520"/>
    <w:rsid w:val="31C2036A"/>
    <w:rsid w:val="320D02A5"/>
    <w:rsid w:val="333A66C5"/>
    <w:rsid w:val="33932642"/>
    <w:rsid w:val="348E566F"/>
    <w:rsid w:val="3A226944"/>
    <w:rsid w:val="3AEE6A48"/>
    <w:rsid w:val="3C1620AA"/>
    <w:rsid w:val="3D8F080F"/>
    <w:rsid w:val="4278473A"/>
    <w:rsid w:val="44CE1FA4"/>
    <w:rsid w:val="487F73ED"/>
    <w:rsid w:val="4A347EAE"/>
    <w:rsid w:val="4AE63194"/>
    <w:rsid w:val="4B1726A4"/>
    <w:rsid w:val="4B815DEC"/>
    <w:rsid w:val="52600405"/>
    <w:rsid w:val="529B4319"/>
    <w:rsid w:val="57773DD6"/>
    <w:rsid w:val="578B79AB"/>
    <w:rsid w:val="59155DE7"/>
    <w:rsid w:val="5CC168D7"/>
    <w:rsid w:val="5CCD3FD5"/>
    <w:rsid w:val="61FA5F9D"/>
    <w:rsid w:val="64CD6910"/>
    <w:rsid w:val="6789158D"/>
    <w:rsid w:val="67D81BA4"/>
    <w:rsid w:val="685D7BBE"/>
    <w:rsid w:val="6AAF1C96"/>
    <w:rsid w:val="70B714C5"/>
    <w:rsid w:val="75681757"/>
    <w:rsid w:val="75A346A8"/>
    <w:rsid w:val="771E6402"/>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Plain Text"/>
    <w:basedOn w:val="1"/>
    <w:next w:val="1"/>
    <w:qFormat/>
    <w:uiPriority w:val="0"/>
    <w:rPr>
      <w:rFonts w:ascii="宋体" w:hAnsi="Courier New" w:eastAsia="宋体"/>
      <w:szCs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8">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字符"/>
    <w:basedOn w:val="9"/>
    <w:link w:val="6"/>
    <w:qFormat/>
    <w:uiPriority w:val="99"/>
    <w:rPr>
      <w:rFonts w:asciiTheme="minorAscii" w:hAnsiTheme="minorAscii" w:eastAsiaTheme="minorEastAsia"/>
      <w:sz w:val="18"/>
      <w:szCs w:val="18"/>
    </w:rPr>
  </w:style>
  <w:style w:type="character" w:customStyle="1" w:styleId="11">
    <w:name w:val="页脚 字符"/>
    <w:basedOn w:val="9"/>
    <w:link w:val="5"/>
    <w:qFormat/>
    <w:uiPriority w:val="99"/>
    <w:rPr>
      <w:sz w:val="18"/>
      <w:szCs w:val="18"/>
    </w:rPr>
  </w:style>
  <w:style w:type="paragraph" w:customStyle="1" w:styleId="12">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chart" Target="charts/chart4.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image" Target="media/image2.bmp"/><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本年度支出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1997.45</c:v>
                </c:pt>
                <c:pt idx="1">
                  <c:v>36714.81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一般公共预算财政拨款收入</c:v>
                </c:pt>
              </c:strCache>
            </c:strRef>
          </c:tx>
          <c:invertIfNegative val="0"/>
          <c:dLbls>
            <c:delete val="1"/>
          </c:dLbls>
          <c:cat>
            <c:strRef>
              <c:f>Sheet1!$A$2:$A$3</c:f>
              <c:strCache>
                <c:ptCount val="2"/>
                <c:pt idx="0">
                  <c:v>2019年</c:v>
                </c:pt>
                <c:pt idx="1">
                  <c:v>2018年</c:v>
                </c:pt>
              </c:strCache>
            </c:strRef>
          </c:cat>
          <c:val>
            <c:numRef>
              <c:f>Sheet1!$B$2:$B$3</c:f>
              <c:numCache>
                <c:formatCode>General</c:formatCode>
                <c:ptCount val="2"/>
                <c:pt idx="0">
                  <c:v>31113.6</c:v>
                </c:pt>
                <c:pt idx="1">
                  <c:v>24768.39</c:v>
                </c:pt>
              </c:numCache>
            </c:numRef>
          </c:val>
        </c:ser>
        <c:ser>
          <c:idx val="1"/>
          <c:order val="1"/>
          <c:tx>
            <c:strRef>
              <c:f>Sheet1!$C$1</c:f>
              <c:strCache>
                <c:ptCount val="1"/>
                <c:pt idx="0">
                  <c:v>一般公共预算财政拨款支出</c:v>
                </c:pt>
              </c:strCache>
            </c:strRef>
          </c:tx>
          <c:invertIfNegative val="0"/>
          <c:dLbls>
            <c:delete val="1"/>
          </c:dLbls>
          <c:cat>
            <c:strRef>
              <c:f>Sheet1!$A$2:$A$3</c:f>
              <c:strCache>
                <c:ptCount val="2"/>
                <c:pt idx="0">
                  <c:v>2019年</c:v>
                </c:pt>
                <c:pt idx="1">
                  <c:v>2018年</c:v>
                </c:pt>
              </c:strCache>
            </c:strRef>
          </c:cat>
          <c:val>
            <c:numRef>
              <c:f>Sheet1!$C$2:$C$3</c:f>
              <c:numCache>
                <c:formatCode>General</c:formatCode>
                <c:ptCount val="2"/>
                <c:pt idx="0">
                  <c:v>28519.56</c:v>
                </c:pt>
                <c:pt idx="1">
                  <c:v>23719.8</c:v>
                </c:pt>
              </c:numCache>
            </c:numRef>
          </c:val>
        </c:ser>
        <c:ser>
          <c:idx val="2"/>
          <c:order val="2"/>
          <c:tx>
            <c:strRef>
              <c:f>Sheet1!$D$1</c:f>
              <c:strCache>
                <c:ptCount val="1"/>
                <c:pt idx="0">
                  <c:v>政府性基金预算财政拨款收入</c:v>
                </c:pt>
              </c:strCache>
            </c:strRef>
          </c:tx>
          <c:invertIfNegative val="0"/>
          <c:dLbls>
            <c:delete val="1"/>
          </c:dLbls>
          <c:cat>
            <c:strRef>
              <c:f>Sheet1!$A$2:$A$3</c:f>
              <c:strCache>
                <c:ptCount val="2"/>
                <c:pt idx="0">
                  <c:v>2019年</c:v>
                </c:pt>
                <c:pt idx="1">
                  <c:v>2018年</c:v>
                </c:pt>
              </c:strCache>
            </c:strRef>
          </c:cat>
          <c:val>
            <c:numRef>
              <c:f>Sheet1!$D$2:$D$3</c:f>
              <c:numCache>
                <c:formatCode>General</c:formatCode>
                <c:ptCount val="2"/>
                <c:pt idx="0">
                  <c:v>10877.29</c:v>
                </c:pt>
                <c:pt idx="1">
                  <c:v>70324</c:v>
                </c:pt>
              </c:numCache>
            </c:numRef>
          </c:val>
        </c:ser>
        <c:ser>
          <c:idx val="3"/>
          <c:order val="3"/>
          <c:tx>
            <c:strRef>
              <c:f>Sheet1!$E$1</c:f>
              <c:strCache>
                <c:ptCount val="1"/>
                <c:pt idx="0">
                  <c:v>政府性基金预算财政拨款支出</c:v>
                </c:pt>
              </c:strCache>
            </c:strRef>
          </c:tx>
          <c:invertIfNegative val="0"/>
          <c:dLbls>
            <c:delete val="1"/>
          </c:dLbls>
          <c:cat>
            <c:strRef>
              <c:f>Sheet1!$A$2:$A$3</c:f>
              <c:strCache>
                <c:ptCount val="2"/>
                <c:pt idx="0">
                  <c:v>2019年</c:v>
                </c:pt>
                <c:pt idx="1">
                  <c:v>2018年</c:v>
                </c:pt>
              </c:strCache>
            </c:strRef>
          </c:cat>
          <c:val>
            <c:numRef>
              <c:f>Sheet1!$E$2:$E$3</c:f>
              <c:numCache>
                <c:formatCode>General</c:formatCode>
                <c:ptCount val="2"/>
                <c:pt idx="0">
                  <c:v>10192.7</c:v>
                </c:pt>
                <c:pt idx="1">
                  <c:v>71003.78</c:v>
                </c:pt>
              </c:numCache>
            </c:numRef>
          </c:val>
        </c:ser>
        <c:dLbls>
          <c:showLegendKey val="0"/>
          <c:showVal val="0"/>
          <c:showCatName val="0"/>
          <c:showSerName val="0"/>
          <c:showPercent val="0"/>
          <c:showBubbleSize val="0"/>
        </c:dLbls>
        <c:gapWidth val="150"/>
        <c:axId val="122121600"/>
        <c:axId val="122123392"/>
      </c:barChart>
      <c:catAx>
        <c:axId val="1221216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123392"/>
        <c:crosses val="autoZero"/>
        <c:auto val="1"/>
        <c:lblAlgn val="ctr"/>
        <c:lblOffset val="100"/>
        <c:noMultiLvlLbl val="0"/>
      </c:catAx>
      <c:valAx>
        <c:axId val="122123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12160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一般公共预算不拨款收入</c:v>
                </c:pt>
              </c:strCache>
            </c:strRef>
          </c:tx>
          <c:invertIfNegative val="0"/>
          <c:dLbls>
            <c:delete val="1"/>
          </c:dLbls>
          <c:cat>
            <c:strRef>
              <c:f>Sheet1!$A$2:$A$3</c:f>
              <c:strCache>
                <c:ptCount val="2"/>
                <c:pt idx="0">
                  <c:v>决算</c:v>
                </c:pt>
                <c:pt idx="1">
                  <c:v>类别 2</c:v>
                </c:pt>
              </c:strCache>
            </c:strRef>
          </c:cat>
          <c:val>
            <c:numRef>
              <c:f>Sheet1!$B$2:$B$3</c:f>
              <c:numCache>
                <c:formatCode>General</c:formatCode>
                <c:ptCount val="2"/>
                <c:pt idx="0">
                  <c:v>31113.6</c:v>
                </c:pt>
                <c:pt idx="1">
                  <c:v>16297.47</c:v>
                </c:pt>
              </c:numCache>
            </c:numRef>
          </c:val>
        </c:ser>
        <c:ser>
          <c:idx val="1"/>
          <c:order val="1"/>
          <c:tx>
            <c:strRef>
              <c:f>Sheet1!$C$1</c:f>
              <c:strCache>
                <c:ptCount val="1"/>
                <c:pt idx="0">
                  <c:v>一般公共预算不拨款支出</c:v>
                </c:pt>
              </c:strCache>
            </c:strRef>
          </c:tx>
          <c:invertIfNegative val="0"/>
          <c:dLbls>
            <c:delete val="1"/>
          </c:dLbls>
          <c:cat>
            <c:strRef>
              <c:f>Sheet1!$A$2:$A$3</c:f>
              <c:strCache>
                <c:ptCount val="2"/>
                <c:pt idx="0">
                  <c:v>决算</c:v>
                </c:pt>
                <c:pt idx="1">
                  <c:v>类别 2</c:v>
                </c:pt>
              </c:strCache>
            </c:strRef>
          </c:cat>
          <c:val>
            <c:numRef>
              <c:f>Sheet1!$C$2:$C$3</c:f>
              <c:numCache>
                <c:formatCode>General</c:formatCode>
                <c:ptCount val="2"/>
                <c:pt idx="0">
                  <c:v>28519.56</c:v>
                </c:pt>
                <c:pt idx="1">
                  <c:v>16297.47</c:v>
                </c:pt>
              </c:numCache>
            </c:numRef>
          </c:val>
        </c:ser>
        <c:ser>
          <c:idx val="2"/>
          <c:order val="2"/>
          <c:tx>
            <c:strRef>
              <c:f>Sheet1!$D$1</c:f>
              <c:strCache>
                <c:ptCount val="1"/>
                <c:pt idx="0">
                  <c:v>政府性基金预算收入</c:v>
                </c:pt>
              </c:strCache>
            </c:strRef>
          </c:tx>
          <c:invertIfNegative val="0"/>
          <c:dLbls>
            <c:delete val="1"/>
          </c:dLbls>
          <c:cat>
            <c:strRef>
              <c:f>Sheet1!$A$2:$A$3</c:f>
              <c:strCache>
                <c:ptCount val="2"/>
                <c:pt idx="0">
                  <c:v>决算</c:v>
                </c:pt>
                <c:pt idx="1">
                  <c:v>类别 2</c:v>
                </c:pt>
              </c:strCache>
            </c:strRef>
          </c:cat>
          <c:val>
            <c:numRef>
              <c:f>Sheet1!$D$2:$D$3</c:f>
              <c:numCache>
                <c:formatCode>General</c:formatCode>
                <c:ptCount val="2"/>
                <c:pt idx="0">
                  <c:v>10877.29</c:v>
                </c:pt>
                <c:pt idx="1">
                  <c:v>2885.04</c:v>
                </c:pt>
              </c:numCache>
            </c:numRef>
          </c:val>
        </c:ser>
        <c:ser>
          <c:idx val="3"/>
          <c:order val="3"/>
          <c:tx>
            <c:strRef>
              <c:f>Sheet1!$E$1</c:f>
              <c:strCache>
                <c:ptCount val="1"/>
                <c:pt idx="0">
                  <c:v>政府性基金预算支出</c:v>
                </c:pt>
              </c:strCache>
            </c:strRef>
          </c:tx>
          <c:invertIfNegative val="0"/>
          <c:dLbls>
            <c:delete val="1"/>
          </c:dLbls>
          <c:cat>
            <c:strRef>
              <c:f>Sheet1!$A$2:$A$3</c:f>
              <c:strCache>
                <c:ptCount val="2"/>
                <c:pt idx="0">
                  <c:v>决算</c:v>
                </c:pt>
                <c:pt idx="1">
                  <c:v>类别 2</c:v>
                </c:pt>
              </c:strCache>
            </c:strRef>
          </c:cat>
          <c:val>
            <c:numRef>
              <c:f>Sheet1!$E$2:$E$3</c:f>
              <c:numCache>
                <c:formatCode>General</c:formatCode>
                <c:ptCount val="2"/>
                <c:pt idx="0">
                  <c:v>10192.7</c:v>
                </c:pt>
                <c:pt idx="1">
                  <c:v>2885.04</c:v>
                </c:pt>
              </c:numCache>
            </c:numRef>
          </c:val>
        </c:ser>
        <c:dLbls>
          <c:showLegendKey val="0"/>
          <c:showVal val="0"/>
          <c:showCatName val="0"/>
          <c:showSerName val="0"/>
          <c:showPercent val="0"/>
          <c:showBubbleSize val="0"/>
        </c:dLbls>
        <c:gapWidth val="150"/>
        <c:axId val="122133504"/>
        <c:axId val="227959552"/>
      </c:barChart>
      <c:catAx>
        <c:axId val="1221335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7959552"/>
        <c:crosses val="autoZero"/>
        <c:auto val="1"/>
        <c:lblAlgn val="ctr"/>
        <c:lblOffset val="100"/>
        <c:noMultiLvlLbl val="0"/>
      </c:catAx>
      <c:valAx>
        <c:axId val="227959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1335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Sheet1!$A$2:$A$9</c:f>
              <c:strCache>
                <c:ptCount val="8"/>
                <c:pt idx="0">
                  <c:v>教育（类）支出</c:v>
                </c:pt>
                <c:pt idx="1">
                  <c:v>社会保障和就业（类）支出</c:v>
                </c:pt>
                <c:pt idx="2">
                  <c:v>卫生健康支出</c:v>
                </c:pt>
                <c:pt idx="3">
                  <c:v>节能环保支出</c:v>
                </c:pt>
                <c:pt idx="4">
                  <c:v>城乡社区支出</c:v>
                </c:pt>
                <c:pt idx="5">
                  <c:v>交通运输支出</c:v>
                </c:pt>
                <c:pt idx="6">
                  <c:v>住房保障（类）支出</c:v>
                </c:pt>
                <c:pt idx="7">
                  <c:v>其他支出</c:v>
                </c:pt>
              </c:strCache>
            </c:strRef>
          </c:cat>
          <c:val>
            <c:numRef>
              <c:f>Sheet1!$B$2:$B$9</c:f>
              <c:numCache>
                <c:formatCode>General</c:formatCode>
                <c:ptCount val="8"/>
                <c:pt idx="0">
                  <c:v>297</c:v>
                </c:pt>
                <c:pt idx="1">
                  <c:v>165.14</c:v>
                </c:pt>
                <c:pt idx="2">
                  <c:v>158.3</c:v>
                </c:pt>
                <c:pt idx="3">
                  <c:v>14568.63</c:v>
                </c:pt>
                <c:pt idx="4">
                  <c:v>21403</c:v>
                </c:pt>
                <c:pt idx="5">
                  <c:v>994.39</c:v>
                </c:pt>
                <c:pt idx="6">
                  <c:v>825.8</c:v>
                </c:pt>
                <c:pt idx="7">
                  <c:v>300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42</Pages>
  <Words>10010</Words>
  <Characters>15624</Characters>
  <Lines>1</Lines>
  <Paragraphs>1</Paragraphs>
  <TotalTime>6</TotalTime>
  <ScaleCrop>false</ScaleCrop>
  <LinksUpToDate>false</LinksUpToDate>
  <CharactersWithSpaces>16743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lenovo</cp:lastModifiedBy>
  <cp:lastPrinted>2020-07-30T02:37:00Z</cp:lastPrinted>
  <dcterms:modified xsi:type="dcterms:W3CDTF">2023-06-20T07:52:08Z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F95967D5D5B54F65846619BD2B2C70B1</vt:lpwstr>
  </property>
</Properties>
</file>