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唐山市曹妃甸区人民政府办公室20</w:t>
      </w:r>
      <w:r>
        <w:rPr>
          <w:rFonts w:hint="eastAsia" w:ascii="Times New Roman" w:hAnsi="Times New Roman" w:eastAsia="方正小标宋_GBK" w:cs="方正小标宋_GBK"/>
          <w:sz w:val="44"/>
          <w:szCs w:val="44"/>
          <w:lang w:val="en-US" w:eastAsia="zh-CN"/>
        </w:rPr>
        <w:t>21</w:t>
      </w:r>
      <w:r>
        <w:rPr>
          <w:rFonts w:hint="eastAsia" w:ascii="Times New Roman" w:hAnsi="Times New Roman" w:eastAsia="方正小标宋_GBK" w:cs="方正小标宋_GBK"/>
          <w:sz w:val="44"/>
          <w:szCs w:val="44"/>
        </w:rPr>
        <w:t>年部门预算信息公开</w:t>
      </w:r>
    </w:p>
    <w:p>
      <w:pPr>
        <w:pStyle w:val="13"/>
        <w:rPr>
          <w:rFonts w:hint="eastAsia"/>
        </w:rPr>
      </w:pPr>
    </w:p>
    <w:p>
      <w:pPr>
        <w:spacing w:line="500" w:lineRule="exact"/>
        <w:ind w:firstLine="560" w:firstLineChars="200"/>
        <w:jc w:val="left"/>
      </w:pPr>
      <w:r>
        <w:rPr>
          <w:rFonts w:hint="eastAsia" w:eastAsia="方正仿宋_GBK"/>
          <w:sz w:val="28"/>
        </w:rPr>
        <w:t>按照《预算法》、《河北省预决算公开操作规程实施细则》规定，现将</w:t>
      </w:r>
      <w:r>
        <w:rPr>
          <w:rFonts w:eastAsia="方正仿宋_GBK"/>
          <w:sz w:val="28"/>
        </w:rPr>
        <w:t>20</w:t>
      </w:r>
      <w:r>
        <w:rPr>
          <w:rFonts w:hint="eastAsia" w:eastAsia="方正仿宋_GBK"/>
          <w:sz w:val="28"/>
          <w:lang w:val="en-US" w:eastAsia="zh-CN"/>
        </w:rPr>
        <w:t>21</w:t>
      </w:r>
      <w:r>
        <w:rPr>
          <w:rFonts w:hint="eastAsia" w:eastAsia="方正仿宋_GBK"/>
          <w:sz w:val="28"/>
        </w:rPr>
        <w:t>年部门预算公开如下：</w:t>
      </w: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spacing w:line="560" w:lineRule="exact"/>
        <w:ind w:firstLine="321" w:firstLineChars="100"/>
        <w:rPr>
          <w:rFonts w:hint="eastAsia"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（一）围绕区政府各时期的中心工作和重点工作，加强调查 研究，及时了解、反映情况，提出建议，为区领导进行科学决策，部署和指导工作，发挥综合协调和参谋助手作用。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（三）负责区政府领导活动的组织和协调工作：负责区政府会议的准备和服务工作，协助区政府领导组织落实会议决定事项。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（四）研究各开发区（园区）、各场镇、街道办事处，区政府各部门请示区政府的事项，提出审核意见，报区政府领导审批。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（五）根据区政府领导的批示，对区政府各部门间出现的争议问题提出处理意见，报区政府领导决定。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（六）组织起草区政府领导重要讲话及其他重要文稿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（七）组织承办人大代表建议和政协委员提案工作。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（八）负</w:t>
      </w:r>
      <w:r>
        <w:rPr>
          <w:rFonts w:hint="eastAsia" w:eastAsia="方正仿宋_GBK"/>
          <w:sz w:val="28"/>
          <w:lang w:val="en-US" w:eastAsia="zh-CN"/>
        </w:rPr>
        <w:t>责</w:t>
      </w:r>
      <w:r>
        <w:rPr>
          <w:rFonts w:eastAsia="方正仿宋_GBK"/>
          <w:sz w:val="28"/>
        </w:rPr>
        <w:t>承办区政府提请区人大常委会任免议案和提请区政府任命工作人员的行政任免有关手续；负责承办区政府任命工作人员的宪法宣誓工作。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hint="eastAsia" w:eastAsia="方正仿宋_GBK"/>
          <w:sz w:val="28"/>
          <w:lang w:eastAsia="zh-CN"/>
        </w:rPr>
        <w:t>（</w:t>
      </w:r>
      <w:r>
        <w:rPr>
          <w:rFonts w:hint="eastAsia" w:eastAsia="方正仿宋_GBK"/>
          <w:sz w:val="28"/>
          <w:lang w:val="en-US" w:eastAsia="zh-CN"/>
        </w:rPr>
        <w:t>九</w:t>
      </w:r>
      <w:r>
        <w:rPr>
          <w:rFonts w:hint="eastAsia" w:eastAsia="方正仿宋_GBK"/>
          <w:sz w:val="28"/>
          <w:lang w:eastAsia="zh-CN"/>
        </w:rPr>
        <w:t>）</w:t>
      </w:r>
      <w:r>
        <w:rPr>
          <w:rFonts w:eastAsia="方正仿宋_GBK"/>
          <w:sz w:val="28"/>
        </w:rPr>
        <w:t>负责区政府值班工作，及时报告重要情况，传达和督促落实区政府领导工作要求。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（十）负责推进、指导、协调、监督、考核评估全区政务公开和政府信息公开工作。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（十一）贯彻执行上级对外事、港澳工作的方针、政策法规，研究、协调、指导全区涉外、涉港澳工作。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（十二）负责区政府内外宾接</w:t>
      </w:r>
      <w:r>
        <w:rPr>
          <w:rFonts w:hint="eastAsia" w:eastAsia="方正仿宋_GBK"/>
          <w:sz w:val="28"/>
          <w:lang w:val="en-US" w:eastAsia="zh-CN"/>
        </w:rPr>
        <w:t>待</w:t>
      </w:r>
      <w:r>
        <w:rPr>
          <w:rFonts w:eastAsia="方正仿宋_GBK"/>
          <w:sz w:val="28"/>
        </w:rPr>
        <w:t>和其他公务接待工作；指导全区政府系统的公务接待工作。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（十三）负责政务信息服务工作。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（十四）贯彻执行国家金融方针政策和法律法规，研究起草全区金融业发展规划和政策，提出促进和加强金融业发展的建议。按照全区经济社会发展战略规划，协调引导各类金融机构支持服务实体经济发展。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（十五）协调、配合驻曹金融监管部门依法加强金融监管，整顿和规范金融市场秩序，负责联系驻曹金融监管部门和驻曹金融机构，协调做好金融运行中涉及地方政府配合的相关工作。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（十六）协调推进京津冀金融协同发展及对外金融交流合作，协调引进金融机构，推进全区金融功能区规划，建设和发展协同推进金融服务民生、全融人才队伍、金融生态环境、金融信用体系建设。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（十八）负</w:t>
      </w:r>
      <w:r>
        <w:rPr>
          <w:rFonts w:hint="eastAsia" w:eastAsia="方正仿宋_GBK"/>
          <w:sz w:val="28"/>
          <w:lang w:val="en-US" w:eastAsia="zh-CN"/>
        </w:rPr>
        <w:t>责</w:t>
      </w:r>
      <w:r>
        <w:rPr>
          <w:rFonts w:eastAsia="方正仿宋_GBK"/>
          <w:sz w:val="28"/>
        </w:rPr>
        <w:t>起草培育全区企业参与多层次资本市场、改革发展的政策措施。协调推动、培育推荐企业挂牌上市、配合做好全区直接融资工作。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等管理，规范经营范围。协助有关单位做好互联网金融、基金学金融业态的监督管理和风险处置工作；负责网络借贷信息中介机构的备案登记工作。配合做好区城性股权市场等涉及到的相关工作。推进地方金融和科技的融合发展，创新地方金融监管方式。</w:t>
      </w:r>
    </w:p>
    <w:p>
      <w:pPr>
        <w:widowControl/>
        <w:numPr>
          <w:ilvl w:val="0"/>
          <w:numId w:val="0"/>
        </w:numPr>
        <w:wordWrap/>
        <w:adjustRightInd/>
        <w:snapToGrid/>
        <w:spacing w:line="580" w:lineRule="exact"/>
        <w:ind w:firstLine="560" w:firstLineChars="200"/>
        <w:textAlignment w:val="auto"/>
        <w:rPr>
          <w:rFonts w:hint="eastAsia" w:ascii="仿宋_GB2312" w:hAnsi="Calibri" w:eastAsia="仿宋_GB2312" w:cs="ArialUnicodeMS"/>
          <w:kern w:val="0"/>
          <w:sz w:val="32"/>
          <w:szCs w:val="32"/>
          <w:highlight w:val="none"/>
          <w:lang w:eastAsia="zh-CN"/>
        </w:rPr>
      </w:pPr>
      <w:r>
        <w:rPr>
          <w:rFonts w:eastAsia="方正仿宋_GBK"/>
          <w:sz w:val="28"/>
        </w:rPr>
        <w:t>（二十）</w:t>
      </w:r>
      <w:r>
        <w:rPr>
          <w:rFonts w:hint="eastAsia" w:eastAsia="方正仿宋_GBK"/>
          <w:sz w:val="28"/>
          <w:lang w:eastAsia="zh-CN"/>
        </w:rPr>
        <w:t>协调有关部门依法做好防范和处置非法集资工作，负</w:t>
      </w:r>
      <w:r>
        <w:rPr>
          <w:rFonts w:hint="eastAsia" w:eastAsia="方正仿宋_GBK"/>
          <w:sz w:val="28"/>
          <w:lang w:val="en-US" w:eastAsia="zh-CN"/>
        </w:rPr>
        <w:t>责</w:t>
      </w:r>
      <w:r>
        <w:rPr>
          <w:rFonts w:hint="eastAsia" w:eastAsia="方正仿宋_GBK"/>
          <w:sz w:val="28"/>
          <w:lang w:eastAsia="zh-CN"/>
        </w:rPr>
        <w:t>开展相关宣传教育、政</w:t>
      </w:r>
      <w:r>
        <w:rPr>
          <w:rFonts w:hint="eastAsia" w:eastAsia="方正仿宋_GBK"/>
          <w:sz w:val="28"/>
          <w:lang w:val="en-US" w:eastAsia="zh-CN"/>
        </w:rPr>
        <w:t>策</w:t>
      </w:r>
      <w:r>
        <w:rPr>
          <w:rFonts w:hint="eastAsia" w:eastAsia="方正仿宋_GBK"/>
          <w:sz w:val="28"/>
          <w:lang w:eastAsia="zh-CN"/>
        </w:rPr>
        <w:t>解释和业务指导工作。负责做好小</w:t>
      </w:r>
      <w:r>
        <w:rPr>
          <w:rFonts w:hint="eastAsia" w:eastAsia="方正仿宋_GBK"/>
          <w:sz w:val="28"/>
          <w:lang w:val="en-US" w:eastAsia="zh-CN"/>
        </w:rPr>
        <w:t>额</w:t>
      </w:r>
      <w:r>
        <w:rPr>
          <w:rFonts w:hint="eastAsia" w:eastAsia="方正仿宋_GBK"/>
          <w:sz w:val="28"/>
          <w:lang w:eastAsia="zh-CN"/>
        </w:rPr>
        <w:t>贷款公司、融资担保公司、典当行、融资租</w:t>
      </w:r>
      <w:r>
        <w:rPr>
          <w:rFonts w:hint="eastAsia" w:eastAsia="方正仿宋_GBK"/>
          <w:sz w:val="28"/>
          <w:lang w:val="en-US" w:eastAsia="zh-CN"/>
        </w:rPr>
        <w:t>赁</w:t>
      </w:r>
      <w:r>
        <w:rPr>
          <w:rFonts w:hint="eastAsia" w:eastAsia="方正仿宋_GBK"/>
          <w:sz w:val="28"/>
          <w:lang w:eastAsia="zh-CN"/>
        </w:rPr>
        <w:t>公司、商业保理公司、地方资产管理公司、地方</w:t>
      </w:r>
      <w:r>
        <w:rPr>
          <w:rFonts w:hint="eastAsia" w:eastAsia="方正仿宋_GBK"/>
          <w:sz w:val="28"/>
          <w:lang w:val="en-US" w:eastAsia="zh-CN"/>
        </w:rPr>
        <w:t>金</w:t>
      </w:r>
      <w:r>
        <w:rPr>
          <w:rFonts w:hint="eastAsia" w:eastAsia="方正仿宋_GBK"/>
          <w:sz w:val="28"/>
          <w:lang w:eastAsia="zh-CN"/>
        </w:rPr>
        <w:t>融控股</w:t>
      </w:r>
      <w:r>
        <w:rPr>
          <w:rFonts w:hint="eastAsia" w:eastAsia="方正仿宋_GBK"/>
          <w:sz w:val="28"/>
          <w:lang w:val="en-US" w:eastAsia="zh-CN"/>
        </w:rPr>
        <w:t>集</w:t>
      </w:r>
      <w:r>
        <w:rPr>
          <w:rFonts w:hint="eastAsia" w:eastAsia="方正仿宋_GBK"/>
          <w:sz w:val="28"/>
          <w:lang w:eastAsia="zh-CN"/>
        </w:rPr>
        <w:t>团</w:t>
      </w:r>
      <w:r>
        <w:rPr>
          <w:rFonts w:hint="eastAsia" w:eastAsia="方正仿宋_GBK"/>
          <w:sz w:val="28"/>
          <w:lang w:val="en-US" w:eastAsia="zh-CN"/>
        </w:rPr>
        <w:t>等地方金融消费者</w:t>
      </w:r>
      <w:r>
        <w:rPr>
          <w:rFonts w:hint="eastAsia" w:eastAsia="方正仿宋_GBK"/>
          <w:sz w:val="28"/>
          <w:lang w:eastAsia="zh-CN"/>
        </w:rPr>
        <w:t>权益保护工作。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（二十一）协调组织全区金融风险防范和处置化解工作。带头做好地方金融风险监测、信息报告工作。协调配合有关部门设法做好非法金融案件调查处理、善后处理和维护金融稳定工作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（二十二）负</w:t>
      </w:r>
      <w:r>
        <w:rPr>
          <w:rFonts w:hint="eastAsia" w:eastAsia="方正仿宋_GBK"/>
          <w:sz w:val="28"/>
          <w:lang w:val="en-US" w:eastAsia="zh-CN"/>
        </w:rPr>
        <w:t>责</w:t>
      </w:r>
      <w:bookmarkStart w:id="1" w:name="_GoBack"/>
      <w:bookmarkEnd w:id="1"/>
      <w:r>
        <w:rPr>
          <w:rFonts w:eastAsia="方正仿宋_GBK"/>
          <w:sz w:val="28"/>
        </w:rPr>
        <w:t>区政府办公室所属单位的管理工作。</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eastAsia="方正仿宋_GBK"/>
          <w:sz w:val="28"/>
        </w:rPr>
      </w:pPr>
      <w:r>
        <w:rPr>
          <w:rFonts w:eastAsia="方正仿宋_GBK"/>
          <w:sz w:val="28"/>
        </w:rPr>
        <w:t xml:space="preserve"> </w:t>
      </w:r>
      <w:r>
        <w:rPr>
          <w:rFonts w:hint="eastAsia" w:eastAsia="方正仿宋_GBK"/>
          <w:sz w:val="28"/>
          <w:lang w:val="en-US" w:eastAsia="zh-CN"/>
        </w:rPr>
        <w:t xml:space="preserve"> </w:t>
      </w:r>
      <w:r>
        <w:rPr>
          <w:rFonts w:eastAsia="方正仿宋_GBK"/>
          <w:sz w:val="28"/>
        </w:rPr>
        <w:t>（二十三）完成区政府交办的其他任务。</w:t>
      </w:r>
    </w:p>
    <w:p>
      <w:pPr>
        <w:pStyle w:val="13"/>
        <w:rPr>
          <w:rFonts w:hint="eastAsia"/>
        </w:rPr>
      </w:pPr>
    </w:p>
    <w:p>
      <w:pPr>
        <w:autoSpaceDE w:val="0"/>
        <w:autoSpaceDN w:val="0"/>
        <w:adjustRightInd w:val="0"/>
        <w:jc w:val="left"/>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tbl>
      <w:tblPr>
        <w:tblStyle w:val="14"/>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2520"/>
        <w:gridCol w:w="327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单位名称</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单位性质</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单位规格</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唐山市曹妃甸区人民政府办公室</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正科</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综合</w:t>
            </w:r>
            <w:r>
              <w:rPr>
                <w:rFonts w:hint="eastAsia" w:eastAsia="方正仿宋_GBK"/>
                <w:sz w:val="28"/>
              </w:rPr>
              <w:t>一科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default" w:eastAsia="方正仿宋_GBK"/>
                <w:sz w:val="28"/>
                <w:lang w:val="en-US" w:eastAsia="zh-CN"/>
              </w:rPr>
            </w:pPr>
            <w:r>
              <w:rPr>
                <w:rFonts w:hint="eastAsia" w:eastAsia="方正仿宋_GBK"/>
                <w:sz w:val="28"/>
                <w:lang w:eastAsia="zh-CN"/>
              </w:rPr>
              <w:t>综合二科至</w:t>
            </w:r>
            <w:r>
              <w:rPr>
                <w:rFonts w:hint="eastAsia" w:eastAsia="方正仿宋_GBK"/>
                <w:sz w:val="28"/>
                <w:lang w:val="en-US" w:eastAsia="zh-CN"/>
              </w:rPr>
              <w:t>七科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秘书科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会议接待科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综合调研科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区政府值班室</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金融管理科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bl>
    <w:p>
      <w:pPr>
        <w:rPr>
          <w:rFonts w:ascii="黑体" w:hAnsi="黑体" w:eastAsia="黑体" w:cs="Times New Roman"/>
          <w:sz w:val="32"/>
          <w:szCs w:val="32"/>
        </w:rPr>
      </w:pPr>
    </w:p>
    <w:p>
      <w:pPr>
        <w:keepNext w:val="0"/>
        <w:keepLines w:val="0"/>
        <w:pageBreakBefore w:val="0"/>
        <w:widowControl w:val="0"/>
        <w:kinsoku/>
        <w:wordWrap/>
        <w:overflowPunct/>
        <w:topLinePunct w:val="0"/>
        <w:bidi w:val="0"/>
        <w:snapToGrid/>
        <w:spacing w:line="500" w:lineRule="exact"/>
        <w:textAlignment w:val="auto"/>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二、部门预算安排的总体情况</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lang w:eastAsia="zh-CN"/>
        </w:rPr>
      </w:pPr>
      <w:r>
        <w:rPr>
          <w:rFonts w:hint="eastAsia" w:eastAsia="方正仿宋_GBK"/>
          <w:sz w:val="28"/>
        </w:rPr>
        <w:t>本部门当年全部收入，</w:t>
      </w:r>
      <w:r>
        <w:rPr>
          <w:rFonts w:eastAsia="方正仿宋_GBK"/>
          <w:sz w:val="28"/>
        </w:rPr>
        <w:t>20</w:t>
      </w:r>
      <w:r>
        <w:rPr>
          <w:rFonts w:hint="eastAsia" w:eastAsia="方正仿宋_GBK"/>
          <w:sz w:val="28"/>
          <w:lang w:val="en-US" w:eastAsia="zh-CN"/>
        </w:rPr>
        <w:t>21</w:t>
      </w:r>
      <w:r>
        <w:rPr>
          <w:rFonts w:hint="eastAsia" w:eastAsia="方正仿宋_GBK"/>
          <w:sz w:val="28"/>
        </w:rPr>
        <w:t>年预算收入</w:t>
      </w:r>
      <w:r>
        <w:rPr>
          <w:rFonts w:hint="eastAsia" w:eastAsia="方正仿宋_GBK"/>
          <w:sz w:val="28"/>
          <w:lang w:val="en-US" w:eastAsia="zh-CN"/>
        </w:rPr>
        <w:t>1824.93</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hint="eastAsia" w:eastAsia="方正仿宋_GBK"/>
          <w:sz w:val="28"/>
          <w:lang w:val="en-US" w:eastAsia="zh-CN"/>
        </w:rPr>
        <w:t>2、</w:t>
      </w:r>
      <w:r>
        <w:rPr>
          <w:rFonts w:hint="eastAsia" w:eastAsia="方正仿宋_GBK"/>
          <w:sz w:val="28"/>
        </w:rPr>
        <w:t>支出说明</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2021</w:t>
      </w:r>
      <w:r>
        <w:rPr>
          <w:rFonts w:hint="eastAsia" w:eastAsia="方正仿宋_GBK"/>
          <w:sz w:val="28"/>
        </w:rPr>
        <w:t>年度部门预算中支出预算的总体情况。</w:t>
      </w:r>
      <w:r>
        <w:rPr>
          <w:rFonts w:hint="eastAsia" w:eastAsia="方正仿宋_GBK"/>
          <w:sz w:val="28"/>
          <w:lang w:val="en-US" w:eastAsia="zh-CN"/>
        </w:rPr>
        <w:t>2021</w:t>
      </w:r>
      <w:r>
        <w:rPr>
          <w:rFonts w:hint="eastAsia" w:eastAsia="方正仿宋_GBK"/>
          <w:sz w:val="28"/>
        </w:rPr>
        <w:t>年部门支出预算为</w:t>
      </w:r>
      <w:r>
        <w:rPr>
          <w:rFonts w:hint="eastAsia" w:eastAsia="方正仿宋_GBK"/>
          <w:sz w:val="28"/>
          <w:lang w:val="en-US" w:eastAsia="zh-CN"/>
        </w:rPr>
        <w:t>1824.93</w:t>
      </w:r>
      <w:r>
        <w:rPr>
          <w:rFonts w:hint="eastAsia" w:eastAsia="方正仿宋_GBK"/>
          <w:sz w:val="28"/>
        </w:rPr>
        <w:t>万元，其中基本支出</w:t>
      </w:r>
      <w:r>
        <w:rPr>
          <w:rFonts w:hint="eastAsia" w:eastAsia="方正仿宋_GBK"/>
          <w:sz w:val="28"/>
          <w:lang w:val="en-US" w:eastAsia="zh-CN"/>
        </w:rPr>
        <w:t>1272.23</w:t>
      </w:r>
      <w:r>
        <w:rPr>
          <w:rFonts w:hint="eastAsia" w:eastAsia="方正仿宋_GBK"/>
          <w:sz w:val="28"/>
        </w:rPr>
        <w:t>万元，包括人员经费</w:t>
      </w:r>
      <w:r>
        <w:rPr>
          <w:rFonts w:hint="eastAsia" w:eastAsia="方正仿宋_GBK"/>
          <w:sz w:val="28"/>
          <w:lang w:val="en-US" w:eastAsia="zh-CN"/>
        </w:rPr>
        <w:t>872.36</w:t>
      </w:r>
      <w:r>
        <w:rPr>
          <w:rFonts w:hint="eastAsia" w:eastAsia="方正仿宋_GBK"/>
          <w:sz w:val="28"/>
        </w:rPr>
        <w:t>万元和公用经费</w:t>
      </w:r>
      <w:r>
        <w:rPr>
          <w:rFonts w:hint="eastAsia" w:eastAsia="方正仿宋_GBK"/>
          <w:sz w:val="28"/>
          <w:lang w:val="en-US" w:eastAsia="zh-CN"/>
        </w:rPr>
        <w:t>399.87</w:t>
      </w:r>
      <w:r>
        <w:rPr>
          <w:rFonts w:hint="eastAsia" w:eastAsia="方正仿宋_GBK"/>
          <w:sz w:val="28"/>
        </w:rPr>
        <w:t>万元；项目支出</w:t>
      </w:r>
      <w:r>
        <w:rPr>
          <w:rFonts w:hint="eastAsia" w:eastAsia="方正仿宋_GBK"/>
          <w:sz w:val="28"/>
          <w:lang w:val="en-US" w:eastAsia="zh-CN"/>
        </w:rPr>
        <w:t>552.7</w:t>
      </w:r>
      <w:r>
        <w:rPr>
          <w:rFonts w:hint="eastAsia" w:eastAsia="方正仿宋_GBK"/>
          <w:sz w:val="28"/>
        </w:rPr>
        <w:t>万元，全部为本级支出。</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hint="eastAsia" w:eastAsia="方正仿宋_GBK"/>
          <w:sz w:val="28"/>
          <w:lang w:val="en-US" w:eastAsia="zh-CN"/>
        </w:rPr>
        <w:t>3、</w:t>
      </w:r>
      <w:r>
        <w:rPr>
          <w:rFonts w:hint="eastAsia" w:eastAsia="方正仿宋_GBK"/>
          <w:sz w:val="28"/>
        </w:rPr>
        <w:t>比上年增减情况</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default" w:eastAsia="方正仿宋_GBK"/>
          <w:sz w:val="28"/>
          <w:lang w:val="en-US"/>
        </w:rPr>
      </w:pPr>
      <w:r>
        <w:rPr>
          <w:rFonts w:hint="eastAsia" w:eastAsia="方正仿宋_GBK"/>
          <w:sz w:val="28"/>
          <w:lang w:val="en-US" w:eastAsia="zh-CN"/>
        </w:rPr>
        <w:t>2021</w:t>
      </w:r>
      <w:r>
        <w:rPr>
          <w:rFonts w:hint="eastAsia" w:eastAsia="方正仿宋_GBK"/>
          <w:sz w:val="28"/>
        </w:rPr>
        <w:t>年部门预算较</w:t>
      </w:r>
      <w:r>
        <w:rPr>
          <w:rFonts w:hint="eastAsia" w:eastAsia="方正仿宋_GBK"/>
          <w:sz w:val="28"/>
          <w:lang w:val="en-US" w:eastAsia="zh-CN"/>
        </w:rPr>
        <w:t>2020</w:t>
      </w:r>
      <w:r>
        <w:rPr>
          <w:rFonts w:hint="eastAsia" w:eastAsia="方正仿宋_GBK"/>
          <w:sz w:val="28"/>
        </w:rPr>
        <w:t>年</w:t>
      </w:r>
      <w:r>
        <w:rPr>
          <w:rFonts w:hint="eastAsia" w:eastAsia="方正仿宋_GBK"/>
          <w:sz w:val="28"/>
          <w:lang w:eastAsia="zh-CN"/>
        </w:rPr>
        <w:t>部门预算</w:t>
      </w:r>
      <w:r>
        <w:rPr>
          <w:rFonts w:hint="eastAsia" w:eastAsia="方正仿宋_GBK"/>
          <w:sz w:val="28"/>
          <w:lang w:val="en-US" w:eastAsia="zh-CN"/>
        </w:rPr>
        <w:t>减少1857.32</w:t>
      </w:r>
      <w:r>
        <w:rPr>
          <w:rFonts w:hint="eastAsia" w:eastAsia="方正仿宋_GBK"/>
          <w:sz w:val="28"/>
        </w:rPr>
        <w:t>万元，其中：基本支出</w:t>
      </w:r>
      <w:r>
        <w:rPr>
          <w:rFonts w:hint="eastAsia" w:eastAsia="方正仿宋_GBK"/>
          <w:sz w:val="28"/>
          <w:lang w:val="en-US" w:eastAsia="zh-CN"/>
        </w:rPr>
        <w:t>比</w:t>
      </w:r>
      <w:r>
        <w:rPr>
          <w:rFonts w:hint="eastAsia" w:eastAsia="方正仿宋_GBK"/>
          <w:sz w:val="28"/>
        </w:rPr>
        <w:t>上年</w:t>
      </w:r>
      <w:r>
        <w:rPr>
          <w:rFonts w:hint="eastAsia" w:eastAsia="方正仿宋_GBK"/>
          <w:sz w:val="28"/>
          <w:lang w:val="en-US" w:eastAsia="zh-CN"/>
        </w:rPr>
        <w:t>减少218.82万元，原因是调出人员的工资福利支出及相应的公用经费；项目支出比上年减少1638.5万元，主要原因是没有安排四大联检办公大楼正常运转经费。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机关运行经费安排情况</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399.87</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pPr>
        <w:pStyle w:val="13"/>
        <w:keepNext w:val="0"/>
        <w:keepLines w:val="0"/>
        <w:pageBreakBefore w:val="0"/>
        <w:widowControl w:val="0"/>
        <w:kinsoku/>
        <w:wordWrap/>
        <w:overflowPunct/>
        <w:topLinePunct w:val="0"/>
        <w:bidi w:val="0"/>
        <w:snapToGrid/>
        <w:spacing w:line="500" w:lineRule="exact"/>
        <w:textAlignment w:val="auto"/>
      </w:pP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2021</w:t>
      </w:r>
      <w:r>
        <w:rPr>
          <w:rFonts w:hint="eastAsia" w:eastAsia="方正仿宋_GBK"/>
          <w:sz w:val="28"/>
        </w:rPr>
        <w:t>年我部门“三公”经费安排</w:t>
      </w:r>
      <w:r>
        <w:rPr>
          <w:rFonts w:hint="eastAsia" w:eastAsia="方正仿宋_GBK"/>
          <w:sz w:val="28"/>
          <w:lang w:val="en-US" w:eastAsia="zh-CN"/>
        </w:rPr>
        <w:t>47</w:t>
      </w:r>
      <w:r>
        <w:rPr>
          <w:rFonts w:hint="eastAsia" w:eastAsia="方正仿宋_GBK"/>
          <w:sz w:val="28"/>
        </w:rPr>
        <w:t>万元，较上年预算</w:t>
      </w:r>
      <w:r>
        <w:rPr>
          <w:rFonts w:hint="eastAsia" w:eastAsia="方正仿宋_GBK"/>
          <w:sz w:val="28"/>
          <w:lang w:val="en-US" w:eastAsia="zh-CN"/>
        </w:rPr>
        <w:t>减少18</w:t>
      </w:r>
      <w:r>
        <w:rPr>
          <w:rFonts w:hint="eastAsia" w:eastAsia="方正仿宋_GBK"/>
          <w:sz w:val="28"/>
        </w:rPr>
        <w:t>万元。具体安排情况为：</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lang w:eastAsia="zh-CN"/>
        </w:rPr>
      </w:pPr>
      <w:r>
        <w:rPr>
          <w:rFonts w:hint="eastAsia" w:eastAsia="方正仿宋_GBK"/>
          <w:sz w:val="28"/>
          <w:lang w:eastAsia="zh-CN"/>
        </w:rPr>
        <w:t>（</w:t>
      </w:r>
      <w:r>
        <w:rPr>
          <w:rFonts w:hint="eastAsia" w:eastAsia="方正仿宋_GBK"/>
          <w:sz w:val="28"/>
          <w:lang w:val="en-US" w:eastAsia="zh-CN"/>
        </w:rPr>
        <w:t>一</w:t>
      </w:r>
      <w:r>
        <w:rPr>
          <w:rFonts w:hint="eastAsia" w:eastAsia="方正仿宋_GBK"/>
          <w:sz w:val="28"/>
          <w:lang w:eastAsia="zh-CN"/>
        </w:rPr>
        <w:t>）</w:t>
      </w:r>
      <w:r>
        <w:rPr>
          <w:rFonts w:hint="eastAsia" w:eastAsia="方正仿宋_GBK"/>
          <w:sz w:val="28"/>
        </w:rPr>
        <w:t>公务用车购置及运维费。共计安排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减少18万元</w:t>
      </w:r>
      <w:r>
        <w:rPr>
          <w:rFonts w:hint="eastAsia" w:eastAsia="方正仿宋_GBK"/>
          <w:sz w:val="28"/>
        </w:rPr>
        <w:t>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减少18万元，原因为节约公车运行维护费。</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23</w:t>
      </w:r>
      <w:r>
        <w:rPr>
          <w:rFonts w:hint="eastAsia" w:eastAsia="方正仿宋_GBK"/>
          <w:sz w:val="28"/>
        </w:rPr>
        <w:t>万元，</w:t>
      </w:r>
      <w:r>
        <w:rPr>
          <w:rFonts w:hint="eastAsia" w:eastAsia="方正仿宋_GBK"/>
          <w:sz w:val="28"/>
          <w:lang w:val="en-US" w:eastAsia="zh-CN"/>
        </w:rPr>
        <w:t>与上年持平。</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rPr>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rPr>
        <w:t>。</w:t>
      </w:r>
    </w:p>
    <w:p>
      <w:pPr>
        <w:pStyle w:val="13"/>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spacing w:line="560" w:lineRule="exact"/>
        <w:ind w:firstLine="321" w:firstLineChars="100"/>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 xml:space="preserve">  工作绩效目标及保障措施：</w:t>
      </w:r>
    </w:p>
    <w:p>
      <w:pPr>
        <w:pStyle w:val="13"/>
        <w:rPr>
          <w:rFonts w:hint="default"/>
          <w:lang w:val="en-US" w:eastAsia="zh-CN"/>
        </w:rPr>
      </w:pPr>
      <w:r>
        <w:rPr>
          <w:rFonts w:hint="eastAsia"/>
          <w:lang w:val="en-US" w:eastAsia="zh-CN"/>
        </w:rPr>
        <w:t>（一）工作目标</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rPr>
        <w:t>1、落实党中央和省、市、区安排部署，</w:t>
      </w:r>
      <w:r>
        <w:rPr>
          <w:rFonts w:hint="eastAsia" w:eastAsia="方正仿宋_GBK"/>
          <w:sz w:val="28"/>
          <w:lang w:eastAsia="zh-CN"/>
        </w:rPr>
        <w:t>积极做好</w:t>
      </w:r>
      <w:r>
        <w:rPr>
          <w:rFonts w:hint="eastAsia" w:eastAsia="方正仿宋_GBK"/>
          <w:sz w:val="28"/>
        </w:rPr>
        <w:t>新型冠状病毒肺炎</w:t>
      </w:r>
      <w:r>
        <w:rPr>
          <w:rFonts w:hint="eastAsia" w:eastAsia="方正仿宋_GBK"/>
          <w:sz w:val="28"/>
          <w:lang w:eastAsia="zh-CN"/>
        </w:rPr>
        <w:t>疫情防控工作。</w:t>
      </w:r>
      <w:r>
        <w:rPr>
          <w:rFonts w:hint="eastAsia" w:eastAsia="方正仿宋_GBK"/>
          <w:sz w:val="28"/>
        </w:rPr>
        <w:t>及时、准确、严格</w:t>
      </w:r>
      <w:r>
        <w:rPr>
          <w:rFonts w:hint="eastAsia" w:eastAsia="方正仿宋_GBK"/>
          <w:sz w:val="28"/>
          <w:lang w:eastAsia="zh-CN"/>
        </w:rPr>
        <w:t>做好办公室分析情况排查</w:t>
      </w:r>
      <w:r>
        <w:rPr>
          <w:rFonts w:hint="eastAsia" w:eastAsia="方正仿宋_GBK"/>
          <w:sz w:val="28"/>
        </w:rPr>
        <w:t>，</w:t>
      </w:r>
      <w:r>
        <w:rPr>
          <w:rFonts w:hint="eastAsia" w:eastAsia="方正仿宋_GBK"/>
          <w:sz w:val="28"/>
          <w:lang w:eastAsia="zh-CN"/>
        </w:rPr>
        <w:t>全力做好信息上报等工作，争做全区表率</w:t>
      </w:r>
      <w:r>
        <w:rPr>
          <w:rFonts w:hint="eastAsia" w:eastAsia="方正仿宋_GBK"/>
          <w:sz w:val="28"/>
        </w:rPr>
        <w:t>。</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2</w:t>
      </w:r>
      <w:r>
        <w:rPr>
          <w:rFonts w:hint="eastAsia" w:eastAsia="方正仿宋_GBK"/>
          <w:sz w:val="28"/>
        </w:rPr>
        <w:t>、加强与省市办公厅沟通联系，随时掌握有关曹妃甸区相关信息，为区领导科学决策提供信息保障。</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3</w:t>
      </w:r>
      <w:r>
        <w:rPr>
          <w:rFonts w:hint="eastAsia" w:eastAsia="方正仿宋_GBK"/>
          <w:sz w:val="28"/>
        </w:rPr>
        <w:t>、公文运转高效规范，一般文件运转不超过工作时间8小时，急件不超过2小时，特急件不超过1小时；重要文件开通绿色处理通道，公文审核差错率控制在万分之一。</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4</w:t>
      </w:r>
      <w:r>
        <w:rPr>
          <w:rFonts w:hint="eastAsia" w:eastAsia="方正仿宋_GBK"/>
          <w:sz w:val="28"/>
        </w:rPr>
        <w:t>、会务接待严谨务实，完善会务组织程序，精心谋划、周密部署会议活动，严格遵守中央八项规定，确保会务接待活动符合标准和要求。</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5</w:t>
      </w:r>
      <w:r>
        <w:rPr>
          <w:rFonts w:hint="eastAsia" w:eastAsia="方正仿宋_GBK"/>
          <w:sz w:val="28"/>
        </w:rPr>
        <w:t>、综合文字精益求精，围绕政府中心工作和区领导关注的热点、重点、焦点问题，持续发力搞好调查研究，牢固树立精品意识，全力做好综合文稿起草，一次成稿率9</w:t>
      </w:r>
      <w:r>
        <w:rPr>
          <w:rFonts w:hint="eastAsia" w:eastAsia="方正仿宋_GBK"/>
          <w:sz w:val="28"/>
          <w:lang w:val="en-US" w:eastAsia="zh-CN"/>
        </w:rPr>
        <w:t>0</w:t>
      </w:r>
      <w:r>
        <w:rPr>
          <w:rFonts w:hint="eastAsia" w:eastAsia="方正仿宋_GBK"/>
          <w:sz w:val="28"/>
        </w:rPr>
        <w:t>%以上，不断提升以文辅政水平。</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6</w:t>
      </w:r>
      <w:r>
        <w:rPr>
          <w:rFonts w:hint="eastAsia" w:eastAsia="方正仿宋_GBK"/>
          <w:sz w:val="28"/>
        </w:rPr>
        <w:t>、信息上报及时高效，全年在省级刊登信息</w:t>
      </w:r>
      <w:r>
        <w:rPr>
          <w:rFonts w:hint="eastAsia" w:eastAsia="方正仿宋_GBK"/>
          <w:sz w:val="28"/>
          <w:lang w:val="en-US" w:eastAsia="zh-CN"/>
        </w:rPr>
        <w:t>5</w:t>
      </w:r>
      <w:r>
        <w:rPr>
          <w:rFonts w:hint="eastAsia" w:eastAsia="方正仿宋_GBK"/>
          <w:sz w:val="28"/>
        </w:rPr>
        <w:t>条以上，在市级刊发20条以上，争创省市信息工作优胜单位。年内编发《政府快报》80期，《前沿资讯》20期。</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7</w:t>
      </w:r>
      <w:r>
        <w:rPr>
          <w:rFonts w:hint="eastAsia" w:eastAsia="方正仿宋_GBK"/>
          <w:sz w:val="28"/>
        </w:rPr>
        <w:t>、积极承办省、市、区三级人大代表建议、政协提案办理，确保办结率达到100%。</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8、</w:t>
      </w:r>
      <w:r>
        <w:rPr>
          <w:rFonts w:hint="eastAsia" w:eastAsia="方正仿宋_GBK"/>
          <w:sz w:val="28"/>
        </w:rPr>
        <w:t>全力推动企业上市挂牌工作，</w:t>
      </w:r>
      <w:r>
        <w:rPr>
          <w:rFonts w:hint="eastAsia" w:eastAsia="方正仿宋_GBK"/>
          <w:sz w:val="28"/>
          <w:lang w:eastAsia="zh-CN"/>
        </w:rPr>
        <w:t>力争</w:t>
      </w:r>
      <w:r>
        <w:rPr>
          <w:rFonts w:hint="eastAsia" w:eastAsia="方正仿宋_GBK"/>
          <w:sz w:val="28"/>
        </w:rPr>
        <w:t>河北聿舍酒店管理股份有限公司2021年实现新三板挂牌。</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9</w:t>
      </w:r>
      <w:r>
        <w:rPr>
          <w:rFonts w:hint="eastAsia" w:eastAsia="方正仿宋_GBK"/>
          <w:sz w:val="28"/>
        </w:rPr>
        <w:t>、加速金融产业聚集，协助相关园区加大对金融、类金融企业的招商力度，推进中信、民生等金融企业设立分支机构。</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10</w:t>
      </w:r>
      <w:r>
        <w:rPr>
          <w:rFonts w:hint="eastAsia" w:eastAsia="方正仿宋_GBK"/>
          <w:sz w:val="28"/>
        </w:rPr>
        <w:t>、推动区内各金融机构支持河北自贸区大宗商品交易中心</w:t>
      </w:r>
      <w:r>
        <w:rPr>
          <w:rFonts w:hint="eastAsia" w:eastAsia="方正仿宋_GBK"/>
          <w:sz w:val="28"/>
          <w:lang w:eastAsia="zh-CN"/>
        </w:rPr>
        <w:t>建设</w:t>
      </w:r>
      <w:r>
        <w:rPr>
          <w:rFonts w:hint="eastAsia" w:eastAsia="方正仿宋_GBK"/>
          <w:sz w:val="28"/>
        </w:rPr>
        <w:t>，为大宗商品现货交易提供综合性金融服务。</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11</w:t>
      </w:r>
      <w:r>
        <w:rPr>
          <w:rFonts w:hint="eastAsia" w:eastAsia="方正仿宋_GBK"/>
          <w:sz w:val="28"/>
        </w:rPr>
        <w:t>、引导区内各银行、保险</w:t>
      </w:r>
      <w:r>
        <w:rPr>
          <w:rFonts w:hint="eastAsia" w:eastAsia="方正仿宋_GBK"/>
          <w:sz w:val="28"/>
          <w:lang w:eastAsia="zh-CN"/>
        </w:rPr>
        <w:t>等</w:t>
      </w:r>
      <w:r>
        <w:rPr>
          <w:rFonts w:hint="eastAsia" w:eastAsia="方正仿宋_GBK"/>
          <w:sz w:val="28"/>
        </w:rPr>
        <w:t>金融机构大力开展自贸金融业务，为区内进出口贸易企业提供完善的金融服务，推动各金融机构加大自贸区金融创新工作力度。</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12</w:t>
      </w:r>
      <w:r>
        <w:rPr>
          <w:rFonts w:hint="eastAsia" w:eastAsia="方正仿宋_GBK"/>
          <w:sz w:val="28"/>
        </w:rPr>
        <w:t>、做好各类金融风险排查和化解处置工作，强化宣传教育和风险排查，防范区域性非法集资案件发生。不断完善金融风险监测预警机制，完善应急预案和处置流程，确保防范风险及风险发生后及时、有效的处置。</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lang w:val="en-US" w:eastAsia="zh-CN"/>
        </w:rPr>
      </w:pPr>
      <w:r>
        <w:rPr>
          <w:rFonts w:hint="eastAsia" w:eastAsia="方正仿宋_GBK"/>
          <w:sz w:val="28"/>
          <w:lang w:val="en-US" w:eastAsia="zh-CN"/>
        </w:rPr>
        <w:t>13、落实主体责任，推动全面从严治党纵深发展。</w:t>
      </w:r>
    </w:p>
    <w:p>
      <w:pPr>
        <w:pStyle w:val="13"/>
        <w:ind w:left="0" w:leftChars="0" w:firstLine="281" w:firstLineChars="100"/>
        <w:rPr>
          <w:rFonts w:hint="default"/>
          <w:lang w:val="en-US" w:eastAsia="zh-CN"/>
        </w:rPr>
      </w:pPr>
      <w:r>
        <w:rPr>
          <w:rFonts w:hint="eastAsia" w:eastAsia="方正仿宋_GBK"/>
          <w:sz w:val="28"/>
          <w:lang w:val="en-US" w:eastAsia="zh-CN"/>
        </w:rPr>
        <w:t>（二）保障措施</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lang w:val="en-US" w:eastAsia="zh-CN"/>
        </w:rPr>
      </w:pPr>
      <w:r>
        <w:rPr>
          <w:rFonts w:hint="eastAsia" w:eastAsia="方正仿宋_GBK"/>
          <w:sz w:val="28"/>
          <w:lang w:val="en-US" w:eastAsia="zh-CN"/>
        </w:rPr>
        <w:t>1.坚持将参谋服务作为办公室的第一要务，按照高站位、早谋划、深研究的要求，全方位、全过程、高效率为领导搞好参谋服务。2.以文辅政力求“精”：牢固树立精品意识，提供的材料要再“审一遍”，做到无错位；交稿前，再“滤一遍”，做到无遗漏；印刷前再“校一遍”，做到无瑕疵。公文运转力求“快”：健全完善岗位制度规范，做到即收即办、不拖不压、严格审核、准确拟办，不断提升政务运转效率。会务组织力求“准”：进一步完善会务组织程序，从会议筹划到会场布置等都精心谋划、周密部署，确保不出纰漏。公务接待力求“严”：既要做到“热情、周到、细致”，更要严守“八项规定”，做到“节俭”。3.健全完善市民公共服务工作制度流程，全面落实7个工作日、24小时值班制度，确保上级指令传递、文电运转、协调联络“全天候、无缝隙、不间断”。4.以民主生活会、组织生活会为契机，深入开展系列专题学习研讨，通过批评和自我批评，自觉查找不足，建立整改责任清单，落实具体措施抓整改。坚持以感情带干部、凭业绩提干部，努力让干部干事有激情、有动力、有指望。</w:t>
      </w:r>
    </w:p>
    <w:p>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jc w:val="left"/>
        <w:outlineLvl w:val="1"/>
        <w:rPr>
          <w:rFonts w:hint="default" w:ascii="方正小标宋_GBK" w:eastAsia="方正小标宋_GBK"/>
          <w:sz w:val="32"/>
          <w:lang w:val="en-US" w:eastAsia="zh-CN"/>
        </w:rPr>
      </w:pPr>
      <w:r>
        <w:rPr>
          <w:rFonts w:hint="eastAsia" w:ascii="方正小标宋_GBK" w:eastAsia="方正小标宋_GBK"/>
          <w:sz w:val="32"/>
          <w:lang w:val="en-US" w:eastAsia="zh-CN"/>
        </w:rPr>
        <w:t>2021年，安排政府采购预算227万元。（详见下表）</w:t>
      </w:r>
    </w:p>
    <w:p>
      <w:pPr>
        <w:jc w:val="center"/>
        <w:outlineLvl w:val="1"/>
        <w:rPr>
          <w:rFonts w:hint="eastAsia" w:hAnsi="宋体"/>
          <w:sz w:val="32"/>
        </w:rPr>
      </w:pPr>
      <w:bookmarkStart w:id="0" w:name="_Toc64898031"/>
      <w:r>
        <w:rPr>
          <w:rFonts w:hint="eastAsia" w:ascii="方正小标宋_GBK" w:eastAsia="方正小标宋_GBK"/>
          <w:sz w:val="32"/>
        </w:rPr>
        <w:t>部门政府采购预算</w:t>
      </w:r>
      <w:bookmarkEnd w:id="0"/>
    </w:p>
    <w:tbl>
      <w:tblPr>
        <w:tblStyle w:val="1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434</w:t>
            </w:r>
            <w:r>
              <w:rPr>
                <w:rFonts w:hint="eastAsia" w:ascii="方正小标宋_GBK" w:eastAsia="方正小标宋_GBK"/>
                <w:sz w:val="24"/>
              </w:rPr>
              <w:t>曹妃甸区政府办公室</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1"/>
              <w:rPr>
                <w:rFonts w:eastAsia="方正仿宋_GBK"/>
                <w:sz w:val="28"/>
              </w:rPr>
            </w:pPr>
          </w:p>
        </w:tc>
        <w:tc>
          <w:tcPr>
            <w:tcW w:w="1531" w:type="dxa"/>
            <w:vMerge w:val="continue"/>
            <w:noWrap w:val="0"/>
            <w:vAlign w:val="center"/>
          </w:tcPr>
          <w:p>
            <w:pPr>
              <w:spacing w:line="300" w:lineRule="exact"/>
              <w:jc w:val="left"/>
              <w:outlineLvl w:val="1"/>
              <w:rPr>
                <w:rFonts w:eastAsia="方正仿宋_GBK"/>
                <w:sz w:val="28"/>
              </w:rPr>
            </w:pPr>
          </w:p>
        </w:tc>
        <w:tc>
          <w:tcPr>
            <w:tcW w:w="709"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曹妃甸区政府办公室本级小计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碎纸机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A02021101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其他销毁设备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A02021199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其他办公设备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案卷柜</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A02040102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万份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hint="eastAsia" w:ascii="方正书宋_GBK" w:eastAsia="方正书宋_GBK"/>
              </w:rPr>
              <w:t>打击走私工作经费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打击走私工作经费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百份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千份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政府及政府组织的各类会议活动</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政府及政府组织的各类会议活动</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千份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jc w:val="left"/>
        <w:rPr>
          <w:rFonts w:hint="eastAsia"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500" w:lineRule="exact"/>
        <w:ind w:firstLine="560" w:firstLineChars="200"/>
        <w:jc w:val="left"/>
        <w:rPr>
          <w:rFonts w:hint="eastAsia" w:ascii="??_GB2312" w:hAnsi="黑体" w:cs="Times New Roman"/>
          <w:sz w:val="32"/>
          <w:szCs w:val="32"/>
          <w:lang w:eastAsia="zh-CN"/>
        </w:rPr>
      </w:pPr>
      <w:r>
        <w:rPr>
          <w:rFonts w:hint="eastAsia" w:eastAsia="方正仿宋_GBK"/>
          <w:sz w:val="28"/>
          <w:lang w:eastAsia="zh-CN"/>
        </w:rPr>
        <w:t>上年末国有资产共</w:t>
      </w:r>
      <w:r>
        <w:rPr>
          <w:rFonts w:hint="eastAsia" w:eastAsia="方正仿宋_GBK"/>
          <w:sz w:val="28"/>
          <w:lang w:val="en-US" w:eastAsia="zh-CN"/>
        </w:rPr>
        <w:t>500.68万元（详见下表），其中</w:t>
      </w:r>
      <w:r>
        <w:rPr>
          <w:rFonts w:hint="eastAsia" w:eastAsia="方正仿宋_GBK"/>
          <w:sz w:val="28"/>
          <w:lang w:eastAsia="zh-CN"/>
        </w:rPr>
        <w:t>固定资产金额为</w:t>
      </w:r>
      <w:r>
        <w:rPr>
          <w:rFonts w:hint="eastAsia" w:eastAsia="方正仿宋_GBK"/>
          <w:sz w:val="28"/>
          <w:lang w:val="en-US" w:eastAsia="zh-CN"/>
        </w:rPr>
        <w:t>480.49</w:t>
      </w:r>
      <w:r>
        <w:rPr>
          <w:rFonts w:hint="eastAsia" w:eastAsia="方正仿宋_GBK"/>
          <w:sz w:val="28"/>
          <w:lang w:eastAsia="zh-CN"/>
        </w:rPr>
        <w:t>万元，无形资产</w:t>
      </w:r>
      <w:r>
        <w:rPr>
          <w:rFonts w:hint="eastAsia" w:eastAsia="方正仿宋_GBK"/>
          <w:sz w:val="28"/>
          <w:lang w:val="en-US" w:eastAsia="zh-CN"/>
        </w:rPr>
        <w:t>20.19万元。</w:t>
      </w:r>
      <w:r>
        <w:rPr>
          <w:rFonts w:ascii="??_GB2312" w:hAnsi="黑体" w:eastAsia="Times New Roman" w:cs="Times New Roman"/>
          <w:sz w:val="32"/>
          <w:szCs w:val="32"/>
        </w:rPr>
        <w:t>本年度拟购置固定资产主要为电脑、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摄像头等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55</w:t>
      </w:r>
      <w:r>
        <w:rPr>
          <w:rFonts w:ascii="??_GB2312" w:hAnsi="黑体" w:eastAsia="Times New Roman" w:cs="Times New Roman"/>
          <w:sz w:val="32"/>
          <w:szCs w:val="32"/>
        </w:rPr>
        <w:t>万元</w:t>
      </w:r>
      <w:r>
        <w:rPr>
          <w:rFonts w:hint="eastAsia" w:ascii="??_GB2312" w:hAnsi="黑体" w:cs="Times New Roman"/>
          <w:sz w:val="32"/>
          <w:szCs w:val="32"/>
          <w:lang w:eastAsia="zh-CN"/>
        </w:rPr>
        <w:t>，</w:t>
      </w:r>
      <w:r>
        <w:rPr>
          <w:rFonts w:hint="eastAsia" w:ascii="??_GB2312" w:hAnsi="黑体" w:cs="Times New Roman"/>
          <w:sz w:val="32"/>
          <w:szCs w:val="32"/>
          <w:lang w:val="en-US" w:eastAsia="zh-CN"/>
        </w:rPr>
        <w:t>每项均在</w:t>
      </w:r>
      <w:r>
        <w:rPr>
          <w:rFonts w:hint="eastAsia" w:ascii="??_GB2312" w:hAnsi="黑体" w:cs="Times New Roman"/>
          <w:sz w:val="32"/>
          <w:szCs w:val="32"/>
          <w:lang w:eastAsia="zh-CN"/>
        </w:rPr>
        <w:t>20万元以下。</w:t>
      </w:r>
    </w:p>
    <w:p>
      <w:pPr>
        <w:ind w:firstLine="640"/>
        <w:rPr>
          <w:rFonts w:ascii="??_GB2312" w:hAnsi="黑体" w:eastAsia="Times New Roman" w:cs="Times New Roman"/>
          <w:sz w:val="32"/>
          <w:szCs w:val="32"/>
        </w:rPr>
      </w:pPr>
    </w:p>
    <w:tbl>
      <w:tblPr>
        <w:tblStyle w:val="1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唐山市曹妃甸区人民政府办公室固定资产占用情况表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唐山市曹妃甸区人民政府办公室</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560"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500.68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lang w:val="en-US" w:eastAsia="zh-CN"/>
              </w:rPr>
              <w:t>2243平方米</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82.51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cs="宋体"/>
                <w:kern w:val="0"/>
                <w:sz w:val="22"/>
                <w:lang w:val="en-US"/>
              </w:rPr>
            </w:pPr>
            <w:r>
              <w:rPr>
                <w:rFonts w:hint="eastAsia" w:ascii="宋体" w:hAnsi="宋体" w:cs="宋体"/>
                <w:kern w:val="0"/>
                <w:sz w:val="22"/>
                <w:lang w:val="en-US" w:eastAsia="zh-CN"/>
              </w:rPr>
              <w:t>82.51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7</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136.39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261.59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5、无形资产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20.19</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1、一般预算收入：财政当年拨付的资金。</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2、基本支出：为保障机构正常运转，完成日常工作任务，而发生的人员支出和公用支出。</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3、项目支出：是指在基本支出之外，为完成特定行政任务和事业发展目标，而发生的支出。</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无</w:t>
      </w:r>
    </w:p>
    <w:p>
      <w:pPr>
        <w:pStyle w:val="12"/>
        <w:jc w:val="both"/>
      </w:pPr>
      <w:r>
        <w:t xml:space="preserve">                       </w:t>
      </w:r>
    </w:p>
    <w:p>
      <w:pPr>
        <w:rPr>
          <w:rFonts w:ascii="??_GB2312" w:hAnsi="??_GB2312" w:cs="??_GB2312"/>
          <w:sz w:val="32"/>
          <w:szCs w:val="32"/>
        </w:rPr>
      </w:pPr>
    </w:p>
    <w:sectPr>
      <w:headerReference r:id="rId3" w:type="default"/>
      <w:footerReference r:id="rId4" w:type="default"/>
      <w:pgSz w:w="16838" w:h="11906" w:orient="landscape"/>
      <w:pgMar w:top="1020" w:right="1440" w:bottom="1020" w:left="136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方正书宋_GBK">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9A0EE"/>
    <w:multiLevelType w:val="singleLevel"/>
    <w:tmpl w:val="5909A0EE"/>
    <w:lvl w:ilvl="0" w:tentative="0">
      <w:start w:val="1"/>
      <w:numFmt w:val="chineseCounting"/>
      <w:suff w:val="nothing"/>
      <w:lvlText w:val="%1、"/>
      <w:lvlJc w:val="left"/>
      <w:rPr>
        <w:rFonts w:cs="Times New Roman"/>
      </w:rPr>
    </w:lvl>
  </w:abstractNum>
  <w:abstractNum w:abstractNumId="1">
    <w:nsid w:val="5909A57E"/>
    <w:multiLevelType w:val="singleLevel"/>
    <w:tmpl w:val="5909A57E"/>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2MGYzNzU4MjM1YTRhYmZlYmU5NjVkODA1MDY3ZGIifQ=="/>
  </w:docVars>
  <w:rsids>
    <w:rsidRoot w:val="00172A27"/>
    <w:rsid w:val="000E064F"/>
    <w:rsid w:val="00160CA3"/>
    <w:rsid w:val="00172A27"/>
    <w:rsid w:val="001D591B"/>
    <w:rsid w:val="00210270"/>
    <w:rsid w:val="002E1045"/>
    <w:rsid w:val="003C2E23"/>
    <w:rsid w:val="003F1F40"/>
    <w:rsid w:val="00464D34"/>
    <w:rsid w:val="00470CF1"/>
    <w:rsid w:val="00612784"/>
    <w:rsid w:val="00677796"/>
    <w:rsid w:val="00774C41"/>
    <w:rsid w:val="007C4F96"/>
    <w:rsid w:val="007E3139"/>
    <w:rsid w:val="007F7F9B"/>
    <w:rsid w:val="0087220F"/>
    <w:rsid w:val="00891259"/>
    <w:rsid w:val="00906EDC"/>
    <w:rsid w:val="009176FA"/>
    <w:rsid w:val="009263EF"/>
    <w:rsid w:val="00982422"/>
    <w:rsid w:val="00A1264C"/>
    <w:rsid w:val="00A836CC"/>
    <w:rsid w:val="00BE0D88"/>
    <w:rsid w:val="00BE2C97"/>
    <w:rsid w:val="00BE6884"/>
    <w:rsid w:val="00BF73F6"/>
    <w:rsid w:val="00C5340B"/>
    <w:rsid w:val="00CA1271"/>
    <w:rsid w:val="00CD24E5"/>
    <w:rsid w:val="00CE3435"/>
    <w:rsid w:val="00D029DA"/>
    <w:rsid w:val="00D82331"/>
    <w:rsid w:val="00DA1CCC"/>
    <w:rsid w:val="00E056B4"/>
    <w:rsid w:val="00E32825"/>
    <w:rsid w:val="00E97FF8"/>
    <w:rsid w:val="00EB3D40"/>
    <w:rsid w:val="00F12AEB"/>
    <w:rsid w:val="00F257FA"/>
    <w:rsid w:val="00FF64A4"/>
    <w:rsid w:val="012F2DE0"/>
    <w:rsid w:val="01986526"/>
    <w:rsid w:val="01BB388E"/>
    <w:rsid w:val="01C83E8C"/>
    <w:rsid w:val="02335EF2"/>
    <w:rsid w:val="02655920"/>
    <w:rsid w:val="02787391"/>
    <w:rsid w:val="03352EE3"/>
    <w:rsid w:val="035554CA"/>
    <w:rsid w:val="03B60ABC"/>
    <w:rsid w:val="04705155"/>
    <w:rsid w:val="048E64CC"/>
    <w:rsid w:val="04925D12"/>
    <w:rsid w:val="04B419B4"/>
    <w:rsid w:val="0559598E"/>
    <w:rsid w:val="05816B6A"/>
    <w:rsid w:val="06131A49"/>
    <w:rsid w:val="06476DE8"/>
    <w:rsid w:val="07E223F4"/>
    <w:rsid w:val="08074717"/>
    <w:rsid w:val="081465EC"/>
    <w:rsid w:val="08224AF2"/>
    <w:rsid w:val="083A5977"/>
    <w:rsid w:val="087006F7"/>
    <w:rsid w:val="08B872E5"/>
    <w:rsid w:val="09194E06"/>
    <w:rsid w:val="09521F9D"/>
    <w:rsid w:val="095E1366"/>
    <w:rsid w:val="09772883"/>
    <w:rsid w:val="09C91DC7"/>
    <w:rsid w:val="09CB6871"/>
    <w:rsid w:val="09F36079"/>
    <w:rsid w:val="0A201792"/>
    <w:rsid w:val="0A2A24E5"/>
    <w:rsid w:val="0A612371"/>
    <w:rsid w:val="0B153FBF"/>
    <w:rsid w:val="0BF93FB2"/>
    <w:rsid w:val="0C28507E"/>
    <w:rsid w:val="0C5B4124"/>
    <w:rsid w:val="0D3D7863"/>
    <w:rsid w:val="0D931AD8"/>
    <w:rsid w:val="0E265D08"/>
    <w:rsid w:val="0FEB61AA"/>
    <w:rsid w:val="100B506C"/>
    <w:rsid w:val="11B04AF4"/>
    <w:rsid w:val="11B14DCE"/>
    <w:rsid w:val="11BD51BB"/>
    <w:rsid w:val="125F5BAF"/>
    <w:rsid w:val="127576BF"/>
    <w:rsid w:val="12AB7916"/>
    <w:rsid w:val="13D310C5"/>
    <w:rsid w:val="13FE75A2"/>
    <w:rsid w:val="14556B97"/>
    <w:rsid w:val="156E62FC"/>
    <w:rsid w:val="15FE6869"/>
    <w:rsid w:val="16E33263"/>
    <w:rsid w:val="16EA61AD"/>
    <w:rsid w:val="173E1959"/>
    <w:rsid w:val="174503FB"/>
    <w:rsid w:val="17B27C12"/>
    <w:rsid w:val="182B5206"/>
    <w:rsid w:val="18746C92"/>
    <w:rsid w:val="189006DF"/>
    <w:rsid w:val="18E406CF"/>
    <w:rsid w:val="1A162EAA"/>
    <w:rsid w:val="1A6C0E84"/>
    <w:rsid w:val="1A7C3068"/>
    <w:rsid w:val="1B6C046B"/>
    <w:rsid w:val="1C6D28A3"/>
    <w:rsid w:val="1C875F63"/>
    <w:rsid w:val="1C9D4615"/>
    <w:rsid w:val="1CC5044C"/>
    <w:rsid w:val="1D7B18C1"/>
    <w:rsid w:val="1DC43078"/>
    <w:rsid w:val="1F436A91"/>
    <w:rsid w:val="1F7E43DC"/>
    <w:rsid w:val="20490F69"/>
    <w:rsid w:val="20880B42"/>
    <w:rsid w:val="20885396"/>
    <w:rsid w:val="20B407F4"/>
    <w:rsid w:val="20D06600"/>
    <w:rsid w:val="213C163B"/>
    <w:rsid w:val="228B2286"/>
    <w:rsid w:val="229C2E2B"/>
    <w:rsid w:val="22D53F79"/>
    <w:rsid w:val="2429107D"/>
    <w:rsid w:val="246F6298"/>
    <w:rsid w:val="250570BD"/>
    <w:rsid w:val="253476E6"/>
    <w:rsid w:val="253C2169"/>
    <w:rsid w:val="2573511A"/>
    <w:rsid w:val="26014EBE"/>
    <w:rsid w:val="267C63E3"/>
    <w:rsid w:val="26A175C9"/>
    <w:rsid w:val="26B55F79"/>
    <w:rsid w:val="273D7295"/>
    <w:rsid w:val="28085493"/>
    <w:rsid w:val="28CA710E"/>
    <w:rsid w:val="29286F11"/>
    <w:rsid w:val="29383944"/>
    <w:rsid w:val="299E58BC"/>
    <w:rsid w:val="2A3A63A8"/>
    <w:rsid w:val="2A523C52"/>
    <w:rsid w:val="2A7C6B57"/>
    <w:rsid w:val="2B2D036C"/>
    <w:rsid w:val="2BAD51A9"/>
    <w:rsid w:val="2C343CEB"/>
    <w:rsid w:val="2C6B4355"/>
    <w:rsid w:val="2C973BA3"/>
    <w:rsid w:val="2CAA3337"/>
    <w:rsid w:val="2CB500BB"/>
    <w:rsid w:val="2CD91EE1"/>
    <w:rsid w:val="2D2E6CD9"/>
    <w:rsid w:val="2D395E1A"/>
    <w:rsid w:val="2D3D47D0"/>
    <w:rsid w:val="2D9F209F"/>
    <w:rsid w:val="2DFA07EA"/>
    <w:rsid w:val="2E7131D4"/>
    <w:rsid w:val="2E780E2B"/>
    <w:rsid w:val="2EDE0655"/>
    <w:rsid w:val="2EE53EC6"/>
    <w:rsid w:val="2F9464EE"/>
    <w:rsid w:val="2FAF2DC0"/>
    <w:rsid w:val="32863D7F"/>
    <w:rsid w:val="32B974A8"/>
    <w:rsid w:val="33D56F85"/>
    <w:rsid w:val="33E764FA"/>
    <w:rsid w:val="33FC2C1C"/>
    <w:rsid w:val="346103C2"/>
    <w:rsid w:val="350D3F0B"/>
    <w:rsid w:val="357F50D9"/>
    <w:rsid w:val="363B5550"/>
    <w:rsid w:val="36DB2752"/>
    <w:rsid w:val="372C7489"/>
    <w:rsid w:val="37346343"/>
    <w:rsid w:val="376059F1"/>
    <w:rsid w:val="390738CD"/>
    <w:rsid w:val="39AC3E6F"/>
    <w:rsid w:val="39B624A1"/>
    <w:rsid w:val="39DC4689"/>
    <w:rsid w:val="3A6C4ABB"/>
    <w:rsid w:val="3A884CF3"/>
    <w:rsid w:val="3A9C2A69"/>
    <w:rsid w:val="3AD3182C"/>
    <w:rsid w:val="3B2246F4"/>
    <w:rsid w:val="3B270E92"/>
    <w:rsid w:val="3B9D05E2"/>
    <w:rsid w:val="3B9D3F7B"/>
    <w:rsid w:val="3BC06A63"/>
    <w:rsid w:val="3C667A62"/>
    <w:rsid w:val="3C6A32A3"/>
    <w:rsid w:val="3E12779E"/>
    <w:rsid w:val="3F1F628A"/>
    <w:rsid w:val="3F675A63"/>
    <w:rsid w:val="405B2817"/>
    <w:rsid w:val="40880423"/>
    <w:rsid w:val="410D5C20"/>
    <w:rsid w:val="417B1318"/>
    <w:rsid w:val="41C47EF6"/>
    <w:rsid w:val="42646472"/>
    <w:rsid w:val="426D5209"/>
    <w:rsid w:val="4333766F"/>
    <w:rsid w:val="460974D0"/>
    <w:rsid w:val="467013C7"/>
    <w:rsid w:val="47272909"/>
    <w:rsid w:val="47274EA5"/>
    <w:rsid w:val="477E5776"/>
    <w:rsid w:val="47E52DBD"/>
    <w:rsid w:val="491E6E30"/>
    <w:rsid w:val="49F24D74"/>
    <w:rsid w:val="4B8F3797"/>
    <w:rsid w:val="4B955763"/>
    <w:rsid w:val="4BCA2AE9"/>
    <w:rsid w:val="4BD241C4"/>
    <w:rsid w:val="4D373A83"/>
    <w:rsid w:val="4D667939"/>
    <w:rsid w:val="4DA36676"/>
    <w:rsid w:val="4E1604C8"/>
    <w:rsid w:val="4E3061FA"/>
    <w:rsid w:val="4F251118"/>
    <w:rsid w:val="4F762266"/>
    <w:rsid w:val="4F7F116C"/>
    <w:rsid w:val="507B57E7"/>
    <w:rsid w:val="50AA1AC0"/>
    <w:rsid w:val="50CF7020"/>
    <w:rsid w:val="5118422D"/>
    <w:rsid w:val="516D3442"/>
    <w:rsid w:val="51DD2D32"/>
    <w:rsid w:val="51E8562E"/>
    <w:rsid w:val="525A132C"/>
    <w:rsid w:val="52C97E5A"/>
    <w:rsid w:val="52F74406"/>
    <w:rsid w:val="53934B54"/>
    <w:rsid w:val="53E0203D"/>
    <w:rsid w:val="53E12527"/>
    <w:rsid w:val="54300587"/>
    <w:rsid w:val="54C803CC"/>
    <w:rsid w:val="55AF6D00"/>
    <w:rsid w:val="56412769"/>
    <w:rsid w:val="566D4D40"/>
    <w:rsid w:val="56A439CF"/>
    <w:rsid w:val="58485D61"/>
    <w:rsid w:val="588958A6"/>
    <w:rsid w:val="5A9C3CD6"/>
    <w:rsid w:val="5B4F5FAC"/>
    <w:rsid w:val="5B9A0EEA"/>
    <w:rsid w:val="5BB33550"/>
    <w:rsid w:val="5C5C3E00"/>
    <w:rsid w:val="5CF32068"/>
    <w:rsid w:val="5D3E5D3B"/>
    <w:rsid w:val="5DDC37DC"/>
    <w:rsid w:val="5E520F35"/>
    <w:rsid w:val="5F0553BD"/>
    <w:rsid w:val="60A736C7"/>
    <w:rsid w:val="62510A72"/>
    <w:rsid w:val="62582FD8"/>
    <w:rsid w:val="627D0311"/>
    <w:rsid w:val="62B66F99"/>
    <w:rsid w:val="631B5D11"/>
    <w:rsid w:val="63AE0261"/>
    <w:rsid w:val="63EC0666"/>
    <w:rsid w:val="664753CF"/>
    <w:rsid w:val="66E73FB6"/>
    <w:rsid w:val="66E81477"/>
    <w:rsid w:val="671F7FC1"/>
    <w:rsid w:val="676137BD"/>
    <w:rsid w:val="679407CF"/>
    <w:rsid w:val="67C9021A"/>
    <w:rsid w:val="680B6587"/>
    <w:rsid w:val="696551FD"/>
    <w:rsid w:val="6A8E6A5E"/>
    <w:rsid w:val="6BDC690F"/>
    <w:rsid w:val="6BF81301"/>
    <w:rsid w:val="6C603ED1"/>
    <w:rsid w:val="6CA77794"/>
    <w:rsid w:val="6DFB07D2"/>
    <w:rsid w:val="6ED143A0"/>
    <w:rsid w:val="6F123BFA"/>
    <w:rsid w:val="712552E9"/>
    <w:rsid w:val="727679FE"/>
    <w:rsid w:val="730B3AFD"/>
    <w:rsid w:val="738D5D90"/>
    <w:rsid w:val="73F8387D"/>
    <w:rsid w:val="750F2602"/>
    <w:rsid w:val="7528698E"/>
    <w:rsid w:val="75BF3C2E"/>
    <w:rsid w:val="75EB5768"/>
    <w:rsid w:val="76EB638F"/>
    <w:rsid w:val="77036C8E"/>
    <w:rsid w:val="779F354D"/>
    <w:rsid w:val="77DD72EF"/>
    <w:rsid w:val="790C33F6"/>
    <w:rsid w:val="7944331F"/>
    <w:rsid w:val="79635F11"/>
    <w:rsid w:val="7A077E3B"/>
    <w:rsid w:val="7A74036C"/>
    <w:rsid w:val="7AEC23D6"/>
    <w:rsid w:val="7B287880"/>
    <w:rsid w:val="7B5010A4"/>
    <w:rsid w:val="7B985E29"/>
    <w:rsid w:val="7BBC722B"/>
    <w:rsid w:val="7C2748C3"/>
    <w:rsid w:val="7C303191"/>
    <w:rsid w:val="7C9A0DDC"/>
    <w:rsid w:val="7C9A7756"/>
    <w:rsid w:val="7CF84916"/>
    <w:rsid w:val="7D03307F"/>
    <w:rsid w:val="7D53523B"/>
    <w:rsid w:val="7D5D00D6"/>
    <w:rsid w:val="7E3B2686"/>
    <w:rsid w:val="7E950759"/>
    <w:rsid w:val="7EEA4BC7"/>
    <w:rsid w:val="7F0D5DA2"/>
    <w:rsid w:val="7F466D1E"/>
    <w:rsid w:val="7F752A34"/>
    <w:rsid w:val="7F7A0B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2">
    <w:name w:val="heading 2"/>
    <w:basedOn w:val="1"/>
    <w:next w:val="3"/>
    <w:qFormat/>
    <w:locked/>
    <w:uiPriority w:val="0"/>
    <w:pPr>
      <w:keepNext/>
      <w:keepLines/>
      <w:spacing w:before="260" w:beforeLines="0" w:after="260" w:afterLines="0" w:line="413" w:lineRule="auto"/>
      <w:outlineLvl w:val="1"/>
    </w:pPr>
    <w:rPr>
      <w:rFonts w:ascii="Arial" w:hAnsi="Arial" w:eastAsia="黑体"/>
      <w:b/>
      <w:sz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locked/>
    <w:uiPriority w:val="0"/>
    <w:pPr>
      <w:ind w:firstLine="420"/>
    </w:pPr>
  </w:style>
  <w:style w:type="paragraph" w:styleId="5">
    <w:name w:val="Body Text Indent"/>
    <w:basedOn w:val="1"/>
    <w:qFormat/>
    <w:locked/>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6">
    <w:name w:val="footer"/>
    <w:basedOn w:val="1"/>
    <w:link w:val="21"/>
    <w:qFormat/>
    <w:uiPriority w:val="99"/>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99"/>
    <w:rPr>
      <w:rFonts w:ascii="Times New Roman" w:hAnsi="Times New Roman" w:cs="Times New Roman"/>
      <w:szCs w:val="24"/>
    </w:rPr>
  </w:style>
  <w:style w:type="paragraph" w:styleId="9">
    <w:name w:val="footnote text"/>
    <w:basedOn w:val="1"/>
    <w:semiHidden/>
    <w:qFormat/>
    <w:locked/>
    <w:uiPriority w:val="0"/>
    <w:pPr>
      <w:snapToGrid w:val="0"/>
      <w:jc w:val="left"/>
    </w:pPr>
    <w:rPr>
      <w:sz w:val="18"/>
      <w:szCs w:val="18"/>
    </w:rPr>
  </w:style>
  <w:style w:type="paragraph" w:styleId="10">
    <w:name w:val="toc 2"/>
    <w:basedOn w:val="1"/>
    <w:next w:val="1"/>
    <w:qFormat/>
    <w:uiPriority w:val="99"/>
    <w:pPr>
      <w:ind w:left="420" w:leftChars="200"/>
    </w:pPr>
    <w:rPr>
      <w:rFonts w:ascii="Times New Roman" w:hAnsi="Times New Roman"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3"/>
    <w:qFormat/>
    <w:uiPriority w:val="99"/>
    <w:pPr>
      <w:spacing w:before="240" w:after="60"/>
      <w:jc w:val="center"/>
      <w:outlineLvl w:val="0"/>
    </w:pPr>
    <w:rPr>
      <w:rFonts w:ascii="Cambria" w:hAnsi="Cambria" w:cs="Times New Roman"/>
      <w:b/>
      <w:bCs/>
      <w:sz w:val="32"/>
      <w:szCs w:val="32"/>
    </w:rPr>
  </w:style>
  <w:style w:type="paragraph" w:styleId="13">
    <w:name w:val="Body Text First Indent 2"/>
    <w:basedOn w:val="5"/>
    <w:qFormat/>
    <w:locked/>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semiHidden/>
    <w:unhideWhenUsed/>
    <w:qFormat/>
    <w:locked/>
    <w:uiPriority w:val="99"/>
  </w:style>
  <w:style w:type="character" w:styleId="18">
    <w:name w:val="Hyperlink"/>
    <w:basedOn w:val="16"/>
    <w:qFormat/>
    <w:uiPriority w:val="99"/>
    <w:rPr>
      <w:rFonts w:cs="Times New Roman"/>
      <w:color w:val="0000FF"/>
      <w:u w:val="single"/>
    </w:rPr>
  </w:style>
  <w:style w:type="character" w:styleId="19">
    <w:name w:val="footnote reference"/>
    <w:basedOn w:val="16"/>
    <w:semiHidden/>
    <w:qFormat/>
    <w:locked/>
    <w:uiPriority w:val="0"/>
    <w:rPr>
      <w:vertAlign w:val="superscript"/>
    </w:rPr>
  </w:style>
  <w:style w:type="character" w:customStyle="1" w:styleId="20">
    <w:name w:val="Heading 1 Char"/>
    <w:basedOn w:val="16"/>
    <w:link w:val="4"/>
    <w:qFormat/>
    <w:locked/>
    <w:uiPriority w:val="99"/>
    <w:rPr>
      <w:rFonts w:ascii="Calibri" w:hAnsi="Calibri" w:cs="黑体"/>
      <w:b/>
      <w:bCs/>
      <w:kern w:val="44"/>
      <w:sz w:val="44"/>
      <w:szCs w:val="44"/>
    </w:rPr>
  </w:style>
  <w:style w:type="character" w:customStyle="1" w:styleId="21">
    <w:name w:val="Footer Char"/>
    <w:basedOn w:val="16"/>
    <w:link w:val="6"/>
    <w:semiHidden/>
    <w:qFormat/>
    <w:locked/>
    <w:uiPriority w:val="99"/>
    <w:rPr>
      <w:rFonts w:ascii="Times New Roman" w:hAnsi="Times New Roman" w:eastAsia="宋体" w:cs="Times New Roman"/>
      <w:sz w:val="18"/>
      <w:szCs w:val="18"/>
    </w:rPr>
  </w:style>
  <w:style w:type="character" w:customStyle="1" w:styleId="22">
    <w:name w:val="Header Char"/>
    <w:basedOn w:val="16"/>
    <w:link w:val="7"/>
    <w:semiHidden/>
    <w:qFormat/>
    <w:locked/>
    <w:uiPriority w:val="99"/>
    <w:rPr>
      <w:rFonts w:ascii="Times New Roman" w:hAnsi="Times New Roman" w:eastAsia="宋体" w:cs="Times New Roman"/>
      <w:sz w:val="18"/>
      <w:szCs w:val="18"/>
    </w:rPr>
  </w:style>
  <w:style w:type="character" w:customStyle="1" w:styleId="23">
    <w:name w:val="Title Char"/>
    <w:basedOn w:val="16"/>
    <w:link w:val="12"/>
    <w:qFormat/>
    <w:locked/>
    <w:uiPriority w:val="99"/>
    <w:rPr>
      <w:rFonts w:ascii="Cambria" w:hAnsi="Cambria" w:cs="Times New Roman"/>
      <w:b/>
      <w:bCs/>
      <w:sz w:val="32"/>
      <w:szCs w:val="32"/>
    </w:rPr>
  </w:style>
  <w:style w:type="character" w:customStyle="1" w:styleId="24">
    <w:name w:val="Page Number1"/>
    <w:basedOn w:val="16"/>
    <w:qFormat/>
    <w:uiPriority w:val="99"/>
    <w:rPr>
      <w:rFonts w:cs="Times New Roman"/>
    </w:rPr>
  </w:style>
  <w:style w:type="character" w:customStyle="1" w:styleId="25">
    <w:name w:val="font11"/>
    <w:basedOn w:val="16"/>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4650</Words>
  <Characters>5246</Characters>
  <Lines>0</Lines>
  <Paragraphs>0</Paragraphs>
  <TotalTime>10</TotalTime>
  <ScaleCrop>false</ScaleCrop>
  <LinksUpToDate>false</LinksUpToDate>
  <CharactersWithSpaces>5293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cp:lastModifiedBy>
  <cp:lastPrinted>2017-05-03T09:08:00Z</cp:lastPrinted>
  <dcterms:modified xsi:type="dcterms:W3CDTF">2022-09-16T08:22:53Z</dcterms:modified>
  <dc:title>Administrator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13D4770214874877893F8BD575988AF2</vt:lpwstr>
  </property>
</Properties>
</file>