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rPr>
          <w:rFonts w:ascii="方正小标宋_GBK" w:hAnsi="方正小标宋_GBK" w:eastAsia="方正小标宋_GBK" w:cs="方正小标宋_GBK"/>
          <w:color w:val="000000"/>
          <w:sz w:val="72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曹妃甸区政府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金融发展服务中心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val="en-US" w:eastAsia="zh-CN"/>
        </w:rPr>
        <w:t>5</w:t>
      </w:r>
      <w:r>
        <w:rPr>
          <w:rFonts w:ascii="方正小标宋_GBK" w:hAnsi="方正小标宋_GBK" w:eastAsia="方正小标宋_GBK" w:cs="方正小标宋_GBK"/>
          <w:color w:val="000000"/>
          <w:sz w:val="72"/>
        </w:rPr>
        <w:t>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                     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曹妃甸区政府金融发展服务中心编制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一、曹妃甸区政府金融发展服务中心本级收支预算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根据《曹妃甸区政府金融发展服务中心职能配置、内设机构和人员编制规定》，曹妃甸区政府金融发展服务中心的主要职责是：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根据《曹妃甸区政府金融发展服务中心职能配置、内设机构和人员编制规定》，曹妃甸区政府金融发展服务中心的主要职责是：正确贯彻执行国家、省、市金融政策、法律法规,开展银企对接，协助推动区内企业融资、协调域外金融机构加快入驻我区；培育指导区内企业上市融资；牵头开展金融领域风险排查及化解工作，组织防范与打击非法集资宣传工作；负责全区小额贷款公司的监督管理，配合上级部门做好融资担保、典当、融资租赁、商业保理、地方交易场所的监督工作。完成区委、区政府交办的其他事项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822曹妃甸区政府金融发展服务中心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51.80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822曹妃甸区政府金融发展服务中心</w:t>
            </w:r>
          </w:p>
        </w:tc>
        <w:tc>
          <w:tcPr>
            <w:tcW w:w="908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2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1）在职人员物业补贴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2）完善人民警察工资待遇政策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3）乡镇工作补贴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3、行政年终一次性奖金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4、行政基础绩效奖金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3、离休人员物业补贴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4、退休人员物业补贴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  <w:tabs>
                <w:tab w:val="left" w:pos="409"/>
              </w:tabs>
              <w:jc w:val="left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1）其他邮电费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2)公务移动通讯补贴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17"/>
        <w:gridCol w:w="972"/>
        <w:gridCol w:w="862"/>
        <w:gridCol w:w="917"/>
        <w:gridCol w:w="917"/>
        <w:gridCol w:w="917"/>
        <w:gridCol w:w="917"/>
        <w:gridCol w:w="917"/>
        <w:gridCol w:w="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585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822曹妃甸区政府金融发展服务中心</w:t>
            </w:r>
          </w:p>
        </w:tc>
        <w:tc>
          <w:tcPr>
            <w:tcW w:w="4585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17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6364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17" w:type="dxa"/>
            <w:vMerge w:val="continue"/>
          </w:tcPr>
          <w:p/>
        </w:tc>
        <w:tc>
          <w:tcPr>
            <w:tcW w:w="917" w:type="dxa"/>
            <w:vMerge w:val="continue"/>
          </w:tcPr>
          <w:p/>
        </w:tc>
        <w:tc>
          <w:tcPr>
            <w:tcW w:w="972" w:type="dxa"/>
            <w:vMerge w:val="continue"/>
          </w:tcPr>
          <w:p/>
        </w:tc>
        <w:tc>
          <w:tcPr>
            <w:tcW w:w="862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9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9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917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9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917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917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917" w:type="dxa"/>
            <w:vAlign w:val="center"/>
          </w:tcPr>
          <w:p>
            <w:pPr>
              <w:pStyle w:val="16"/>
            </w:pPr>
          </w:p>
        </w:tc>
        <w:tc>
          <w:tcPr>
            <w:tcW w:w="972" w:type="dxa"/>
            <w:vAlign w:val="center"/>
          </w:tcPr>
          <w:p>
            <w:pPr>
              <w:pStyle w:val="16"/>
            </w:pPr>
          </w:p>
        </w:tc>
        <w:tc>
          <w:tcPr>
            <w:tcW w:w="862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917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917" w:type="dxa"/>
            <w:vAlign w:val="center"/>
          </w:tcPr>
          <w:p>
            <w:pPr>
              <w:pStyle w:val="16"/>
            </w:pPr>
          </w:p>
        </w:tc>
        <w:tc>
          <w:tcPr>
            <w:tcW w:w="917" w:type="dxa"/>
            <w:vAlign w:val="center"/>
          </w:tcPr>
          <w:p>
            <w:pPr>
              <w:pStyle w:val="16"/>
            </w:pPr>
          </w:p>
        </w:tc>
        <w:tc>
          <w:tcPr>
            <w:tcW w:w="917" w:type="dxa"/>
            <w:vAlign w:val="center"/>
          </w:tcPr>
          <w:p>
            <w:pPr>
              <w:pStyle w:val="16"/>
            </w:pPr>
          </w:p>
        </w:tc>
        <w:tc>
          <w:tcPr>
            <w:tcW w:w="917" w:type="dxa"/>
            <w:vAlign w:val="center"/>
          </w:tcPr>
          <w:p>
            <w:pPr>
              <w:pStyle w:val="16"/>
            </w:pPr>
          </w:p>
        </w:tc>
        <w:tc>
          <w:tcPr>
            <w:tcW w:w="9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917" w:type="dxa"/>
            <w:vAlign w:val="center"/>
          </w:tcPr>
          <w:p>
            <w:pPr>
              <w:pStyle w:val="16"/>
            </w:pPr>
          </w:p>
        </w:tc>
        <w:tc>
          <w:tcPr>
            <w:tcW w:w="972" w:type="dxa"/>
            <w:vAlign w:val="center"/>
          </w:tcPr>
          <w:p>
            <w:pPr>
              <w:pStyle w:val="16"/>
            </w:pPr>
          </w:p>
        </w:tc>
        <w:tc>
          <w:tcPr>
            <w:tcW w:w="862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917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917" w:type="dxa"/>
            <w:vAlign w:val="center"/>
          </w:tcPr>
          <w:p>
            <w:pPr>
              <w:pStyle w:val="16"/>
            </w:pPr>
          </w:p>
        </w:tc>
        <w:tc>
          <w:tcPr>
            <w:tcW w:w="917" w:type="dxa"/>
            <w:vAlign w:val="center"/>
          </w:tcPr>
          <w:p>
            <w:pPr>
              <w:pStyle w:val="16"/>
            </w:pPr>
          </w:p>
        </w:tc>
        <w:tc>
          <w:tcPr>
            <w:tcW w:w="917" w:type="dxa"/>
            <w:vAlign w:val="center"/>
          </w:tcPr>
          <w:p>
            <w:pPr>
              <w:pStyle w:val="16"/>
            </w:pPr>
          </w:p>
        </w:tc>
        <w:tc>
          <w:tcPr>
            <w:tcW w:w="917" w:type="dxa"/>
            <w:vAlign w:val="center"/>
          </w:tcPr>
          <w:p>
            <w:pPr>
              <w:pStyle w:val="16"/>
            </w:pPr>
          </w:p>
        </w:tc>
        <w:tc>
          <w:tcPr>
            <w:tcW w:w="9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" w:type="dxa"/>
            <w:vAlign w:val="center"/>
          </w:tcPr>
          <w:p>
            <w:pPr>
              <w:pStyle w:val="13"/>
            </w:pPr>
            <w:r>
              <w:t>1、</w:t>
            </w:r>
            <w:r>
              <w:rPr>
                <w:rFonts w:hint="eastAsia"/>
                <w:lang w:eastAsia="zh-CN"/>
              </w:rPr>
              <w:t>金融工作</w:t>
            </w:r>
            <w:r>
              <w:t>经费</w:t>
            </w:r>
          </w:p>
        </w:tc>
        <w:tc>
          <w:tcPr>
            <w:tcW w:w="917" w:type="dxa"/>
            <w:vAlign w:val="center"/>
          </w:tcPr>
          <w:p>
            <w:pPr>
              <w:pStyle w:val="13"/>
            </w:pPr>
            <w:r>
              <w:t>曹妃甸区政府金融发展服务中心本级</w:t>
            </w:r>
          </w:p>
        </w:tc>
        <w:tc>
          <w:tcPr>
            <w:tcW w:w="972" w:type="dxa"/>
            <w:vAlign w:val="center"/>
          </w:tcPr>
          <w:p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t>201</w:t>
            </w:r>
            <w:r>
              <w:rPr>
                <w:rFonts w:hint="eastAsia"/>
                <w:lang w:val="en-US" w:eastAsia="zh-CN"/>
              </w:rPr>
              <w:t>0399</w:t>
            </w:r>
          </w:p>
        </w:tc>
        <w:tc>
          <w:tcPr>
            <w:tcW w:w="862" w:type="dxa"/>
            <w:vAlign w:val="center"/>
          </w:tcPr>
          <w:p>
            <w:pPr>
              <w:pStyle w:val="12"/>
            </w:pPr>
            <w:r>
              <w:t>51.80</w:t>
            </w:r>
          </w:p>
        </w:tc>
        <w:tc>
          <w:tcPr>
            <w:tcW w:w="917" w:type="dxa"/>
            <w:vAlign w:val="center"/>
          </w:tcPr>
          <w:p>
            <w:pPr>
              <w:pStyle w:val="12"/>
            </w:pPr>
            <w:r>
              <w:t>51.80</w:t>
            </w:r>
          </w:p>
        </w:tc>
        <w:tc>
          <w:tcPr>
            <w:tcW w:w="917" w:type="dxa"/>
            <w:vAlign w:val="center"/>
          </w:tcPr>
          <w:p>
            <w:pPr>
              <w:pStyle w:val="12"/>
            </w:pPr>
          </w:p>
        </w:tc>
        <w:tc>
          <w:tcPr>
            <w:tcW w:w="917" w:type="dxa"/>
            <w:vAlign w:val="center"/>
          </w:tcPr>
          <w:p>
            <w:pPr>
              <w:pStyle w:val="12"/>
            </w:pPr>
          </w:p>
        </w:tc>
        <w:tc>
          <w:tcPr>
            <w:tcW w:w="917" w:type="dxa"/>
            <w:vAlign w:val="center"/>
          </w:tcPr>
          <w:p>
            <w:pPr>
              <w:pStyle w:val="12"/>
            </w:pPr>
          </w:p>
        </w:tc>
        <w:tc>
          <w:tcPr>
            <w:tcW w:w="917" w:type="dxa"/>
            <w:vAlign w:val="center"/>
          </w:tcPr>
          <w:p>
            <w:pPr>
              <w:pStyle w:val="12"/>
            </w:pPr>
          </w:p>
        </w:tc>
        <w:tc>
          <w:tcPr>
            <w:tcW w:w="9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822曹妃甸区政府金融发展服务中心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51.30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51.30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822曹妃甸区政府金融发展服务中心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8.00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8.00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0.20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0.20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822曹妃甸区政府金融发展服务中心</w:t>
            </w:r>
          </w:p>
        </w:tc>
        <w:tc>
          <w:tcPr>
            <w:tcW w:w="459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8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曹妃甸区政府金融发展服务中心本级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副科级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8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一、曹妃甸区政府金融发展服务中心本级收支预算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822002曹妃甸区政府金融发展服务中心本级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51.80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822002曹妃甸区政府金融发展服务中心本级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金融工作</w:t>
            </w:r>
            <w:r>
              <w:t>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t>201</w:t>
            </w:r>
            <w:r>
              <w:rPr>
                <w:rFonts w:hint="eastAsia"/>
                <w:lang w:val="en-US" w:eastAsia="zh-CN"/>
              </w:rPr>
              <w:t>0399</w:t>
            </w:r>
            <w:bookmarkStart w:id="8" w:name="_GoBack"/>
            <w:bookmarkEnd w:id="8"/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51.80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51.80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822002曹妃甸区政府金融发展服务中心本级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51.80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51.30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51.30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822002曹妃甸区政府金融发展服务中心本级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8.00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8.00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0.20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0.20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F7E411"/>
    <w:rsid w:val="77F4DEC2"/>
    <w:rsid w:val="DCFC38A3"/>
    <w:rsid w:val="FEF20E66"/>
    <w:rsid w:val="FFAB9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2024-03-02T10:53:00Z</dcterms:created>
  <dc:creator>user</dc:creator>
  <cp:lastModifiedBy>user</cp:lastModifiedBy>
  <cp:lastPrinted>2024-03-02T03:16:00Z</cp:lastPrinted>
  <dcterms:modified xsi:type="dcterms:W3CDTF">2025-02-25T16:25:03Z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